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40C7D" w14:textId="77777777" w:rsidR="00717E54" w:rsidRDefault="00240120">
      <w:pPr>
        <w:spacing w:before="64"/>
        <w:ind w:left="2920" w:right="3217"/>
        <w:jc w:val="center"/>
        <w:rPr>
          <w:b/>
          <w:sz w:val="24"/>
        </w:rPr>
      </w:pPr>
      <w:r>
        <w:rPr>
          <w:b/>
          <w:sz w:val="24"/>
        </w:rPr>
        <w:t>FORM 7</w:t>
      </w:r>
    </w:p>
    <w:p w14:paraId="1F3000E9" w14:textId="77777777" w:rsidR="00717E54" w:rsidRDefault="00717E54">
      <w:pPr>
        <w:pStyle w:val="BodyText"/>
        <w:ind w:left="0"/>
        <w:rPr>
          <w:b/>
          <w:sz w:val="24"/>
          <w:u w:val="none"/>
        </w:rPr>
      </w:pPr>
    </w:p>
    <w:p w14:paraId="0F9FBAE5" w14:textId="77777777" w:rsidR="00717E54" w:rsidRDefault="00240120">
      <w:pPr>
        <w:ind w:left="2920" w:right="3219"/>
        <w:jc w:val="center"/>
        <w:rPr>
          <w:b/>
          <w:sz w:val="24"/>
        </w:rPr>
      </w:pPr>
      <w:r>
        <w:rPr>
          <w:b/>
          <w:sz w:val="24"/>
          <w:u w:val="thick"/>
        </w:rPr>
        <w:t>MONTHLY PROGRESS REPORT</w:t>
      </w:r>
    </w:p>
    <w:p w14:paraId="7DD1AB45" w14:textId="77777777" w:rsidR="00717E54" w:rsidRDefault="00717E54">
      <w:pPr>
        <w:pStyle w:val="BodyText"/>
        <w:spacing w:before="9"/>
        <w:ind w:left="0"/>
        <w:rPr>
          <w:b/>
          <w:sz w:val="12"/>
          <w:u w:val="none"/>
        </w:rPr>
      </w:pPr>
    </w:p>
    <w:p w14:paraId="6FA46C3A" w14:textId="77777777" w:rsidR="00717E54" w:rsidRDefault="00240120">
      <w:pPr>
        <w:spacing w:before="93"/>
        <w:ind w:left="100"/>
        <w:rPr>
          <w:sz w:val="20"/>
        </w:rPr>
      </w:pPr>
      <w:r>
        <w:t xml:space="preserve">Name of CNSX Issuer: </w:t>
      </w:r>
      <w:r>
        <w:rPr>
          <w:b/>
          <w:u w:val="thick"/>
        </w:rPr>
        <w:t>FAR RESOURCES LTD</w:t>
      </w:r>
      <w:r>
        <w:rPr>
          <w:b/>
          <w:u w:val="single"/>
        </w:rPr>
        <w:t xml:space="preserve"> </w:t>
      </w:r>
      <w:r>
        <w:rPr>
          <w:sz w:val="20"/>
          <w:u w:val="single"/>
        </w:rPr>
        <w:t>(the “Issuer”, “Far Resources”, “Far”, “we” or “our”)</w:t>
      </w:r>
    </w:p>
    <w:p w14:paraId="11D8D825" w14:textId="77777777" w:rsidR="00717E54" w:rsidRDefault="00717E54">
      <w:pPr>
        <w:pStyle w:val="BodyText"/>
        <w:spacing w:before="9"/>
        <w:ind w:left="0"/>
        <w:rPr>
          <w:sz w:val="12"/>
          <w:u w:val="none"/>
        </w:rPr>
      </w:pPr>
    </w:p>
    <w:p w14:paraId="46E8CCA5" w14:textId="77777777" w:rsidR="00717E54" w:rsidRDefault="00240120">
      <w:pPr>
        <w:pStyle w:val="Heading2"/>
        <w:tabs>
          <w:tab w:val="left" w:pos="3181"/>
          <w:tab w:val="left" w:pos="9280"/>
        </w:tabs>
        <w:spacing w:before="93"/>
        <w:rPr>
          <w:b/>
        </w:rPr>
      </w:pPr>
      <w:r>
        <w:t>Trading</w:t>
      </w:r>
      <w:r>
        <w:rPr>
          <w:spacing w:val="-3"/>
        </w:rPr>
        <w:t xml:space="preserve"> </w:t>
      </w:r>
      <w:r>
        <w:t>Symbol:</w:t>
      </w:r>
      <w:r>
        <w:rPr>
          <w:u w:val="thick"/>
        </w:rPr>
        <w:t xml:space="preserve"> </w:t>
      </w:r>
      <w:r>
        <w:rPr>
          <w:u w:val="thick"/>
        </w:rPr>
        <w:tab/>
      </w:r>
      <w:r>
        <w:rPr>
          <w:b/>
          <w:u w:val="thick"/>
        </w:rPr>
        <w:t>FAT</w:t>
      </w:r>
      <w:r>
        <w:rPr>
          <w:b/>
          <w:u w:val="thick"/>
        </w:rPr>
        <w:tab/>
      </w:r>
    </w:p>
    <w:p w14:paraId="6BFFC189" w14:textId="77777777" w:rsidR="00717E54" w:rsidRDefault="00717E54">
      <w:pPr>
        <w:pStyle w:val="BodyText"/>
        <w:spacing w:before="9"/>
        <w:ind w:left="0"/>
        <w:rPr>
          <w:b/>
          <w:sz w:val="12"/>
          <w:u w:val="none"/>
        </w:rPr>
      </w:pPr>
    </w:p>
    <w:p w14:paraId="4DB09EAD" w14:textId="08F50FA0" w:rsidR="00717E54" w:rsidRDefault="00240120">
      <w:pPr>
        <w:tabs>
          <w:tab w:val="left" w:pos="5518"/>
          <w:tab w:val="left" w:pos="9280"/>
        </w:tabs>
        <w:spacing w:before="92"/>
        <w:ind w:left="100"/>
      </w:pPr>
      <w:r>
        <w:t>Number of Outstanding</w:t>
      </w:r>
      <w:r>
        <w:rPr>
          <w:spacing w:val="-3"/>
        </w:rPr>
        <w:t xml:space="preserve"> </w:t>
      </w:r>
      <w:r>
        <w:t>Listed Securities:</w:t>
      </w:r>
      <w:r>
        <w:rPr>
          <w:u w:val="single"/>
        </w:rPr>
        <w:t xml:space="preserve"> </w:t>
      </w:r>
      <w:r>
        <w:rPr>
          <w:u w:val="single"/>
        </w:rPr>
        <w:tab/>
        <w:t>107,</w:t>
      </w:r>
      <w:r w:rsidR="00C93739">
        <w:rPr>
          <w:u w:val="single"/>
        </w:rPr>
        <w:t>859,635</w:t>
      </w:r>
      <w:r>
        <w:rPr>
          <w:u w:val="single"/>
        </w:rPr>
        <w:tab/>
      </w:r>
    </w:p>
    <w:p w14:paraId="0BC44112" w14:textId="77777777" w:rsidR="00717E54" w:rsidRDefault="00717E54">
      <w:pPr>
        <w:pStyle w:val="BodyText"/>
        <w:spacing w:before="10"/>
        <w:ind w:left="0"/>
        <w:rPr>
          <w:sz w:val="12"/>
          <w:u w:val="none"/>
        </w:rPr>
      </w:pPr>
    </w:p>
    <w:p w14:paraId="03010A70" w14:textId="17679E67" w:rsidR="00717E54" w:rsidRDefault="00240120">
      <w:pPr>
        <w:tabs>
          <w:tab w:val="left" w:pos="2045"/>
          <w:tab w:val="left" w:pos="9280"/>
        </w:tabs>
        <w:spacing w:before="93" w:line="355" w:lineRule="auto"/>
        <w:ind w:left="100" w:right="577"/>
        <w:rPr>
          <w:b/>
        </w:rPr>
      </w:pPr>
      <w:r>
        <w:t>Date</w:t>
      </w:r>
      <w:r>
        <w:rPr>
          <w:b/>
        </w:rPr>
        <w:t>:</w:t>
      </w:r>
      <w:r>
        <w:rPr>
          <w:b/>
          <w:u w:val="thick"/>
        </w:rPr>
        <w:t xml:space="preserve"> </w:t>
      </w:r>
      <w:r>
        <w:rPr>
          <w:b/>
          <w:u w:val="thick"/>
        </w:rPr>
        <w:tab/>
      </w:r>
      <w:r w:rsidR="00247CEA">
        <w:rPr>
          <w:b/>
          <w:u w:val="thick"/>
        </w:rPr>
        <w:t xml:space="preserve">June </w:t>
      </w:r>
      <w:r w:rsidR="00C93739">
        <w:rPr>
          <w:b/>
          <w:u w:val="thick"/>
        </w:rPr>
        <w:t>10</w:t>
      </w:r>
      <w:r>
        <w:rPr>
          <w:b/>
          <w:u w:val="thick"/>
        </w:rPr>
        <w:t>,</w:t>
      </w:r>
      <w:r>
        <w:rPr>
          <w:b/>
          <w:spacing w:val="-1"/>
          <w:u w:val="thick"/>
        </w:rPr>
        <w:t xml:space="preserve"> </w:t>
      </w:r>
      <w:r>
        <w:rPr>
          <w:b/>
          <w:u w:val="thick"/>
        </w:rPr>
        <w:t>2019</w:t>
      </w:r>
      <w:r>
        <w:rPr>
          <w:b/>
          <w:u w:val="thick"/>
        </w:rPr>
        <w:tab/>
      </w:r>
      <w:r>
        <w:rPr>
          <w:b/>
        </w:rPr>
        <w:t xml:space="preserve"> Report on</w:t>
      </w:r>
      <w:r>
        <w:rPr>
          <w:b/>
          <w:spacing w:val="-1"/>
        </w:rPr>
        <w:t xml:space="preserve"> </w:t>
      </w:r>
      <w:r>
        <w:rPr>
          <w:b/>
        </w:rPr>
        <w:t>Business</w:t>
      </w:r>
    </w:p>
    <w:p w14:paraId="6A10D231" w14:textId="3EBE9AF3" w:rsidR="00717E54" w:rsidRPr="00FF08FF" w:rsidRDefault="00240120" w:rsidP="00FF08FF">
      <w:pPr>
        <w:pStyle w:val="Heading3"/>
        <w:numPr>
          <w:ilvl w:val="0"/>
          <w:numId w:val="2"/>
        </w:numPr>
        <w:tabs>
          <w:tab w:val="left" w:pos="820"/>
          <w:tab w:val="left" w:pos="821"/>
        </w:tabs>
        <w:ind w:right="407" w:hanging="720"/>
        <w:rPr>
          <w:i w:val="0"/>
          <w:iCs/>
          <w:sz w:val="20"/>
          <w:szCs w:val="20"/>
        </w:rPr>
      </w:pPr>
      <w:r>
        <w:t>Provide a general overview and discussion of the development of the Issuer’s business and operations over the previous</w:t>
      </w:r>
      <w:r>
        <w:rPr>
          <w:spacing w:val="-2"/>
        </w:rPr>
        <w:t xml:space="preserve"> </w:t>
      </w:r>
      <w:r>
        <w:t>month.</w:t>
      </w:r>
      <w:r w:rsidR="00247CEA">
        <w:br/>
      </w:r>
      <w:r w:rsidR="00247CEA">
        <w:br/>
      </w:r>
      <w:r w:rsidR="00247CEA" w:rsidRPr="00FF08FF">
        <w:rPr>
          <w:i w:val="0"/>
          <w:iCs/>
          <w:sz w:val="20"/>
          <w:szCs w:val="20"/>
        </w:rPr>
        <w:t>On May 6, 2019, the Company announce</w:t>
      </w:r>
      <w:r w:rsidR="00FF08FF" w:rsidRPr="00FF08FF">
        <w:rPr>
          <w:i w:val="0"/>
          <w:iCs/>
          <w:sz w:val="20"/>
          <w:szCs w:val="20"/>
        </w:rPr>
        <w:t>d</w:t>
      </w:r>
      <w:r w:rsidR="00247CEA" w:rsidRPr="00FF08FF">
        <w:rPr>
          <w:i w:val="0"/>
          <w:iCs/>
          <w:sz w:val="20"/>
          <w:szCs w:val="20"/>
        </w:rPr>
        <w:t xml:space="preserve"> that, as part of its developing battery and renewables technology strategy, it is acting as a principal sponsor of the Electric Blue Marine Power Project aimed at commercial demonstration of lithium battery capabilities for solar energy-based marine propulsion, alongside </w:t>
      </w:r>
      <w:proofErr w:type="spellStart"/>
      <w:r w:rsidR="00247CEA" w:rsidRPr="00FF08FF">
        <w:rPr>
          <w:i w:val="0"/>
          <w:iCs/>
          <w:sz w:val="20"/>
          <w:szCs w:val="20"/>
        </w:rPr>
        <w:t>BattMat</w:t>
      </w:r>
      <w:proofErr w:type="spellEnd"/>
      <w:r w:rsidR="00247CEA" w:rsidRPr="00FF08FF">
        <w:rPr>
          <w:i w:val="0"/>
          <w:iCs/>
          <w:sz w:val="20"/>
          <w:szCs w:val="20"/>
        </w:rPr>
        <w:t xml:space="preserve"> Technologies, Inc.</w:t>
      </w:r>
      <w:r w:rsidR="00FF08FF" w:rsidRPr="00FF08FF">
        <w:rPr>
          <w:i w:val="0"/>
          <w:iCs/>
          <w:sz w:val="20"/>
          <w:szCs w:val="20"/>
        </w:rPr>
        <w:br/>
      </w:r>
      <w:r w:rsidR="00FF08FF" w:rsidRPr="00FF08FF">
        <w:rPr>
          <w:i w:val="0"/>
          <w:iCs/>
          <w:sz w:val="20"/>
          <w:szCs w:val="20"/>
        </w:rPr>
        <w:br/>
      </w:r>
      <w:r w:rsidR="00247CEA" w:rsidRPr="00FF08FF">
        <w:rPr>
          <w:b/>
          <w:bCs/>
          <w:i w:val="0"/>
          <w:iCs/>
          <w:sz w:val="20"/>
          <w:szCs w:val="20"/>
        </w:rPr>
        <w:t xml:space="preserve">Proving solar-powered battery technology for marine propulsion </w:t>
      </w:r>
      <w:r w:rsidR="00FF08FF" w:rsidRPr="00FF08FF">
        <w:rPr>
          <w:b/>
          <w:bCs/>
          <w:i w:val="0"/>
          <w:iCs/>
          <w:sz w:val="20"/>
          <w:szCs w:val="20"/>
        </w:rPr>
        <w:br/>
      </w:r>
      <w:r w:rsidR="00FF08FF" w:rsidRPr="00FF08FF">
        <w:rPr>
          <w:i w:val="0"/>
          <w:iCs/>
          <w:sz w:val="20"/>
          <w:szCs w:val="20"/>
        </w:rPr>
        <w:br/>
      </w:r>
      <w:r w:rsidR="00247CEA" w:rsidRPr="00FF08FF">
        <w:rPr>
          <w:i w:val="0"/>
          <w:iCs/>
          <w:sz w:val="20"/>
          <w:szCs w:val="20"/>
        </w:rPr>
        <w:t xml:space="preserve">The use of lithium batteries for renewable energy storage continues its relentless expansion. One of the less developed but highly promising applications for lithium batteries is marine propulsion. Lithium batteries were used in the well-known but costly ($15 million) Planet Solar project, which circled the globe drawing on solar energy more than seven years ago. Since then, the functionality of lithium batteries and solar panels and their efficiency, along with electric motors, have improved substantially. </w:t>
      </w:r>
      <w:r w:rsidR="00FF08FF" w:rsidRPr="00FF08FF">
        <w:rPr>
          <w:i w:val="0"/>
          <w:iCs/>
          <w:sz w:val="20"/>
          <w:szCs w:val="20"/>
        </w:rPr>
        <w:br/>
      </w:r>
      <w:r w:rsidR="00FF08FF" w:rsidRPr="00FF08FF">
        <w:rPr>
          <w:i w:val="0"/>
          <w:iCs/>
          <w:sz w:val="20"/>
          <w:szCs w:val="20"/>
        </w:rPr>
        <w:br/>
      </w:r>
      <w:r w:rsidR="00247CEA" w:rsidRPr="00FF08FF">
        <w:rPr>
          <w:i w:val="0"/>
          <w:iCs/>
          <w:sz w:val="20"/>
          <w:szCs w:val="20"/>
        </w:rPr>
        <w:t xml:space="preserve">The Electric Blue Marine Power Project being implemented by Electric Blue Power, LLC, aims to demonstrate the use of lithium battery technologies in a sustainable, efficient and economical marine propulsion system capable of powering vessels continuously on solar energy. The </w:t>
      </w:r>
      <w:proofErr w:type="spellStart"/>
      <w:r w:rsidR="00247CEA" w:rsidRPr="00FF08FF">
        <w:rPr>
          <w:i w:val="0"/>
          <w:iCs/>
          <w:sz w:val="20"/>
          <w:szCs w:val="20"/>
        </w:rPr>
        <w:t>MaxSolarProp</w:t>
      </w:r>
      <w:proofErr w:type="spellEnd"/>
      <w:r w:rsidR="00247CEA" w:rsidRPr="00FF08FF">
        <w:rPr>
          <w:i w:val="0"/>
          <w:iCs/>
          <w:sz w:val="20"/>
          <w:szCs w:val="20"/>
        </w:rPr>
        <w:t xml:space="preserve">© system, incorporating lithium iron phosphate batteries together with fixed and flexible solar panels and a high efficiency electric motor and proprietary electronics </w:t>
      </w:r>
      <w:proofErr w:type="spellStart"/>
      <w:r w:rsidR="00247CEA" w:rsidRPr="00FF08FF">
        <w:rPr>
          <w:i w:val="0"/>
          <w:iCs/>
          <w:sz w:val="20"/>
          <w:szCs w:val="20"/>
        </w:rPr>
        <w:t>optimising</w:t>
      </w:r>
      <w:proofErr w:type="spellEnd"/>
      <w:r w:rsidR="00247CEA" w:rsidRPr="00FF08FF">
        <w:rPr>
          <w:i w:val="0"/>
          <w:iCs/>
          <w:sz w:val="20"/>
          <w:szCs w:val="20"/>
        </w:rPr>
        <w:t xml:space="preserve"> the inter-operation of panels and motor with the batteries and the battery management system, has been installed in the 40-foot research vessel, Electric Blue Solar Yacht. </w:t>
      </w:r>
      <w:r w:rsidR="00FF08FF" w:rsidRPr="00FF08FF">
        <w:rPr>
          <w:i w:val="0"/>
          <w:iCs/>
          <w:sz w:val="20"/>
          <w:szCs w:val="20"/>
        </w:rPr>
        <w:br/>
      </w:r>
      <w:r w:rsidR="00FF08FF" w:rsidRPr="00FF08FF">
        <w:rPr>
          <w:i w:val="0"/>
          <w:iCs/>
          <w:sz w:val="20"/>
          <w:szCs w:val="20"/>
        </w:rPr>
        <w:br/>
      </w:r>
      <w:r w:rsidR="00247CEA" w:rsidRPr="00FF08FF">
        <w:rPr>
          <w:i w:val="0"/>
          <w:iCs/>
          <w:sz w:val="20"/>
          <w:szCs w:val="20"/>
        </w:rPr>
        <w:t xml:space="preserve">Electric Blue has embarked on a pioneering voyage along the iconic Great Loop which includes waterways of the Eastern US (described at https://oceanservice.noaa.gov/facts/great-loop.html) from Florida along the East Coast to the Washington, D.C. area and New York City and then inland on the Erie Canal to Buffalo, New York. (The Great Loop </w:t>
      </w:r>
      <w:proofErr w:type="gramStart"/>
      <w:r w:rsidR="00247CEA" w:rsidRPr="00FF08FF">
        <w:rPr>
          <w:i w:val="0"/>
          <w:iCs/>
          <w:sz w:val="20"/>
          <w:szCs w:val="20"/>
        </w:rPr>
        <w:t>continues on</w:t>
      </w:r>
      <w:proofErr w:type="gramEnd"/>
      <w:r w:rsidR="00247CEA" w:rsidRPr="00FF08FF">
        <w:rPr>
          <w:i w:val="0"/>
          <w:iCs/>
          <w:sz w:val="20"/>
          <w:szCs w:val="20"/>
        </w:rPr>
        <w:t xml:space="preserve"> across the Great Lakes to the Midwest and down the Mississippi to the Gulf of Mexico.) </w:t>
      </w:r>
      <w:r w:rsidR="00FF08FF" w:rsidRPr="00FF08FF">
        <w:rPr>
          <w:i w:val="0"/>
          <w:iCs/>
          <w:sz w:val="20"/>
          <w:szCs w:val="20"/>
        </w:rPr>
        <w:br/>
      </w:r>
      <w:r w:rsidR="00FF08FF" w:rsidRPr="00FF08FF">
        <w:rPr>
          <w:i w:val="0"/>
          <w:iCs/>
          <w:sz w:val="20"/>
          <w:szCs w:val="20"/>
        </w:rPr>
        <w:br/>
      </w:r>
      <w:r w:rsidR="00247CEA" w:rsidRPr="00FF08FF">
        <w:rPr>
          <w:i w:val="0"/>
          <w:iCs/>
          <w:sz w:val="20"/>
          <w:szCs w:val="20"/>
        </w:rPr>
        <w:t xml:space="preserve">The Project will demonstrate that lithium iron phosphate batteries, with their high performance and long life, are stable and reliable for solar-only and slower speed marine uses. Such uses include (automated or manned) hydrological mapping of coastal and inland waterways, patrol and surveillance and ship-to-shore supplemental power on remote islands, including during disasters or power emergencies, as well as to power floating platforms for scenic viewing and </w:t>
      </w:r>
      <w:proofErr w:type="gramStart"/>
      <w:r w:rsidR="00247CEA" w:rsidRPr="00FF08FF">
        <w:rPr>
          <w:i w:val="0"/>
          <w:iCs/>
          <w:sz w:val="20"/>
          <w:szCs w:val="20"/>
        </w:rPr>
        <w:t>film-making</w:t>
      </w:r>
      <w:proofErr w:type="gramEnd"/>
      <w:r w:rsidR="00247CEA" w:rsidRPr="00FF08FF">
        <w:rPr>
          <w:i w:val="0"/>
          <w:iCs/>
          <w:sz w:val="20"/>
          <w:szCs w:val="20"/>
        </w:rPr>
        <w:t xml:space="preserve">. Its design is ready for use to replace diesel engines in inboard sailboats and, with hybrid power back-up, larger vessels for riverine and inter-island barge transportation. </w:t>
      </w:r>
      <w:r w:rsidR="00FF08FF" w:rsidRPr="00FF08FF">
        <w:rPr>
          <w:i w:val="0"/>
          <w:iCs/>
          <w:sz w:val="20"/>
          <w:szCs w:val="20"/>
        </w:rPr>
        <w:br/>
      </w:r>
      <w:r w:rsidR="00FF08FF" w:rsidRPr="00FF08FF">
        <w:rPr>
          <w:i w:val="0"/>
          <w:iCs/>
          <w:sz w:val="20"/>
          <w:szCs w:val="20"/>
        </w:rPr>
        <w:br/>
      </w:r>
      <w:proofErr w:type="spellStart"/>
      <w:r w:rsidR="00247CEA" w:rsidRPr="00FF08FF">
        <w:rPr>
          <w:i w:val="0"/>
          <w:iCs/>
          <w:sz w:val="20"/>
          <w:szCs w:val="20"/>
        </w:rPr>
        <w:t>Far’s</w:t>
      </w:r>
      <w:proofErr w:type="spellEnd"/>
      <w:r w:rsidR="00247CEA" w:rsidRPr="00FF08FF">
        <w:rPr>
          <w:i w:val="0"/>
          <w:iCs/>
          <w:sz w:val="20"/>
          <w:szCs w:val="20"/>
        </w:rPr>
        <w:t xml:space="preserve"> participation is pursuant to its partnership, announced in March, with technology and consulting firm </w:t>
      </w:r>
      <w:proofErr w:type="spellStart"/>
      <w:r w:rsidR="00247CEA" w:rsidRPr="00FF08FF">
        <w:rPr>
          <w:i w:val="0"/>
          <w:iCs/>
          <w:sz w:val="20"/>
          <w:szCs w:val="20"/>
        </w:rPr>
        <w:t>BattMat</w:t>
      </w:r>
      <w:proofErr w:type="spellEnd"/>
      <w:r w:rsidR="00247CEA" w:rsidRPr="00FF08FF">
        <w:rPr>
          <w:i w:val="0"/>
          <w:iCs/>
          <w:sz w:val="20"/>
          <w:szCs w:val="20"/>
        </w:rPr>
        <w:t xml:space="preserve">, to create an advanced strategy for marketing </w:t>
      </w:r>
      <w:proofErr w:type="spellStart"/>
      <w:r w:rsidR="00247CEA" w:rsidRPr="00FF08FF">
        <w:rPr>
          <w:i w:val="0"/>
          <w:iCs/>
          <w:sz w:val="20"/>
          <w:szCs w:val="20"/>
        </w:rPr>
        <w:t>Far’s</w:t>
      </w:r>
      <w:proofErr w:type="spellEnd"/>
      <w:r w:rsidR="00247CEA" w:rsidRPr="00FF08FF">
        <w:rPr>
          <w:i w:val="0"/>
          <w:iCs/>
          <w:sz w:val="20"/>
          <w:szCs w:val="20"/>
        </w:rPr>
        <w:t xml:space="preserve"> lithium resources, identifying new technology-driven trends in the battery materials sector and strengthening its </w:t>
      </w:r>
      <w:r w:rsidR="00247CEA" w:rsidRPr="00FF08FF">
        <w:rPr>
          <w:i w:val="0"/>
          <w:iCs/>
          <w:sz w:val="20"/>
          <w:szCs w:val="20"/>
        </w:rPr>
        <w:lastRenderedPageBreak/>
        <w:t>strategic standing and recognition within the battery and technology industries.</w:t>
      </w:r>
      <w:r w:rsidR="00247CEA" w:rsidRPr="00FF08FF">
        <w:rPr>
          <w:i w:val="0"/>
          <w:iCs/>
          <w:sz w:val="20"/>
          <w:szCs w:val="20"/>
        </w:rPr>
        <w:br/>
      </w:r>
      <w:r w:rsidR="00247CEA" w:rsidRPr="00FF08FF">
        <w:rPr>
          <w:i w:val="0"/>
          <w:iCs/>
          <w:sz w:val="20"/>
          <w:szCs w:val="20"/>
        </w:rPr>
        <w:br/>
        <w:t xml:space="preserve">The launch of Electric Blue is the culmination of several years of research and development in solar electric power and controls by its inventor Lee </w:t>
      </w:r>
      <w:proofErr w:type="spellStart"/>
      <w:r w:rsidR="00247CEA" w:rsidRPr="00FF08FF">
        <w:rPr>
          <w:i w:val="0"/>
          <w:iCs/>
          <w:sz w:val="20"/>
          <w:szCs w:val="20"/>
        </w:rPr>
        <w:t>Wheelbarger</w:t>
      </w:r>
      <w:proofErr w:type="spellEnd"/>
      <w:r w:rsidR="00247CEA" w:rsidRPr="00FF08FF">
        <w:rPr>
          <w:i w:val="0"/>
          <w:iCs/>
          <w:sz w:val="20"/>
          <w:szCs w:val="20"/>
        </w:rPr>
        <w:t xml:space="preserve">, who recently joined </w:t>
      </w:r>
      <w:proofErr w:type="spellStart"/>
      <w:r w:rsidR="00247CEA" w:rsidRPr="00FF08FF">
        <w:rPr>
          <w:i w:val="0"/>
          <w:iCs/>
          <w:sz w:val="20"/>
          <w:szCs w:val="20"/>
        </w:rPr>
        <w:t>Far’s</w:t>
      </w:r>
      <w:proofErr w:type="spellEnd"/>
      <w:r w:rsidR="00247CEA" w:rsidRPr="00FF08FF">
        <w:rPr>
          <w:i w:val="0"/>
          <w:iCs/>
          <w:sz w:val="20"/>
          <w:szCs w:val="20"/>
        </w:rPr>
        <w:t xml:space="preserve"> advisory board to bring expert knowledge in the development of new battery-related power and other technologies, including lithium-based batteries such as those used on the Electric Blue Solar Yacht. Investors will be invited to meet </w:t>
      </w:r>
      <w:proofErr w:type="spellStart"/>
      <w:r w:rsidR="00247CEA" w:rsidRPr="00FF08FF">
        <w:rPr>
          <w:i w:val="0"/>
          <w:iCs/>
          <w:sz w:val="20"/>
          <w:szCs w:val="20"/>
        </w:rPr>
        <w:t>Mr</w:t>
      </w:r>
      <w:proofErr w:type="spellEnd"/>
      <w:r w:rsidR="00247CEA" w:rsidRPr="00FF08FF">
        <w:rPr>
          <w:i w:val="0"/>
          <w:iCs/>
          <w:sz w:val="20"/>
          <w:szCs w:val="20"/>
        </w:rPr>
        <w:t xml:space="preserve"> </w:t>
      </w:r>
      <w:proofErr w:type="spellStart"/>
      <w:r w:rsidR="00247CEA" w:rsidRPr="00FF08FF">
        <w:rPr>
          <w:i w:val="0"/>
          <w:iCs/>
          <w:sz w:val="20"/>
          <w:szCs w:val="20"/>
        </w:rPr>
        <w:t>Wheelbarger</w:t>
      </w:r>
      <w:proofErr w:type="spellEnd"/>
      <w:r w:rsidR="00247CEA" w:rsidRPr="00FF08FF">
        <w:rPr>
          <w:i w:val="0"/>
          <w:iCs/>
          <w:sz w:val="20"/>
          <w:szCs w:val="20"/>
        </w:rPr>
        <w:t xml:space="preserve"> and members of the Far team beginning at stops in the Washington, D.C. area, in New York City, and at certain other points along the Great Loop, where they will be available to answer questions on the battery system.</w:t>
      </w:r>
    </w:p>
    <w:p w14:paraId="225C85C2" w14:textId="77777777" w:rsidR="00717E54" w:rsidRPr="00FF08FF" w:rsidRDefault="00717E54">
      <w:pPr>
        <w:pStyle w:val="BodyText"/>
        <w:spacing w:before="3"/>
        <w:ind w:left="0"/>
        <w:rPr>
          <w:u w:val="none"/>
        </w:rPr>
      </w:pPr>
    </w:p>
    <w:p w14:paraId="32378BE1" w14:textId="64551600" w:rsidR="00717E54" w:rsidRDefault="00240120">
      <w:pPr>
        <w:pStyle w:val="Heading3"/>
        <w:numPr>
          <w:ilvl w:val="0"/>
          <w:numId w:val="2"/>
        </w:numPr>
        <w:tabs>
          <w:tab w:val="left" w:pos="820"/>
          <w:tab w:val="left" w:pos="821"/>
        </w:tabs>
        <w:spacing w:before="120"/>
        <w:ind w:hanging="720"/>
      </w:pPr>
      <w:r>
        <w:t>Provide a general overview and discussion of the activities of</w:t>
      </w:r>
      <w:r>
        <w:rPr>
          <w:spacing w:val="-7"/>
        </w:rPr>
        <w:t xml:space="preserve"> </w:t>
      </w:r>
      <w:r>
        <w:t>management.</w:t>
      </w:r>
    </w:p>
    <w:p w14:paraId="73BFAD4E" w14:textId="77777777" w:rsidR="00FF08FF" w:rsidRDefault="00FF08FF" w:rsidP="00FF08FF">
      <w:pPr>
        <w:pStyle w:val="BodyText"/>
        <w:spacing w:before="120"/>
        <w:jc w:val="both"/>
        <w:rPr>
          <w:u w:val="none"/>
        </w:rPr>
      </w:pPr>
      <w:r>
        <w:t>This does not apply to the Issuer.</w:t>
      </w:r>
    </w:p>
    <w:p w14:paraId="17FE112E" w14:textId="77777777" w:rsidR="00717E54" w:rsidRDefault="00717E54">
      <w:pPr>
        <w:pStyle w:val="BodyText"/>
        <w:ind w:left="0"/>
        <w:rPr>
          <w:i/>
          <w:sz w:val="30"/>
          <w:u w:val="none"/>
        </w:rPr>
      </w:pPr>
    </w:p>
    <w:p w14:paraId="7F75B01C" w14:textId="42F6D551" w:rsidR="00717E54" w:rsidRPr="00FF08FF" w:rsidRDefault="00240120" w:rsidP="00FF08FF">
      <w:pPr>
        <w:pStyle w:val="Heading3"/>
        <w:numPr>
          <w:ilvl w:val="0"/>
          <w:numId w:val="2"/>
        </w:numPr>
        <w:tabs>
          <w:tab w:val="left" w:pos="821"/>
        </w:tabs>
        <w:spacing w:before="119"/>
        <w:ind w:right="398" w:hanging="720"/>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396656A3" w14:textId="77777777" w:rsidR="00FF08FF" w:rsidRDefault="00240120" w:rsidP="00FF08FF">
      <w:pPr>
        <w:pStyle w:val="BodyText"/>
        <w:spacing w:before="120"/>
        <w:jc w:val="both"/>
        <w:rPr>
          <w:u w:val="none"/>
        </w:rPr>
      </w:pPr>
      <w:r>
        <w:rPr>
          <w:rFonts w:ascii="Times New Roman" w:hAnsi="Times New Roman"/>
          <w:spacing w:val="-51"/>
        </w:rPr>
        <w:t xml:space="preserve"> </w:t>
      </w:r>
      <w:bookmarkStart w:id="0" w:name="_Hlk10635998"/>
      <w:r w:rsidR="00FF08FF">
        <w:t>This does not apply to the Issuer.</w:t>
      </w:r>
      <w:bookmarkEnd w:id="0"/>
    </w:p>
    <w:p w14:paraId="60F21E7A" w14:textId="0EDC6DA0" w:rsidR="00717E54" w:rsidRDefault="00717E54">
      <w:pPr>
        <w:pStyle w:val="BodyText"/>
        <w:spacing w:before="1" w:line="360" w:lineRule="auto"/>
        <w:ind w:right="396"/>
        <w:jc w:val="both"/>
        <w:rPr>
          <w:u w:val="none"/>
        </w:rPr>
      </w:pPr>
    </w:p>
    <w:p w14:paraId="43881559" w14:textId="77777777" w:rsidR="00717E54" w:rsidRDefault="00240120">
      <w:pPr>
        <w:pStyle w:val="Heading3"/>
        <w:numPr>
          <w:ilvl w:val="0"/>
          <w:numId w:val="2"/>
        </w:numPr>
        <w:tabs>
          <w:tab w:val="left" w:pos="821"/>
        </w:tabs>
        <w:spacing w:before="120"/>
        <w:ind w:right="406" w:hanging="720"/>
        <w:jc w:val="both"/>
      </w:pPr>
      <w:r>
        <w:t>Describe and provide details of any products or services that were discontinued. For resource companies, provide details of any drilling, exploration or production programs that have been amended or</w:t>
      </w:r>
      <w:r>
        <w:rPr>
          <w:spacing w:val="-1"/>
        </w:rPr>
        <w:t xml:space="preserve"> </w:t>
      </w:r>
      <w:r>
        <w:t>abandoned.</w:t>
      </w:r>
    </w:p>
    <w:p w14:paraId="56A7C7CE" w14:textId="77777777" w:rsidR="00717E54" w:rsidRDefault="00240120">
      <w:pPr>
        <w:pStyle w:val="BodyText"/>
        <w:spacing w:before="120"/>
        <w:jc w:val="both"/>
        <w:rPr>
          <w:u w:val="none"/>
        </w:rPr>
      </w:pPr>
      <w:r>
        <w:t>This does not apply to the Issuer.</w:t>
      </w:r>
    </w:p>
    <w:p w14:paraId="7DA906D2" w14:textId="77777777" w:rsidR="00717E54" w:rsidRDefault="00717E54">
      <w:pPr>
        <w:pStyle w:val="BodyText"/>
        <w:ind w:left="0"/>
        <w:rPr>
          <w:u w:val="none"/>
        </w:rPr>
      </w:pPr>
    </w:p>
    <w:p w14:paraId="58779016" w14:textId="77777777" w:rsidR="00717E54" w:rsidRDefault="00717E54">
      <w:pPr>
        <w:pStyle w:val="BodyText"/>
        <w:spacing w:before="10"/>
        <w:ind w:left="0"/>
        <w:rPr>
          <w:u w:val="none"/>
        </w:rPr>
      </w:pPr>
    </w:p>
    <w:p w14:paraId="03759E80" w14:textId="2B5AC15E" w:rsidR="00717E54" w:rsidRPr="00FF08FF" w:rsidRDefault="00240120" w:rsidP="00FF08FF">
      <w:pPr>
        <w:pStyle w:val="Heading3"/>
        <w:numPr>
          <w:ilvl w:val="0"/>
          <w:numId w:val="2"/>
        </w:numPr>
        <w:tabs>
          <w:tab w:val="left" w:pos="821"/>
        </w:tabs>
        <w:spacing w:before="1"/>
        <w:ind w:right="399" w:hanging="720"/>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4"/>
        </w:rPr>
        <w:t xml:space="preserve"> </w:t>
      </w:r>
      <w:r>
        <w:t>licensing</w:t>
      </w:r>
      <w:r>
        <w:rPr>
          <w:spacing w:val="-15"/>
        </w:rPr>
        <w:t xml:space="preserve"> </w:t>
      </w:r>
      <w:r>
        <w:t>agreements</w:t>
      </w:r>
      <w:r>
        <w:rPr>
          <w:spacing w:val="-14"/>
        </w:rPr>
        <w:t xml:space="preserve"> </w:t>
      </w:r>
      <w:r>
        <w:t>etc.</w:t>
      </w:r>
      <w:r>
        <w:rPr>
          <w:spacing w:val="-15"/>
        </w:rPr>
        <w:t xml:space="preserve"> </w:t>
      </w:r>
      <w:r>
        <w:t>State</w:t>
      </w:r>
      <w:r>
        <w:rPr>
          <w:spacing w:val="-15"/>
        </w:rPr>
        <w:t xml:space="preserve"> </w:t>
      </w:r>
      <w:r>
        <w:t>whether</w:t>
      </w:r>
      <w:r>
        <w:rPr>
          <w:spacing w:val="-14"/>
        </w:rPr>
        <w:t xml:space="preserve"> </w:t>
      </w:r>
      <w:r>
        <w:t>the</w:t>
      </w:r>
      <w:r>
        <w:rPr>
          <w:spacing w:val="-13"/>
        </w:rPr>
        <w:t xml:space="preserve"> </w:t>
      </w:r>
      <w:r>
        <w:t>relationship</w:t>
      </w:r>
      <w:r>
        <w:rPr>
          <w:spacing w:val="-14"/>
        </w:rPr>
        <w:t xml:space="preserve"> </w:t>
      </w:r>
      <w:r>
        <w:t>is</w:t>
      </w:r>
      <w:r>
        <w:rPr>
          <w:spacing w:val="-15"/>
        </w:rPr>
        <w:t xml:space="preserve"> </w:t>
      </w:r>
      <w:r>
        <w:t>with</w:t>
      </w:r>
      <w:r>
        <w:rPr>
          <w:spacing w:val="-14"/>
        </w:rPr>
        <w:t xml:space="preserve"> </w:t>
      </w:r>
      <w:r>
        <w:t>a</w:t>
      </w:r>
      <w:r>
        <w:rPr>
          <w:spacing w:val="-14"/>
        </w:rPr>
        <w:t xml:space="preserve"> </w:t>
      </w:r>
      <w:r>
        <w:t>Related Person of the Issuer and provide details of the</w:t>
      </w:r>
      <w:r>
        <w:rPr>
          <w:spacing w:val="-6"/>
        </w:rPr>
        <w:t xml:space="preserve"> </w:t>
      </w:r>
      <w:r>
        <w:t>relationship.</w:t>
      </w:r>
    </w:p>
    <w:p w14:paraId="6E236225" w14:textId="77777777" w:rsidR="00FF08FF" w:rsidRDefault="00FF08FF" w:rsidP="00FF08FF">
      <w:pPr>
        <w:pStyle w:val="BodyText"/>
        <w:spacing w:before="120"/>
        <w:jc w:val="both"/>
        <w:rPr>
          <w:u w:val="none"/>
        </w:rPr>
      </w:pPr>
      <w:r>
        <w:t>This does not apply to the Issuer.</w:t>
      </w:r>
    </w:p>
    <w:p w14:paraId="0918EBE2" w14:textId="77777777" w:rsidR="00FF08FF" w:rsidRDefault="00FF08FF">
      <w:pPr>
        <w:pStyle w:val="BodyText"/>
        <w:spacing w:line="360" w:lineRule="auto"/>
        <w:ind w:right="396"/>
        <w:jc w:val="both"/>
        <w:rPr>
          <w:u w:val="none"/>
        </w:rPr>
      </w:pPr>
    </w:p>
    <w:p w14:paraId="17264E69" w14:textId="77777777" w:rsidR="00717E54" w:rsidRDefault="00240120">
      <w:pPr>
        <w:pStyle w:val="Heading3"/>
        <w:numPr>
          <w:ilvl w:val="0"/>
          <w:numId w:val="2"/>
        </w:numPr>
        <w:tabs>
          <w:tab w:val="left" w:pos="821"/>
        </w:tabs>
        <w:spacing w:before="69"/>
        <w:ind w:right="399" w:hanging="720"/>
        <w:jc w:val="both"/>
        <w:rPr>
          <w:i w:val="0"/>
        </w:rPr>
      </w:pPr>
      <w:r>
        <w:t>Describe</w:t>
      </w:r>
      <w:r>
        <w:rPr>
          <w:spacing w:val="-9"/>
        </w:rPr>
        <w:t xml:space="preserve"> </w:t>
      </w:r>
      <w:r>
        <w:t>the</w:t>
      </w:r>
      <w:r>
        <w:rPr>
          <w:spacing w:val="-9"/>
        </w:rPr>
        <w:t xml:space="preserve"> </w:t>
      </w:r>
      <w:r>
        <w:t>expiry</w:t>
      </w:r>
      <w:r>
        <w:rPr>
          <w:spacing w:val="-8"/>
        </w:rPr>
        <w:t xml:space="preserve"> </w:t>
      </w:r>
      <w:r>
        <w:t>or</w:t>
      </w:r>
      <w:r>
        <w:rPr>
          <w:spacing w:val="-8"/>
        </w:rPr>
        <w:t xml:space="preserve"> </w:t>
      </w:r>
      <w:r>
        <w:t>termination</w:t>
      </w:r>
      <w:r>
        <w:rPr>
          <w:spacing w:val="-8"/>
        </w:rPr>
        <w:t xml:space="preserve"> </w:t>
      </w:r>
      <w:r>
        <w:t>of</w:t>
      </w:r>
      <w:r>
        <w:rPr>
          <w:spacing w:val="-7"/>
        </w:rPr>
        <w:t xml:space="preserve"> </w:t>
      </w:r>
      <w:r>
        <w:t>any</w:t>
      </w:r>
      <w:r>
        <w:rPr>
          <w:spacing w:val="-8"/>
        </w:rPr>
        <w:t xml:space="preserve"> </w:t>
      </w:r>
      <w:r>
        <w:t>contracts</w:t>
      </w:r>
      <w:r>
        <w:rPr>
          <w:spacing w:val="-8"/>
        </w:rPr>
        <w:t xml:space="preserve"> </w:t>
      </w:r>
      <w:r>
        <w:t>or</w:t>
      </w:r>
      <w:r>
        <w:rPr>
          <w:spacing w:val="-8"/>
        </w:rPr>
        <w:t xml:space="preserve"> </w:t>
      </w:r>
      <w:r>
        <w:t>agreements</w:t>
      </w:r>
      <w:r>
        <w:rPr>
          <w:spacing w:val="-8"/>
        </w:rPr>
        <w:t xml:space="preserve"> </w:t>
      </w:r>
      <w:r>
        <w:t>between</w:t>
      </w:r>
      <w:r>
        <w:rPr>
          <w:spacing w:val="-8"/>
        </w:rPr>
        <w:t xml:space="preserve"> </w:t>
      </w:r>
      <w:r>
        <w:t>the</w:t>
      </w:r>
      <w:r>
        <w:rPr>
          <w:spacing w:val="-9"/>
        </w:rPr>
        <w:t xml:space="preserve"> </w:t>
      </w:r>
      <w:r>
        <w:t>Issuer,</w:t>
      </w:r>
      <w:r>
        <w:rPr>
          <w:spacing w:val="-9"/>
        </w:rPr>
        <w:t xml:space="preserve"> </w:t>
      </w:r>
      <w:r>
        <w:t>the Issuer’s affiliates or third parties or cancellation of any financing arrangements that have been previously</w:t>
      </w:r>
      <w:r>
        <w:rPr>
          <w:spacing w:val="-2"/>
        </w:rPr>
        <w:t xml:space="preserve"> </w:t>
      </w:r>
      <w:r>
        <w:t>announced</w:t>
      </w:r>
      <w:r>
        <w:rPr>
          <w:i w:val="0"/>
        </w:rPr>
        <w:t>.</w:t>
      </w:r>
    </w:p>
    <w:p w14:paraId="339ADCC6" w14:textId="1C1DF11B" w:rsidR="00717E54" w:rsidRDefault="00240120">
      <w:pPr>
        <w:pStyle w:val="BodyText"/>
        <w:spacing w:before="121"/>
      </w:pPr>
      <w:r>
        <w:t>This does not apply to the Issuer.</w:t>
      </w:r>
    </w:p>
    <w:p w14:paraId="43B74E88" w14:textId="77777777" w:rsidR="00FF08FF" w:rsidRDefault="00FF08FF">
      <w:pPr>
        <w:pStyle w:val="BodyText"/>
        <w:spacing w:before="121"/>
        <w:rPr>
          <w:u w:val="none"/>
        </w:rPr>
      </w:pPr>
    </w:p>
    <w:p w14:paraId="57146E79" w14:textId="77777777" w:rsidR="00717E54" w:rsidRDefault="00240120">
      <w:pPr>
        <w:pStyle w:val="Heading3"/>
        <w:numPr>
          <w:ilvl w:val="0"/>
          <w:numId w:val="2"/>
        </w:numPr>
        <w:tabs>
          <w:tab w:val="left" w:pos="821"/>
        </w:tabs>
        <w:spacing w:before="120"/>
        <w:ind w:right="398" w:hanging="720"/>
        <w:jc w:val="both"/>
      </w:pPr>
      <w:r>
        <w:t>Describe</w:t>
      </w:r>
      <w:r>
        <w:rPr>
          <w:spacing w:val="-13"/>
        </w:rPr>
        <w:t xml:space="preserve"> </w:t>
      </w:r>
      <w:r>
        <w:t>any</w:t>
      </w:r>
      <w:r>
        <w:rPr>
          <w:spacing w:val="-12"/>
        </w:rPr>
        <w:t xml:space="preserve"> </w:t>
      </w:r>
      <w:r>
        <w:t>acquisitions</w:t>
      </w:r>
      <w:r>
        <w:rPr>
          <w:spacing w:val="-11"/>
        </w:rPr>
        <w:t xml:space="preserve"> </w:t>
      </w:r>
      <w:r>
        <w:t>by</w:t>
      </w:r>
      <w:r>
        <w:rPr>
          <w:spacing w:val="-12"/>
        </w:rPr>
        <w:t xml:space="preserve"> </w:t>
      </w:r>
      <w:r>
        <w:t>the</w:t>
      </w:r>
      <w:r>
        <w:rPr>
          <w:spacing w:val="-11"/>
        </w:rPr>
        <w:t xml:space="preserve"> </w:t>
      </w:r>
      <w:r>
        <w:t>Issuer</w:t>
      </w:r>
      <w:r>
        <w:rPr>
          <w:spacing w:val="-12"/>
        </w:rPr>
        <w:t xml:space="preserve"> </w:t>
      </w:r>
      <w:r>
        <w:t>or</w:t>
      </w:r>
      <w:r>
        <w:rPr>
          <w:spacing w:val="-13"/>
        </w:rPr>
        <w:t xml:space="preserve"> </w:t>
      </w:r>
      <w:r>
        <w:t>dispositions</w:t>
      </w:r>
      <w:r>
        <w:rPr>
          <w:spacing w:val="-11"/>
        </w:rPr>
        <w:t xml:space="preserve"> </w:t>
      </w:r>
      <w:r>
        <w:t>of</w:t>
      </w:r>
      <w:r>
        <w:rPr>
          <w:spacing w:val="-13"/>
        </w:rPr>
        <w:t xml:space="preserve"> </w:t>
      </w:r>
      <w:r>
        <w:t>the</w:t>
      </w:r>
      <w:r>
        <w:rPr>
          <w:spacing w:val="-11"/>
        </w:rPr>
        <w:t xml:space="preserve"> </w:t>
      </w:r>
      <w:r>
        <w:t>Issuer’s</w:t>
      </w:r>
      <w:r>
        <w:rPr>
          <w:spacing w:val="-11"/>
        </w:rPr>
        <w:t xml:space="preserve"> </w:t>
      </w:r>
      <w:r>
        <w:t>assets</w:t>
      </w:r>
      <w:r>
        <w:rPr>
          <w:spacing w:val="-11"/>
        </w:rPr>
        <w:t xml:space="preserve"> </w:t>
      </w:r>
      <w:r>
        <w:t>that</w:t>
      </w:r>
      <w:r>
        <w:rPr>
          <w:spacing w:val="-13"/>
        </w:rPr>
        <w:t xml:space="preserve"> </w:t>
      </w:r>
      <w:r>
        <w:t>occurred during the preceding month. Provide details of the nature of the assets acquired or disposed of and provide details of the consideration paid or payable together with a schedule</w:t>
      </w:r>
      <w:r>
        <w:rPr>
          <w:spacing w:val="-10"/>
        </w:rPr>
        <w:t xml:space="preserve"> </w:t>
      </w:r>
      <w:r>
        <w:t>of</w:t>
      </w:r>
      <w:r>
        <w:rPr>
          <w:spacing w:val="-11"/>
        </w:rPr>
        <w:t xml:space="preserve"> </w:t>
      </w:r>
      <w:r>
        <w:t>payments</w:t>
      </w:r>
      <w:r>
        <w:rPr>
          <w:spacing w:val="-9"/>
        </w:rPr>
        <w:t xml:space="preserve"> </w:t>
      </w:r>
      <w:r>
        <w:t>if</w:t>
      </w:r>
      <w:r>
        <w:rPr>
          <w:spacing w:val="-8"/>
        </w:rPr>
        <w:t xml:space="preserve"> </w:t>
      </w:r>
      <w:r>
        <w:t>applicable,</w:t>
      </w:r>
      <w:r>
        <w:rPr>
          <w:spacing w:val="-9"/>
        </w:rPr>
        <w:t xml:space="preserve"> </w:t>
      </w:r>
      <w:r>
        <w:t>and</w:t>
      </w:r>
      <w:r>
        <w:rPr>
          <w:spacing w:val="-10"/>
        </w:rPr>
        <w:t xml:space="preserve"> </w:t>
      </w:r>
      <w:r>
        <w:t>of</w:t>
      </w:r>
      <w:r>
        <w:rPr>
          <w:spacing w:val="-9"/>
        </w:rPr>
        <w:t xml:space="preserve"> </w:t>
      </w:r>
      <w:r>
        <w:t>any</w:t>
      </w:r>
      <w:r>
        <w:rPr>
          <w:spacing w:val="-9"/>
        </w:rPr>
        <w:t xml:space="preserve"> </w:t>
      </w:r>
      <w:r>
        <w:t>valuation.</w:t>
      </w:r>
      <w:r>
        <w:rPr>
          <w:spacing w:val="-9"/>
        </w:rPr>
        <w:t xml:space="preserve"> </w:t>
      </w:r>
      <w:r>
        <w:t>State</w:t>
      </w:r>
      <w:r>
        <w:rPr>
          <w:spacing w:val="-9"/>
        </w:rPr>
        <w:t xml:space="preserve"> </w:t>
      </w:r>
      <w:r>
        <w:t>how</w:t>
      </w:r>
      <w:r>
        <w:rPr>
          <w:spacing w:val="-10"/>
        </w:rPr>
        <w:t xml:space="preserve"> </w:t>
      </w:r>
      <w:r>
        <w:t>the</w:t>
      </w:r>
      <w:r>
        <w:rPr>
          <w:spacing w:val="-9"/>
        </w:rPr>
        <w:t xml:space="preserve"> </w:t>
      </w:r>
      <w:r>
        <w:t>consideration</w:t>
      </w:r>
      <w:r>
        <w:rPr>
          <w:spacing w:val="-9"/>
        </w:rPr>
        <w:t xml:space="preserve"> </w:t>
      </w:r>
      <w:r>
        <w:t>was determined and whether the acquisition was from or the disposition was to a Related Person of the Issuer and provide details of the</w:t>
      </w:r>
      <w:r>
        <w:rPr>
          <w:spacing w:val="-6"/>
        </w:rPr>
        <w:t xml:space="preserve"> </w:t>
      </w:r>
      <w:r>
        <w:t>relationship.</w:t>
      </w:r>
    </w:p>
    <w:p w14:paraId="45DEE9EE" w14:textId="77777777" w:rsidR="00717E54" w:rsidRDefault="00717E54">
      <w:pPr>
        <w:pStyle w:val="BodyText"/>
        <w:ind w:left="0"/>
        <w:rPr>
          <w:i/>
          <w:u w:val="none"/>
        </w:rPr>
      </w:pPr>
    </w:p>
    <w:p w14:paraId="13C11E5D" w14:textId="6A4C9A4F" w:rsidR="00717E54" w:rsidRDefault="00240120">
      <w:pPr>
        <w:pStyle w:val="BodyText"/>
        <w:spacing w:before="1"/>
      </w:pPr>
      <w:r>
        <w:t>This does not apply to the Issuer.</w:t>
      </w:r>
    </w:p>
    <w:p w14:paraId="17C8BFEA" w14:textId="77777777" w:rsidR="00FF08FF" w:rsidRDefault="00FF08FF">
      <w:pPr>
        <w:pStyle w:val="BodyText"/>
        <w:spacing w:before="1"/>
        <w:rPr>
          <w:u w:val="none"/>
        </w:rPr>
      </w:pPr>
    </w:p>
    <w:p w14:paraId="72B69386" w14:textId="77777777" w:rsidR="00717E54" w:rsidRDefault="00717E54">
      <w:pPr>
        <w:pStyle w:val="BodyText"/>
        <w:spacing w:before="3"/>
        <w:ind w:left="0"/>
        <w:rPr>
          <w:sz w:val="22"/>
          <w:u w:val="none"/>
        </w:rPr>
      </w:pPr>
    </w:p>
    <w:p w14:paraId="61466F4B" w14:textId="77777777" w:rsidR="00717E54" w:rsidRDefault="00240120">
      <w:pPr>
        <w:pStyle w:val="Heading3"/>
        <w:numPr>
          <w:ilvl w:val="0"/>
          <w:numId w:val="2"/>
        </w:numPr>
        <w:tabs>
          <w:tab w:val="left" w:pos="820"/>
          <w:tab w:val="left" w:pos="821"/>
        </w:tabs>
        <w:spacing w:before="92"/>
        <w:ind w:hanging="720"/>
      </w:pPr>
      <w:r>
        <w:t>Describe the acquisition of new customers or loss of</w:t>
      </w:r>
      <w:r>
        <w:rPr>
          <w:spacing w:val="-3"/>
        </w:rPr>
        <w:t xml:space="preserve"> </w:t>
      </w:r>
      <w:r>
        <w:t>customers.</w:t>
      </w:r>
    </w:p>
    <w:p w14:paraId="66287493" w14:textId="77777777" w:rsidR="00717E54" w:rsidRDefault="00240120">
      <w:pPr>
        <w:pStyle w:val="BodyText"/>
        <w:spacing w:before="121"/>
        <w:rPr>
          <w:u w:val="none"/>
        </w:rPr>
      </w:pPr>
      <w:r>
        <w:lastRenderedPageBreak/>
        <w:t>This does not apply to the Issuer.</w:t>
      </w:r>
    </w:p>
    <w:p w14:paraId="390D0D8F" w14:textId="77777777" w:rsidR="00717E54" w:rsidRDefault="00717E54">
      <w:pPr>
        <w:pStyle w:val="BodyText"/>
        <w:spacing w:before="5"/>
        <w:ind w:left="0"/>
        <w:rPr>
          <w:sz w:val="22"/>
          <w:u w:val="none"/>
        </w:rPr>
      </w:pPr>
    </w:p>
    <w:p w14:paraId="44CDFED7" w14:textId="77777777" w:rsidR="00717E54" w:rsidRDefault="00240120">
      <w:pPr>
        <w:pStyle w:val="Heading3"/>
        <w:numPr>
          <w:ilvl w:val="0"/>
          <w:numId w:val="2"/>
        </w:numPr>
        <w:tabs>
          <w:tab w:val="left" w:pos="821"/>
        </w:tabs>
        <w:spacing w:before="92"/>
        <w:ind w:right="404" w:hanging="720"/>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2DB65A6B" w14:textId="77777777" w:rsidR="00717E54" w:rsidRDefault="00240120">
      <w:pPr>
        <w:pStyle w:val="BodyText"/>
        <w:spacing w:before="121"/>
        <w:rPr>
          <w:u w:val="none"/>
        </w:rPr>
      </w:pPr>
      <w:r>
        <w:t>This does not apply to the Issuer.</w:t>
      </w:r>
    </w:p>
    <w:p w14:paraId="47B78C51" w14:textId="77777777" w:rsidR="00717E54" w:rsidRDefault="00717E54">
      <w:pPr>
        <w:pStyle w:val="BodyText"/>
        <w:ind w:left="0"/>
        <w:rPr>
          <w:u w:val="none"/>
        </w:rPr>
      </w:pPr>
    </w:p>
    <w:p w14:paraId="678EEA45" w14:textId="77777777" w:rsidR="00717E54" w:rsidRDefault="00717E54">
      <w:pPr>
        <w:pStyle w:val="BodyText"/>
        <w:spacing w:before="8"/>
        <w:ind w:left="0"/>
        <w:rPr>
          <w:u w:val="none"/>
        </w:rPr>
      </w:pPr>
    </w:p>
    <w:p w14:paraId="70BE5A04" w14:textId="77777777" w:rsidR="00717E54" w:rsidRDefault="00240120">
      <w:pPr>
        <w:pStyle w:val="Heading3"/>
        <w:numPr>
          <w:ilvl w:val="0"/>
          <w:numId w:val="2"/>
        </w:numPr>
        <w:tabs>
          <w:tab w:val="left" w:pos="820"/>
          <w:tab w:val="left" w:pos="821"/>
        </w:tabs>
        <w:spacing w:before="1"/>
        <w:ind w:right="399" w:hanging="720"/>
      </w:pPr>
      <w:r>
        <w:t xml:space="preserve">Report on any employee </w:t>
      </w:r>
      <w:proofErr w:type="spellStart"/>
      <w:r>
        <w:t>hirings</w:t>
      </w:r>
      <w:proofErr w:type="spellEnd"/>
      <w:r>
        <w:t>, terminations or lay-offs with details of anticipated length of</w:t>
      </w:r>
      <w:r>
        <w:rPr>
          <w:spacing w:val="-1"/>
        </w:rPr>
        <w:t xml:space="preserve"> </w:t>
      </w:r>
      <w:r>
        <w:t>lay-offs.</w:t>
      </w:r>
    </w:p>
    <w:p w14:paraId="51903C72" w14:textId="77777777" w:rsidR="00717E54" w:rsidRDefault="00240120">
      <w:pPr>
        <w:pStyle w:val="BodyText"/>
        <w:spacing w:before="121"/>
        <w:rPr>
          <w:u w:val="none"/>
        </w:rPr>
      </w:pPr>
      <w:r>
        <w:t>This does not apply to the Issuer.</w:t>
      </w:r>
    </w:p>
    <w:p w14:paraId="256BB7F5" w14:textId="77777777" w:rsidR="00717E54" w:rsidRDefault="00717E54">
      <w:pPr>
        <w:pStyle w:val="BodyText"/>
        <w:ind w:left="0"/>
        <w:rPr>
          <w:u w:val="none"/>
        </w:rPr>
      </w:pPr>
    </w:p>
    <w:p w14:paraId="307D03FA" w14:textId="77777777" w:rsidR="00717E54" w:rsidRDefault="00717E54">
      <w:pPr>
        <w:pStyle w:val="BodyText"/>
        <w:spacing w:before="9"/>
        <w:ind w:left="0"/>
        <w:rPr>
          <w:u w:val="none"/>
        </w:rPr>
      </w:pPr>
    </w:p>
    <w:p w14:paraId="470E5CB8" w14:textId="77777777" w:rsidR="00717E54" w:rsidRDefault="00240120">
      <w:pPr>
        <w:pStyle w:val="Heading3"/>
        <w:numPr>
          <w:ilvl w:val="0"/>
          <w:numId w:val="2"/>
        </w:numPr>
        <w:tabs>
          <w:tab w:val="left" w:pos="820"/>
          <w:tab w:val="left" w:pos="821"/>
        </w:tabs>
        <w:ind w:hanging="720"/>
      </w:pPr>
      <w:r>
        <w:t xml:space="preserve">Report on any </w:t>
      </w:r>
      <w:proofErr w:type="spellStart"/>
      <w:r>
        <w:t>labour</w:t>
      </w:r>
      <w:proofErr w:type="spellEnd"/>
      <w:r>
        <w:t xml:space="preserve"> disputes and resolutions of those disputes if</w:t>
      </w:r>
      <w:r>
        <w:rPr>
          <w:spacing w:val="-12"/>
        </w:rPr>
        <w:t xml:space="preserve"> </w:t>
      </w:r>
      <w:r>
        <w:t>applicable.</w:t>
      </w:r>
    </w:p>
    <w:p w14:paraId="0D07E2F4" w14:textId="77777777" w:rsidR="00717E54" w:rsidRDefault="00240120">
      <w:pPr>
        <w:pStyle w:val="BodyText"/>
        <w:spacing w:before="121"/>
        <w:rPr>
          <w:u w:val="none"/>
        </w:rPr>
      </w:pPr>
      <w:r>
        <w:t>This does not apply to the Issuer.</w:t>
      </w:r>
    </w:p>
    <w:p w14:paraId="029A5188" w14:textId="77777777" w:rsidR="00717E54" w:rsidRDefault="00717E54">
      <w:pPr>
        <w:pStyle w:val="BodyText"/>
        <w:ind w:left="0"/>
        <w:rPr>
          <w:u w:val="none"/>
        </w:rPr>
      </w:pPr>
    </w:p>
    <w:p w14:paraId="75368C4B" w14:textId="77777777" w:rsidR="00717E54" w:rsidRDefault="00717E54">
      <w:pPr>
        <w:pStyle w:val="BodyText"/>
        <w:spacing w:before="9"/>
        <w:ind w:left="0"/>
        <w:rPr>
          <w:u w:val="none"/>
        </w:rPr>
      </w:pPr>
    </w:p>
    <w:p w14:paraId="48B11ACD" w14:textId="77777777" w:rsidR="00717E54" w:rsidRDefault="00240120">
      <w:pPr>
        <w:pStyle w:val="Heading3"/>
        <w:numPr>
          <w:ilvl w:val="0"/>
          <w:numId w:val="2"/>
        </w:numPr>
        <w:tabs>
          <w:tab w:val="left" w:pos="821"/>
        </w:tabs>
        <w:ind w:right="399" w:hanging="720"/>
        <w:jc w:val="both"/>
      </w:pPr>
      <w: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w:t>
      </w:r>
      <w:r>
        <w:rPr>
          <w:spacing w:val="-7"/>
        </w:rPr>
        <w:t xml:space="preserve"> </w:t>
      </w:r>
      <w:r>
        <w:t>proceedings.</w:t>
      </w:r>
    </w:p>
    <w:p w14:paraId="4D5DF720" w14:textId="77777777" w:rsidR="00717E54" w:rsidRDefault="00240120">
      <w:pPr>
        <w:pStyle w:val="BodyText"/>
        <w:spacing w:before="120"/>
        <w:rPr>
          <w:u w:val="none"/>
        </w:rPr>
      </w:pPr>
      <w:r>
        <w:t>This does not apply to the Issuer.</w:t>
      </w:r>
    </w:p>
    <w:p w14:paraId="28DE597F" w14:textId="77777777" w:rsidR="00717E54" w:rsidRDefault="00717E54">
      <w:pPr>
        <w:pStyle w:val="BodyText"/>
        <w:ind w:left="0"/>
        <w:rPr>
          <w:u w:val="none"/>
        </w:rPr>
      </w:pPr>
    </w:p>
    <w:p w14:paraId="751C32ED" w14:textId="77777777" w:rsidR="00717E54" w:rsidRDefault="00717E54">
      <w:pPr>
        <w:pStyle w:val="BodyText"/>
        <w:spacing w:before="10"/>
        <w:ind w:left="0"/>
        <w:rPr>
          <w:u w:val="none"/>
        </w:rPr>
      </w:pPr>
    </w:p>
    <w:p w14:paraId="55DAAD7A" w14:textId="77777777" w:rsidR="00717E54" w:rsidRDefault="00240120">
      <w:pPr>
        <w:pStyle w:val="Heading3"/>
        <w:numPr>
          <w:ilvl w:val="0"/>
          <w:numId w:val="2"/>
        </w:numPr>
        <w:tabs>
          <w:tab w:val="left" w:pos="820"/>
          <w:tab w:val="left" w:pos="821"/>
        </w:tabs>
        <w:spacing w:before="1"/>
        <w:ind w:right="404" w:hanging="720"/>
      </w:pPr>
      <w:r>
        <w:t>Provide details of any indebtedness incurred or repaid by the Issuer together with the terms of such</w:t>
      </w:r>
      <w:r>
        <w:rPr>
          <w:spacing w:val="-3"/>
        </w:rPr>
        <w:t xml:space="preserve"> </w:t>
      </w:r>
      <w:r>
        <w:t>indebtedness.</w:t>
      </w:r>
    </w:p>
    <w:p w14:paraId="413DF311" w14:textId="77777777" w:rsidR="00717E54" w:rsidRDefault="00240120">
      <w:pPr>
        <w:pStyle w:val="BodyText"/>
        <w:spacing w:before="120"/>
        <w:rPr>
          <w:u w:val="none"/>
        </w:rPr>
      </w:pPr>
      <w:r>
        <w:t>This does not apply to the Issuer.</w:t>
      </w:r>
    </w:p>
    <w:p w14:paraId="00A2B38A" w14:textId="77777777" w:rsidR="00717E54" w:rsidRDefault="00240120">
      <w:pPr>
        <w:pStyle w:val="Heading3"/>
        <w:numPr>
          <w:ilvl w:val="0"/>
          <w:numId w:val="2"/>
        </w:numPr>
        <w:tabs>
          <w:tab w:val="left" w:pos="820"/>
          <w:tab w:val="left" w:pos="821"/>
        </w:tabs>
        <w:spacing w:before="119"/>
        <w:ind w:hanging="720"/>
      </w:pPr>
      <w:r>
        <w:t>Provide details of any securities issued and options or warrants</w:t>
      </w:r>
      <w:r>
        <w:rPr>
          <w:spacing w:val="-8"/>
        </w:rPr>
        <w:t xml:space="preserve"> </w:t>
      </w:r>
      <w:r>
        <w:t>granted.</w:t>
      </w:r>
    </w:p>
    <w:p w14:paraId="7CCE58DF" w14:textId="77777777" w:rsidR="00717E54" w:rsidRDefault="00717E54">
      <w:pPr>
        <w:pStyle w:val="BodyText"/>
        <w:ind w:left="0"/>
        <w:rPr>
          <w:i/>
          <w:u w:val="none"/>
        </w:rPr>
      </w:pPr>
    </w:p>
    <w:p w14:paraId="13345582" w14:textId="77777777" w:rsidR="00717E54" w:rsidRDefault="00717E54">
      <w:pPr>
        <w:pStyle w:val="BodyText"/>
        <w:spacing w:before="5" w:after="1"/>
        <w:ind w:left="0"/>
        <w:rPr>
          <w:i/>
          <w:sz w:val="12"/>
          <w:u w:val="non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890"/>
        <w:gridCol w:w="3060"/>
        <w:gridCol w:w="2291"/>
      </w:tblGrid>
      <w:tr w:rsidR="00FF08FF" w14:paraId="7E1717F7" w14:textId="77777777" w:rsidTr="00BA4696">
        <w:tc>
          <w:tcPr>
            <w:tcW w:w="2335" w:type="dxa"/>
          </w:tcPr>
          <w:p w14:paraId="0005E39C" w14:textId="77777777" w:rsidR="00FF08FF" w:rsidRDefault="00FF08FF" w:rsidP="00BA4696">
            <w:pPr>
              <w:pStyle w:val="List"/>
              <w:tabs>
                <w:tab w:val="left" w:pos="360"/>
              </w:tabs>
              <w:spacing w:before="0" w:line="280" w:lineRule="exact"/>
              <w:ind w:left="0" w:firstLine="0"/>
              <w:jc w:val="center"/>
              <w:rPr>
                <w:rFonts w:ascii="Arial" w:hAnsi="Arial"/>
                <w:b/>
              </w:rPr>
            </w:pPr>
            <w:r>
              <w:rPr>
                <w:rFonts w:ascii="Arial" w:hAnsi="Arial"/>
                <w:b/>
              </w:rPr>
              <w:t>Security</w:t>
            </w:r>
          </w:p>
        </w:tc>
        <w:tc>
          <w:tcPr>
            <w:tcW w:w="1890" w:type="dxa"/>
          </w:tcPr>
          <w:p w14:paraId="7CF989DF" w14:textId="77777777" w:rsidR="00FF08FF" w:rsidRDefault="00FF08FF" w:rsidP="00BA4696">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3060" w:type="dxa"/>
          </w:tcPr>
          <w:p w14:paraId="0C2B24AE" w14:textId="77777777" w:rsidR="00FF08FF" w:rsidRDefault="00FF08FF" w:rsidP="00BA4696">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291" w:type="dxa"/>
          </w:tcPr>
          <w:p w14:paraId="6E2AE16D" w14:textId="77777777" w:rsidR="00FF08FF" w:rsidRDefault="00FF08FF" w:rsidP="00BA4696">
            <w:pPr>
              <w:pStyle w:val="List"/>
              <w:tabs>
                <w:tab w:val="left" w:pos="360"/>
              </w:tabs>
              <w:spacing w:before="0" w:line="280" w:lineRule="exact"/>
              <w:ind w:left="0" w:firstLine="0"/>
              <w:jc w:val="center"/>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FF08FF" w14:paraId="65B94189" w14:textId="77777777" w:rsidTr="00BA4696">
        <w:tc>
          <w:tcPr>
            <w:tcW w:w="2335" w:type="dxa"/>
          </w:tcPr>
          <w:p w14:paraId="56FF6B38" w14:textId="77777777" w:rsidR="00FF08FF"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Stock Options</w:t>
            </w:r>
          </w:p>
        </w:tc>
        <w:tc>
          <w:tcPr>
            <w:tcW w:w="1890" w:type="dxa"/>
          </w:tcPr>
          <w:p w14:paraId="1FC1335D" w14:textId="77777777" w:rsidR="00FF08FF"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None</w:t>
            </w:r>
          </w:p>
        </w:tc>
        <w:tc>
          <w:tcPr>
            <w:tcW w:w="3060" w:type="dxa"/>
          </w:tcPr>
          <w:p w14:paraId="51DC3F77" w14:textId="77777777" w:rsidR="00FF08FF" w:rsidRPr="0098441B" w:rsidRDefault="00FF08FF" w:rsidP="00BA4696">
            <w:pPr>
              <w:pStyle w:val="List"/>
              <w:tabs>
                <w:tab w:val="left" w:pos="360"/>
              </w:tabs>
              <w:spacing w:before="0" w:line="280" w:lineRule="exact"/>
              <w:ind w:left="0" w:firstLine="0"/>
              <w:rPr>
                <w:rFonts w:ascii="Arial" w:hAnsi="Arial" w:cs="Arial"/>
                <w:sz w:val="20"/>
              </w:rPr>
            </w:pPr>
            <w:r>
              <w:rPr>
                <w:rFonts w:ascii="Arial" w:hAnsi="Arial"/>
                <w:sz w:val="20"/>
              </w:rPr>
              <w:t>N/A</w:t>
            </w:r>
          </w:p>
        </w:tc>
        <w:tc>
          <w:tcPr>
            <w:tcW w:w="2291" w:type="dxa"/>
          </w:tcPr>
          <w:p w14:paraId="097B996B" w14:textId="77777777" w:rsidR="00FF08FF" w:rsidRDefault="00FF08FF" w:rsidP="00BA4696">
            <w:pPr>
              <w:pStyle w:val="List"/>
              <w:tabs>
                <w:tab w:val="left" w:pos="360"/>
              </w:tabs>
              <w:spacing w:before="0" w:line="280" w:lineRule="exact"/>
              <w:ind w:left="0" w:firstLine="0"/>
              <w:jc w:val="both"/>
              <w:rPr>
                <w:rFonts w:ascii="Arial" w:hAnsi="Arial"/>
                <w:sz w:val="20"/>
              </w:rPr>
            </w:pPr>
            <w:r>
              <w:rPr>
                <w:rFonts w:ascii="Arial" w:hAnsi="Arial"/>
                <w:sz w:val="20"/>
              </w:rPr>
              <w:t>N/A</w:t>
            </w:r>
          </w:p>
        </w:tc>
      </w:tr>
      <w:tr w:rsidR="00FF08FF" w14:paraId="58DE7B24" w14:textId="77777777" w:rsidTr="00BA4696">
        <w:tc>
          <w:tcPr>
            <w:tcW w:w="2335" w:type="dxa"/>
          </w:tcPr>
          <w:p w14:paraId="0F14104C" w14:textId="77777777" w:rsidR="00FF08FF"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Common Shares</w:t>
            </w:r>
          </w:p>
        </w:tc>
        <w:tc>
          <w:tcPr>
            <w:tcW w:w="1890" w:type="dxa"/>
          </w:tcPr>
          <w:p w14:paraId="0FC1D9D3" w14:textId="77777777" w:rsidR="00FF08FF"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None</w:t>
            </w:r>
          </w:p>
        </w:tc>
        <w:tc>
          <w:tcPr>
            <w:tcW w:w="3060" w:type="dxa"/>
          </w:tcPr>
          <w:p w14:paraId="1ACE3F8F" w14:textId="77777777" w:rsidR="00FF08FF" w:rsidRDefault="00FF08FF" w:rsidP="00BA4696">
            <w:pPr>
              <w:pStyle w:val="List"/>
              <w:tabs>
                <w:tab w:val="left" w:pos="360"/>
              </w:tabs>
              <w:spacing w:before="0" w:line="280" w:lineRule="exact"/>
              <w:ind w:left="0" w:firstLine="0"/>
              <w:jc w:val="both"/>
              <w:rPr>
                <w:rFonts w:ascii="Arial" w:hAnsi="Arial"/>
                <w:sz w:val="20"/>
              </w:rPr>
            </w:pPr>
            <w:r>
              <w:rPr>
                <w:rFonts w:ascii="Arial" w:hAnsi="Arial"/>
                <w:sz w:val="20"/>
              </w:rPr>
              <w:t>N/A</w:t>
            </w:r>
          </w:p>
        </w:tc>
        <w:tc>
          <w:tcPr>
            <w:tcW w:w="2291" w:type="dxa"/>
          </w:tcPr>
          <w:p w14:paraId="7569047F" w14:textId="77777777" w:rsidR="00FF08FF" w:rsidRDefault="00FF08FF" w:rsidP="00BA4696">
            <w:pPr>
              <w:pStyle w:val="List"/>
              <w:tabs>
                <w:tab w:val="left" w:pos="360"/>
              </w:tabs>
              <w:spacing w:before="0" w:line="280" w:lineRule="exact"/>
              <w:ind w:left="0" w:firstLine="0"/>
              <w:jc w:val="both"/>
              <w:rPr>
                <w:rFonts w:ascii="Arial" w:hAnsi="Arial"/>
                <w:sz w:val="20"/>
              </w:rPr>
            </w:pPr>
            <w:r>
              <w:rPr>
                <w:rFonts w:ascii="Arial" w:hAnsi="Arial"/>
                <w:sz w:val="20"/>
              </w:rPr>
              <w:t>N/A</w:t>
            </w:r>
          </w:p>
        </w:tc>
      </w:tr>
      <w:tr w:rsidR="00FF08FF" w14:paraId="304DDC0E" w14:textId="77777777" w:rsidTr="00BA4696">
        <w:tc>
          <w:tcPr>
            <w:tcW w:w="2335" w:type="dxa"/>
          </w:tcPr>
          <w:p w14:paraId="11278712" w14:textId="77777777" w:rsidR="00FF08FF"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Warrants</w:t>
            </w:r>
          </w:p>
        </w:tc>
        <w:tc>
          <w:tcPr>
            <w:tcW w:w="1890" w:type="dxa"/>
          </w:tcPr>
          <w:p w14:paraId="34757B22" w14:textId="77777777" w:rsidR="00FF08FF" w:rsidRPr="000D663D" w:rsidRDefault="00FF08FF" w:rsidP="00BA4696">
            <w:pPr>
              <w:pStyle w:val="List"/>
              <w:tabs>
                <w:tab w:val="left" w:pos="360"/>
              </w:tabs>
              <w:spacing w:before="0" w:line="280" w:lineRule="exact"/>
              <w:ind w:left="0" w:firstLine="0"/>
              <w:jc w:val="center"/>
              <w:rPr>
                <w:rFonts w:ascii="Arial" w:hAnsi="Arial"/>
                <w:sz w:val="20"/>
              </w:rPr>
            </w:pPr>
            <w:r>
              <w:rPr>
                <w:rFonts w:ascii="Arial" w:hAnsi="Arial"/>
                <w:sz w:val="20"/>
              </w:rPr>
              <w:t>None</w:t>
            </w:r>
          </w:p>
        </w:tc>
        <w:tc>
          <w:tcPr>
            <w:tcW w:w="3060" w:type="dxa"/>
          </w:tcPr>
          <w:p w14:paraId="1A0186AB" w14:textId="77777777" w:rsidR="00FF08FF" w:rsidRDefault="00FF08FF" w:rsidP="00BA4696">
            <w:pPr>
              <w:pStyle w:val="List"/>
              <w:tabs>
                <w:tab w:val="left" w:pos="360"/>
              </w:tabs>
              <w:spacing w:before="0" w:line="280" w:lineRule="exact"/>
              <w:ind w:left="0" w:firstLine="0"/>
              <w:jc w:val="both"/>
              <w:rPr>
                <w:rFonts w:ascii="Arial" w:hAnsi="Arial"/>
                <w:sz w:val="20"/>
              </w:rPr>
            </w:pPr>
            <w:r>
              <w:rPr>
                <w:rFonts w:ascii="Arial" w:hAnsi="Arial"/>
                <w:sz w:val="20"/>
              </w:rPr>
              <w:t>N/A</w:t>
            </w:r>
          </w:p>
        </w:tc>
        <w:tc>
          <w:tcPr>
            <w:tcW w:w="2291" w:type="dxa"/>
          </w:tcPr>
          <w:p w14:paraId="47981441" w14:textId="77777777" w:rsidR="00FF08FF" w:rsidRDefault="00FF08FF" w:rsidP="00BA4696">
            <w:pPr>
              <w:pStyle w:val="List"/>
              <w:tabs>
                <w:tab w:val="left" w:pos="360"/>
              </w:tabs>
              <w:spacing w:before="0" w:line="280" w:lineRule="exact"/>
              <w:ind w:left="0" w:firstLine="0"/>
              <w:rPr>
                <w:rFonts w:ascii="Arial" w:hAnsi="Arial"/>
                <w:sz w:val="20"/>
              </w:rPr>
            </w:pPr>
            <w:r>
              <w:rPr>
                <w:rFonts w:ascii="Arial" w:hAnsi="Arial"/>
                <w:sz w:val="20"/>
              </w:rPr>
              <w:t>N/A</w:t>
            </w:r>
          </w:p>
        </w:tc>
      </w:tr>
    </w:tbl>
    <w:p w14:paraId="19B7E869" w14:textId="77777777" w:rsidR="00FF08FF" w:rsidRDefault="00FF08FF" w:rsidP="00FF08FF">
      <w:pPr>
        <w:pStyle w:val="ListParagraph"/>
        <w:tabs>
          <w:tab w:val="left" w:pos="820"/>
          <w:tab w:val="left" w:pos="821"/>
        </w:tabs>
        <w:spacing w:before="109"/>
        <w:ind w:firstLine="0"/>
        <w:rPr>
          <w:i/>
        </w:rPr>
      </w:pPr>
    </w:p>
    <w:p w14:paraId="3A9866A5" w14:textId="3F5BD6A4" w:rsidR="00717E54" w:rsidRPr="00FF08FF" w:rsidRDefault="00240120" w:rsidP="00FF08FF">
      <w:pPr>
        <w:pStyle w:val="ListParagraph"/>
        <w:numPr>
          <w:ilvl w:val="0"/>
          <w:numId w:val="2"/>
        </w:numPr>
        <w:tabs>
          <w:tab w:val="left" w:pos="820"/>
          <w:tab w:val="left" w:pos="821"/>
        </w:tabs>
        <w:spacing w:before="109"/>
        <w:ind w:hanging="720"/>
        <w:rPr>
          <w:i/>
        </w:rPr>
      </w:pPr>
      <w:r w:rsidRPr="00FF08FF">
        <w:rPr>
          <w:i/>
        </w:rPr>
        <w:t>Provide details of any loans to or by Related</w:t>
      </w:r>
      <w:r w:rsidRPr="00FF08FF">
        <w:rPr>
          <w:i/>
          <w:spacing w:val="-7"/>
        </w:rPr>
        <w:t xml:space="preserve"> </w:t>
      </w:r>
      <w:r w:rsidRPr="00FF08FF">
        <w:rPr>
          <w:i/>
        </w:rPr>
        <w:t>Persons.</w:t>
      </w:r>
    </w:p>
    <w:p w14:paraId="03A6A6F4" w14:textId="77777777" w:rsidR="00717E54" w:rsidRDefault="00240120">
      <w:pPr>
        <w:pStyle w:val="BodyText"/>
        <w:spacing w:before="121"/>
        <w:rPr>
          <w:u w:val="none"/>
        </w:rPr>
      </w:pPr>
      <w:r>
        <w:t>This does not apply to the Issuer.</w:t>
      </w:r>
    </w:p>
    <w:p w14:paraId="2B5F9E68" w14:textId="77777777" w:rsidR="00717E54" w:rsidRDefault="00717E54">
      <w:pPr>
        <w:pStyle w:val="BodyText"/>
        <w:spacing w:before="4"/>
        <w:ind w:left="0"/>
        <w:rPr>
          <w:sz w:val="24"/>
          <w:u w:val="none"/>
        </w:rPr>
      </w:pPr>
    </w:p>
    <w:p w14:paraId="0E4CC55D" w14:textId="77777777" w:rsidR="00717E54" w:rsidRDefault="00240120">
      <w:pPr>
        <w:pStyle w:val="Heading3"/>
        <w:numPr>
          <w:ilvl w:val="0"/>
          <w:numId w:val="2"/>
        </w:numPr>
        <w:tabs>
          <w:tab w:val="left" w:pos="820"/>
          <w:tab w:val="left" w:pos="821"/>
        </w:tabs>
        <w:spacing w:before="93"/>
        <w:ind w:hanging="720"/>
      </w:pPr>
      <w:r>
        <w:t>Provide details of any changes in directors, officers or committee</w:t>
      </w:r>
      <w:r>
        <w:rPr>
          <w:spacing w:val="-5"/>
        </w:rPr>
        <w:t xml:space="preserve"> </w:t>
      </w:r>
      <w:r>
        <w:t>members.</w:t>
      </w:r>
    </w:p>
    <w:p w14:paraId="323C4280" w14:textId="77777777" w:rsidR="00717E54" w:rsidRDefault="00717E54">
      <w:pPr>
        <w:pStyle w:val="BodyText"/>
        <w:ind w:left="0"/>
        <w:rPr>
          <w:i/>
          <w:sz w:val="22"/>
          <w:u w:val="none"/>
        </w:rPr>
      </w:pPr>
    </w:p>
    <w:p w14:paraId="59E93341" w14:textId="26CD16EB" w:rsidR="00717E54" w:rsidRDefault="00FF08FF" w:rsidP="00FF08FF">
      <w:pPr>
        <w:pStyle w:val="BodyText"/>
        <w:spacing w:before="5"/>
        <w:ind w:left="720"/>
      </w:pPr>
      <w:r w:rsidRPr="00FF08FF">
        <w:t>As of April 26, 2019, the Company has appointed Mr. Eddy Yu as the company’s Chief Financial Officer, and Mr. Jeff Dare as Corporate Secretary,</w:t>
      </w:r>
    </w:p>
    <w:p w14:paraId="24F50C24" w14:textId="67DF8197" w:rsidR="00FF08FF" w:rsidRDefault="00FF08FF">
      <w:pPr>
        <w:pStyle w:val="BodyText"/>
        <w:spacing w:before="5"/>
        <w:ind w:left="0"/>
      </w:pPr>
    </w:p>
    <w:p w14:paraId="047B66C2" w14:textId="0D21DF58" w:rsidR="00FF08FF" w:rsidRDefault="00FF08FF">
      <w:pPr>
        <w:pStyle w:val="BodyText"/>
        <w:spacing w:before="5"/>
        <w:ind w:left="0"/>
      </w:pPr>
    </w:p>
    <w:p w14:paraId="6781F5A7" w14:textId="77777777" w:rsidR="00FF08FF" w:rsidRDefault="00FF08FF">
      <w:pPr>
        <w:pStyle w:val="BodyText"/>
        <w:spacing w:before="5"/>
        <w:ind w:left="0"/>
        <w:rPr>
          <w:u w:val="none"/>
        </w:rPr>
      </w:pPr>
    </w:p>
    <w:p w14:paraId="62603022" w14:textId="77777777" w:rsidR="00717E54" w:rsidRDefault="00240120">
      <w:pPr>
        <w:pStyle w:val="Heading3"/>
        <w:numPr>
          <w:ilvl w:val="0"/>
          <w:numId w:val="2"/>
        </w:numPr>
        <w:tabs>
          <w:tab w:val="left" w:pos="820"/>
          <w:tab w:val="left" w:pos="821"/>
        </w:tabs>
        <w:ind w:right="404" w:hanging="720"/>
      </w:pPr>
      <w:r>
        <w:t>Discuss any trends which are likely to impact the Issuer including trends in the Issuer’s market(s) or political/regulatory</w:t>
      </w:r>
      <w:r>
        <w:rPr>
          <w:spacing w:val="-2"/>
        </w:rPr>
        <w:t xml:space="preserve"> </w:t>
      </w:r>
      <w:r>
        <w:t>trends.</w:t>
      </w:r>
    </w:p>
    <w:p w14:paraId="1F237B4B" w14:textId="7FB9FAD4" w:rsidR="00717E54" w:rsidRDefault="00240120">
      <w:pPr>
        <w:pStyle w:val="BodyText"/>
        <w:spacing w:before="121"/>
        <w:rPr>
          <w:u w:val="none"/>
        </w:rPr>
      </w:pPr>
      <w:r>
        <w:lastRenderedPageBreak/>
        <w:t>This does not apply to the Issuer.</w:t>
      </w:r>
      <w:r w:rsidR="00FF08FF">
        <w:br/>
      </w:r>
    </w:p>
    <w:p w14:paraId="6DCE63B7" w14:textId="77777777" w:rsidR="00717E54" w:rsidRDefault="00240120">
      <w:pPr>
        <w:pStyle w:val="Heading1"/>
        <w:spacing w:before="69"/>
      </w:pPr>
      <w:r>
        <w:t>Certificate of Compliance</w:t>
      </w:r>
    </w:p>
    <w:p w14:paraId="21D4627C" w14:textId="77777777" w:rsidR="00717E54" w:rsidRDefault="00717E54">
      <w:pPr>
        <w:pStyle w:val="BodyText"/>
        <w:spacing w:before="10"/>
        <w:ind w:left="0"/>
        <w:rPr>
          <w:b/>
          <w:u w:val="none"/>
        </w:rPr>
      </w:pPr>
    </w:p>
    <w:p w14:paraId="6BD30463" w14:textId="77777777" w:rsidR="00717E54" w:rsidRDefault="00240120">
      <w:pPr>
        <w:pStyle w:val="Heading2"/>
      </w:pPr>
      <w:r>
        <w:t>The undersigned hereby certifies that:</w:t>
      </w:r>
    </w:p>
    <w:p w14:paraId="195C45E6" w14:textId="77777777" w:rsidR="00717E54" w:rsidRDefault="00717E54">
      <w:pPr>
        <w:pStyle w:val="BodyText"/>
        <w:spacing w:before="10"/>
        <w:ind w:left="0"/>
        <w:rPr>
          <w:u w:val="none"/>
        </w:rPr>
      </w:pPr>
    </w:p>
    <w:p w14:paraId="03F24CD1" w14:textId="77777777" w:rsidR="00717E54" w:rsidRDefault="00240120">
      <w:pPr>
        <w:pStyle w:val="ListParagraph"/>
        <w:numPr>
          <w:ilvl w:val="0"/>
          <w:numId w:val="1"/>
        </w:numPr>
        <w:tabs>
          <w:tab w:val="left" w:pos="821"/>
        </w:tabs>
        <w:ind w:right="403" w:hanging="720"/>
        <w:jc w:val="both"/>
      </w:pPr>
      <w:r>
        <w:t>The undersigned is a director and/or senior officer of the Issuer and has been duly authorized by a resolution of the board of directors of the Issuer to sign this Certificate of Compliance.</w:t>
      </w:r>
    </w:p>
    <w:p w14:paraId="0179B39D" w14:textId="77777777" w:rsidR="00717E54" w:rsidRDefault="00717E54">
      <w:pPr>
        <w:pStyle w:val="BodyText"/>
        <w:ind w:left="0"/>
        <w:rPr>
          <w:sz w:val="21"/>
          <w:u w:val="none"/>
        </w:rPr>
      </w:pPr>
    </w:p>
    <w:p w14:paraId="34EC3EAA" w14:textId="77777777" w:rsidR="00717E54" w:rsidRDefault="00240120">
      <w:pPr>
        <w:pStyle w:val="ListParagraph"/>
        <w:numPr>
          <w:ilvl w:val="0"/>
          <w:numId w:val="1"/>
        </w:numPr>
        <w:tabs>
          <w:tab w:val="left" w:pos="821"/>
        </w:tabs>
        <w:ind w:right="406" w:hanging="720"/>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662CD52D" w14:textId="77777777" w:rsidR="00717E54" w:rsidRDefault="00717E54">
      <w:pPr>
        <w:pStyle w:val="BodyText"/>
        <w:spacing w:before="9"/>
        <w:ind w:left="0"/>
        <w:rPr>
          <w:u w:val="none"/>
        </w:rPr>
      </w:pPr>
    </w:p>
    <w:p w14:paraId="60FB0762" w14:textId="77777777" w:rsidR="00717E54" w:rsidRDefault="00240120">
      <w:pPr>
        <w:pStyle w:val="ListParagraph"/>
        <w:numPr>
          <w:ilvl w:val="0"/>
          <w:numId w:val="1"/>
        </w:numPr>
        <w:tabs>
          <w:tab w:val="left" w:pos="821"/>
        </w:tabs>
        <w:ind w:right="403" w:hanging="720"/>
        <w:jc w:val="both"/>
      </w:pPr>
      <w:r>
        <w:t xml:space="preserve">The undersigned hereby certifies to CNSX that the Issuer </w:t>
      </w:r>
      <w:proofErr w:type="gramStart"/>
      <w:r>
        <w:t>is in compliance with</w:t>
      </w:r>
      <w:proofErr w:type="gramEnd"/>
      <w:r>
        <w:t xml:space="preserve"> the requirements of applicable securities legislation (as such term is defined in National Instrument 14-101) and all CNSX Requirements (as defined in CNSX Policy</w:t>
      </w:r>
      <w:r>
        <w:rPr>
          <w:spacing w:val="-9"/>
        </w:rPr>
        <w:t xml:space="preserve"> </w:t>
      </w:r>
      <w:r>
        <w:t>1).</w:t>
      </w:r>
    </w:p>
    <w:p w14:paraId="19572FA4" w14:textId="77777777" w:rsidR="00717E54" w:rsidRDefault="00717E54">
      <w:pPr>
        <w:pStyle w:val="BodyText"/>
        <w:spacing w:before="11"/>
        <w:ind w:left="0"/>
        <w:rPr>
          <w:u w:val="none"/>
        </w:rPr>
      </w:pPr>
    </w:p>
    <w:p w14:paraId="40CB75C7" w14:textId="77777777" w:rsidR="00717E54" w:rsidRDefault="00240120">
      <w:pPr>
        <w:pStyle w:val="ListParagraph"/>
        <w:numPr>
          <w:ilvl w:val="0"/>
          <w:numId w:val="1"/>
        </w:numPr>
        <w:tabs>
          <w:tab w:val="left" w:pos="820"/>
          <w:tab w:val="left" w:pos="821"/>
        </w:tabs>
        <w:ind w:hanging="720"/>
      </w:pPr>
      <w:proofErr w:type="gramStart"/>
      <w:r>
        <w:t>All of</w:t>
      </w:r>
      <w:proofErr w:type="gramEnd"/>
      <w:r>
        <w:t xml:space="preserve"> the information in this Form 7 Monthly Progress Report is</w:t>
      </w:r>
      <w:r>
        <w:rPr>
          <w:spacing w:val="-6"/>
        </w:rPr>
        <w:t xml:space="preserve"> </w:t>
      </w:r>
      <w:r>
        <w:t>true.</w:t>
      </w:r>
    </w:p>
    <w:p w14:paraId="58722CE8" w14:textId="77777777" w:rsidR="00717E54" w:rsidRDefault="00717E54">
      <w:pPr>
        <w:pStyle w:val="BodyText"/>
        <w:spacing w:before="9"/>
        <w:ind w:left="0"/>
        <w:rPr>
          <w:u w:val="none"/>
        </w:rPr>
      </w:pPr>
    </w:p>
    <w:p w14:paraId="2F31A36A" w14:textId="663591EB" w:rsidR="00717E54" w:rsidRDefault="00240120">
      <w:pPr>
        <w:ind w:left="100"/>
      </w:pPr>
      <w:r>
        <w:t xml:space="preserve">Dated </w:t>
      </w:r>
      <w:r w:rsidR="00247CEA">
        <w:t xml:space="preserve">June </w:t>
      </w:r>
      <w:r w:rsidR="00C93739">
        <w:t>10</w:t>
      </w:r>
      <w:r>
        <w:t>, 2019</w:t>
      </w:r>
    </w:p>
    <w:p w14:paraId="1E56D8E6" w14:textId="77777777" w:rsidR="00717E54" w:rsidRDefault="00717E54">
      <w:pPr>
        <w:pStyle w:val="BodyText"/>
        <w:spacing w:before="10"/>
        <w:ind w:left="0"/>
        <w:rPr>
          <w:u w:val="none"/>
        </w:rPr>
      </w:pPr>
    </w:p>
    <w:p w14:paraId="04CBBCA9" w14:textId="77777777" w:rsidR="00717E54" w:rsidRDefault="00247CEA">
      <w:pPr>
        <w:tabs>
          <w:tab w:val="left" w:pos="9280"/>
        </w:tabs>
        <w:ind w:left="5860"/>
        <w:rPr>
          <w:b/>
        </w:rPr>
      </w:pPr>
      <w:r>
        <w:rPr>
          <w:b/>
          <w:u w:val="thick"/>
        </w:rPr>
        <w:t>Jeff Dare</w:t>
      </w:r>
      <w:r w:rsidR="00240120">
        <w:rPr>
          <w:b/>
          <w:u w:val="thick"/>
        </w:rPr>
        <w:tab/>
      </w:r>
    </w:p>
    <w:p w14:paraId="17114F5A" w14:textId="77777777" w:rsidR="00717E54" w:rsidRDefault="00240120">
      <w:pPr>
        <w:ind w:left="5860"/>
      </w:pPr>
      <w:r>
        <w:t>Name of Director or Senior Officer</w:t>
      </w:r>
    </w:p>
    <w:p w14:paraId="0E1DECC4" w14:textId="77777777" w:rsidR="00717E54" w:rsidRDefault="00717E54">
      <w:pPr>
        <w:pStyle w:val="BodyText"/>
        <w:spacing w:before="11"/>
        <w:ind w:left="0"/>
        <w:rPr>
          <w:u w:val="none"/>
        </w:rPr>
      </w:pPr>
    </w:p>
    <w:p w14:paraId="2D10D01B" w14:textId="77777777" w:rsidR="00717E54" w:rsidRDefault="00240120">
      <w:pPr>
        <w:tabs>
          <w:tab w:val="left" w:pos="9280"/>
        </w:tabs>
        <w:ind w:left="5860"/>
        <w:rPr>
          <w:i/>
        </w:rPr>
      </w:pPr>
      <w:r>
        <w:rPr>
          <w:i/>
          <w:u w:val="thick"/>
        </w:rPr>
        <w:t xml:space="preserve">/s/ </w:t>
      </w:r>
      <w:r w:rsidR="00247CEA">
        <w:rPr>
          <w:i/>
          <w:u w:val="thick"/>
        </w:rPr>
        <w:t>Jeff Dare</w:t>
      </w:r>
      <w:r>
        <w:rPr>
          <w:i/>
          <w:u w:val="thick"/>
        </w:rPr>
        <w:tab/>
      </w:r>
    </w:p>
    <w:p w14:paraId="790C586C" w14:textId="77777777" w:rsidR="00717E54" w:rsidRDefault="00240120">
      <w:pPr>
        <w:ind w:left="5860"/>
      </w:pPr>
      <w:r>
        <w:t>Signature</w:t>
      </w:r>
    </w:p>
    <w:p w14:paraId="69A92569" w14:textId="77777777" w:rsidR="00717E54" w:rsidRDefault="00717E54">
      <w:pPr>
        <w:pStyle w:val="BodyText"/>
        <w:spacing w:before="10"/>
        <w:ind w:left="0"/>
        <w:rPr>
          <w:sz w:val="21"/>
          <w:u w:val="none"/>
        </w:rPr>
      </w:pPr>
    </w:p>
    <w:p w14:paraId="190D28DB" w14:textId="77777777" w:rsidR="00717E54" w:rsidRDefault="00247CEA">
      <w:pPr>
        <w:tabs>
          <w:tab w:val="left" w:pos="9280"/>
        </w:tabs>
        <w:spacing w:before="1"/>
        <w:ind w:left="5860"/>
        <w:rPr>
          <w:b/>
        </w:rPr>
      </w:pPr>
      <w:r>
        <w:rPr>
          <w:b/>
          <w:u w:val="thick"/>
        </w:rPr>
        <w:t xml:space="preserve">Corporate Secretary </w:t>
      </w:r>
      <w:r w:rsidR="00240120">
        <w:rPr>
          <w:b/>
          <w:u w:val="thick"/>
        </w:rPr>
        <w:tab/>
      </w:r>
    </w:p>
    <w:p w14:paraId="28E508C4" w14:textId="77777777" w:rsidR="00717E54" w:rsidRDefault="00240120">
      <w:pPr>
        <w:ind w:left="5860"/>
      </w:pPr>
      <w:r>
        <w:t>Official Capacity</w:t>
      </w:r>
    </w:p>
    <w:p w14:paraId="758E0B4F" w14:textId="77777777" w:rsidR="00717E54" w:rsidRDefault="00717E54">
      <w:pPr>
        <w:pStyle w:val="BodyText"/>
        <w:ind w:left="0"/>
        <w:rPr>
          <w:u w:val="none"/>
        </w:rPr>
      </w:pPr>
    </w:p>
    <w:p w14:paraId="6554DA2C" w14:textId="77777777" w:rsidR="00717E54" w:rsidRDefault="00717E54">
      <w:pPr>
        <w:pStyle w:val="BodyText"/>
        <w:ind w:left="0"/>
        <w:rPr>
          <w:u w:val="none"/>
        </w:rPr>
      </w:pPr>
    </w:p>
    <w:p w14:paraId="0342A939" w14:textId="77777777" w:rsidR="00717E54" w:rsidRDefault="00717E54">
      <w:pPr>
        <w:pStyle w:val="BodyText"/>
        <w:ind w:left="0"/>
        <w:rPr>
          <w:sz w:val="12"/>
          <w:u w:val="none"/>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8"/>
        <w:gridCol w:w="2520"/>
        <w:gridCol w:w="2898"/>
      </w:tblGrid>
      <w:tr w:rsidR="00717E54" w14:paraId="3258CF55" w14:textId="77777777">
        <w:trPr>
          <w:trHeight w:val="691"/>
        </w:trPr>
        <w:tc>
          <w:tcPr>
            <w:tcW w:w="4158" w:type="dxa"/>
          </w:tcPr>
          <w:p w14:paraId="2F629E04" w14:textId="77777777" w:rsidR="00717E54" w:rsidRDefault="00240120">
            <w:pPr>
              <w:pStyle w:val="TableParagraph"/>
              <w:spacing w:before="2" w:line="230" w:lineRule="exact"/>
              <w:rPr>
                <w:b/>
                <w:i/>
                <w:sz w:val="20"/>
              </w:rPr>
            </w:pPr>
            <w:r>
              <w:rPr>
                <w:b/>
                <w:i/>
                <w:sz w:val="20"/>
              </w:rPr>
              <w:t>Issuer Details</w:t>
            </w:r>
          </w:p>
          <w:p w14:paraId="7554BCAB" w14:textId="77777777" w:rsidR="00717E54" w:rsidRDefault="00240120">
            <w:pPr>
              <w:pStyle w:val="TableParagraph"/>
              <w:spacing w:line="230" w:lineRule="exact"/>
              <w:rPr>
                <w:sz w:val="20"/>
              </w:rPr>
            </w:pPr>
            <w:r>
              <w:rPr>
                <w:sz w:val="20"/>
              </w:rPr>
              <w:t>Name of Issuer</w:t>
            </w:r>
          </w:p>
          <w:p w14:paraId="4ED6EC53" w14:textId="77777777" w:rsidR="00717E54" w:rsidRDefault="00240120">
            <w:pPr>
              <w:pStyle w:val="TableParagraph"/>
              <w:spacing w:line="209" w:lineRule="exact"/>
              <w:rPr>
                <w:b/>
                <w:sz w:val="20"/>
              </w:rPr>
            </w:pPr>
            <w:r>
              <w:rPr>
                <w:b/>
                <w:sz w:val="20"/>
              </w:rPr>
              <w:t>FAR RESOURCES LTD.</w:t>
            </w:r>
          </w:p>
        </w:tc>
        <w:tc>
          <w:tcPr>
            <w:tcW w:w="2520" w:type="dxa"/>
          </w:tcPr>
          <w:p w14:paraId="2634FDE7" w14:textId="77777777" w:rsidR="00717E54" w:rsidRDefault="00240120">
            <w:pPr>
              <w:pStyle w:val="TableParagraph"/>
              <w:spacing w:before="2"/>
              <w:rPr>
                <w:sz w:val="20"/>
              </w:rPr>
            </w:pPr>
            <w:r>
              <w:rPr>
                <w:sz w:val="20"/>
              </w:rPr>
              <w:t>For Month End</w:t>
            </w:r>
          </w:p>
          <w:p w14:paraId="59FD40E9" w14:textId="77777777" w:rsidR="00717E54" w:rsidRDefault="00717E54">
            <w:pPr>
              <w:pStyle w:val="TableParagraph"/>
              <w:spacing w:before="11"/>
              <w:ind w:left="0"/>
              <w:rPr>
                <w:sz w:val="19"/>
              </w:rPr>
            </w:pPr>
          </w:p>
          <w:p w14:paraId="63B01B1C" w14:textId="77777777" w:rsidR="00717E54" w:rsidRDefault="00247CEA">
            <w:pPr>
              <w:pStyle w:val="TableParagraph"/>
              <w:spacing w:line="209" w:lineRule="exact"/>
              <w:rPr>
                <w:b/>
                <w:sz w:val="20"/>
              </w:rPr>
            </w:pPr>
            <w:r>
              <w:rPr>
                <w:b/>
                <w:sz w:val="20"/>
              </w:rPr>
              <w:t>May</w:t>
            </w:r>
            <w:r w:rsidR="00240120">
              <w:rPr>
                <w:b/>
                <w:sz w:val="20"/>
              </w:rPr>
              <w:t>, 2019</w:t>
            </w:r>
          </w:p>
        </w:tc>
        <w:tc>
          <w:tcPr>
            <w:tcW w:w="2898" w:type="dxa"/>
          </w:tcPr>
          <w:p w14:paraId="760CF3A9" w14:textId="77777777" w:rsidR="00717E54" w:rsidRDefault="00240120">
            <w:pPr>
              <w:pStyle w:val="TableParagraph"/>
              <w:spacing w:before="2"/>
              <w:ind w:left="109" w:right="487"/>
              <w:rPr>
                <w:sz w:val="20"/>
              </w:rPr>
            </w:pPr>
            <w:r>
              <w:rPr>
                <w:sz w:val="20"/>
              </w:rPr>
              <w:t xml:space="preserve">Date of </w:t>
            </w:r>
            <w:r>
              <w:rPr>
                <w:spacing w:val="-4"/>
                <w:sz w:val="20"/>
              </w:rPr>
              <w:t xml:space="preserve">Report </w:t>
            </w:r>
            <w:r>
              <w:rPr>
                <w:sz w:val="20"/>
              </w:rPr>
              <w:t>YY/MM/DD</w:t>
            </w:r>
          </w:p>
          <w:p w14:paraId="69EC8936" w14:textId="0C68762E" w:rsidR="00717E54" w:rsidRDefault="00240120">
            <w:pPr>
              <w:pStyle w:val="TableParagraph"/>
              <w:spacing w:line="209" w:lineRule="exact"/>
              <w:ind w:left="109"/>
              <w:rPr>
                <w:b/>
                <w:sz w:val="20"/>
              </w:rPr>
            </w:pPr>
            <w:r>
              <w:rPr>
                <w:b/>
                <w:sz w:val="20"/>
              </w:rPr>
              <w:t>2019/</w:t>
            </w:r>
            <w:r w:rsidR="00247CEA">
              <w:rPr>
                <w:b/>
                <w:sz w:val="20"/>
              </w:rPr>
              <w:t>06/</w:t>
            </w:r>
            <w:bookmarkStart w:id="1" w:name="_GoBack"/>
            <w:bookmarkEnd w:id="1"/>
            <w:r w:rsidR="00C93739">
              <w:rPr>
                <w:b/>
                <w:sz w:val="20"/>
              </w:rPr>
              <w:t>10</w:t>
            </w:r>
          </w:p>
        </w:tc>
      </w:tr>
      <w:tr w:rsidR="00717E54" w14:paraId="45DB3734" w14:textId="77777777">
        <w:trPr>
          <w:trHeight w:val="460"/>
        </w:trPr>
        <w:tc>
          <w:tcPr>
            <w:tcW w:w="9576" w:type="dxa"/>
            <w:gridSpan w:val="3"/>
          </w:tcPr>
          <w:p w14:paraId="1416CD3E" w14:textId="77777777" w:rsidR="00717E54" w:rsidRDefault="00240120">
            <w:pPr>
              <w:pStyle w:val="TableParagraph"/>
              <w:rPr>
                <w:sz w:val="20"/>
              </w:rPr>
            </w:pPr>
            <w:r>
              <w:rPr>
                <w:sz w:val="20"/>
              </w:rPr>
              <w:t>Issuer Address</w:t>
            </w:r>
          </w:p>
          <w:p w14:paraId="49CC8370" w14:textId="77777777" w:rsidR="00717E54" w:rsidRDefault="00247CEA">
            <w:pPr>
              <w:pStyle w:val="TableParagraph"/>
              <w:spacing w:before="1" w:line="209" w:lineRule="exact"/>
              <w:rPr>
                <w:b/>
                <w:sz w:val="20"/>
              </w:rPr>
            </w:pPr>
            <w:r>
              <w:rPr>
                <w:b/>
                <w:sz w:val="20"/>
              </w:rPr>
              <w:t xml:space="preserve">550-800 West Pender Street </w:t>
            </w:r>
          </w:p>
        </w:tc>
      </w:tr>
      <w:tr w:rsidR="00717E54" w14:paraId="07469DDE" w14:textId="77777777">
        <w:trPr>
          <w:trHeight w:val="458"/>
        </w:trPr>
        <w:tc>
          <w:tcPr>
            <w:tcW w:w="4158" w:type="dxa"/>
          </w:tcPr>
          <w:p w14:paraId="05E1A5BA" w14:textId="77777777" w:rsidR="00717E54" w:rsidRDefault="00240120">
            <w:pPr>
              <w:pStyle w:val="TableParagraph"/>
              <w:spacing w:line="230" w:lineRule="exact"/>
              <w:rPr>
                <w:sz w:val="20"/>
              </w:rPr>
            </w:pPr>
            <w:r>
              <w:rPr>
                <w:sz w:val="20"/>
              </w:rPr>
              <w:t>City/Province/Postal Code</w:t>
            </w:r>
          </w:p>
          <w:p w14:paraId="3C9F9043" w14:textId="77777777" w:rsidR="00717E54" w:rsidRDefault="00247CEA">
            <w:pPr>
              <w:pStyle w:val="TableParagraph"/>
              <w:spacing w:line="209" w:lineRule="exact"/>
              <w:rPr>
                <w:b/>
                <w:sz w:val="20"/>
              </w:rPr>
            </w:pPr>
            <w:r>
              <w:rPr>
                <w:b/>
                <w:sz w:val="20"/>
              </w:rPr>
              <w:t>Vancouver,</w:t>
            </w:r>
            <w:r w:rsidR="00240120">
              <w:rPr>
                <w:b/>
                <w:sz w:val="20"/>
              </w:rPr>
              <w:t xml:space="preserve"> BC</w:t>
            </w:r>
          </w:p>
        </w:tc>
        <w:tc>
          <w:tcPr>
            <w:tcW w:w="2520" w:type="dxa"/>
          </w:tcPr>
          <w:p w14:paraId="506E1CF3" w14:textId="77777777" w:rsidR="00717E54" w:rsidRDefault="00240120">
            <w:pPr>
              <w:pStyle w:val="TableParagraph"/>
              <w:spacing w:line="230" w:lineRule="exact"/>
              <w:rPr>
                <w:sz w:val="20"/>
              </w:rPr>
            </w:pPr>
            <w:r>
              <w:rPr>
                <w:sz w:val="20"/>
              </w:rPr>
              <w:t>Issuer Fax No.</w:t>
            </w:r>
          </w:p>
          <w:p w14:paraId="2B59827A" w14:textId="77777777" w:rsidR="00717E54" w:rsidRDefault="00240120">
            <w:pPr>
              <w:pStyle w:val="TableParagraph"/>
              <w:spacing w:line="209" w:lineRule="exact"/>
              <w:rPr>
                <w:b/>
                <w:sz w:val="20"/>
              </w:rPr>
            </w:pPr>
            <w:r>
              <w:rPr>
                <w:b/>
                <w:sz w:val="20"/>
              </w:rPr>
              <w:t>(</w:t>
            </w:r>
            <w:r w:rsidR="00247CEA">
              <w:rPr>
                <w:b/>
                <w:sz w:val="20"/>
              </w:rPr>
              <w:t>778) 327-6675</w:t>
            </w:r>
          </w:p>
        </w:tc>
        <w:tc>
          <w:tcPr>
            <w:tcW w:w="2898" w:type="dxa"/>
          </w:tcPr>
          <w:p w14:paraId="23EF40E3" w14:textId="77777777" w:rsidR="00717E54" w:rsidRDefault="00240120">
            <w:pPr>
              <w:pStyle w:val="TableParagraph"/>
              <w:spacing w:line="230" w:lineRule="exact"/>
              <w:ind w:left="109"/>
              <w:rPr>
                <w:sz w:val="20"/>
              </w:rPr>
            </w:pPr>
            <w:r>
              <w:rPr>
                <w:sz w:val="20"/>
              </w:rPr>
              <w:t>Issuer Telephone No.</w:t>
            </w:r>
          </w:p>
          <w:p w14:paraId="2C9911A4" w14:textId="77777777" w:rsidR="00717E54" w:rsidRDefault="00240120">
            <w:pPr>
              <w:pStyle w:val="TableParagraph"/>
              <w:spacing w:line="209" w:lineRule="exact"/>
              <w:ind w:left="109"/>
              <w:rPr>
                <w:b/>
                <w:sz w:val="20"/>
              </w:rPr>
            </w:pPr>
            <w:r>
              <w:rPr>
                <w:b/>
                <w:sz w:val="20"/>
              </w:rPr>
              <w:t>(</w:t>
            </w:r>
            <w:r w:rsidR="00247CEA">
              <w:rPr>
                <w:b/>
                <w:sz w:val="20"/>
              </w:rPr>
              <w:t>778) 327-5799</w:t>
            </w:r>
          </w:p>
        </w:tc>
      </w:tr>
      <w:tr w:rsidR="00717E54" w14:paraId="11B2EFA6" w14:textId="77777777">
        <w:trPr>
          <w:trHeight w:val="690"/>
        </w:trPr>
        <w:tc>
          <w:tcPr>
            <w:tcW w:w="4158" w:type="dxa"/>
          </w:tcPr>
          <w:p w14:paraId="3B230698" w14:textId="77777777" w:rsidR="00717E54" w:rsidRDefault="00240120">
            <w:pPr>
              <w:pStyle w:val="TableParagraph"/>
              <w:spacing w:before="1" w:line="230" w:lineRule="exact"/>
              <w:rPr>
                <w:sz w:val="20"/>
              </w:rPr>
            </w:pPr>
            <w:r>
              <w:rPr>
                <w:sz w:val="20"/>
              </w:rPr>
              <w:t>Contact Name</w:t>
            </w:r>
          </w:p>
          <w:p w14:paraId="49C0D0DB" w14:textId="77777777" w:rsidR="00717E54" w:rsidRDefault="00247CEA">
            <w:pPr>
              <w:pStyle w:val="TableParagraph"/>
              <w:spacing w:line="230" w:lineRule="exact"/>
              <w:rPr>
                <w:b/>
                <w:sz w:val="20"/>
              </w:rPr>
            </w:pPr>
            <w:r>
              <w:rPr>
                <w:b/>
                <w:sz w:val="20"/>
              </w:rPr>
              <w:t>Jeff Dare</w:t>
            </w:r>
          </w:p>
        </w:tc>
        <w:tc>
          <w:tcPr>
            <w:tcW w:w="2520" w:type="dxa"/>
          </w:tcPr>
          <w:p w14:paraId="05194105" w14:textId="77777777" w:rsidR="00717E54" w:rsidRDefault="00240120">
            <w:pPr>
              <w:pStyle w:val="TableParagraph"/>
              <w:spacing w:before="1" w:line="230" w:lineRule="exact"/>
              <w:rPr>
                <w:sz w:val="20"/>
              </w:rPr>
            </w:pPr>
            <w:r>
              <w:rPr>
                <w:sz w:val="20"/>
              </w:rPr>
              <w:t>Contact Position</w:t>
            </w:r>
          </w:p>
          <w:p w14:paraId="34E02007" w14:textId="77777777" w:rsidR="00717E54" w:rsidRDefault="00247CEA">
            <w:pPr>
              <w:pStyle w:val="TableParagraph"/>
              <w:spacing w:line="230" w:lineRule="exact"/>
              <w:rPr>
                <w:b/>
                <w:sz w:val="20"/>
              </w:rPr>
            </w:pPr>
            <w:r>
              <w:rPr>
                <w:b/>
                <w:sz w:val="20"/>
              </w:rPr>
              <w:t>Corporate Secretary</w:t>
            </w:r>
          </w:p>
        </w:tc>
        <w:tc>
          <w:tcPr>
            <w:tcW w:w="2898" w:type="dxa"/>
          </w:tcPr>
          <w:p w14:paraId="153983C3" w14:textId="77777777" w:rsidR="00717E54" w:rsidRDefault="00240120">
            <w:pPr>
              <w:pStyle w:val="TableParagraph"/>
              <w:spacing w:before="1" w:line="230" w:lineRule="exact"/>
              <w:ind w:left="109"/>
              <w:rPr>
                <w:sz w:val="20"/>
              </w:rPr>
            </w:pPr>
            <w:r>
              <w:rPr>
                <w:sz w:val="20"/>
              </w:rPr>
              <w:t>Contact Telephone No.</w:t>
            </w:r>
          </w:p>
          <w:p w14:paraId="5A8093CC" w14:textId="77777777" w:rsidR="00717E54" w:rsidRDefault="00247CEA">
            <w:pPr>
              <w:pStyle w:val="TableParagraph"/>
              <w:spacing w:line="230" w:lineRule="exact"/>
              <w:ind w:left="109"/>
              <w:rPr>
                <w:b/>
                <w:sz w:val="20"/>
              </w:rPr>
            </w:pPr>
            <w:r>
              <w:rPr>
                <w:b/>
                <w:sz w:val="20"/>
              </w:rPr>
              <w:t>(778) 327-5799</w:t>
            </w:r>
          </w:p>
        </w:tc>
      </w:tr>
      <w:tr w:rsidR="00717E54" w14:paraId="77FBCD22" w14:textId="77777777">
        <w:trPr>
          <w:trHeight w:val="507"/>
        </w:trPr>
        <w:tc>
          <w:tcPr>
            <w:tcW w:w="4158" w:type="dxa"/>
          </w:tcPr>
          <w:p w14:paraId="18A0746C" w14:textId="77777777" w:rsidR="00717E54" w:rsidRDefault="00240120">
            <w:pPr>
              <w:pStyle w:val="TableParagraph"/>
              <w:rPr>
                <w:sz w:val="20"/>
              </w:rPr>
            </w:pPr>
            <w:r>
              <w:rPr>
                <w:sz w:val="20"/>
              </w:rPr>
              <w:t>Contact Email Address</w:t>
            </w:r>
          </w:p>
          <w:p w14:paraId="5E9F00CA" w14:textId="77777777" w:rsidR="00717E54" w:rsidRDefault="00C93739">
            <w:pPr>
              <w:pStyle w:val="TableParagraph"/>
              <w:spacing w:line="257" w:lineRule="exact"/>
              <w:rPr>
                <w:rFonts w:ascii="Times New Roman"/>
                <w:sz w:val="24"/>
              </w:rPr>
            </w:pPr>
            <w:hyperlink r:id="rId7" w:history="1">
              <w:r w:rsidR="00247CEA" w:rsidRPr="009F0200">
                <w:rPr>
                  <w:rStyle w:val="Hyperlink"/>
                  <w:rFonts w:ascii="Times New Roman"/>
                  <w:sz w:val="24"/>
                </w:rPr>
                <w:t>jdare@corexmanagement.com</w:t>
              </w:r>
            </w:hyperlink>
          </w:p>
        </w:tc>
        <w:tc>
          <w:tcPr>
            <w:tcW w:w="5418" w:type="dxa"/>
            <w:gridSpan w:val="2"/>
          </w:tcPr>
          <w:p w14:paraId="14EE3002" w14:textId="77777777" w:rsidR="00717E54" w:rsidRDefault="00240120">
            <w:pPr>
              <w:pStyle w:val="TableParagraph"/>
              <w:rPr>
                <w:sz w:val="20"/>
              </w:rPr>
            </w:pPr>
            <w:r>
              <w:rPr>
                <w:sz w:val="20"/>
              </w:rPr>
              <w:t>Web Site Address</w:t>
            </w:r>
          </w:p>
          <w:p w14:paraId="10B4826A" w14:textId="77777777" w:rsidR="00717E54" w:rsidRDefault="00C93739">
            <w:pPr>
              <w:pStyle w:val="TableParagraph"/>
              <w:spacing w:before="1"/>
              <w:rPr>
                <w:i/>
                <w:sz w:val="20"/>
              </w:rPr>
            </w:pPr>
            <w:hyperlink r:id="rId8">
              <w:r w:rsidR="00240120">
                <w:rPr>
                  <w:i/>
                  <w:color w:val="0000FF"/>
                  <w:sz w:val="20"/>
                  <w:u w:val="single" w:color="0000FF"/>
                </w:rPr>
                <w:t>www.farresources.com</w:t>
              </w:r>
            </w:hyperlink>
          </w:p>
        </w:tc>
      </w:tr>
    </w:tbl>
    <w:p w14:paraId="11F98D23" w14:textId="77777777" w:rsidR="002200C9" w:rsidRDefault="002200C9"/>
    <w:sectPr w:rsidR="002200C9">
      <w:footerReference w:type="default" r:id="rId9"/>
      <w:pgSz w:w="12240" w:h="15840"/>
      <w:pgMar w:top="880" w:right="1040" w:bottom="1700" w:left="1340" w:header="0" w:footer="14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7931" w14:textId="77777777" w:rsidR="002200C9" w:rsidRDefault="00240120">
      <w:r>
        <w:separator/>
      </w:r>
    </w:p>
  </w:endnote>
  <w:endnote w:type="continuationSeparator" w:id="0">
    <w:p w14:paraId="5B9DFB44" w14:textId="77777777" w:rsidR="002200C9" w:rsidRDefault="0024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FB03C" w14:textId="357BD266" w:rsidR="00717E54" w:rsidRDefault="00C93739">
    <w:pPr>
      <w:pStyle w:val="BodyText"/>
      <w:spacing w:line="14" w:lineRule="auto"/>
      <w:ind w:left="0"/>
      <w:rPr>
        <w:u w:val="none"/>
      </w:rPr>
    </w:pPr>
    <w:r>
      <w:pict w14:anchorId="2B2ECA1A">
        <v:line id="_x0000_s1026" style="position:absolute;z-index:-9976;mso-position-horizontal-relative:page;mso-position-vertical-relative:page" from="539.4pt,703.3pt" to="77.7pt,703.3pt">
          <w10:wrap anchorx="page" anchory="page"/>
        </v:line>
      </w:pict>
    </w:r>
    <w:r>
      <w:pict w14:anchorId="3D0C0D5B">
        <v:shapetype id="_x0000_t202" coordsize="21600,21600" o:spt="202" path="m,l,21600r21600,l21600,xe">
          <v:stroke joinstyle="miter"/>
          <v:path gradientshapeok="t" o:connecttype="rect"/>
        </v:shapetype>
        <v:shape id="_x0000_s1025" type="#_x0000_t202" style="position:absolute;margin-left:146.5pt;margin-top:714.65pt;width:204.3pt;height:31.65pt;z-index:-9952;mso-position-horizontal-relative:page;mso-position-vertical-relative:page" filled="f" stroked="f">
          <v:textbox inset="0,0,0,0">
            <w:txbxContent>
              <w:p w14:paraId="3864DC8D" w14:textId="6A4373C9" w:rsidR="00717E54" w:rsidRDefault="00717E54">
                <w:pPr>
                  <w:ind w:right="1"/>
                  <w:jc w:val="center"/>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14C1F" w14:textId="77777777" w:rsidR="002200C9" w:rsidRDefault="00240120">
      <w:r>
        <w:separator/>
      </w:r>
    </w:p>
  </w:footnote>
  <w:footnote w:type="continuationSeparator" w:id="0">
    <w:p w14:paraId="5EECC23C" w14:textId="77777777" w:rsidR="002200C9" w:rsidRDefault="00240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7485"/>
    <w:multiLevelType w:val="hybridMultilevel"/>
    <w:tmpl w:val="C5584A64"/>
    <w:lvl w:ilvl="0" w:tplc="2BF6CCD0">
      <w:start w:val="1"/>
      <w:numFmt w:val="decimal"/>
      <w:lvlText w:val="%1."/>
      <w:lvlJc w:val="left"/>
      <w:pPr>
        <w:ind w:left="820" w:hanging="721"/>
        <w:jc w:val="left"/>
      </w:pPr>
      <w:rPr>
        <w:rFonts w:ascii="Arial" w:eastAsia="Arial" w:hAnsi="Arial" w:cs="Arial" w:hint="default"/>
        <w:w w:val="99"/>
        <w:sz w:val="22"/>
        <w:szCs w:val="22"/>
      </w:rPr>
    </w:lvl>
    <w:lvl w:ilvl="1" w:tplc="C6543AE2">
      <w:numFmt w:val="bullet"/>
      <w:lvlText w:val="•"/>
      <w:lvlJc w:val="left"/>
      <w:pPr>
        <w:ind w:left="1724" w:hanging="721"/>
      </w:pPr>
      <w:rPr>
        <w:rFonts w:hint="default"/>
      </w:rPr>
    </w:lvl>
    <w:lvl w:ilvl="2" w:tplc="55C4A84E">
      <w:numFmt w:val="bullet"/>
      <w:lvlText w:val="•"/>
      <w:lvlJc w:val="left"/>
      <w:pPr>
        <w:ind w:left="2628" w:hanging="721"/>
      </w:pPr>
      <w:rPr>
        <w:rFonts w:hint="default"/>
      </w:rPr>
    </w:lvl>
    <w:lvl w:ilvl="3" w:tplc="2840641A">
      <w:numFmt w:val="bullet"/>
      <w:lvlText w:val="•"/>
      <w:lvlJc w:val="left"/>
      <w:pPr>
        <w:ind w:left="3532" w:hanging="721"/>
      </w:pPr>
      <w:rPr>
        <w:rFonts w:hint="default"/>
      </w:rPr>
    </w:lvl>
    <w:lvl w:ilvl="4" w:tplc="AC32A8A6">
      <w:numFmt w:val="bullet"/>
      <w:lvlText w:val="•"/>
      <w:lvlJc w:val="left"/>
      <w:pPr>
        <w:ind w:left="4436" w:hanging="721"/>
      </w:pPr>
      <w:rPr>
        <w:rFonts w:hint="default"/>
      </w:rPr>
    </w:lvl>
    <w:lvl w:ilvl="5" w:tplc="9B4E6A78">
      <w:numFmt w:val="bullet"/>
      <w:lvlText w:val="•"/>
      <w:lvlJc w:val="left"/>
      <w:pPr>
        <w:ind w:left="5340" w:hanging="721"/>
      </w:pPr>
      <w:rPr>
        <w:rFonts w:hint="default"/>
      </w:rPr>
    </w:lvl>
    <w:lvl w:ilvl="6" w:tplc="1804C4EA">
      <w:numFmt w:val="bullet"/>
      <w:lvlText w:val="•"/>
      <w:lvlJc w:val="left"/>
      <w:pPr>
        <w:ind w:left="6244" w:hanging="721"/>
      </w:pPr>
      <w:rPr>
        <w:rFonts w:hint="default"/>
      </w:rPr>
    </w:lvl>
    <w:lvl w:ilvl="7" w:tplc="BC70B82E">
      <w:numFmt w:val="bullet"/>
      <w:lvlText w:val="•"/>
      <w:lvlJc w:val="left"/>
      <w:pPr>
        <w:ind w:left="7148" w:hanging="721"/>
      </w:pPr>
      <w:rPr>
        <w:rFonts w:hint="default"/>
      </w:rPr>
    </w:lvl>
    <w:lvl w:ilvl="8" w:tplc="530694C2">
      <w:numFmt w:val="bullet"/>
      <w:lvlText w:val="•"/>
      <w:lvlJc w:val="left"/>
      <w:pPr>
        <w:ind w:left="8052" w:hanging="721"/>
      </w:pPr>
      <w:rPr>
        <w:rFonts w:hint="default"/>
      </w:rPr>
    </w:lvl>
  </w:abstractNum>
  <w:abstractNum w:abstractNumId="1" w15:restartNumberingAfterBreak="0">
    <w:nsid w:val="23ED6E17"/>
    <w:multiLevelType w:val="hybridMultilevel"/>
    <w:tmpl w:val="8FAEA85E"/>
    <w:lvl w:ilvl="0" w:tplc="CEA8B540">
      <w:start w:val="1"/>
      <w:numFmt w:val="decimal"/>
      <w:lvlText w:val="%1."/>
      <w:lvlJc w:val="left"/>
      <w:pPr>
        <w:ind w:left="820" w:hanging="721"/>
        <w:jc w:val="left"/>
      </w:pPr>
      <w:rPr>
        <w:rFonts w:hint="default"/>
        <w:i/>
        <w:w w:val="99"/>
      </w:rPr>
    </w:lvl>
    <w:lvl w:ilvl="1" w:tplc="05587452">
      <w:numFmt w:val="bullet"/>
      <w:lvlText w:val="•"/>
      <w:lvlJc w:val="left"/>
      <w:pPr>
        <w:ind w:left="1724" w:hanging="721"/>
      </w:pPr>
      <w:rPr>
        <w:rFonts w:hint="default"/>
      </w:rPr>
    </w:lvl>
    <w:lvl w:ilvl="2" w:tplc="EEB42246">
      <w:numFmt w:val="bullet"/>
      <w:lvlText w:val="•"/>
      <w:lvlJc w:val="left"/>
      <w:pPr>
        <w:ind w:left="2628" w:hanging="721"/>
      </w:pPr>
      <w:rPr>
        <w:rFonts w:hint="default"/>
      </w:rPr>
    </w:lvl>
    <w:lvl w:ilvl="3" w:tplc="51C66A4E">
      <w:numFmt w:val="bullet"/>
      <w:lvlText w:val="•"/>
      <w:lvlJc w:val="left"/>
      <w:pPr>
        <w:ind w:left="3532" w:hanging="721"/>
      </w:pPr>
      <w:rPr>
        <w:rFonts w:hint="default"/>
      </w:rPr>
    </w:lvl>
    <w:lvl w:ilvl="4" w:tplc="89701404">
      <w:numFmt w:val="bullet"/>
      <w:lvlText w:val="•"/>
      <w:lvlJc w:val="left"/>
      <w:pPr>
        <w:ind w:left="4436" w:hanging="721"/>
      </w:pPr>
      <w:rPr>
        <w:rFonts w:hint="default"/>
      </w:rPr>
    </w:lvl>
    <w:lvl w:ilvl="5" w:tplc="5CBAD5BC">
      <w:numFmt w:val="bullet"/>
      <w:lvlText w:val="•"/>
      <w:lvlJc w:val="left"/>
      <w:pPr>
        <w:ind w:left="5340" w:hanging="721"/>
      </w:pPr>
      <w:rPr>
        <w:rFonts w:hint="default"/>
      </w:rPr>
    </w:lvl>
    <w:lvl w:ilvl="6" w:tplc="3A482D68">
      <w:numFmt w:val="bullet"/>
      <w:lvlText w:val="•"/>
      <w:lvlJc w:val="left"/>
      <w:pPr>
        <w:ind w:left="6244" w:hanging="721"/>
      </w:pPr>
      <w:rPr>
        <w:rFonts w:hint="default"/>
      </w:rPr>
    </w:lvl>
    <w:lvl w:ilvl="7" w:tplc="60D8CF1C">
      <w:numFmt w:val="bullet"/>
      <w:lvlText w:val="•"/>
      <w:lvlJc w:val="left"/>
      <w:pPr>
        <w:ind w:left="7148" w:hanging="721"/>
      </w:pPr>
      <w:rPr>
        <w:rFonts w:hint="default"/>
      </w:rPr>
    </w:lvl>
    <w:lvl w:ilvl="8" w:tplc="E328F370">
      <w:numFmt w:val="bullet"/>
      <w:lvlText w:val="•"/>
      <w:lvlJc w:val="left"/>
      <w:pPr>
        <w:ind w:left="8052" w:hanging="72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17E54"/>
    <w:rsid w:val="002200C9"/>
    <w:rsid w:val="00240120"/>
    <w:rsid w:val="00247CEA"/>
    <w:rsid w:val="00717E54"/>
    <w:rsid w:val="00C93739"/>
    <w:rsid w:val="00FF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43DCF"/>
  <w15:docId w15:val="{B3C40620-E387-45F2-9687-04E45D20F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paragraph" w:styleId="Heading2">
    <w:name w:val="heading 2"/>
    <w:basedOn w:val="Normal"/>
    <w:uiPriority w:val="9"/>
    <w:unhideWhenUsed/>
    <w:qFormat/>
    <w:pPr>
      <w:ind w:left="100"/>
      <w:outlineLvl w:val="1"/>
    </w:pPr>
  </w:style>
  <w:style w:type="paragraph" w:styleId="Heading3">
    <w:name w:val="heading 3"/>
    <w:basedOn w:val="Normal"/>
    <w:uiPriority w:val="9"/>
    <w:unhideWhenUsed/>
    <w:qFormat/>
    <w:pPr>
      <w:ind w:left="820" w:hanging="720"/>
      <w:outlineLvl w:val="2"/>
    </w:pPr>
    <w:rPr>
      <w:i/>
    </w:rPr>
  </w:style>
  <w:style w:type="paragraph" w:styleId="Heading4">
    <w:name w:val="heading 4"/>
    <w:basedOn w:val="Normal"/>
    <w:uiPriority w:val="9"/>
    <w:unhideWhenUsed/>
    <w:qFormat/>
    <w:pPr>
      <w:spacing w:before="120"/>
      <w:ind w:left="820"/>
      <w:outlineLvl w:val="3"/>
    </w:pPr>
    <w:rPr>
      <w:b/>
      <w:bCs/>
      <w:sz w:val="20"/>
      <w:szCs w:val="20"/>
      <w:u w:val="single" w:color="000000"/>
    </w:rPr>
  </w:style>
  <w:style w:type="paragraph" w:styleId="Heading5">
    <w:name w:val="heading 5"/>
    <w:basedOn w:val="Normal"/>
    <w:uiPriority w:val="9"/>
    <w:unhideWhenUsed/>
    <w:qFormat/>
    <w:pPr>
      <w:spacing w:before="70"/>
      <w:ind w:left="820"/>
      <w:outlineLvl w:val="4"/>
    </w:pPr>
    <w:rPr>
      <w:rFonts w:ascii="Times New Roman" w:eastAsia="Times New Roman" w:hAnsi="Times New Roman"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pPr>
    <w:rPr>
      <w:sz w:val="20"/>
      <w:szCs w:val="20"/>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247CEA"/>
    <w:rPr>
      <w:color w:val="0000FF" w:themeColor="hyperlink"/>
      <w:u w:val="single"/>
    </w:rPr>
  </w:style>
  <w:style w:type="character" w:styleId="UnresolvedMention">
    <w:name w:val="Unresolved Mention"/>
    <w:basedOn w:val="DefaultParagraphFont"/>
    <w:uiPriority w:val="99"/>
    <w:semiHidden/>
    <w:unhideWhenUsed/>
    <w:rsid w:val="00247CEA"/>
    <w:rPr>
      <w:color w:val="605E5C"/>
      <w:shd w:val="clear" w:color="auto" w:fill="E1DFDD"/>
    </w:rPr>
  </w:style>
  <w:style w:type="character" w:customStyle="1" w:styleId="BodyTextChar">
    <w:name w:val="Body Text Char"/>
    <w:basedOn w:val="DefaultParagraphFont"/>
    <w:link w:val="BodyText"/>
    <w:uiPriority w:val="1"/>
    <w:rsid w:val="00FF08FF"/>
    <w:rPr>
      <w:rFonts w:ascii="Arial" w:eastAsia="Arial" w:hAnsi="Arial" w:cs="Arial"/>
      <w:sz w:val="20"/>
      <w:szCs w:val="20"/>
      <w:u w:val="single" w:color="000000"/>
    </w:rPr>
  </w:style>
  <w:style w:type="paragraph" w:styleId="List">
    <w:name w:val="List"/>
    <w:basedOn w:val="BodyText"/>
    <w:rsid w:val="00FF08FF"/>
    <w:pPr>
      <w:widowControl/>
      <w:autoSpaceDE/>
      <w:autoSpaceDN/>
      <w:spacing w:before="240"/>
      <w:ind w:left="1080" w:hanging="1080"/>
    </w:pPr>
    <w:rPr>
      <w:rFonts w:ascii="Times New Roman" w:eastAsia="Times New Roman" w:hAnsi="Times New Roman" w:cs="Times New Roman"/>
      <w:sz w:val="24"/>
      <w:u w:val="none"/>
      <w:lang w:val="en-GB"/>
    </w:rPr>
  </w:style>
  <w:style w:type="paragraph" w:styleId="Header">
    <w:name w:val="header"/>
    <w:basedOn w:val="Normal"/>
    <w:link w:val="HeaderChar"/>
    <w:uiPriority w:val="99"/>
    <w:unhideWhenUsed/>
    <w:rsid w:val="00240120"/>
    <w:pPr>
      <w:tabs>
        <w:tab w:val="center" w:pos="4680"/>
        <w:tab w:val="right" w:pos="9360"/>
      </w:tabs>
    </w:pPr>
  </w:style>
  <w:style w:type="character" w:customStyle="1" w:styleId="HeaderChar">
    <w:name w:val="Header Char"/>
    <w:basedOn w:val="DefaultParagraphFont"/>
    <w:link w:val="Header"/>
    <w:uiPriority w:val="99"/>
    <w:rsid w:val="00240120"/>
    <w:rPr>
      <w:rFonts w:ascii="Arial" w:eastAsia="Arial" w:hAnsi="Arial" w:cs="Arial"/>
    </w:rPr>
  </w:style>
  <w:style w:type="paragraph" w:styleId="Footer">
    <w:name w:val="footer"/>
    <w:basedOn w:val="Normal"/>
    <w:link w:val="FooterChar"/>
    <w:uiPriority w:val="99"/>
    <w:unhideWhenUsed/>
    <w:rsid w:val="00240120"/>
    <w:pPr>
      <w:tabs>
        <w:tab w:val="center" w:pos="4680"/>
        <w:tab w:val="right" w:pos="9360"/>
      </w:tabs>
    </w:pPr>
  </w:style>
  <w:style w:type="character" w:customStyle="1" w:styleId="FooterChar">
    <w:name w:val="Footer Char"/>
    <w:basedOn w:val="DefaultParagraphFont"/>
    <w:link w:val="Footer"/>
    <w:uiPriority w:val="99"/>
    <w:rsid w:val="0024012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rresources.com/" TargetMode="External"/><Relationship Id="rId3" Type="http://schemas.openxmlformats.org/officeDocument/2006/relationships/settings" Target="settings.xml"/><Relationship Id="rId7" Type="http://schemas.openxmlformats.org/officeDocument/2006/relationships/hyperlink" Target="mailto:jdare@corexmanage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Kitty Yiu</cp:lastModifiedBy>
  <cp:revision>3</cp:revision>
  <cp:lastPrinted>2019-06-05T21:08:00Z</cp:lastPrinted>
  <dcterms:created xsi:type="dcterms:W3CDTF">2019-06-05T20:49:00Z</dcterms:created>
  <dcterms:modified xsi:type="dcterms:W3CDTF">2019-06-10T16:55:00Z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PDFium</vt:lpwstr>
  </property>
  <property fmtid="{D5CDD505-2E9C-101B-9397-08002B2CF9AE}" pid="4" name="LastSaved">
    <vt:filetime>2019-06-05T00:00:00Z</vt:filetime>
  </property>
</Properties>
</file>