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67886ADD"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736DE7">
        <w:rPr>
          <w:rFonts w:ascii="Arial" w:hAnsi="Arial" w:cs="Arial"/>
          <w:color w:val="000000"/>
          <w:sz w:val="20"/>
          <w:u w:val="single"/>
        </w:rPr>
        <w:t>10</w:t>
      </w:r>
      <w:r w:rsidR="00B04100">
        <w:rPr>
          <w:rFonts w:ascii="Arial" w:hAnsi="Arial" w:cs="Arial"/>
          <w:color w:val="000000"/>
          <w:sz w:val="20"/>
          <w:u w:val="single"/>
        </w:rPr>
        <w:t>8,355,051</w:t>
      </w:r>
      <w:r w:rsidRPr="00B33AB0">
        <w:rPr>
          <w:rFonts w:ascii="Arial" w:hAnsi="Arial" w:cs="Arial"/>
          <w:color w:val="000000"/>
          <w:sz w:val="20"/>
          <w:u w:val="single"/>
        </w:rPr>
        <w:tab/>
      </w:r>
    </w:p>
    <w:p w14:paraId="63143CC9" w14:textId="257463E3"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C35845">
        <w:rPr>
          <w:rFonts w:ascii="Arial" w:hAnsi="Arial" w:cs="Arial"/>
          <w:color w:val="000000"/>
          <w:sz w:val="20"/>
          <w:u w:val="single"/>
        </w:rPr>
        <w:t>April</w:t>
      </w:r>
      <w:r w:rsidR="0059245C">
        <w:rPr>
          <w:rFonts w:ascii="Arial" w:hAnsi="Arial" w:cs="Arial"/>
          <w:color w:val="000000"/>
          <w:sz w:val="20"/>
          <w:u w:val="single"/>
        </w:rPr>
        <w:t xml:space="preserve"> 2019</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216B09">
      <w:pPr>
        <w:pStyle w:val="List"/>
        <w:numPr>
          <w:ilvl w:val="0"/>
          <w:numId w:val="28"/>
        </w:numPr>
        <w:spacing w:before="0"/>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5DA2747" w14:textId="77777777" w:rsidR="00810DBC" w:rsidRPr="00810DBC" w:rsidRDefault="00810DBC" w:rsidP="00216B09">
      <w:pPr>
        <w:pStyle w:val="List"/>
        <w:spacing w:before="0"/>
        <w:ind w:left="0" w:firstLine="0"/>
        <w:jc w:val="both"/>
        <w:rPr>
          <w:rFonts w:ascii="Arial" w:hAnsi="Arial" w:cs="Arial"/>
          <w:sz w:val="20"/>
        </w:rPr>
      </w:pPr>
      <w:bookmarkStart w:id="5" w:name="_Hlk516140909"/>
      <w:bookmarkStart w:id="6" w:name="_Hlk516140651"/>
    </w:p>
    <w:p w14:paraId="00594C87" w14:textId="125119BA" w:rsidR="00005334" w:rsidRDefault="00005334" w:rsidP="00005334">
      <w:pPr>
        <w:ind w:left="720"/>
        <w:rPr>
          <w:rFonts w:ascii="Arial" w:hAnsi="Arial" w:cs="Arial"/>
          <w:lang w:val="en-GB"/>
        </w:rPr>
      </w:pPr>
      <w:r w:rsidRPr="00810DBC">
        <w:rPr>
          <w:rFonts w:ascii="Arial" w:hAnsi="Arial" w:cs="Arial"/>
          <w:lang w:val="en-GB"/>
        </w:rPr>
        <w:t>The C</w:t>
      </w:r>
      <w:r w:rsidR="00C35845">
        <w:rPr>
          <w:rFonts w:ascii="Arial" w:hAnsi="Arial" w:cs="Arial"/>
          <w:lang w:val="en-GB"/>
        </w:rPr>
        <w:t>ompany continued</w:t>
      </w:r>
      <w:r w:rsidRPr="00810DBC">
        <w:rPr>
          <w:rFonts w:ascii="Arial" w:hAnsi="Arial" w:cs="Arial"/>
          <w:lang w:val="en-GB"/>
        </w:rPr>
        <w:t xml:space="preserve"> </w:t>
      </w:r>
      <w:r w:rsidR="00C35845">
        <w:rPr>
          <w:rFonts w:ascii="Arial" w:hAnsi="Arial" w:cs="Arial"/>
          <w:lang w:val="en-GB"/>
        </w:rPr>
        <w:t xml:space="preserve">its progress </w:t>
      </w:r>
      <w:r w:rsidRPr="00810DBC">
        <w:rPr>
          <w:rFonts w:ascii="Arial" w:hAnsi="Arial" w:cs="Arial"/>
          <w:lang w:val="en-GB"/>
        </w:rPr>
        <w:t xml:space="preserve">on commercializing the sale of products developed utilizing </w:t>
      </w:r>
      <w:r>
        <w:rPr>
          <w:rFonts w:ascii="Arial" w:hAnsi="Arial" w:cs="Arial"/>
          <w:lang w:val="en-GB"/>
        </w:rPr>
        <w:t>its patented</w:t>
      </w:r>
      <w:r w:rsidRPr="00810DBC">
        <w:rPr>
          <w:rFonts w:ascii="Arial" w:hAnsi="Arial" w:cs="Arial"/>
          <w:lang w:val="en-GB"/>
        </w:rPr>
        <w:t xml:space="preserve"> NanoSphere Delivery System</w:t>
      </w:r>
      <w:r w:rsidRPr="00810DBC">
        <w:rPr>
          <w:rFonts w:ascii="Arial" w:hAnsi="Arial" w:cs="Arial"/>
          <w:vertAlign w:val="superscript"/>
        </w:rPr>
        <w:t>TM</w:t>
      </w:r>
      <w:r w:rsidRPr="00810DBC">
        <w:rPr>
          <w:rFonts w:ascii="Arial" w:hAnsi="Arial" w:cs="Arial"/>
          <w:lang w:val="en-GB"/>
        </w:rPr>
        <w:t xml:space="preserve">. </w:t>
      </w:r>
      <w:r w:rsidR="00707BA8">
        <w:rPr>
          <w:rFonts w:ascii="Arial" w:hAnsi="Arial" w:cs="Arial"/>
          <w:lang w:val="en-GB"/>
        </w:rPr>
        <w:t xml:space="preserve">In addition to the widely popular </w:t>
      </w:r>
      <w:proofErr w:type="spellStart"/>
      <w:r w:rsidR="00707BA8">
        <w:rPr>
          <w:rFonts w:ascii="Arial" w:hAnsi="Arial" w:cs="Arial"/>
          <w:lang w:val="en-GB"/>
        </w:rPr>
        <w:t>Nanoserum</w:t>
      </w:r>
      <w:proofErr w:type="spellEnd"/>
      <w:r w:rsidR="00707BA8">
        <w:rPr>
          <w:rFonts w:ascii="Arial" w:hAnsi="Arial" w:cs="Arial"/>
          <w:lang w:val="en-GB"/>
        </w:rPr>
        <w:t xml:space="preserve"> transdermal product already for sale, the f</w:t>
      </w:r>
      <w:r w:rsidRPr="00810DBC">
        <w:rPr>
          <w:rFonts w:ascii="Arial" w:hAnsi="Arial" w:cs="Arial"/>
          <w:lang w:val="en-GB"/>
        </w:rPr>
        <w:t xml:space="preserve">inal stages of development </w:t>
      </w:r>
      <w:r w:rsidR="00C35845">
        <w:rPr>
          <w:rFonts w:ascii="Arial" w:hAnsi="Arial" w:cs="Arial"/>
          <w:lang w:val="en-GB"/>
        </w:rPr>
        <w:t xml:space="preserve">and packaging </w:t>
      </w:r>
      <w:r w:rsidR="00707BA8">
        <w:rPr>
          <w:rFonts w:ascii="Arial" w:hAnsi="Arial" w:cs="Arial"/>
          <w:lang w:val="en-GB"/>
        </w:rPr>
        <w:t>of the</w:t>
      </w:r>
      <w:r w:rsidR="00C35845">
        <w:rPr>
          <w:rFonts w:ascii="Arial" w:hAnsi="Arial" w:cs="Arial"/>
          <w:lang w:val="en-GB"/>
        </w:rPr>
        <w:t xml:space="preserve"> company’s first </w:t>
      </w:r>
      <w:r w:rsidRPr="00810DBC">
        <w:rPr>
          <w:rFonts w:ascii="Arial" w:hAnsi="Arial" w:cs="Arial"/>
          <w:lang w:val="en-GB"/>
        </w:rPr>
        <w:t>Intra-oral</w:t>
      </w:r>
      <w:r w:rsidR="00C35845">
        <w:rPr>
          <w:rFonts w:ascii="Arial" w:hAnsi="Arial" w:cs="Arial"/>
          <w:lang w:val="en-GB"/>
        </w:rPr>
        <w:t xml:space="preserve"> products were completed and will be introduced to the Colorado market within the next month. </w:t>
      </w:r>
      <w:r w:rsidRPr="00810DBC">
        <w:rPr>
          <w:rFonts w:ascii="Arial" w:hAnsi="Arial" w:cs="Arial"/>
          <w:lang w:val="en-GB"/>
        </w:rPr>
        <w:t xml:space="preserve"> </w:t>
      </w:r>
    </w:p>
    <w:p w14:paraId="25A8D8D8" w14:textId="77777777" w:rsidR="00C35845" w:rsidRDefault="00C35845" w:rsidP="00005334">
      <w:pPr>
        <w:ind w:left="720"/>
        <w:rPr>
          <w:rFonts w:ascii="Arial" w:hAnsi="Arial" w:cs="Arial"/>
          <w:lang w:val="en-GB"/>
        </w:rPr>
      </w:pPr>
    </w:p>
    <w:p w14:paraId="10FF6276" w14:textId="728E7BFA" w:rsidR="00C35845" w:rsidRPr="00810DBC" w:rsidRDefault="00707BA8" w:rsidP="00C35845">
      <w:pPr>
        <w:ind w:left="720"/>
        <w:rPr>
          <w:rFonts w:ascii="Arial" w:hAnsi="Arial" w:cs="Arial"/>
          <w:lang w:val="en-GB"/>
        </w:rPr>
      </w:pPr>
      <w:r>
        <w:rPr>
          <w:rFonts w:ascii="Arial" w:hAnsi="Arial" w:cs="Arial"/>
          <w:lang w:val="en-GB"/>
        </w:rPr>
        <w:t xml:space="preserve">The Company announced in April that </w:t>
      </w:r>
      <w:r w:rsidR="00C35845" w:rsidRPr="00810DBC">
        <w:rPr>
          <w:rFonts w:ascii="Arial" w:hAnsi="Arial" w:cs="Arial"/>
          <w:lang w:val="en-GB"/>
        </w:rPr>
        <w:t>Vertical Compan</w:t>
      </w:r>
      <w:r>
        <w:rPr>
          <w:rFonts w:ascii="Arial" w:hAnsi="Arial" w:cs="Arial"/>
          <w:lang w:val="en-GB"/>
        </w:rPr>
        <w:t>ies in California began introducing</w:t>
      </w:r>
      <w:r w:rsidR="00C35845">
        <w:rPr>
          <w:rFonts w:ascii="Arial" w:hAnsi="Arial" w:cs="Arial"/>
          <w:lang w:val="en-GB"/>
        </w:rPr>
        <w:t xml:space="preserve"> the </w:t>
      </w:r>
      <w:proofErr w:type="spellStart"/>
      <w:r w:rsidR="00C35845">
        <w:rPr>
          <w:rFonts w:ascii="Arial" w:hAnsi="Arial" w:cs="Arial"/>
          <w:lang w:val="en-GB"/>
        </w:rPr>
        <w:t>NanoSerum</w:t>
      </w:r>
      <w:proofErr w:type="spellEnd"/>
      <w:r w:rsidR="00C35845">
        <w:rPr>
          <w:rFonts w:ascii="Arial" w:hAnsi="Arial" w:cs="Arial"/>
          <w:lang w:val="en-GB"/>
        </w:rPr>
        <w:t xml:space="preserve"> Transdermal product</w:t>
      </w:r>
      <w:r w:rsidR="00C35845" w:rsidRPr="00810DBC">
        <w:rPr>
          <w:rFonts w:ascii="Arial" w:hAnsi="Arial" w:cs="Arial"/>
          <w:lang w:val="en-GB"/>
        </w:rPr>
        <w:t xml:space="preserve"> </w:t>
      </w:r>
      <w:r>
        <w:rPr>
          <w:rFonts w:ascii="Arial" w:hAnsi="Arial" w:cs="Arial"/>
          <w:lang w:val="en-GB"/>
        </w:rPr>
        <w:t xml:space="preserve">to the California market on April 8, </w:t>
      </w:r>
      <w:r w:rsidR="0085673F">
        <w:rPr>
          <w:rFonts w:ascii="Arial" w:hAnsi="Arial" w:cs="Arial"/>
          <w:lang w:val="en-GB"/>
        </w:rPr>
        <w:t>2019</w:t>
      </w:r>
      <w:r>
        <w:rPr>
          <w:rFonts w:ascii="Arial" w:hAnsi="Arial" w:cs="Arial"/>
          <w:lang w:val="en-GB"/>
        </w:rPr>
        <w:t xml:space="preserve">. The first dispensary that placed an order sold out in five days and doubled the reorder. The </w:t>
      </w:r>
      <w:r w:rsidR="0085673F">
        <w:rPr>
          <w:rFonts w:ascii="Arial" w:hAnsi="Arial" w:cs="Arial"/>
          <w:lang w:val="en-GB"/>
        </w:rPr>
        <w:t>C</w:t>
      </w:r>
      <w:r>
        <w:rPr>
          <w:rFonts w:ascii="Arial" w:hAnsi="Arial" w:cs="Arial"/>
          <w:lang w:val="en-GB"/>
        </w:rPr>
        <w:t>ompany attended</w:t>
      </w:r>
      <w:r w:rsidR="00C35845" w:rsidRPr="00810DBC">
        <w:rPr>
          <w:rFonts w:ascii="Arial" w:hAnsi="Arial" w:cs="Arial"/>
          <w:lang w:val="en-GB"/>
        </w:rPr>
        <w:t xml:space="preserve"> </w:t>
      </w:r>
      <w:r>
        <w:rPr>
          <w:rFonts w:ascii="Arial" w:hAnsi="Arial" w:cs="Arial"/>
          <w:lang w:val="en-GB"/>
        </w:rPr>
        <w:t xml:space="preserve">the Hall of Flowers B2B trade show with Vertical on April 29 and 30 in Santa Rosa California and did a formal launch to industry participants throughout the state. </w:t>
      </w:r>
      <w:r w:rsidR="00D006BE">
        <w:rPr>
          <w:rFonts w:ascii="Arial" w:hAnsi="Arial" w:cs="Arial"/>
          <w:lang w:val="en-GB"/>
        </w:rPr>
        <w:t>NanoSphere is working closely with the Vertical sales team to introduce this product and expand our Evolve Brand.</w:t>
      </w:r>
    </w:p>
    <w:p w14:paraId="5993AA76" w14:textId="77777777" w:rsidR="00C35845" w:rsidRPr="00810DBC" w:rsidRDefault="00C35845" w:rsidP="00005334">
      <w:pPr>
        <w:ind w:left="720"/>
        <w:rPr>
          <w:rFonts w:ascii="Arial" w:hAnsi="Arial" w:cs="Arial"/>
          <w:lang w:val="en-GB"/>
        </w:rPr>
      </w:pPr>
    </w:p>
    <w:p w14:paraId="7CD98D5D" w14:textId="77777777" w:rsidR="00005334" w:rsidRPr="00810DBC" w:rsidRDefault="00005334" w:rsidP="00005334">
      <w:pPr>
        <w:ind w:left="720"/>
        <w:rPr>
          <w:rFonts w:ascii="Arial" w:hAnsi="Arial" w:cs="Arial"/>
          <w:lang w:val="en-GB"/>
        </w:rPr>
      </w:pPr>
    </w:p>
    <w:p w14:paraId="41111D13" w14:textId="0B9F9149" w:rsidR="00005334" w:rsidRPr="00810DBC" w:rsidRDefault="00005334" w:rsidP="00005334">
      <w:pPr>
        <w:ind w:left="720"/>
        <w:rPr>
          <w:rFonts w:ascii="Arial" w:hAnsi="Arial" w:cs="Arial"/>
          <w:lang w:val="en-GB"/>
        </w:rPr>
      </w:pPr>
    </w:p>
    <w:p w14:paraId="48954688" w14:textId="77777777" w:rsidR="00005334" w:rsidRPr="00810DBC" w:rsidRDefault="00005334" w:rsidP="00005334">
      <w:pPr>
        <w:ind w:left="720"/>
        <w:rPr>
          <w:rFonts w:ascii="Arial" w:hAnsi="Arial" w:cs="Arial"/>
          <w:lang w:val="en-GB"/>
        </w:rPr>
      </w:pPr>
    </w:p>
    <w:p w14:paraId="50794B4F" w14:textId="77777777" w:rsidR="00005334" w:rsidRDefault="00005334" w:rsidP="00005334">
      <w:pPr>
        <w:ind w:left="720"/>
        <w:rPr>
          <w:rFonts w:ascii="Arial" w:hAnsi="Arial" w:cs="Arial"/>
          <w:lang w:val="en-GB"/>
        </w:rPr>
      </w:pPr>
    </w:p>
    <w:p w14:paraId="584AF382" w14:textId="3FCD5ED8" w:rsidR="00005334" w:rsidRPr="00810DBC" w:rsidRDefault="00005334" w:rsidP="00005334">
      <w:pPr>
        <w:ind w:left="720"/>
        <w:rPr>
          <w:rFonts w:ascii="Arial" w:hAnsi="Arial" w:cs="Arial"/>
          <w:lang w:val="en-GB"/>
        </w:rPr>
      </w:pPr>
      <w:r w:rsidRPr="00810DBC">
        <w:rPr>
          <w:rFonts w:ascii="Arial" w:hAnsi="Arial" w:cs="Arial"/>
          <w:lang w:val="en-GB"/>
        </w:rPr>
        <w:t xml:space="preserve">NanoSphere through NCI </w:t>
      </w:r>
      <w:r>
        <w:rPr>
          <w:rFonts w:ascii="Arial" w:hAnsi="Arial" w:cs="Arial"/>
          <w:lang w:val="en-GB"/>
        </w:rPr>
        <w:t>completed the Master License agreement with</w:t>
      </w:r>
      <w:r w:rsidRPr="00810DBC">
        <w:rPr>
          <w:rFonts w:ascii="Arial" w:hAnsi="Arial" w:cs="Arial"/>
          <w:lang w:val="en-GB"/>
        </w:rPr>
        <w:t xml:space="preserve"> Delta 9</w:t>
      </w:r>
      <w:r>
        <w:rPr>
          <w:rFonts w:ascii="Arial" w:hAnsi="Arial" w:cs="Arial"/>
          <w:lang w:val="en-GB"/>
        </w:rPr>
        <w:t xml:space="preserve"> in January and Delta 9 received preliminary approval</w:t>
      </w:r>
      <w:r w:rsidRPr="00810DBC">
        <w:rPr>
          <w:rFonts w:ascii="Arial" w:hAnsi="Arial" w:cs="Arial"/>
          <w:lang w:val="en-GB"/>
        </w:rPr>
        <w:t xml:space="preserve"> </w:t>
      </w:r>
      <w:r>
        <w:rPr>
          <w:rFonts w:ascii="Arial" w:hAnsi="Arial" w:cs="Arial"/>
          <w:lang w:val="en-GB"/>
        </w:rPr>
        <w:t>from</w:t>
      </w:r>
      <w:r w:rsidRPr="00810DBC">
        <w:rPr>
          <w:rFonts w:ascii="Arial" w:hAnsi="Arial" w:cs="Arial"/>
          <w:lang w:val="en-GB"/>
        </w:rPr>
        <w:t xml:space="preserve"> Health Canada for the first of a number of products to be introduced to the Canadian market in 2019. </w:t>
      </w:r>
      <w:r w:rsidR="00B1386D">
        <w:rPr>
          <w:rFonts w:ascii="Arial" w:hAnsi="Arial" w:cs="Arial"/>
          <w:lang w:val="en-GB"/>
        </w:rPr>
        <w:t>NanoSphere completed delivery of</w:t>
      </w:r>
      <w:r w:rsidR="00D006BE">
        <w:rPr>
          <w:rFonts w:ascii="Arial" w:hAnsi="Arial" w:cs="Arial"/>
          <w:lang w:val="en-GB"/>
        </w:rPr>
        <w:t xml:space="preserve"> the manufacturing equipment for the NanoSphere Delivery System to Delta 9’s facility in Winnipeg </w:t>
      </w:r>
      <w:r w:rsidR="00B1386D">
        <w:rPr>
          <w:rFonts w:ascii="Arial" w:hAnsi="Arial" w:cs="Arial"/>
          <w:lang w:val="en-GB"/>
        </w:rPr>
        <w:t xml:space="preserve">in April </w:t>
      </w:r>
      <w:r w:rsidR="00D006BE">
        <w:rPr>
          <w:rFonts w:ascii="Arial" w:hAnsi="Arial" w:cs="Arial"/>
          <w:lang w:val="en-GB"/>
        </w:rPr>
        <w:t xml:space="preserve">and expects shortly to produce the first test batch for Health Canada approval of the Intraoral product. </w:t>
      </w:r>
      <w:r w:rsidRPr="00810DBC">
        <w:rPr>
          <w:rFonts w:ascii="Arial" w:hAnsi="Arial" w:cs="Arial"/>
          <w:lang w:val="en-GB"/>
        </w:rPr>
        <w:t>NCI has already begun discussions on an international basis with entities in Mexico, Germany and Australia.</w:t>
      </w:r>
      <w:r>
        <w:rPr>
          <w:rFonts w:ascii="Arial" w:hAnsi="Arial" w:cs="Arial"/>
          <w:lang w:val="en-GB"/>
        </w:rPr>
        <w:t xml:space="preserve">  Resulting from these discussions, the Company received in February its first export order for CBD Hemp products from Abba Imports in Mexico.  This in</w:t>
      </w:r>
      <w:r w:rsidR="00B1386D">
        <w:rPr>
          <w:rFonts w:ascii="Arial" w:hAnsi="Arial" w:cs="Arial"/>
          <w:lang w:val="en-GB"/>
        </w:rPr>
        <w:t>itial order is</w:t>
      </w:r>
      <w:r>
        <w:rPr>
          <w:rFonts w:ascii="Arial" w:hAnsi="Arial" w:cs="Arial"/>
          <w:lang w:val="en-GB"/>
        </w:rPr>
        <w:t xml:space="preserve"> subject to registration of the Evolve Formulas CBD Hemp transdermal </w:t>
      </w:r>
      <w:proofErr w:type="spellStart"/>
      <w:r>
        <w:rPr>
          <w:rFonts w:ascii="Arial" w:hAnsi="Arial" w:cs="Arial"/>
          <w:lang w:val="en-GB"/>
        </w:rPr>
        <w:t>NanoSerum</w:t>
      </w:r>
      <w:proofErr w:type="spellEnd"/>
      <w:r>
        <w:rPr>
          <w:rFonts w:ascii="Arial" w:hAnsi="Arial" w:cs="Arial"/>
          <w:lang w:val="en-GB"/>
        </w:rPr>
        <w:t xml:space="preserve"> by the Mexico Federal Commission for the Pro</w:t>
      </w:r>
      <w:r w:rsidR="00B1386D">
        <w:rPr>
          <w:rFonts w:ascii="Arial" w:hAnsi="Arial" w:cs="Arial"/>
          <w:lang w:val="en-GB"/>
        </w:rPr>
        <w:t xml:space="preserve">tection Against Sanitary Risks which is still pending. </w:t>
      </w:r>
    </w:p>
    <w:p w14:paraId="4E6CABF3" w14:textId="77777777" w:rsidR="00005334" w:rsidRPr="00810DBC" w:rsidRDefault="00005334" w:rsidP="00005334">
      <w:pPr>
        <w:rPr>
          <w:rFonts w:ascii="Arial" w:hAnsi="Arial" w:cs="Arial"/>
          <w:lang w:val="en-GB"/>
        </w:rPr>
      </w:pPr>
    </w:p>
    <w:p w14:paraId="1F05F995" w14:textId="0A000CFD" w:rsidR="00810DBC" w:rsidRDefault="00005334" w:rsidP="00810DBC">
      <w:pPr>
        <w:ind w:left="720"/>
        <w:rPr>
          <w:rFonts w:ascii="Arial" w:hAnsi="Arial" w:cs="Arial"/>
          <w:lang w:val="en-GB"/>
        </w:rPr>
      </w:pPr>
      <w:r>
        <w:rPr>
          <w:rFonts w:ascii="Arial" w:hAnsi="Arial" w:cs="Arial"/>
          <w:lang w:val="en-GB"/>
        </w:rPr>
        <w:t>In the United States, t</w:t>
      </w:r>
      <w:r w:rsidRPr="00810DBC">
        <w:rPr>
          <w:rFonts w:ascii="Arial" w:hAnsi="Arial" w:cs="Arial"/>
          <w:lang w:val="en-GB"/>
        </w:rPr>
        <w:t xml:space="preserve">he </w:t>
      </w:r>
      <w:r>
        <w:rPr>
          <w:rFonts w:ascii="Arial" w:hAnsi="Arial" w:cs="Arial"/>
          <w:lang w:val="en-GB"/>
        </w:rPr>
        <w:t>C</w:t>
      </w:r>
      <w:r w:rsidRPr="00810DBC">
        <w:rPr>
          <w:rFonts w:ascii="Arial" w:hAnsi="Arial" w:cs="Arial"/>
          <w:lang w:val="en-GB"/>
        </w:rPr>
        <w:t xml:space="preserve">ompany </w:t>
      </w:r>
      <w:r w:rsidR="00B1386D">
        <w:rPr>
          <w:rFonts w:ascii="Arial" w:hAnsi="Arial" w:cs="Arial"/>
          <w:lang w:val="en-GB"/>
        </w:rPr>
        <w:t>in February signed</w:t>
      </w:r>
      <w:r>
        <w:rPr>
          <w:rFonts w:ascii="Arial" w:hAnsi="Arial" w:cs="Arial"/>
          <w:lang w:val="en-GB"/>
        </w:rPr>
        <w:t xml:space="preserve"> a license agreement of t</w:t>
      </w:r>
      <w:r w:rsidR="00B1386D">
        <w:rPr>
          <w:rFonts w:ascii="Arial" w:hAnsi="Arial" w:cs="Arial"/>
          <w:lang w:val="en-GB"/>
        </w:rPr>
        <w:t>he Evolve Formulas products</w:t>
      </w:r>
      <w:r>
        <w:rPr>
          <w:rFonts w:ascii="Arial" w:hAnsi="Arial" w:cs="Arial"/>
          <w:lang w:val="en-GB"/>
        </w:rPr>
        <w:t xml:space="preserve"> </w:t>
      </w:r>
      <w:r w:rsidRPr="00810DBC">
        <w:rPr>
          <w:rFonts w:ascii="Arial" w:hAnsi="Arial" w:cs="Arial"/>
          <w:lang w:val="en-GB"/>
        </w:rPr>
        <w:t xml:space="preserve">with Cascade Pure, LLC to license the Evolve Formulas products in Oregon utilizing the NanoSphere Delivery System. </w:t>
      </w:r>
      <w:r w:rsidR="00D44D70">
        <w:rPr>
          <w:rFonts w:ascii="Arial" w:hAnsi="Arial" w:cs="Arial"/>
          <w:lang w:val="en-GB"/>
        </w:rPr>
        <w:t xml:space="preserve">Product information and packaging details have been completed and submitted in April to Oregon regulators for approval. </w:t>
      </w:r>
      <w:r>
        <w:rPr>
          <w:rFonts w:ascii="Arial" w:hAnsi="Arial" w:cs="Arial"/>
          <w:lang w:val="en-GB"/>
        </w:rPr>
        <w:t>W</w:t>
      </w:r>
      <w:r w:rsidRPr="00810DBC">
        <w:rPr>
          <w:rFonts w:ascii="Arial" w:hAnsi="Arial" w:cs="Arial"/>
          <w:lang w:val="en-GB"/>
        </w:rPr>
        <w:t xml:space="preserve">e expect products to become available in the Oregon market </w:t>
      </w:r>
      <w:r w:rsidR="00D44D70">
        <w:rPr>
          <w:rFonts w:ascii="Arial" w:hAnsi="Arial" w:cs="Arial"/>
          <w:lang w:val="en-GB"/>
        </w:rPr>
        <w:t>by July 2019</w:t>
      </w:r>
      <w:r>
        <w:rPr>
          <w:rFonts w:ascii="Arial" w:hAnsi="Arial" w:cs="Arial"/>
          <w:lang w:val="en-GB"/>
        </w:rPr>
        <w:t>. Additional licensing opportunities are under negotiations for additional States including Florida and Michigan.</w:t>
      </w:r>
      <w:r w:rsidR="00810DBC" w:rsidRPr="00810DBC">
        <w:rPr>
          <w:rFonts w:ascii="Arial" w:hAnsi="Arial" w:cs="Arial"/>
          <w:lang w:val="en-GB"/>
        </w:rPr>
        <w:t xml:space="preserve"> </w:t>
      </w:r>
    </w:p>
    <w:p w14:paraId="5023C7A4" w14:textId="77777777" w:rsidR="00D44D70" w:rsidRDefault="00D44D70" w:rsidP="00810DBC">
      <w:pPr>
        <w:ind w:left="720"/>
        <w:rPr>
          <w:rFonts w:ascii="Arial" w:hAnsi="Arial" w:cs="Arial"/>
          <w:lang w:val="en-GB"/>
        </w:rPr>
      </w:pPr>
    </w:p>
    <w:p w14:paraId="07AEB20D" w14:textId="5F370859" w:rsidR="00D44D70" w:rsidRDefault="00D44D70" w:rsidP="00810DBC">
      <w:pPr>
        <w:ind w:left="720"/>
        <w:rPr>
          <w:rFonts w:ascii="Arial" w:hAnsi="Arial" w:cs="Arial"/>
          <w:lang w:val="en-GB"/>
        </w:rPr>
      </w:pPr>
      <w:proofErr w:type="spellStart"/>
      <w:r>
        <w:rPr>
          <w:rFonts w:ascii="Arial" w:hAnsi="Arial" w:cs="Arial"/>
          <w:lang w:val="en-GB"/>
        </w:rPr>
        <w:t>NanoSphere’s</w:t>
      </w:r>
      <w:proofErr w:type="spellEnd"/>
      <w:r>
        <w:rPr>
          <w:rFonts w:ascii="Arial" w:hAnsi="Arial" w:cs="Arial"/>
          <w:lang w:val="en-GB"/>
        </w:rPr>
        <w:t xml:space="preserve"> Patent portfolio was expanded in April with the receipt of Notification of Allowance from Canada for our NSAID patent “ Non-Steroidal Anti-inflammatory Drugs “ which include ones like Ibuprofen, Aspirin and Naproxen. This is a major step forward in the delivery of these pharmaceutical products in a safe and effect</w:t>
      </w:r>
      <w:r w:rsidR="00C8352D">
        <w:rPr>
          <w:rFonts w:ascii="Arial" w:hAnsi="Arial" w:cs="Arial"/>
          <w:lang w:val="en-GB"/>
        </w:rPr>
        <w:t>ive</w:t>
      </w:r>
      <w:r>
        <w:rPr>
          <w:rFonts w:ascii="Arial" w:hAnsi="Arial" w:cs="Arial"/>
          <w:lang w:val="en-GB"/>
        </w:rPr>
        <w:t xml:space="preserve"> means</w:t>
      </w:r>
      <w:r w:rsidR="00C8352D">
        <w:rPr>
          <w:rFonts w:ascii="Arial" w:hAnsi="Arial" w:cs="Arial"/>
          <w:lang w:val="en-GB"/>
        </w:rPr>
        <w:t xml:space="preserve"> utilizing the Patented </w:t>
      </w:r>
      <w:proofErr w:type="spellStart"/>
      <w:r w:rsidR="00C8352D">
        <w:rPr>
          <w:rFonts w:ascii="Arial" w:hAnsi="Arial" w:cs="Arial"/>
          <w:lang w:val="en-GB"/>
        </w:rPr>
        <w:t>NanoSphere</w:t>
      </w:r>
      <w:proofErr w:type="spellEnd"/>
      <w:r w:rsidR="00C8352D">
        <w:rPr>
          <w:rFonts w:ascii="Arial" w:hAnsi="Arial" w:cs="Arial"/>
          <w:lang w:val="en-GB"/>
        </w:rPr>
        <w:t xml:space="preserve"> Delivery System, </w:t>
      </w:r>
      <w:r w:rsidR="0085673F">
        <w:rPr>
          <w:rFonts w:ascii="Arial" w:hAnsi="Arial" w:cs="Arial"/>
          <w:lang w:val="en-GB"/>
        </w:rPr>
        <w:t>significantly reducing</w:t>
      </w:r>
      <w:r w:rsidR="00C8352D">
        <w:rPr>
          <w:rFonts w:ascii="Arial" w:hAnsi="Arial" w:cs="Arial"/>
          <w:lang w:val="en-GB"/>
        </w:rPr>
        <w:t xml:space="preserve"> the damage from prolonged use</w:t>
      </w:r>
      <w:r>
        <w:rPr>
          <w:rFonts w:ascii="Arial" w:hAnsi="Arial" w:cs="Arial"/>
          <w:lang w:val="en-GB"/>
        </w:rPr>
        <w:t xml:space="preserve"> </w:t>
      </w:r>
      <w:r w:rsidR="00C8352D">
        <w:rPr>
          <w:rFonts w:ascii="Arial" w:hAnsi="Arial" w:cs="Arial"/>
          <w:lang w:val="en-GB"/>
        </w:rPr>
        <w:t xml:space="preserve">to the Stomach, Kidneys and Liver. </w:t>
      </w:r>
    </w:p>
    <w:p w14:paraId="6E5787C9" w14:textId="77777777" w:rsidR="00C8352D" w:rsidRDefault="00C8352D" w:rsidP="00810DBC">
      <w:pPr>
        <w:ind w:left="720"/>
        <w:rPr>
          <w:rFonts w:ascii="Arial" w:hAnsi="Arial" w:cs="Arial"/>
          <w:lang w:val="en-GB"/>
        </w:rPr>
      </w:pPr>
    </w:p>
    <w:p w14:paraId="2F012820" w14:textId="5F7BF959" w:rsidR="00C8352D" w:rsidRDefault="00C8352D" w:rsidP="00810DBC">
      <w:pPr>
        <w:ind w:left="720"/>
        <w:rPr>
          <w:rFonts w:ascii="Arial" w:hAnsi="Arial" w:cs="Arial"/>
          <w:lang w:val="en-GB"/>
        </w:rPr>
      </w:pPr>
      <w:r>
        <w:rPr>
          <w:rFonts w:ascii="Arial" w:hAnsi="Arial" w:cs="Arial"/>
          <w:lang w:val="en-GB"/>
        </w:rPr>
        <w:t xml:space="preserve">NanoSphere signed a Memorandum of Understanding in late April with Stat Shield Armor, LLC to </w:t>
      </w:r>
      <w:r w:rsidR="00C03517">
        <w:rPr>
          <w:rFonts w:ascii="Arial" w:hAnsi="Arial" w:cs="Arial"/>
          <w:lang w:val="en-GB"/>
        </w:rPr>
        <w:t xml:space="preserve">form a strategic partnership </w:t>
      </w:r>
      <w:r w:rsidR="00A162FB">
        <w:rPr>
          <w:rFonts w:ascii="Arial" w:hAnsi="Arial" w:cs="Arial"/>
          <w:lang w:val="en-GB"/>
        </w:rPr>
        <w:t>to utilize our technology in development of CBD Hemp products for veterans in the United States and throughout the globe. These products are designed to reduce pain, stress and anxiety</w:t>
      </w:r>
      <w:r w:rsidR="00E72724">
        <w:rPr>
          <w:rFonts w:ascii="Arial" w:hAnsi="Arial" w:cs="Arial"/>
          <w:lang w:val="en-GB"/>
        </w:rPr>
        <w:t xml:space="preserve"> in support of reducing the need for highly-addictive prescription drugs and other illegal drugs. </w:t>
      </w:r>
    </w:p>
    <w:p w14:paraId="370F42A1" w14:textId="77777777" w:rsidR="00E72724" w:rsidRDefault="00E72724" w:rsidP="00810DBC">
      <w:pPr>
        <w:ind w:left="720"/>
        <w:rPr>
          <w:rFonts w:ascii="Arial" w:hAnsi="Arial" w:cs="Arial"/>
          <w:lang w:val="en-GB"/>
        </w:rPr>
      </w:pPr>
    </w:p>
    <w:bookmarkEnd w:id="5"/>
    <w:p w14:paraId="5297AF38" w14:textId="00CBADF4" w:rsidR="00C62DA4" w:rsidRDefault="004508FB" w:rsidP="00E72724">
      <w:pPr>
        <w:pStyle w:val="List"/>
        <w:ind w:left="720" w:firstLine="0"/>
        <w:jc w:val="both"/>
        <w:rPr>
          <w:rFonts w:ascii="Arial" w:hAnsi="Arial" w:cs="Arial"/>
          <w:sz w:val="20"/>
        </w:rPr>
      </w:pPr>
      <w:r w:rsidRPr="00031665">
        <w:rPr>
          <w:rFonts w:ascii="Arial" w:hAnsi="Arial" w:cs="Arial"/>
          <w:sz w:val="20"/>
        </w:rPr>
        <w:t>*Note -- Regarding any sales projections, in providing financial statements under International Financial Reporting Standards</w:t>
      </w:r>
      <w:r w:rsidR="00EF4077" w:rsidRPr="00031665">
        <w:rPr>
          <w:rFonts w:ascii="Arial" w:hAnsi="Arial" w:cs="Arial"/>
          <w:sz w:val="20"/>
        </w:rPr>
        <w:t xml:space="preserve"> </w:t>
      </w:r>
      <w:r w:rsidRPr="00031665">
        <w:rPr>
          <w:rFonts w:ascii="Arial" w:hAnsi="Arial" w:cs="Arial"/>
          <w:sz w:val="20"/>
        </w:rPr>
        <w:t xml:space="preserve">-- revenues, units, and gross profit will be recorded on a calendar year basis. However, as a practical matter, it does not represent what a full year is defined as under our operations. Under our operations, because we bring in licensees and various products at various times in the year, the first year will begin the month that the SKUs are actually in production and ready for sale in the existing licensed states. For example, in California, we’ll begin in </w:t>
      </w:r>
      <w:r w:rsidR="00FD57F2" w:rsidRPr="00031665">
        <w:rPr>
          <w:rFonts w:ascii="Arial" w:hAnsi="Arial" w:cs="Arial"/>
          <w:sz w:val="20"/>
        </w:rPr>
        <w:t>October</w:t>
      </w:r>
      <w:r w:rsidRPr="00031665">
        <w:rPr>
          <w:rFonts w:ascii="Arial" w:hAnsi="Arial" w:cs="Arial"/>
          <w:sz w:val="20"/>
        </w:rPr>
        <w:t xml:space="preserve">, so the first month of its production and revenue year will begin in </w:t>
      </w:r>
      <w:r w:rsidR="00FD57F2" w:rsidRPr="00031665">
        <w:rPr>
          <w:rFonts w:ascii="Arial" w:hAnsi="Arial" w:cs="Arial"/>
          <w:sz w:val="20"/>
        </w:rPr>
        <w:t>October</w:t>
      </w:r>
      <w:r w:rsidR="0063085A" w:rsidRPr="00031665">
        <w:rPr>
          <w:rFonts w:ascii="Arial" w:hAnsi="Arial" w:cs="Arial"/>
          <w:sz w:val="20"/>
        </w:rPr>
        <w:t xml:space="preserve"> </w:t>
      </w:r>
      <w:r w:rsidRPr="00031665">
        <w:rPr>
          <w:rFonts w:ascii="Arial" w:hAnsi="Arial" w:cs="Arial"/>
          <w:sz w:val="20"/>
        </w:rPr>
        <w:t xml:space="preserve">2018 and will go through </w:t>
      </w:r>
      <w:r w:rsidR="00FD57F2" w:rsidRPr="00031665">
        <w:rPr>
          <w:rFonts w:ascii="Arial" w:hAnsi="Arial" w:cs="Arial"/>
          <w:sz w:val="20"/>
        </w:rPr>
        <w:t xml:space="preserve">October </w:t>
      </w:r>
      <w:r w:rsidRPr="00031665">
        <w:rPr>
          <w:rFonts w:ascii="Arial" w:hAnsi="Arial" w:cs="Arial"/>
          <w:sz w:val="20"/>
        </w:rPr>
        <w:t>2019. This presentation provides a more accurate revenue growth, from an operations perspective, that we expect to achieve in each of the various states and each additional new states as well as Canada.</w:t>
      </w:r>
    </w:p>
    <w:p w14:paraId="20DD2549" w14:textId="77777777" w:rsidR="00E30F10" w:rsidRPr="00234A9B" w:rsidRDefault="00E30F10">
      <w:pPr>
        <w:pStyle w:val="List"/>
        <w:ind w:left="720" w:firstLine="0"/>
        <w:jc w:val="both"/>
        <w:rPr>
          <w:rFonts w:ascii="Arial" w:hAnsi="Arial" w:cs="Arial"/>
          <w:sz w:val="20"/>
        </w:rPr>
      </w:pPr>
    </w:p>
    <w:bookmarkEnd w:id="6"/>
    <w:p w14:paraId="2029CBCA"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1B4AF1D1" w14:textId="22665981" w:rsidR="00005334" w:rsidRDefault="00005334" w:rsidP="00C67F93">
      <w:pPr>
        <w:pStyle w:val="List"/>
        <w:ind w:left="720" w:firstLine="0"/>
        <w:jc w:val="both"/>
        <w:rPr>
          <w:rFonts w:ascii="Arial" w:hAnsi="Arial" w:cs="Arial"/>
          <w:sz w:val="20"/>
        </w:rPr>
      </w:pPr>
      <w:r>
        <w:rPr>
          <w:rFonts w:ascii="Arial" w:hAnsi="Arial" w:cs="Arial"/>
          <w:sz w:val="20"/>
        </w:rPr>
        <w:t xml:space="preserve">Management supervised and assisted in the activities set out in item 1, Additionally, as a biotechnology company, with proven and patented delivery systems for a multiple of industries, the development and licensing of the Company’s products to third parties requires a lot of detailed attention to assure that the Company’s technology and patents are being adhered to precisely.  This includes the formulation, the manufacturing, the filling, and therefore the application on a retail </w:t>
      </w:r>
      <w:r>
        <w:rPr>
          <w:rFonts w:ascii="Arial" w:hAnsi="Arial" w:cs="Arial"/>
          <w:sz w:val="20"/>
        </w:rPr>
        <w:lastRenderedPageBreak/>
        <w:t>basis. The full monetization of the Company’s patented technologies can be a slow and time-consuming process.  Management expects operations to expand into various parts the Unites States, Canada, and internationally to be in full m</w:t>
      </w:r>
      <w:r w:rsidR="00E72724">
        <w:rPr>
          <w:rFonts w:ascii="Arial" w:hAnsi="Arial" w:cs="Arial"/>
          <w:sz w:val="20"/>
        </w:rPr>
        <w:t xml:space="preserve">otion during 2019. </w:t>
      </w:r>
    </w:p>
    <w:p w14:paraId="4693C643" w14:textId="43D7071C" w:rsidR="00C97526" w:rsidRPr="00B33AB0" w:rsidRDefault="00005334" w:rsidP="00216B09">
      <w:pPr>
        <w:pStyle w:val="List"/>
        <w:ind w:left="720" w:firstLine="0"/>
        <w:jc w:val="both"/>
        <w:rPr>
          <w:rFonts w:ascii="Arial" w:hAnsi="Arial" w:cs="Arial"/>
          <w:sz w:val="20"/>
        </w:rPr>
      </w:pPr>
      <w:r>
        <w:rPr>
          <w:rFonts w:ascii="Arial" w:hAnsi="Arial" w:cs="Arial"/>
          <w:sz w:val="20"/>
        </w:rPr>
        <w:t>The Co</w:t>
      </w:r>
      <w:r w:rsidR="00E72724">
        <w:rPr>
          <w:rFonts w:ascii="Arial" w:hAnsi="Arial" w:cs="Arial"/>
          <w:sz w:val="20"/>
        </w:rPr>
        <w:t>mpany filed the year end December 31, 2018 financial statements on April 30, 2019.</w:t>
      </w:r>
      <w:r w:rsidR="00397A75">
        <w:rPr>
          <w:rFonts w:ascii="Arial" w:hAnsi="Arial" w:cs="Arial"/>
          <w:sz w:val="20"/>
        </w:rPr>
        <w:t xml:space="preserve"> </w:t>
      </w:r>
    </w:p>
    <w:p w14:paraId="52B17AF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DC84C72" w14:textId="1DBA3861" w:rsidR="00016EA8" w:rsidRPr="00B33AB0" w:rsidRDefault="00E72724" w:rsidP="00016EA8">
      <w:pPr>
        <w:pStyle w:val="List"/>
        <w:ind w:left="720" w:firstLine="0"/>
        <w:jc w:val="both"/>
        <w:rPr>
          <w:rFonts w:ascii="Arial" w:hAnsi="Arial" w:cs="Arial"/>
          <w:sz w:val="20"/>
        </w:rPr>
      </w:pPr>
      <w:r>
        <w:rPr>
          <w:rFonts w:ascii="Arial" w:hAnsi="Arial" w:cs="Arial"/>
          <w:sz w:val="20"/>
        </w:rPr>
        <w:t xml:space="preserve">The Company expanded the sale of its products to California in April 2019. </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35D4C3AB" w:rsidR="001D2340" w:rsidRPr="00B33AB0" w:rsidRDefault="00E72724" w:rsidP="001D2340">
      <w:pPr>
        <w:pStyle w:val="List"/>
        <w:ind w:left="720" w:firstLine="0"/>
        <w:jc w:val="both"/>
        <w:rPr>
          <w:rFonts w:ascii="Arial" w:hAnsi="Arial" w:cs="Arial"/>
          <w:sz w:val="20"/>
        </w:rPr>
      </w:pPr>
      <w:r>
        <w:rPr>
          <w:rFonts w:ascii="Arial" w:hAnsi="Arial" w:cs="Arial"/>
          <w:sz w:val="20"/>
        </w:rPr>
        <w:t xml:space="preserve">The Company terminated the LOI with 4Evergrn, LLC in the state of Oklahoma expired. </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19E6D25A" w:rsidR="001D2340" w:rsidRPr="00B33AB0" w:rsidRDefault="00C97526" w:rsidP="001D2340">
      <w:pPr>
        <w:pStyle w:val="List"/>
        <w:ind w:left="720" w:firstLine="0"/>
        <w:jc w:val="both"/>
        <w:rPr>
          <w:rFonts w:ascii="Arial" w:hAnsi="Arial" w:cs="Arial"/>
          <w:sz w:val="20"/>
        </w:rPr>
      </w:pPr>
      <w:r>
        <w:rPr>
          <w:rFonts w:ascii="Arial" w:hAnsi="Arial" w:cs="Arial"/>
          <w:sz w:val="20"/>
        </w:rPr>
        <w:t>See Item 1</w:t>
      </w:r>
      <w:r w:rsidR="001D234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7777777" w:rsidR="0050399F" w:rsidRPr="00B33AB0" w:rsidRDefault="0063085A" w:rsidP="0050399F">
      <w:pPr>
        <w:pStyle w:val="List"/>
        <w:ind w:left="720" w:firstLine="0"/>
        <w:jc w:val="both"/>
        <w:rPr>
          <w:rFonts w:ascii="Arial" w:hAnsi="Arial" w:cs="Arial"/>
          <w:sz w:val="20"/>
        </w:rPr>
      </w:pPr>
      <w:r>
        <w:rPr>
          <w:rFonts w:ascii="Arial" w:hAnsi="Arial" w:cs="Arial"/>
          <w:sz w:val="20"/>
        </w:rPr>
        <w:t>See Item 1</w:t>
      </w:r>
      <w:r w:rsidR="0050399F" w:rsidRPr="00F12FD2">
        <w:rPr>
          <w:rFonts w:ascii="Arial" w:hAnsi="Arial" w:cs="Arial"/>
          <w:sz w:val="20"/>
        </w:rPr>
        <w:t>.</w:t>
      </w:r>
    </w:p>
    <w:p w14:paraId="737ED22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12E303D5" w14:textId="77777777" w:rsidR="00151D91" w:rsidRDefault="00E72724" w:rsidP="00151D91">
      <w:pPr>
        <w:pStyle w:val="List"/>
        <w:ind w:left="720" w:firstLine="0"/>
        <w:jc w:val="both"/>
        <w:rPr>
          <w:rFonts w:ascii="Arial" w:hAnsi="Arial" w:cs="Arial"/>
          <w:sz w:val="20"/>
        </w:rPr>
      </w:pPr>
      <w:r>
        <w:rPr>
          <w:rFonts w:ascii="Arial" w:hAnsi="Arial" w:cs="Arial"/>
          <w:sz w:val="20"/>
        </w:rPr>
        <w:t xml:space="preserve">NanoSphere received </w:t>
      </w:r>
      <w:r w:rsidR="00151D91">
        <w:rPr>
          <w:rFonts w:ascii="Arial" w:hAnsi="Arial" w:cs="Arial"/>
          <w:sz w:val="20"/>
        </w:rPr>
        <w:t>in April Notification of Allowan</w:t>
      </w:r>
      <w:r>
        <w:rPr>
          <w:rFonts w:ascii="Arial" w:hAnsi="Arial" w:cs="Arial"/>
          <w:sz w:val="20"/>
        </w:rPr>
        <w:t>ce</w:t>
      </w:r>
      <w:r w:rsidR="00151D91">
        <w:rPr>
          <w:rFonts w:ascii="Arial" w:hAnsi="Arial" w:cs="Arial"/>
          <w:sz w:val="20"/>
        </w:rPr>
        <w:t xml:space="preserve"> in Canada for its patent for NSAID’S </w:t>
      </w:r>
    </w:p>
    <w:p w14:paraId="6351339A" w14:textId="2A16BCD3" w:rsidR="00174A91" w:rsidRPr="00151D91" w:rsidRDefault="00151D91" w:rsidP="00151D91">
      <w:pPr>
        <w:pStyle w:val="List"/>
        <w:ind w:left="720" w:firstLine="0"/>
        <w:jc w:val="both"/>
        <w:rPr>
          <w:rFonts w:ascii="Arial" w:hAnsi="Arial" w:cs="Arial"/>
          <w:sz w:val="20"/>
        </w:rPr>
      </w:pPr>
      <w:r w:rsidRPr="00151D91">
        <w:rPr>
          <w:rFonts w:ascii="Arial" w:hAnsi="Arial" w:cs="Arial"/>
          <w:sz w:val="20"/>
        </w:rPr>
        <w:t>“ Non-Steroidal Anti-inflammatory Drugs “</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4A0FAF30" w14:textId="47207D2B" w:rsidR="00174A91" w:rsidRPr="00B33AB0" w:rsidRDefault="00C97526" w:rsidP="00174A91">
      <w:pPr>
        <w:pStyle w:val="List"/>
        <w:ind w:left="720" w:firstLine="0"/>
        <w:jc w:val="both"/>
        <w:rPr>
          <w:rFonts w:ascii="Arial" w:hAnsi="Arial" w:cs="Arial"/>
          <w:sz w:val="20"/>
        </w:rPr>
      </w:pPr>
      <w:r>
        <w:rPr>
          <w:rFonts w:ascii="Arial" w:hAnsi="Arial" w:cs="Arial"/>
          <w:sz w:val="20"/>
        </w:rPr>
        <w:t>See Item 1</w:t>
      </w:r>
      <w:r w:rsidR="00B85117">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1279F5"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14:paraId="05ADB40F" w14:textId="77777777" w:rsidTr="008D686D">
        <w:tc>
          <w:tcPr>
            <w:tcW w:w="2394" w:type="dxa"/>
          </w:tcPr>
          <w:p w14:paraId="38A14F90" w14:textId="69DBE8FA" w:rsidR="00640E94" w:rsidRPr="00B33AB0" w:rsidRDefault="00684685" w:rsidP="00DF408C">
            <w:pPr>
              <w:pStyle w:val="List"/>
              <w:tabs>
                <w:tab w:val="left" w:pos="360"/>
              </w:tabs>
              <w:spacing w:before="0" w:line="280" w:lineRule="exact"/>
              <w:ind w:left="0" w:firstLine="0"/>
              <w:jc w:val="center"/>
              <w:rPr>
                <w:rFonts w:ascii="Arial" w:hAnsi="Arial" w:cs="Arial"/>
                <w:sz w:val="20"/>
              </w:rPr>
            </w:pPr>
            <w:r>
              <w:rPr>
                <w:rFonts w:ascii="Arial" w:hAnsi="Arial" w:cs="Arial"/>
                <w:sz w:val="20"/>
              </w:rPr>
              <w:t>N/A</w:t>
            </w:r>
            <w:r w:rsidR="00151D91">
              <w:rPr>
                <w:rFonts w:ascii="Arial" w:hAnsi="Arial" w:cs="Arial"/>
                <w:sz w:val="20"/>
              </w:rPr>
              <w:t xml:space="preserve"> </w:t>
            </w:r>
          </w:p>
        </w:tc>
        <w:tc>
          <w:tcPr>
            <w:tcW w:w="2394" w:type="dxa"/>
          </w:tcPr>
          <w:p w14:paraId="1F76135E" w14:textId="7F28A13C" w:rsidR="00640E94" w:rsidRPr="00B33AB0" w:rsidRDefault="00640E94" w:rsidP="007A677D">
            <w:pPr>
              <w:pStyle w:val="List"/>
              <w:tabs>
                <w:tab w:val="left" w:pos="360"/>
              </w:tabs>
              <w:spacing w:before="0" w:line="280" w:lineRule="exact"/>
              <w:ind w:left="0" w:firstLine="0"/>
              <w:jc w:val="both"/>
              <w:rPr>
                <w:rFonts w:ascii="Arial" w:hAnsi="Arial" w:cs="Arial"/>
                <w:sz w:val="20"/>
              </w:rPr>
            </w:pPr>
          </w:p>
        </w:tc>
        <w:tc>
          <w:tcPr>
            <w:tcW w:w="2394" w:type="dxa"/>
          </w:tcPr>
          <w:p w14:paraId="0FD1BEA4" w14:textId="10E36865" w:rsidR="00640E94" w:rsidRPr="00B33AB0" w:rsidRDefault="00640E94" w:rsidP="00D03276">
            <w:pPr>
              <w:pStyle w:val="List"/>
              <w:tabs>
                <w:tab w:val="left" w:pos="360"/>
              </w:tabs>
              <w:spacing w:before="0" w:line="280" w:lineRule="exact"/>
              <w:ind w:left="0" w:firstLine="0"/>
              <w:rPr>
                <w:rFonts w:ascii="Arial" w:hAnsi="Arial" w:cs="Arial"/>
                <w:sz w:val="20"/>
              </w:rPr>
            </w:pPr>
          </w:p>
        </w:tc>
        <w:tc>
          <w:tcPr>
            <w:tcW w:w="2394" w:type="dxa"/>
          </w:tcPr>
          <w:p w14:paraId="7C8B439C" w14:textId="1AE651F8" w:rsidR="00640E94" w:rsidRPr="00B33AB0" w:rsidRDefault="00640E94" w:rsidP="00F95DDF">
            <w:pPr>
              <w:pStyle w:val="List"/>
              <w:tabs>
                <w:tab w:val="left" w:pos="360"/>
              </w:tabs>
              <w:spacing w:before="0" w:line="280" w:lineRule="exact"/>
              <w:ind w:left="0" w:firstLine="0"/>
              <w:rPr>
                <w:rFonts w:ascii="Arial" w:hAnsi="Arial" w:cs="Arial"/>
                <w:sz w:val="20"/>
              </w:rPr>
            </w:pPr>
          </w:p>
        </w:tc>
      </w:tr>
      <w:tr w:rsidR="008D686D" w:rsidRPr="00B33AB0" w14:paraId="7CA52EEE" w14:textId="77777777" w:rsidTr="008D686D">
        <w:tc>
          <w:tcPr>
            <w:tcW w:w="2394" w:type="dxa"/>
          </w:tcPr>
          <w:p w14:paraId="73E144A4" w14:textId="7636A29F"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24133354" w14:textId="2BDA713B"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0FA4D8CA" w14:textId="54BE83FD" w:rsidR="008D686D" w:rsidRPr="00B33AB0" w:rsidRDefault="008D686D" w:rsidP="002A1E89">
            <w:pPr>
              <w:pStyle w:val="List"/>
              <w:tabs>
                <w:tab w:val="left" w:pos="360"/>
              </w:tabs>
              <w:spacing w:before="0" w:line="280" w:lineRule="exact"/>
              <w:ind w:left="0" w:firstLine="0"/>
              <w:rPr>
                <w:rFonts w:ascii="Arial" w:hAnsi="Arial" w:cs="Arial"/>
                <w:sz w:val="20"/>
              </w:rPr>
            </w:pPr>
          </w:p>
        </w:tc>
        <w:tc>
          <w:tcPr>
            <w:tcW w:w="2394" w:type="dxa"/>
          </w:tcPr>
          <w:p w14:paraId="421D647F" w14:textId="58455314" w:rsidR="00E42F43" w:rsidRPr="00B33AB0" w:rsidRDefault="00E42F43" w:rsidP="008D686D">
            <w:pPr>
              <w:pStyle w:val="List"/>
              <w:tabs>
                <w:tab w:val="left" w:pos="360"/>
              </w:tabs>
              <w:spacing w:before="0" w:line="280" w:lineRule="exact"/>
              <w:ind w:left="0" w:firstLine="0"/>
              <w:jc w:val="both"/>
              <w:rPr>
                <w:rFonts w:ascii="Arial" w:hAnsi="Arial" w:cs="Arial"/>
                <w:sz w:val="20"/>
              </w:rPr>
            </w:pP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2C380DCD"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3A853827" w14:textId="77777777"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06076882"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85673F">
        <w:rPr>
          <w:rFonts w:ascii="Arial" w:hAnsi="Arial" w:cs="Arial"/>
          <w:sz w:val="20"/>
          <w:u w:val="single"/>
        </w:rPr>
        <w:t>May 7</w:t>
      </w:r>
      <w:r w:rsidR="00B7445B">
        <w:rPr>
          <w:rFonts w:ascii="Arial" w:hAnsi="Arial" w:cs="Arial"/>
          <w:sz w:val="20"/>
          <w:u w:val="single"/>
        </w:rPr>
        <w:t>, 2019</w:t>
      </w:r>
      <w:r w:rsidRPr="00B33AB0">
        <w:rPr>
          <w:rFonts w:ascii="Arial" w:hAnsi="Arial" w:cs="Arial"/>
          <w:sz w:val="20"/>
          <w:u w:val="single"/>
        </w:rPr>
        <w:tab/>
      </w:r>
      <w:r w:rsidRPr="00B33AB0">
        <w:rPr>
          <w:rFonts w:ascii="Arial" w:hAnsi="Arial" w:cs="Arial"/>
          <w:sz w:val="20"/>
        </w:rPr>
        <w:t>.</w:t>
      </w:r>
    </w:p>
    <w:p w14:paraId="5A89F8A7" w14:textId="77777777"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7777777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E1510E" w:rsidRPr="002D6E86">
        <w:rPr>
          <w:rFonts w:ascii="Arial" w:hAnsi="Arial" w:cs="Arial"/>
          <w:i/>
          <w:sz w:val="20"/>
          <w:u w:val="single"/>
        </w:rPr>
        <w:t>Robert Sutton</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4C149CE1" w14:textId="77777777"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14:paraId="4DD33290" w14:textId="77777777"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Pr>
          <w:rFonts w:ascii="Arial" w:hAnsi="Arial" w:cs="Arial"/>
          <w:sz w:val="20"/>
          <w:u w:val="single"/>
        </w:rPr>
        <w:t>Jim Ewing</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3A479B73" w14:textId="77777777"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Pr="002D6E86">
        <w:rPr>
          <w:rFonts w:ascii="Arial" w:hAnsi="Arial" w:cs="Arial"/>
          <w:i/>
          <w:sz w:val="20"/>
          <w:u w:val="single"/>
        </w:rPr>
        <w:t>Jim Ewing</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68235C26" w14:textId="77777777" w:rsidR="00A01BF8" w:rsidRDefault="00A01BF8" w:rsidP="00A01BF8">
      <w:pPr>
        <w:pStyle w:val="BodyText"/>
        <w:tabs>
          <w:tab w:val="left" w:pos="9180"/>
        </w:tabs>
        <w:ind w:left="5760"/>
        <w:rPr>
          <w:rFonts w:ascii="Arial" w:hAnsi="Arial" w:cs="Arial"/>
          <w:sz w:val="20"/>
        </w:rPr>
      </w:pPr>
      <w:r>
        <w:rPr>
          <w:rFonts w:ascii="Arial" w:hAnsi="Arial" w:cs="Arial"/>
          <w:sz w:val="20"/>
          <w:u w:val="single"/>
        </w:rPr>
        <w:t xml:space="preserve">Controller </w:t>
      </w:r>
      <w:r w:rsidRPr="00B33AB0">
        <w:rPr>
          <w:rFonts w:ascii="Arial" w:hAnsi="Arial" w:cs="Arial"/>
          <w:sz w:val="20"/>
          <w:u w:val="single"/>
        </w:rPr>
        <w:tab/>
      </w:r>
      <w:r w:rsidRPr="00B33AB0">
        <w:rPr>
          <w:rFonts w:ascii="Arial" w:hAnsi="Arial" w:cs="Arial"/>
          <w:sz w:val="20"/>
        </w:rPr>
        <w:br/>
        <w:t>Official Capacity</w:t>
      </w:r>
    </w:p>
    <w:p w14:paraId="2F9301AF" w14:textId="77777777"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7C32BA18" w:rsidR="007A677D" w:rsidRPr="00B33AB0" w:rsidRDefault="004E1F64" w:rsidP="00B33AB0">
            <w:pPr>
              <w:pStyle w:val="BodyText"/>
              <w:rPr>
                <w:rFonts w:ascii="Arial" w:hAnsi="Arial" w:cs="Arial"/>
                <w:sz w:val="20"/>
              </w:rPr>
            </w:pPr>
            <w:r>
              <w:rPr>
                <w:rFonts w:ascii="Arial" w:hAnsi="Arial" w:cs="Arial"/>
                <w:sz w:val="20"/>
              </w:rPr>
              <w:t xml:space="preserve">2019 </w:t>
            </w:r>
            <w:r w:rsidR="00726CA9">
              <w:rPr>
                <w:rFonts w:ascii="Arial" w:hAnsi="Arial" w:cs="Arial"/>
                <w:sz w:val="20"/>
              </w:rPr>
              <w:t>April</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5169D3F3" w:rsidR="007A677D" w:rsidRPr="00B33AB0" w:rsidRDefault="007A677D" w:rsidP="007A677D">
            <w:pPr>
              <w:pStyle w:val="BodyText"/>
              <w:rPr>
                <w:rFonts w:ascii="Arial" w:hAnsi="Arial" w:cs="Arial"/>
                <w:sz w:val="20"/>
              </w:rPr>
            </w:pPr>
            <w:r>
              <w:rPr>
                <w:rFonts w:ascii="Arial" w:hAnsi="Arial" w:cs="Arial"/>
                <w:sz w:val="20"/>
              </w:rPr>
              <w:t>201</w:t>
            </w:r>
            <w:r w:rsidR="00736DE7">
              <w:rPr>
                <w:rFonts w:ascii="Arial" w:hAnsi="Arial" w:cs="Arial"/>
                <w:sz w:val="20"/>
              </w:rPr>
              <w:t>9/</w:t>
            </w:r>
            <w:r w:rsidR="004E1F64">
              <w:rPr>
                <w:rFonts w:ascii="Arial" w:hAnsi="Arial" w:cs="Arial"/>
                <w:sz w:val="20"/>
              </w:rPr>
              <w:t>0</w:t>
            </w:r>
            <w:r w:rsidR="00B75F6C">
              <w:rPr>
                <w:rFonts w:ascii="Arial" w:hAnsi="Arial" w:cs="Arial"/>
                <w:sz w:val="20"/>
              </w:rPr>
              <w:t>5</w:t>
            </w:r>
            <w:r w:rsidR="009B2E6A">
              <w:rPr>
                <w:rFonts w:ascii="Arial" w:hAnsi="Arial" w:cs="Arial"/>
                <w:sz w:val="20"/>
              </w:rPr>
              <w:t>/</w:t>
            </w:r>
            <w:r w:rsidR="005C1543">
              <w:rPr>
                <w:rFonts w:ascii="Arial" w:hAnsi="Arial" w:cs="Arial"/>
                <w:sz w:val="20"/>
              </w:rPr>
              <w:t>0</w:t>
            </w:r>
            <w:r w:rsidR="00B75F6C">
              <w:rPr>
                <w:rFonts w:ascii="Arial" w:hAnsi="Arial" w:cs="Arial"/>
                <w:sz w:val="20"/>
              </w:rPr>
              <w:t>7</w:t>
            </w:r>
            <w:bookmarkStart w:id="7" w:name="_GoBack"/>
            <w:bookmarkEnd w:id="7"/>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77777777" w:rsidR="00640E94" w:rsidRPr="00B33AB0" w:rsidRDefault="00FA7B53" w:rsidP="00FA7B53">
            <w:pPr>
              <w:pStyle w:val="BodyText"/>
              <w:rPr>
                <w:rFonts w:ascii="Arial" w:hAnsi="Arial" w:cs="Arial"/>
                <w:sz w:val="20"/>
              </w:rPr>
            </w:pPr>
            <w:r>
              <w:rPr>
                <w:rFonts w:ascii="Arial" w:hAnsi="Arial" w:cs="Arial"/>
                <w:sz w:val="20"/>
              </w:rPr>
              <w:t>#</w:t>
            </w:r>
            <w:r w:rsidR="007D4733">
              <w:rPr>
                <w:rFonts w:ascii="Arial" w:hAnsi="Arial" w:cs="Arial"/>
                <w:sz w:val="20"/>
              </w:rPr>
              <w:t>1130 – 5445 DTC Parkway</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w:t>
            </w:r>
            <w:r w:rsidR="007D4733">
              <w:rPr>
                <w:rFonts w:ascii="Arial" w:hAnsi="Arial" w:cs="Arial"/>
                <w:sz w:val="20"/>
              </w:rPr>
              <w:t>845</w:t>
            </w:r>
            <w:r w:rsidR="00FA7B53">
              <w:rPr>
                <w:rFonts w:ascii="Arial" w:hAnsi="Arial" w:cs="Arial"/>
                <w:sz w:val="20"/>
              </w:rPr>
              <w:t>-</w:t>
            </w:r>
            <w:r w:rsidR="007D4733">
              <w:rPr>
                <w:rFonts w:ascii="Arial" w:hAnsi="Arial" w:cs="Arial"/>
                <w:sz w:val="20"/>
              </w:rPr>
              <w:t>1465</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77777777"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77777777"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77777777" w:rsidR="00FA7B53" w:rsidRPr="00B33AB0" w:rsidRDefault="00FA7B53" w:rsidP="00FA7B53">
            <w:pPr>
              <w:pStyle w:val="BodyText"/>
              <w:rPr>
                <w:rFonts w:ascii="Arial" w:hAnsi="Arial" w:cs="Arial"/>
                <w:sz w:val="20"/>
              </w:rPr>
            </w:pPr>
            <w:r>
              <w:rPr>
                <w:rFonts w:ascii="Arial" w:hAnsi="Arial" w:cs="Arial"/>
                <w:sz w:val="20"/>
              </w:rPr>
              <w:t xml:space="preserve">(720) </w:t>
            </w:r>
            <w:r w:rsidR="007D4733">
              <w:rPr>
                <w:rFonts w:ascii="Arial" w:hAnsi="Arial" w:cs="Arial"/>
                <w:sz w:val="20"/>
              </w:rPr>
              <w:t>845</w:t>
            </w:r>
            <w:r>
              <w:rPr>
                <w:rFonts w:ascii="Arial" w:hAnsi="Arial" w:cs="Arial"/>
                <w:sz w:val="20"/>
              </w:rPr>
              <w:t>-</w:t>
            </w:r>
            <w:r w:rsidR="007D4733">
              <w:rPr>
                <w:rFonts w:ascii="Arial" w:hAnsi="Arial" w:cs="Arial"/>
                <w:sz w:val="20"/>
              </w:rPr>
              <w:t>1480</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14:paraId="25AEACBD" w14:textId="77777777"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B612" w14:textId="77777777" w:rsidR="00111306" w:rsidRDefault="00111306">
      <w:r>
        <w:separator/>
      </w:r>
    </w:p>
  </w:endnote>
  <w:endnote w:type="continuationSeparator" w:id="0">
    <w:p w14:paraId="4448AAC4" w14:textId="77777777" w:rsidR="00111306" w:rsidRDefault="001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728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7777777" w:rsidR="00E72724" w:rsidRPr="00A64C58" w:rsidRDefault="00E72724"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29A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489A3" w14:textId="77777777" w:rsidR="00111306" w:rsidRDefault="00111306">
      <w:pPr>
        <w:rPr>
          <w:noProof/>
        </w:rPr>
      </w:pPr>
      <w:r>
        <w:rPr>
          <w:noProof/>
        </w:rPr>
        <w:separator/>
      </w:r>
    </w:p>
  </w:footnote>
  <w:footnote w:type="continuationSeparator" w:id="0">
    <w:p w14:paraId="289E8F2F" w14:textId="77777777" w:rsidR="00111306" w:rsidRDefault="0011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747" w14:textId="77777777" w:rsidR="00E72724" w:rsidRDefault="00E7272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05334"/>
    <w:rsid w:val="000138C1"/>
    <w:rsid w:val="00016EA8"/>
    <w:rsid w:val="00021177"/>
    <w:rsid w:val="000252F9"/>
    <w:rsid w:val="000300C1"/>
    <w:rsid w:val="00031665"/>
    <w:rsid w:val="00033E48"/>
    <w:rsid w:val="0004379C"/>
    <w:rsid w:val="00047511"/>
    <w:rsid w:val="000618FD"/>
    <w:rsid w:val="00063101"/>
    <w:rsid w:val="00073DC5"/>
    <w:rsid w:val="0007455C"/>
    <w:rsid w:val="000813C6"/>
    <w:rsid w:val="000924A1"/>
    <w:rsid w:val="000A07BD"/>
    <w:rsid w:val="000A1AB1"/>
    <w:rsid w:val="000B25C1"/>
    <w:rsid w:val="000B31F8"/>
    <w:rsid w:val="000C49DC"/>
    <w:rsid w:val="000C673B"/>
    <w:rsid w:val="000D254B"/>
    <w:rsid w:val="000D69E5"/>
    <w:rsid w:val="000E54E3"/>
    <w:rsid w:val="000E784B"/>
    <w:rsid w:val="001011E2"/>
    <w:rsid w:val="001032EC"/>
    <w:rsid w:val="00111306"/>
    <w:rsid w:val="001125CB"/>
    <w:rsid w:val="001237DA"/>
    <w:rsid w:val="0012450D"/>
    <w:rsid w:val="00125132"/>
    <w:rsid w:val="00136BF4"/>
    <w:rsid w:val="00137F6E"/>
    <w:rsid w:val="00141E6F"/>
    <w:rsid w:val="00151D91"/>
    <w:rsid w:val="00174A91"/>
    <w:rsid w:val="00196E4A"/>
    <w:rsid w:val="001A01DD"/>
    <w:rsid w:val="001C3AE3"/>
    <w:rsid w:val="001C673A"/>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73489"/>
    <w:rsid w:val="002743A6"/>
    <w:rsid w:val="00280D29"/>
    <w:rsid w:val="002833F9"/>
    <w:rsid w:val="002912D7"/>
    <w:rsid w:val="002913D0"/>
    <w:rsid w:val="002A1E89"/>
    <w:rsid w:val="002B524D"/>
    <w:rsid w:val="002C2503"/>
    <w:rsid w:val="002C281E"/>
    <w:rsid w:val="002C6AB5"/>
    <w:rsid w:val="002D3BD2"/>
    <w:rsid w:val="002D3EE5"/>
    <w:rsid w:val="002D6E86"/>
    <w:rsid w:val="002E3EAB"/>
    <w:rsid w:val="002E5FCB"/>
    <w:rsid w:val="002F00EB"/>
    <w:rsid w:val="003003DE"/>
    <w:rsid w:val="0031696A"/>
    <w:rsid w:val="003507C1"/>
    <w:rsid w:val="00362CE2"/>
    <w:rsid w:val="00366221"/>
    <w:rsid w:val="003669A9"/>
    <w:rsid w:val="00371A64"/>
    <w:rsid w:val="003863DA"/>
    <w:rsid w:val="00387316"/>
    <w:rsid w:val="00387FA8"/>
    <w:rsid w:val="00397A75"/>
    <w:rsid w:val="003A4B61"/>
    <w:rsid w:val="003A51CC"/>
    <w:rsid w:val="003C38D0"/>
    <w:rsid w:val="003C43C9"/>
    <w:rsid w:val="003D6858"/>
    <w:rsid w:val="003D7D47"/>
    <w:rsid w:val="003E2763"/>
    <w:rsid w:val="00400714"/>
    <w:rsid w:val="00425A45"/>
    <w:rsid w:val="0043338E"/>
    <w:rsid w:val="004376CF"/>
    <w:rsid w:val="004508FB"/>
    <w:rsid w:val="00452B1A"/>
    <w:rsid w:val="004640D8"/>
    <w:rsid w:val="0046498A"/>
    <w:rsid w:val="00465E77"/>
    <w:rsid w:val="00476483"/>
    <w:rsid w:val="004859E3"/>
    <w:rsid w:val="00491920"/>
    <w:rsid w:val="00497744"/>
    <w:rsid w:val="004A38AB"/>
    <w:rsid w:val="004C1039"/>
    <w:rsid w:val="004C3F36"/>
    <w:rsid w:val="004C5E81"/>
    <w:rsid w:val="004D364E"/>
    <w:rsid w:val="004D4528"/>
    <w:rsid w:val="004E1F64"/>
    <w:rsid w:val="004E4838"/>
    <w:rsid w:val="004E50BF"/>
    <w:rsid w:val="004F4300"/>
    <w:rsid w:val="005000FD"/>
    <w:rsid w:val="0050399F"/>
    <w:rsid w:val="0050774F"/>
    <w:rsid w:val="00525B26"/>
    <w:rsid w:val="005453C8"/>
    <w:rsid w:val="005517FA"/>
    <w:rsid w:val="0056281B"/>
    <w:rsid w:val="00571CC4"/>
    <w:rsid w:val="005745B9"/>
    <w:rsid w:val="00574B86"/>
    <w:rsid w:val="00587134"/>
    <w:rsid w:val="00587CC1"/>
    <w:rsid w:val="00590BAE"/>
    <w:rsid w:val="0059245C"/>
    <w:rsid w:val="005A7572"/>
    <w:rsid w:val="005C1543"/>
    <w:rsid w:val="005C7212"/>
    <w:rsid w:val="005F0169"/>
    <w:rsid w:val="005F07D6"/>
    <w:rsid w:val="005F1CEC"/>
    <w:rsid w:val="005F6D8F"/>
    <w:rsid w:val="00601E8E"/>
    <w:rsid w:val="00620E7F"/>
    <w:rsid w:val="0063085A"/>
    <w:rsid w:val="00632ED9"/>
    <w:rsid w:val="00633ED3"/>
    <w:rsid w:val="006354F8"/>
    <w:rsid w:val="00635E9A"/>
    <w:rsid w:val="00640E94"/>
    <w:rsid w:val="006618E5"/>
    <w:rsid w:val="006620AF"/>
    <w:rsid w:val="00671825"/>
    <w:rsid w:val="00684685"/>
    <w:rsid w:val="006878F4"/>
    <w:rsid w:val="00690E58"/>
    <w:rsid w:val="006966A7"/>
    <w:rsid w:val="006A6EE0"/>
    <w:rsid w:val="006B4E04"/>
    <w:rsid w:val="006B757B"/>
    <w:rsid w:val="006C160B"/>
    <w:rsid w:val="006C1EF3"/>
    <w:rsid w:val="006C526C"/>
    <w:rsid w:val="006C5D2A"/>
    <w:rsid w:val="006C6E1D"/>
    <w:rsid w:val="006D026A"/>
    <w:rsid w:val="006D11CB"/>
    <w:rsid w:val="006D1A06"/>
    <w:rsid w:val="006F6B86"/>
    <w:rsid w:val="00706D3C"/>
    <w:rsid w:val="00707BA8"/>
    <w:rsid w:val="0072023A"/>
    <w:rsid w:val="00726CA9"/>
    <w:rsid w:val="00736DE7"/>
    <w:rsid w:val="0074598F"/>
    <w:rsid w:val="00754240"/>
    <w:rsid w:val="00755F8B"/>
    <w:rsid w:val="0076692E"/>
    <w:rsid w:val="00770038"/>
    <w:rsid w:val="0077748F"/>
    <w:rsid w:val="00786675"/>
    <w:rsid w:val="00794835"/>
    <w:rsid w:val="00794E8A"/>
    <w:rsid w:val="007A3A0E"/>
    <w:rsid w:val="007A677D"/>
    <w:rsid w:val="007B7F5D"/>
    <w:rsid w:val="007C7FE7"/>
    <w:rsid w:val="007D0C9D"/>
    <w:rsid w:val="007D4733"/>
    <w:rsid w:val="007E6B55"/>
    <w:rsid w:val="007F4521"/>
    <w:rsid w:val="007F50E8"/>
    <w:rsid w:val="007F61A2"/>
    <w:rsid w:val="00804E84"/>
    <w:rsid w:val="008063FE"/>
    <w:rsid w:val="00810DBC"/>
    <w:rsid w:val="00826EF0"/>
    <w:rsid w:val="00830393"/>
    <w:rsid w:val="008358FA"/>
    <w:rsid w:val="00841BC7"/>
    <w:rsid w:val="0085673F"/>
    <w:rsid w:val="00867A40"/>
    <w:rsid w:val="00892D65"/>
    <w:rsid w:val="00894613"/>
    <w:rsid w:val="00897686"/>
    <w:rsid w:val="008A60ED"/>
    <w:rsid w:val="008B7E92"/>
    <w:rsid w:val="008C366C"/>
    <w:rsid w:val="008C6A21"/>
    <w:rsid w:val="008C7B1C"/>
    <w:rsid w:val="008D268A"/>
    <w:rsid w:val="008D686D"/>
    <w:rsid w:val="008E2F73"/>
    <w:rsid w:val="00914A36"/>
    <w:rsid w:val="00915D02"/>
    <w:rsid w:val="0092245D"/>
    <w:rsid w:val="00922A46"/>
    <w:rsid w:val="009233A0"/>
    <w:rsid w:val="00956D56"/>
    <w:rsid w:val="009651BE"/>
    <w:rsid w:val="00970186"/>
    <w:rsid w:val="00975910"/>
    <w:rsid w:val="00984AA1"/>
    <w:rsid w:val="0098673D"/>
    <w:rsid w:val="009938D8"/>
    <w:rsid w:val="0099567B"/>
    <w:rsid w:val="009B1C7F"/>
    <w:rsid w:val="009B2E6A"/>
    <w:rsid w:val="009B7A64"/>
    <w:rsid w:val="00A00AE9"/>
    <w:rsid w:val="00A01BF8"/>
    <w:rsid w:val="00A121BC"/>
    <w:rsid w:val="00A162FB"/>
    <w:rsid w:val="00A35E2C"/>
    <w:rsid w:val="00A40AE4"/>
    <w:rsid w:val="00A47914"/>
    <w:rsid w:val="00A51124"/>
    <w:rsid w:val="00A53E75"/>
    <w:rsid w:val="00A55314"/>
    <w:rsid w:val="00A639A6"/>
    <w:rsid w:val="00A64C58"/>
    <w:rsid w:val="00A66AA1"/>
    <w:rsid w:val="00A677ED"/>
    <w:rsid w:val="00A74176"/>
    <w:rsid w:val="00A74188"/>
    <w:rsid w:val="00A85C78"/>
    <w:rsid w:val="00A865C4"/>
    <w:rsid w:val="00A86F0B"/>
    <w:rsid w:val="00A950D7"/>
    <w:rsid w:val="00A95607"/>
    <w:rsid w:val="00AA20C5"/>
    <w:rsid w:val="00AA53FF"/>
    <w:rsid w:val="00AD25C3"/>
    <w:rsid w:val="00AD7FC9"/>
    <w:rsid w:val="00B04100"/>
    <w:rsid w:val="00B1386D"/>
    <w:rsid w:val="00B22563"/>
    <w:rsid w:val="00B22DE8"/>
    <w:rsid w:val="00B33AB0"/>
    <w:rsid w:val="00B33F07"/>
    <w:rsid w:val="00B4749C"/>
    <w:rsid w:val="00B50DE7"/>
    <w:rsid w:val="00B54552"/>
    <w:rsid w:val="00B703D3"/>
    <w:rsid w:val="00B7445B"/>
    <w:rsid w:val="00B75F6C"/>
    <w:rsid w:val="00B80AEA"/>
    <w:rsid w:val="00B83B49"/>
    <w:rsid w:val="00B85117"/>
    <w:rsid w:val="00B85AC6"/>
    <w:rsid w:val="00B87C0B"/>
    <w:rsid w:val="00B97E42"/>
    <w:rsid w:val="00BA10B5"/>
    <w:rsid w:val="00BB09EC"/>
    <w:rsid w:val="00BB0A4A"/>
    <w:rsid w:val="00BB6FC5"/>
    <w:rsid w:val="00BC4EAA"/>
    <w:rsid w:val="00BC7A85"/>
    <w:rsid w:val="00BD3A59"/>
    <w:rsid w:val="00BF222F"/>
    <w:rsid w:val="00BF3EC3"/>
    <w:rsid w:val="00C03190"/>
    <w:rsid w:val="00C03517"/>
    <w:rsid w:val="00C04B82"/>
    <w:rsid w:val="00C141D8"/>
    <w:rsid w:val="00C17FAB"/>
    <w:rsid w:val="00C207F6"/>
    <w:rsid w:val="00C27A18"/>
    <w:rsid w:val="00C35845"/>
    <w:rsid w:val="00C42ECD"/>
    <w:rsid w:val="00C5274C"/>
    <w:rsid w:val="00C56D1B"/>
    <w:rsid w:val="00C62DA4"/>
    <w:rsid w:val="00C6383E"/>
    <w:rsid w:val="00C67F93"/>
    <w:rsid w:val="00C72146"/>
    <w:rsid w:val="00C746EC"/>
    <w:rsid w:val="00C82F13"/>
    <w:rsid w:val="00C8352D"/>
    <w:rsid w:val="00C921E4"/>
    <w:rsid w:val="00C97526"/>
    <w:rsid w:val="00CA48C3"/>
    <w:rsid w:val="00CA5108"/>
    <w:rsid w:val="00CB1EBC"/>
    <w:rsid w:val="00CC09CB"/>
    <w:rsid w:val="00CC291F"/>
    <w:rsid w:val="00CC372D"/>
    <w:rsid w:val="00CC3C34"/>
    <w:rsid w:val="00CD13D3"/>
    <w:rsid w:val="00CD5D8B"/>
    <w:rsid w:val="00CE3A12"/>
    <w:rsid w:val="00CE5016"/>
    <w:rsid w:val="00CE607E"/>
    <w:rsid w:val="00CF2E50"/>
    <w:rsid w:val="00D006BE"/>
    <w:rsid w:val="00D03276"/>
    <w:rsid w:val="00D04273"/>
    <w:rsid w:val="00D07B0B"/>
    <w:rsid w:val="00D2298C"/>
    <w:rsid w:val="00D249B2"/>
    <w:rsid w:val="00D44570"/>
    <w:rsid w:val="00D44D70"/>
    <w:rsid w:val="00D45892"/>
    <w:rsid w:val="00D4721B"/>
    <w:rsid w:val="00D72842"/>
    <w:rsid w:val="00D93078"/>
    <w:rsid w:val="00DA158E"/>
    <w:rsid w:val="00DB18F5"/>
    <w:rsid w:val="00DB25E5"/>
    <w:rsid w:val="00DB4E9F"/>
    <w:rsid w:val="00DC31D4"/>
    <w:rsid w:val="00DD1A1D"/>
    <w:rsid w:val="00DE3554"/>
    <w:rsid w:val="00DF133C"/>
    <w:rsid w:val="00DF22D8"/>
    <w:rsid w:val="00DF408C"/>
    <w:rsid w:val="00E00DD6"/>
    <w:rsid w:val="00E020A7"/>
    <w:rsid w:val="00E026D6"/>
    <w:rsid w:val="00E1240D"/>
    <w:rsid w:val="00E1506E"/>
    <w:rsid w:val="00E1510E"/>
    <w:rsid w:val="00E1752B"/>
    <w:rsid w:val="00E30F10"/>
    <w:rsid w:val="00E36141"/>
    <w:rsid w:val="00E42F43"/>
    <w:rsid w:val="00E72724"/>
    <w:rsid w:val="00E83E58"/>
    <w:rsid w:val="00E90999"/>
    <w:rsid w:val="00EA2344"/>
    <w:rsid w:val="00EA4D29"/>
    <w:rsid w:val="00EB0AFF"/>
    <w:rsid w:val="00ED5128"/>
    <w:rsid w:val="00EF4077"/>
    <w:rsid w:val="00EF47B3"/>
    <w:rsid w:val="00EF5C79"/>
    <w:rsid w:val="00F004F2"/>
    <w:rsid w:val="00F12FD2"/>
    <w:rsid w:val="00F15367"/>
    <w:rsid w:val="00F24296"/>
    <w:rsid w:val="00F26F01"/>
    <w:rsid w:val="00F2798A"/>
    <w:rsid w:val="00F44B93"/>
    <w:rsid w:val="00F50BEC"/>
    <w:rsid w:val="00F5133B"/>
    <w:rsid w:val="00F51647"/>
    <w:rsid w:val="00F52595"/>
    <w:rsid w:val="00F544EA"/>
    <w:rsid w:val="00F55290"/>
    <w:rsid w:val="00F64CFA"/>
    <w:rsid w:val="00F84DBF"/>
    <w:rsid w:val="00F921B2"/>
    <w:rsid w:val="00F95DDF"/>
    <w:rsid w:val="00F9617F"/>
    <w:rsid w:val="00F975DB"/>
    <w:rsid w:val="00FA3C28"/>
    <w:rsid w:val="00FA7B53"/>
    <w:rsid w:val="00FB7EB4"/>
    <w:rsid w:val="00FD08FF"/>
    <w:rsid w:val="00FD4335"/>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AD07-E200-4EF0-9AD1-CB0CA1B2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10215</Characters>
  <Application>Microsoft Office Word</Application>
  <DocSecurity>0</DocSecurity>
  <PresentationFormat/>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5</cp:revision>
  <cp:lastPrinted>2019-05-07T14:12:00Z</cp:lastPrinted>
  <dcterms:created xsi:type="dcterms:W3CDTF">2019-05-07T18:08:00Z</dcterms:created>
  <dcterms:modified xsi:type="dcterms:W3CDTF">2019-05-07T18:12:00Z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