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0D4369">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 xml:space="preserve"> </w:t>
      </w:r>
      <w:r w:rsidR="00640E94">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B5EF2" w:rsidRPr="00D42A2D">
        <w:rPr>
          <w:rFonts w:ascii="Arial" w:hAnsi="Arial"/>
          <w:b/>
          <w:color w:val="000000"/>
          <w:u w:val="single"/>
        </w:rPr>
        <w:t>BUNKER HILL MINING CORP. (FORMERLY</w:t>
      </w:r>
      <w:r w:rsidR="00BB5EF2">
        <w:rPr>
          <w:rFonts w:ascii="Arial" w:hAnsi="Arial"/>
          <w:color w:val="000000"/>
          <w:u w:val="single"/>
        </w:rPr>
        <w:t xml:space="preserve"> </w:t>
      </w:r>
      <w:r w:rsidR="008774E0" w:rsidRPr="008774E0">
        <w:rPr>
          <w:rFonts w:ascii="Arial" w:hAnsi="Arial"/>
          <w:b/>
          <w:color w:val="000000"/>
          <w:u w:val="single"/>
        </w:rPr>
        <w:t>LIBERTY SILVER CORP.</w:t>
      </w:r>
      <w:r w:rsidR="00BB5EF2" w:rsidDel="00BB5EF2">
        <w:rPr>
          <w:rFonts w:ascii="Arial" w:hAnsi="Arial"/>
          <w:color w:val="000000"/>
          <w:u w:val="single"/>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774E0" w:rsidRPr="008774E0">
        <w:rPr>
          <w:rFonts w:ascii="Arial" w:hAnsi="Arial"/>
          <w:color w:val="000000"/>
          <w:u w:val="single"/>
        </w:rPr>
        <w:t xml:space="preserve">       </w:t>
      </w:r>
      <w:r w:rsidR="00BB5EF2">
        <w:rPr>
          <w:rFonts w:ascii="Arial" w:hAnsi="Arial"/>
          <w:b/>
          <w:color w:val="000000"/>
          <w:u w:val="single"/>
        </w:rPr>
        <w:t>BNKR</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B416D">
        <w:rPr>
          <w:rFonts w:ascii="Arial" w:hAnsi="Arial"/>
          <w:b/>
          <w:color w:val="000000"/>
          <w:u w:val="single"/>
        </w:rPr>
        <w:t>33,013,715</w:t>
      </w:r>
      <w:r w:rsidR="008B2461">
        <w:rPr>
          <w:rFonts w:ascii="Arial" w:hAnsi="Arial"/>
          <w:b/>
          <w:color w:val="000000"/>
          <w:u w:val="single"/>
        </w:rPr>
        <w:t xml:space="preserve"> </w:t>
      </w:r>
      <w:r w:rsidR="008774E0">
        <w:rPr>
          <w:rFonts w:ascii="Arial" w:hAnsi="Arial"/>
          <w:b/>
          <w:color w:val="000000"/>
          <w:u w:val="single"/>
        </w:rPr>
        <w:t>common shares issued and outstanding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D2FC4">
        <w:rPr>
          <w:rFonts w:ascii="Arial" w:hAnsi="Arial"/>
          <w:b/>
          <w:color w:val="000000"/>
          <w:u w:val="single"/>
        </w:rPr>
        <w:t>March 31</w:t>
      </w:r>
      <w:r w:rsidR="008774E0" w:rsidRPr="008774E0">
        <w:rPr>
          <w:rFonts w:ascii="Arial" w:hAnsi="Arial"/>
          <w:b/>
          <w:color w:val="000000"/>
          <w:u w:val="single"/>
        </w:rPr>
        <w:t>, 201</w:t>
      </w:r>
      <w:r w:rsidR="005B5317">
        <w:rPr>
          <w:rFonts w:ascii="Arial" w:hAnsi="Arial"/>
          <w:b/>
          <w:color w:val="000000"/>
          <w:u w:val="single"/>
        </w:rPr>
        <w:t>8</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DD65B1"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DD65B1" w:rsidRDefault="00DD65B1">
      <w:pPr>
        <w:rPr>
          <w:rFonts w:ascii="Arial" w:hAnsi="Arial"/>
          <w:color w:val="000000"/>
          <w:sz w:val="24"/>
          <w:lang w:val="en-GB"/>
        </w:rPr>
      </w:pPr>
      <w:r>
        <w:rPr>
          <w:rFonts w:ascii="Arial" w:hAnsi="Arial"/>
          <w:color w:val="000000"/>
        </w:rPr>
        <w:br w:type="page"/>
      </w:r>
    </w:p>
    <w:p w:rsidR="00640E94" w:rsidRDefault="00640E94" w:rsidP="00CC2979">
      <w:pPr>
        <w:pStyle w:val="BodyText"/>
        <w:tabs>
          <w:tab w:val="left" w:pos="7920"/>
          <w:tab w:val="left" w:pos="9180"/>
        </w:tabs>
        <w:ind w:left="1134"/>
        <w:rPr>
          <w:rFonts w:ascii="Arial" w:hAnsi="Arial"/>
          <w:color w:val="000000"/>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83978" w:rsidRPr="00D43BED" w:rsidRDefault="00A83978" w:rsidP="00A83978">
      <w:pPr>
        <w:pStyle w:val="List"/>
        <w:spacing w:before="120"/>
        <w:ind w:left="720" w:firstLine="0"/>
        <w:jc w:val="both"/>
        <w:rPr>
          <w:b/>
          <w:i/>
          <w:u w:val="single"/>
        </w:rPr>
      </w:pPr>
      <w:r w:rsidRPr="00D43BED">
        <w:rPr>
          <w:b/>
          <w:i/>
          <w:u w:val="single"/>
        </w:rPr>
        <w:t>Update on Progress Regarding Bunker Hill Mine</w:t>
      </w:r>
    </w:p>
    <w:p w:rsidR="00A83978" w:rsidRPr="00422760" w:rsidRDefault="00A83978" w:rsidP="00422760">
      <w:pPr>
        <w:pStyle w:val="List"/>
        <w:spacing w:before="120"/>
        <w:ind w:left="720" w:firstLine="0"/>
        <w:jc w:val="both"/>
      </w:pPr>
      <w:r w:rsidRPr="00D43BED">
        <w:rPr>
          <w:b/>
          <w:i/>
          <w:u w:val="single"/>
        </w:rPr>
        <w:t xml:space="preserve">On </w:t>
      </w:r>
      <w:r>
        <w:rPr>
          <w:b/>
          <w:i/>
          <w:u w:val="single"/>
        </w:rPr>
        <w:t>March 7</w:t>
      </w:r>
      <w:r w:rsidRPr="00D43BED">
        <w:rPr>
          <w:b/>
          <w:i/>
          <w:u w:val="single"/>
        </w:rPr>
        <w:t>, 201</w:t>
      </w:r>
      <w:r>
        <w:rPr>
          <w:b/>
          <w:i/>
          <w:u w:val="single"/>
        </w:rPr>
        <w:t>8</w:t>
      </w:r>
      <w:r w:rsidRPr="00DD0858">
        <w:rPr>
          <w:b/>
          <w:i/>
        </w:rPr>
        <w:t xml:space="preserve"> the </w:t>
      </w:r>
      <w:r w:rsidRPr="00422760">
        <w:rPr>
          <w:b/>
          <w:i/>
        </w:rPr>
        <w:t>Issuer report</w:t>
      </w:r>
      <w:r w:rsidR="00422760" w:rsidRPr="00422760">
        <w:rPr>
          <w:b/>
          <w:i/>
        </w:rPr>
        <w:t>ed</w:t>
      </w:r>
      <w:r w:rsidRPr="00422760">
        <w:rPr>
          <w:b/>
          <w:i/>
        </w:rPr>
        <w:t xml:space="preserve"> that the United States Environmental Protection Agency (“EPA”), and the United States Department of Justice, have signed an agreement with Bunker Hill, allowing the Company or any subsidiary entities to operate the Bunker Hill Zinc, Lead, and Silver Mine without incurring liability for hazardous substances, pollutants or contaminants that migrated from the Mine in the past.</w:t>
      </w:r>
    </w:p>
    <w:p w:rsidR="00A83978" w:rsidRPr="00422760" w:rsidRDefault="00A83978" w:rsidP="00422760">
      <w:pPr>
        <w:tabs>
          <w:tab w:val="left" w:pos="5420"/>
        </w:tabs>
        <w:ind w:left="709"/>
        <w:rPr>
          <w:rFonts w:ascii="Calibri" w:hAnsi="Calibri"/>
          <w:b/>
          <w:i/>
          <w:color w:val="000000"/>
          <w:sz w:val="24"/>
          <w:szCs w:val="24"/>
        </w:rPr>
      </w:pPr>
      <w:r w:rsidRPr="00422760">
        <w:rPr>
          <w:rFonts w:ascii="Calibri" w:hAnsi="Calibri"/>
          <w:b/>
          <w:i/>
          <w:color w:val="000000"/>
          <w:sz w:val="24"/>
          <w:szCs w:val="24"/>
        </w:rPr>
        <w:tab/>
      </w:r>
    </w:p>
    <w:p w:rsidR="00A83978" w:rsidRPr="00422760" w:rsidRDefault="00A83978" w:rsidP="00422760">
      <w:pPr>
        <w:ind w:left="709"/>
        <w:jc w:val="both"/>
        <w:rPr>
          <w:b/>
          <w:i/>
          <w:sz w:val="24"/>
          <w:szCs w:val="24"/>
        </w:rPr>
      </w:pPr>
      <w:r w:rsidRPr="00422760">
        <w:rPr>
          <w:b/>
          <w:i/>
          <w:sz w:val="24"/>
          <w:szCs w:val="24"/>
        </w:rPr>
        <w:t>Specifically, Bunker Hill’s agreement with the United States, titled “Settlement Agreement and Order on Consent for Response Action”, in part, provides for the following:</w:t>
      </w:r>
    </w:p>
    <w:p w:rsidR="00A83978" w:rsidRPr="00422760" w:rsidRDefault="00A83978" w:rsidP="00422760">
      <w:pPr>
        <w:ind w:left="709"/>
        <w:jc w:val="both"/>
        <w:rPr>
          <w:b/>
          <w:i/>
          <w:sz w:val="24"/>
          <w:szCs w:val="24"/>
        </w:rPr>
      </w:pPr>
    </w:p>
    <w:p w:rsidR="00A83978" w:rsidRPr="00422760" w:rsidRDefault="00A83978" w:rsidP="00422760">
      <w:pPr>
        <w:ind w:left="709"/>
        <w:jc w:val="both"/>
        <w:rPr>
          <w:rFonts w:ascii="Calibri" w:hAnsi="Calibri"/>
          <w:b/>
          <w:i/>
          <w:color w:val="000000"/>
          <w:sz w:val="24"/>
          <w:szCs w:val="24"/>
        </w:rPr>
      </w:pPr>
      <w:r w:rsidRPr="00422760">
        <w:rPr>
          <w:b/>
          <w:i/>
          <w:sz w:val="24"/>
          <w:szCs w:val="24"/>
          <w:u w:val="single"/>
        </w:rPr>
        <w:t>Major obligations of Bunker Hill</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Payment to the EPA over a seven year period totalling US$20M for as long as Bunker Hill leases, owns and/or operates the Mine (payments are on behalf of the current owner/lessor for the EPA’s prior response costs as contemplated by the lease/option on the Mine);</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Semi-annual payments to the EPA of US$480,000 for ongoing water treatment costs incurred at the EPA’s Central Treatment Plant;</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Specified ongoing maintenance work on mine infrastructure to allow for proper management of mine effluent.</w:t>
      </w:r>
    </w:p>
    <w:p w:rsidR="00A83978" w:rsidRPr="00422760" w:rsidRDefault="00A83978" w:rsidP="00422760">
      <w:pPr>
        <w:ind w:left="709"/>
        <w:rPr>
          <w:b/>
          <w:i/>
          <w:sz w:val="24"/>
          <w:szCs w:val="24"/>
        </w:rPr>
      </w:pPr>
    </w:p>
    <w:p w:rsidR="00A83978" w:rsidRPr="00422760" w:rsidRDefault="00A83978" w:rsidP="00422760">
      <w:pPr>
        <w:ind w:left="709"/>
        <w:rPr>
          <w:b/>
          <w:i/>
          <w:sz w:val="24"/>
          <w:szCs w:val="24"/>
          <w:u w:val="single"/>
        </w:rPr>
      </w:pPr>
      <w:r w:rsidRPr="00422760">
        <w:rPr>
          <w:b/>
          <w:i/>
          <w:sz w:val="24"/>
          <w:szCs w:val="24"/>
          <w:u w:val="single"/>
        </w:rPr>
        <w:t>Major obligations of the United States</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 xml:space="preserve">The United States covenants not to sue Bunker Hill for prior contamination migrating from the mine;  </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The EPA agrees not to enforce any lien it may have on the mine so long as Bunker Hill is in compliance with its payment and maintenance work obligations;</w:t>
      </w:r>
    </w:p>
    <w:p w:rsidR="00A83978" w:rsidRPr="00422760" w:rsidRDefault="00A83978" w:rsidP="00422760">
      <w:pPr>
        <w:pStyle w:val="ListParagraph"/>
        <w:numPr>
          <w:ilvl w:val="0"/>
          <w:numId w:val="35"/>
        </w:numPr>
        <w:ind w:left="1418" w:hanging="567"/>
        <w:jc w:val="both"/>
        <w:rPr>
          <w:b/>
          <w:i/>
          <w:sz w:val="24"/>
          <w:szCs w:val="24"/>
        </w:rPr>
      </w:pPr>
      <w:r w:rsidRPr="00422760">
        <w:rPr>
          <w:b/>
          <w:i/>
          <w:sz w:val="24"/>
          <w:szCs w:val="24"/>
        </w:rPr>
        <w:t xml:space="preserve">The EPA agrees to release any lien it may have on the the mine upon the completion of Bunker Hill’s maintenance work and payment obligations. </w:t>
      </w:r>
    </w:p>
    <w:p w:rsidR="00634F89" w:rsidRPr="00634F89" w:rsidRDefault="00634F89" w:rsidP="00634F89">
      <w:pPr>
        <w:pStyle w:val="ListParagraph"/>
        <w:shd w:val="clear" w:color="auto" w:fill="FFFFFF"/>
        <w:spacing w:before="120" w:after="120"/>
        <w:jc w:val="both"/>
        <w:rPr>
          <w:b/>
          <w:i/>
          <w:color w:val="343434"/>
          <w:sz w:val="24"/>
          <w:szCs w:val="24"/>
          <w:lang w:val="en-CA" w:eastAsia="en-CA"/>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266718" w:rsidRDefault="00634F89" w:rsidP="00634F89">
      <w:pPr>
        <w:shd w:val="clear" w:color="auto" w:fill="FFFFFF"/>
        <w:spacing w:before="120" w:after="120"/>
        <w:jc w:val="both"/>
        <w:rPr>
          <w:b/>
          <w:bCs/>
          <w:i/>
          <w:color w:val="343434"/>
          <w:sz w:val="24"/>
          <w:szCs w:val="24"/>
          <w:lang w:val="en-CA" w:eastAsia="en-CA"/>
        </w:rPr>
      </w:pPr>
      <w:r>
        <w:rPr>
          <w:b/>
          <w:bCs/>
          <w:i/>
          <w:color w:val="343434"/>
          <w:sz w:val="24"/>
          <w:szCs w:val="24"/>
          <w:lang w:val="en-CA" w:eastAsia="en-CA"/>
        </w:rPr>
        <w:tab/>
      </w:r>
      <w:r w:rsidR="00B5174E">
        <w:rPr>
          <w:b/>
          <w:bCs/>
          <w:i/>
          <w:color w:val="343434"/>
          <w:sz w:val="24"/>
          <w:szCs w:val="24"/>
          <w:lang w:val="en-CA" w:eastAsia="en-CA"/>
        </w:rPr>
        <w:t>See #</w:t>
      </w:r>
      <w:r>
        <w:rPr>
          <w:b/>
          <w:bCs/>
          <w:i/>
          <w:color w:val="343434"/>
          <w:sz w:val="24"/>
          <w:szCs w:val="24"/>
          <w:lang w:val="en-CA" w:eastAsia="en-CA"/>
        </w:rPr>
        <w:t>3</w:t>
      </w:r>
      <w:r w:rsidR="00B5174E">
        <w:rPr>
          <w:b/>
          <w:bCs/>
          <w:i/>
          <w:color w:val="343434"/>
          <w:sz w:val="24"/>
          <w:szCs w:val="24"/>
          <w:lang w:val="en-CA" w:eastAsia="en-CA"/>
        </w:rPr>
        <w:t xml:space="preserve"> </w:t>
      </w:r>
      <w:r>
        <w:rPr>
          <w:b/>
          <w:bCs/>
          <w:i/>
          <w:color w:val="343434"/>
          <w:sz w:val="24"/>
          <w:szCs w:val="24"/>
          <w:lang w:val="en-CA" w:eastAsia="en-CA"/>
        </w:rPr>
        <w:t>below</w:t>
      </w:r>
      <w:r w:rsidR="002F1749">
        <w:rPr>
          <w:b/>
          <w:bCs/>
          <w:i/>
          <w:color w:val="343434"/>
          <w:sz w:val="24"/>
          <w:szCs w:val="24"/>
          <w:lang w:val="en-CA" w:eastAsia="en-CA"/>
        </w:rPr>
        <w:t xml:space="preserve"> </w:t>
      </w:r>
    </w:p>
    <w:p w:rsidR="00634F89" w:rsidRPr="00634F89" w:rsidRDefault="00634F89" w:rsidP="00634F89">
      <w:pPr>
        <w:shd w:val="clear" w:color="auto" w:fill="FFFFFF"/>
        <w:spacing w:before="120" w:after="120"/>
        <w:jc w:val="both"/>
        <w:rPr>
          <w:b/>
          <w:i/>
          <w:color w:val="343434"/>
          <w:sz w:val="24"/>
          <w:szCs w:val="24"/>
          <w:lang w:val="en-CA" w:eastAsia="en-CA"/>
        </w:rPr>
      </w:pP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66718" w:rsidRDefault="0040527E" w:rsidP="00D43BED">
      <w:pPr>
        <w:pStyle w:val="List"/>
        <w:spacing w:before="120"/>
        <w:ind w:left="709" w:firstLine="0"/>
        <w:jc w:val="both"/>
        <w:rPr>
          <w:b/>
          <w:i/>
        </w:rPr>
      </w:pPr>
      <w:r w:rsidRPr="00DD0858">
        <w:rPr>
          <w:b/>
          <w:i/>
        </w:rPr>
        <w:t xml:space="preserve">Management has been focused on </w:t>
      </w:r>
      <w:r w:rsidR="008357A3" w:rsidRPr="00DD0858">
        <w:rPr>
          <w:b/>
          <w:i/>
        </w:rPr>
        <w:t>rehabilitating</w:t>
      </w:r>
      <w:r w:rsidRPr="00DD0858">
        <w:rPr>
          <w:b/>
          <w:i/>
        </w:rPr>
        <w:t xml:space="preserve"> the </w:t>
      </w:r>
      <w:bookmarkStart w:id="6" w:name="_Hlk487105212"/>
      <w:r w:rsidRPr="00DD0858">
        <w:rPr>
          <w:b/>
          <w:i/>
        </w:rPr>
        <w:t>Bunker Hill Mine</w:t>
      </w:r>
      <w:bookmarkEnd w:id="6"/>
      <w:r w:rsidRPr="00DD0858">
        <w:rPr>
          <w:b/>
          <w:i/>
        </w:rPr>
        <w:t xml:space="preserve"> infrastructure</w:t>
      </w:r>
      <w:r w:rsidR="00B02EA6" w:rsidRPr="00DD0858">
        <w:rPr>
          <w:b/>
          <w:i/>
        </w:rPr>
        <w:t xml:space="preserve"> and </w:t>
      </w:r>
      <w:r w:rsidR="00CC0F2C">
        <w:rPr>
          <w:b/>
          <w:i/>
        </w:rPr>
        <w:t xml:space="preserve">evaluating and </w:t>
      </w:r>
      <w:r w:rsidR="00B02EA6" w:rsidRPr="00DD0858">
        <w:rPr>
          <w:b/>
          <w:i/>
        </w:rPr>
        <w:t>digitizing geological data</w:t>
      </w:r>
      <w:r w:rsidRPr="00DD0858">
        <w:rPr>
          <w:b/>
          <w:i/>
        </w:rPr>
        <w:t xml:space="preserve">.  No new drilling, exploration or </w:t>
      </w:r>
      <w:r w:rsidRPr="00DD0858">
        <w:rPr>
          <w:b/>
          <w:i/>
        </w:rPr>
        <w:lastRenderedPageBreak/>
        <w:t xml:space="preserve">production in </w:t>
      </w:r>
      <w:r w:rsidR="00C61F01">
        <w:rPr>
          <w:b/>
          <w:i/>
        </w:rPr>
        <w:t>March</w:t>
      </w:r>
      <w:r w:rsidR="008B3CC7" w:rsidRPr="00DD0858">
        <w:rPr>
          <w:b/>
          <w:i/>
        </w:rPr>
        <w:t xml:space="preserve"> </w:t>
      </w:r>
      <w:r w:rsidRPr="00DD0858">
        <w:rPr>
          <w:b/>
          <w:i/>
        </w:rPr>
        <w:t>201</w:t>
      </w:r>
      <w:r w:rsidR="005B5317">
        <w:rPr>
          <w:b/>
          <w:i/>
        </w:rPr>
        <w:t>8</w:t>
      </w:r>
      <w:r w:rsidRPr="00DD0858">
        <w:rPr>
          <w:b/>
          <w:i/>
        </w:rPr>
        <w:t>.</w:t>
      </w:r>
      <w:r w:rsidR="00CC0F2C" w:rsidRPr="00CC0F2C">
        <w:rPr>
          <w:b/>
          <w:i/>
        </w:rPr>
        <w:t xml:space="preserve"> </w:t>
      </w:r>
      <w:r w:rsidR="00CC0F2C" w:rsidRPr="00DD0858">
        <w:rPr>
          <w:b/>
          <w:i/>
        </w:rPr>
        <w:t xml:space="preserve">Management </w:t>
      </w:r>
      <w:r w:rsidR="00CC0F2C">
        <w:rPr>
          <w:b/>
          <w:i/>
        </w:rPr>
        <w:t xml:space="preserve">working towards </w:t>
      </w:r>
      <w:r w:rsidR="00CC0F2C" w:rsidRPr="00DD0858">
        <w:rPr>
          <w:b/>
          <w:i/>
        </w:rPr>
        <w:t>raising capital needed to complete the acquisition of the Bunker Hill Mine Complex and to rehabilitate the Mine.</w:t>
      </w:r>
    </w:p>
    <w:p w:rsidR="00D43BED" w:rsidRPr="00D43BED" w:rsidRDefault="00D43BED" w:rsidP="00D43BED">
      <w:pPr>
        <w:pStyle w:val="List"/>
        <w:spacing w:before="120"/>
        <w:ind w:left="709" w:firstLine="0"/>
        <w:jc w:val="both"/>
        <w:rPr>
          <w:b/>
          <w:i/>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8357A3" w:rsidRDefault="00B5174E" w:rsidP="008357A3">
      <w:pPr>
        <w:pStyle w:val="List"/>
        <w:spacing w:before="120"/>
        <w:ind w:left="1134" w:firstLine="0"/>
        <w:jc w:val="both"/>
        <w:rPr>
          <w:b/>
          <w:i/>
        </w:rPr>
      </w:pPr>
      <w:r>
        <w:rPr>
          <w:b/>
          <w:i/>
        </w:rPr>
        <w:t>N/A</w:t>
      </w:r>
    </w:p>
    <w:p w:rsidR="008357A3" w:rsidRPr="008357A3" w:rsidRDefault="008357A3" w:rsidP="008357A3">
      <w:pPr>
        <w:pStyle w:val="List"/>
        <w:spacing w:before="120"/>
        <w:ind w:left="1134" w:firstLine="0"/>
        <w:jc w:val="both"/>
        <w:rPr>
          <w:b/>
          <w:i/>
        </w:rPr>
      </w:pPr>
      <w:r>
        <w:rPr>
          <w:b/>
          <w:i/>
        </w:rPr>
        <w:t xml:space="preserve"> </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CD5F46" w:rsidRDefault="00CD5F46" w:rsidP="00CD5F46">
      <w:pPr>
        <w:pStyle w:val="List"/>
        <w:spacing w:before="120"/>
        <w:ind w:left="1134" w:firstLine="0"/>
        <w:jc w:val="both"/>
        <w:rPr>
          <w:b/>
          <w:i/>
        </w:rPr>
      </w:pPr>
      <w:r>
        <w:rPr>
          <w:b/>
          <w:i/>
        </w:rPr>
        <w:t>N</w:t>
      </w:r>
      <w:r w:rsidR="003A34C7">
        <w:rPr>
          <w:b/>
          <w:i/>
        </w:rPr>
        <w:t>one</w:t>
      </w:r>
    </w:p>
    <w:p w:rsidR="00CD5F46" w:rsidRPr="00CD5F46" w:rsidRDefault="00CD5F46" w:rsidP="00CD5F46">
      <w:pPr>
        <w:pStyle w:val="List"/>
        <w:spacing w:before="120"/>
        <w:ind w:firstLine="0"/>
        <w:jc w:val="both"/>
        <w:rPr>
          <w:b/>
          <w:i/>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CD5F46" w:rsidRPr="00CD5F46" w:rsidRDefault="00CD5F46" w:rsidP="00CD5F46">
      <w:pPr>
        <w:pStyle w:val="List"/>
        <w:spacing w:before="120"/>
        <w:ind w:left="1134" w:firstLine="0"/>
        <w:jc w:val="both"/>
        <w:rPr>
          <w:b/>
          <w:i/>
        </w:rPr>
      </w:pPr>
      <w:r w:rsidRPr="00CD5F46">
        <w:rPr>
          <w:b/>
          <w:i/>
        </w:rPr>
        <w:t>N</w:t>
      </w:r>
      <w:r>
        <w:rPr>
          <w:b/>
          <w:i/>
        </w:rPr>
        <w:t xml:space="preserve">o expiry or termination of any contracts or agreements in </w:t>
      </w:r>
      <w:r w:rsidR="00136388">
        <w:rPr>
          <w:b/>
          <w:i/>
        </w:rPr>
        <w:t>March</w:t>
      </w:r>
      <w:r w:rsidR="008B3CC7">
        <w:rPr>
          <w:b/>
          <w:i/>
        </w:rPr>
        <w:t xml:space="preserve"> </w:t>
      </w:r>
      <w:r>
        <w:rPr>
          <w:b/>
          <w:i/>
        </w:rPr>
        <w:t>201</w:t>
      </w:r>
      <w:r w:rsidR="005B5317">
        <w:rPr>
          <w:b/>
          <w:i/>
        </w:rPr>
        <w:t>8</w:t>
      </w:r>
      <w:r>
        <w:rPr>
          <w:b/>
          <w:i/>
        </w:rPr>
        <w:t>.</w:t>
      </w:r>
    </w:p>
    <w:p w:rsidR="00CD5F46" w:rsidRDefault="00CD5F46" w:rsidP="00CD5F46">
      <w:pPr>
        <w:pStyle w:val="List"/>
        <w:spacing w:before="120"/>
        <w:ind w:left="180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D5F46">
        <w:rPr>
          <w:rFonts w:ascii="Arial" w:hAnsi="Arial"/>
        </w:rPr>
        <w:t>s of the relationship.</w:t>
      </w:r>
    </w:p>
    <w:p w:rsidR="00CD5F46" w:rsidRPr="00CD5F46" w:rsidRDefault="00B5174E" w:rsidP="00CD5F46">
      <w:pPr>
        <w:pStyle w:val="List"/>
        <w:spacing w:before="120"/>
        <w:ind w:left="2520"/>
        <w:jc w:val="both"/>
        <w:rPr>
          <w:b/>
          <w:i/>
        </w:rPr>
      </w:pPr>
      <w:r>
        <w:rPr>
          <w:b/>
          <w:i/>
        </w:rPr>
        <w:t>N/A</w:t>
      </w:r>
    </w:p>
    <w:p w:rsidR="00CD5F46" w:rsidRDefault="00CD5F46" w:rsidP="00CD5F46">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CD5F46" w:rsidRPr="00CD5F46" w:rsidRDefault="00B5174E" w:rsidP="00CD5F46">
      <w:pPr>
        <w:pStyle w:val="List"/>
        <w:spacing w:before="120"/>
        <w:ind w:left="2520"/>
        <w:jc w:val="both"/>
        <w:rPr>
          <w:b/>
          <w:i/>
        </w:rPr>
      </w:pPr>
      <w:r>
        <w:rPr>
          <w:b/>
          <w:i/>
        </w:rPr>
        <w:t>N/A</w:t>
      </w:r>
    </w:p>
    <w:p w:rsidR="00CD5F46" w:rsidRDefault="00CD5F46" w:rsidP="00CD5F46">
      <w:pPr>
        <w:pStyle w:val="List"/>
        <w:spacing w:before="1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CD5F46" w:rsidRPr="00CD5F46" w:rsidRDefault="00B5174E" w:rsidP="00CD5F46">
      <w:pPr>
        <w:pStyle w:val="List"/>
        <w:spacing w:before="120"/>
        <w:ind w:left="2520"/>
        <w:jc w:val="both"/>
        <w:rPr>
          <w:b/>
          <w:i/>
        </w:rPr>
      </w:pPr>
      <w:r>
        <w:rPr>
          <w:b/>
          <w:i/>
        </w:rPr>
        <w:t>N/A</w:t>
      </w:r>
    </w:p>
    <w:p w:rsidR="00CD5F46" w:rsidRDefault="00CD5F46" w:rsidP="00CD5F46">
      <w:pPr>
        <w:pStyle w:val="List"/>
        <w:spacing w:before="120"/>
        <w:ind w:left="252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rsidR="00536F0E" w:rsidRPr="00CD5F46" w:rsidRDefault="00536F0E" w:rsidP="00536F0E">
      <w:pPr>
        <w:pStyle w:val="List"/>
        <w:spacing w:before="120"/>
        <w:ind w:left="720" w:firstLine="720"/>
        <w:jc w:val="both"/>
        <w:rPr>
          <w:b/>
          <w:i/>
        </w:rPr>
      </w:pPr>
      <w:r>
        <w:rPr>
          <w:b/>
          <w:i/>
        </w:rPr>
        <w:t>N/A</w:t>
      </w:r>
    </w:p>
    <w:p w:rsidR="003C6836" w:rsidRPr="00D05F39" w:rsidRDefault="002D1CE9" w:rsidP="002D1CE9">
      <w:pPr>
        <w:pStyle w:val="List"/>
        <w:spacing w:before="120"/>
        <w:ind w:left="709" w:firstLine="0"/>
        <w:jc w:val="both"/>
        <w:rPr>
          <w:b/>
          <w:i/>
        </w:rPr>
      </w:pPr>
      <w:r>
        <w:rPr>
          <w:b/>
          <w:i/>
        </w:rPr>
        <w:t xml:space="preserve">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3A34C7" w:rsidRPr="003A34C7" w:rsidRDefault="003A34C7" w:rsidP="00CC2979">
      <w:pPr>
        <w:pStyle w:val="List"/>
        <w:spacing w:before="120" w:after="240"/>
        <w:ind w:left="2520"/>
        <w:jc w:val="both"/>
        <w:rPr>
          <w:b/>
          <w:i/>
        </w:rPr>
      </w:pPr>
      <w:r w:rsidRPr="003A34C7">
        <w:rPr>
          <w:b/>
          <w:i/>
        </w:rPr>
        <w:t>None</w:t>
      </w:r>
    </w:p>
    <w:p w:rsidR="00640E94" w:rsidRDefault="00640E94" w:rsidP="00CC2979">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A34C7" w:rsidRPr="003A34C7" w:rsidRDefault="003A34C7" w:rsidP="00CC2979">
      <w:pPr>
        <w:pStyle w:val="List"/>
        <w:spacing w:before="120" w:after="240"/>
        <w:ind w:left="2520"/>
        <w:jc w:val="both"/>
        <w:rPr>
          <w:b/>
          <w:i/>
        </w:rPr>
      </w:pPr>
      <w:r w:rsidRPr="003A34C7">
        <w:rPr>
          <w:b/>
          <w:i/>
        </w:rPr>
        <w:t>None</w:t>
      </w:r>
    </w:p>
    <w:p w:rsidR="00640E94" w:rsidRDefault="00640E94" w:rsidP="00CC2979">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rsidR="00DC60C0" w:rsidRDefault="003A34C7" w:rsidP="00D42A2D">
      <w:pPr>
        <w:pStyle w:val="List"/>
        <w:spacing w:before="120"/>
        <w:ind w:left="2520"/>
        <w:jc w:val="both"/>
        <w:rPr>
          <w:rFonts w:ascii="Arial" w:hAnsi="Arial"/>
        </w:rPr>
      </w:pPr>
      <w:r w:rsidRPr="003A34C7">
        <w:rPr>
          <w:b/>
          <w:i/>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3A34C7">
        <w:tc>
          <w:tcPr>
            <w:tcW w:w="2394" w:type="dxa"/>
          </w:tcPr>
          <w:p w:rsidR="00640E94" w:rsidRPr="001F5958" w:rsidRDefault="00B5174E">
            <w:pPr>
              <w:pStyle w:val="List"/>
              <w:tabs>
                <w:tab w:val="left" w:pos="360"/>
              </w:tabs>
              <w:spacing w:before="0" w:line="280" w:lineRule="exact"/>
              <w:ind w:left="0" w:firstLine="0"/>
              <w:jc w:val="both"/>
              <w:rPr>
                <w:i/>
                <w:sz w:val="22"/>
              </w:rPr>
            </w:pPr>
            <w:r>
              <w:rPr>
                <w:i/>
                <w:sz w:val="22"/>
              </w:rPr>
              <w:t>N/A</w:t>
            </w:r>
          </w:p>
        </w:tc>
        <w:tc>
          <w:tcPr>
            <w:tcW w:w="2394" w:type="dxa"/>
          </w:tcPr>
          <w:p w:rsidR="00640E94" w:rsidRPr="001F5958" w:rsidRDefault="00B5174E">
            <w:pPr>
              <w:pStyle w:val="List"/>
              <w:tabs>
                <w:tab w:val="left" w:pos="360"/>
              </w:tabs>
              <w:spacing w:before="0" w:line="280" w:lineRule="exact"/>
              <w:ind w:left="0" w:firstLine="0"/>
              <w:jc w:val="both"/>
              <w:rPr>
                <w:i/>
                <w:sz w:val="22"/>
              </w:rPr>
            </w:pPr>
            <w:r>
              <w:rPr>
                <w:i/>
                <w:sz w:val="22"/>
              </w:rPr>
              <w:t>N/A</w:t>
            </w:r>
          </w:p>
        </w:tc>
        <w:tc>
          <w:tcPr>
            <w:tcW w:w="2394" w:type="dxa"/>
          </w:tcPr>
          <w:p w:rsidR="007F1817" w:rsidRPr="001F5958" w:rsidRDefault="00B5174E" w:rsidP="008B2461">
            <w:pPr>
              <w:pStyle w:val="List"/>
              <w:tabs>
                <w:tab w:val="left" w:pos="360"/>
              </w:tabs>
              <w:spacing w:before="0" w:line="280" w:lineRule="exact"/>
              <w:ind w:left="0" w:firstLine="0"/>
              <w:jc w:val="both"/>
              <w:rPr>
                <w:i/>
                <w:sz w:val="22"/>
              </w:rPr>
            </w:pPr>
            <w:r>
              <w:rPr>
                <w:i/>
                <w:sz w:val="22"/>
              </w:rPr>
              <w:t>N/A</w:t>
            </w:r>
          </w:p>
        </w:tc>
        <w:tc>
          <w:tcPr>
            <w:tcW w:w="2394" w:type="dxa"/>
          </w:tcPr>
          <w:p w:rsidR="00640E94" w:rsidRPr="001F5958" w:rsidRDefault="00B5174E">
            <w:pPr>
              <w:pStyle w:val="List"/>
              <w:tabs>
                <w:tab w:val="left" w:pos="360"/>
              </w:tabs>
              <w:spacing w:before="0" w:line="280" w:lineRule="exact"/>
              <w:ind w:left="0" w:firstLine="0"/>
              <w:jc w:val="both"/>
              <w:rPr>
                <w:i/>
              </w:rPr>
            </w:pPr>
            <w:r>
              <w:rPr>
                <w:i/>
              </w:rPr>
              <w:t>N/A</w:t>
            </w:r>
          </w:p>
        </w:tc>
      </w:tr>
    </w:tbl>
    <w:p w:rsidR="00640E94" w:rsidRDefault="00640E94" w:rsidP="001F5958">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192C50" w:rsidRDefault="00192C50" w:rsidP="00192C50">
      <w:pPr>
        <w:pStyle w:val="List"/>
        <w:tabs>
          <w:tab w:val="left" w:pos="360"/>
        </w:tabs>
        <w:spacing w:before="120"/>
        <w:ind w:left="360" w:firstLine="0"/>
        <w:jc w:val="both"/>
        <w:rPr>
          <w:rFonts w:ascii="Arial" w:hAnsi="Arial"/>
          <w:i/>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3A34C7" w:rsidRDefault="003A34C7" w:rsidP="003A34C7">
      <w:pPr>
        <w:pStyle w:val="List"/>
        <w:keepNext/>
        <w:keepLines/>
        <w:spacing w:before="120"/>
        <w:ind w:left="2520"/>
        <w:jc w:val="both"/>
        <w:rPr>
          <w:b/>
          <w:i/>
        </w:rPr>
      </w:pPr>
      <w:r w:rsidRPr="003A34C7">
        <w:rPr>
          <w:b/>
          <w:i/>
        </w:rPr>
        <w:t>None</w:t>
      </w:r>
    </w:p>
    <w:p w:rsidR="0029015B" w:rsidRPr="003A34C7" w:rsidRDefault="0029015B" w:rsidP="003A34C7">
      <w:pPr>
        <w:pStyle w:val="List"/>
        <w:keepNext/>
        <w:keepLines/>
        <w:spacing w:before="120"/>
        <w:ind w:left="2520"/>
        <w:jc w:val="both"/>
        <w:rPr>
          <w:b/>
          <w:i/>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374641" w:rsidRDefault="0029015B" w:rsidP="0029015B">
      <w:pPr>
        <w:pStyle w:val="List"/>
        <w:keepNext/>
        <w:keepLines/>
        <w:spacing w:before="120"/>
        <w:ind w:left="720" w:firstLine="0"/>
        <w:jc w:val="both"/>
        <w:rPr>
          <w:b/>
          <w:i/>
        </w:rPr>
      </w:pPr>
      <w:r>
        <w:rPr>
          <w:b/>
          <w:i/>
        </w:rPr>
        <w:tab/>
      </w:r>
      <w:r w:rsidRPr="003A34C7">
        <w:rPr>
          <w:b/>
          <w:i/>
        </w:rPr>
        <w:t>None</w:t>
      </w:r>
    </w:p>
    <w:p w:rsidR="0029015B" w:rsidRPr="00DD0858" w:rsidRDefault="0029015B" w:rsidP="0029015B">
      <w:pPr>
        <w:pStyle w:val="List"/>
        <w:keepNext/>
        <w:keepLines/>
        <w:spacing w:before="120"/>
        <w:ind w:left="720" w:firstLine="0"/>
        <w:jc w:val="both"/>
        <w:rPr>
          <w:b/>
          <w:i/>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3A34C7" w:rsidRDefault="003A34C7" w:rsidP="003A34C7">
      <w:pPr>
        <w:pStyle w:val="List"/>
        <w:spacing w:before="120"/>
        <w:ind w:left="1418" w:firstLine="0"/>
        <w:jc w:val="both"/>
        <w:rPr>
          <w:b/>
          <w:i/>
        </w:rPr>
      </w:pPr>
      <w:r>
        <w:rPr>
          <w:b/>
          <w:i/>
        </w:rPr>
        <w:t>No</w:t>
      </w:r>
      <w:r w:rsidR="00B5174E">
        <w:rPr>
          <w:b/>
          <w:i/>
        </w:rPr>
        <w:t>ne</w:t>
      </w:r>
    </w:p>
    <w:p w:rsidR="00640E94" w:rsidRDefault="00640E94" w:rsidP="00DC60C0">
      <w:pPr>
        <w:pStyle w:val="List"/>
        <w:keepNext/>
        <w:spacing w:before="120"/>
        <w:ind w:left="0" w:firstLine="0"/>
        <w:jc w:val="center"/>
        <w:rPr>
          <w:rFonts w:ascii="Arial" w:hAnsi="Arial"/>
          <w:b/>
        </w:rPr>
      </w:pPr>
      <w:r>
        <w:rPr>
          <w:rFonts w:ascii="Arial" w:hAnsi="Arial"/>
          <w:b/>
        </w:rPr>
        <w:br w:type="page"/>
      </w:r>
      <w:r>
        <w:rPr>
          <w:rFonts w:ascii="Arial" w:hAnsi="Arial"/>
          <w:b/>
        </w:rPr>
        <w:lastRenderedPageBreak/>
        <w:t>Certificate Of Compliance</w:t>
      </w:r>
    </w:p>
    <w:p w:rsidR="00640E94" w:rsidRDefault="00640E94" w:rsidP="00CC2979">
      <w:pPr>
        <w:pStyle w:val="BodyText"/>
        <w:keepNext/>
        <w:spacing w:before="120" w:after="120"/>
        <w:rPr>
          <w:rFonts w:ascii="Arial" w:hAnsi="Arial"/>
        </w:rPr>
      </w:pPr>
      <w:r>
        <w:rPr>
          <w:rFonts w:ascii="Arial" w:hAnsi="Arial"/>
        </w:rPr>
        <w:t>The undersigned hereby certifies that:</w:t>
      </w:r>
    </w:p>
    <w:p w:rsidR="00640E94" w:rsidRDefault="00640E94" w:rsidP="00CC2979">
      <w:pPr>
        <w:pStyle w:val="List"/>
        <w:keepNex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rsidP="00CC2979">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rsidR="00640E94" w:rsidRDefault="00640E94" w:rsidP="00CC2979">
      <w:pPr>
        <w:pStyle w:val="List"/>
        <w:numPr>
          <w:ilvl w:val="0"/>
          <w:numId w:val="23"/>
        </w:numPr>
        <w:spacing w:before="0" w:after="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rsidP="00CC2979">
      <w:pPr>
        <w:pStyle w:val="List"/>
        <w:numPr>
          <w:ilvl w:val="0"/>
          <w:numId w:val="23"/>
        </w:numPr>
        <w:spacing w:before="0"/>
        <w:jc w:val="both"/>
        <w:rPr>
          <w:rFonts w:ascii="Arial" w:hAnsi="Arial"/>
        </w:rPr>
      </w:pPr>
      <w:r>
        <w:rPr>
          <w:rFonts w:ascii="Arial" w:hAnsi="Arial"/>
        </w:rPr>
        <w:t>All of the information in this Form 7 Monthly Progress Report is true.</w:t>
      </w:r>
    </w:p>
    <w:p w:rsidR="00640E94" w:rsidRDefault="00640E94" w:rsidP="00CC2979">
      <w:pPr>
        <w:pStyle w:val="BodyText"/>
        <w:tabs>
          <w:tab w:val="left" w:pos="4680"/>
          <w:tab w:val="left" w:pos="7200"/>
        </w:tabs>
        <w:spacing w:before="360"/>
        <w:jc w:val="both"/>
        <w:rPr>
          <w:rFonts w:ascii="Arial" w:hAnsi="Arial"/>
        </w:rPr>
      </w:pPr>
      <w:r>
        <w:rPr>
          <w:rFonts w:ascii="Arial" w:hAnsi="Arial"/>
        </w:rPr>
        <w:t xml:space="preserve">Dated </w:t>
      </w:r>
      <w:r w:rsidR="00A83978">
        <w:rPr>
          <w:rFonts w:ascii="Arial" w:hAnsi="Arial"/>
          <w:b/>
          <w:u w:val="single"/>
        </w:rPr>
        <w:t>April 3</w:t>
      </w:r>
      <w:r w:rsidR="003A34C7" w:rsidRPr="003A34C7">
        <w:rPr>
          <w:rFonts w:ascii="Arial" w:hAnsi="Arial"/>
          <w:b/>
          <w:u w:val="single"/>
        </w:rPr>
        <w:t>, 201</w:t>
      </w:r>
      <w:r w:rsidR="00634F89">
        <w:rPr>
          <w:rFonts w:ascii="Arial" w:hAnsi="Arial"/>
          <w:b/>
          <w:u w:val="single"/>
        </w:rPr>
        <w:t>8</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D43BED">
        <w:rPr>
          <w:rFonts w:ascii="Arial" w:hAnsi="Arial"/>
          <w:b/>
          <w:u w:val="single"/>
        </w:rPr>
        <w:t>Julio DiGirolamo</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A379DE" w:rsidRPr="00A379DE">
        <w:rPr>
          <w:rFonts w:ascii="Arial" w:hAnsi="Arial"/>
          <w:b/>
          <w:u w:val="single"/>
        </w:rPr>
        <w:t xml:space="preserve">/s/ </w:t>
      </w:r>
      <w:r w:rsidR="00D43BED">
        <w:rPr>
          <w:rFonts w:ascii="Arial" w:hAnsi="Arial"/>
          <w:b/>
          <w:u w:val="single"/>
        </w:rPr>
        <w:t>Julio DiGirolamo</w:t>
      </w:r>
      <w:r>
        <w:rPr>
          <w:rFonts w:ascii="Arial" w:hAnsi="Arial"/>
          <w:u w:val="single"/>
        </w:rPr>
        <w:tab/>
      </w:r>
      <w:r>
        <w:rPr>
          <w:rFonts w:ascii="Arial" w:hAnsi="Arial"/>
        </w:rPr>
        <w:br/>
        <w:t>Signature</w:t>
      </w:r>
    </w:p>
    <w:p w:rsidR="00003BF1" w:rsidRDefault="00003BF1">
      <w:pPr>
        <w:pStyle w:val="List"/>
        <w:tabs>
          <w:tab w:val="left" w:pos="9180"/>
          <w:tab w:val="left" w:pos="9360"/>
        </w:tabs>
        <w:ind w:left="5760" w:hanging="5760"/>
        <w:rPr>
          <w:rFonts w:ascii="Arial" w:hAnsi="Arial"/>
        </w:rPr>
      </w:pPr>
    </w:p>
    <w:p w:rsidR="00640E94" w:rsidRDefault="003A34C7">
      <w:pPr>
        <w:pStyle w:val="BodyText"/>
        <w:tabs>
          <w:tab w:val="left" w:pos="9180"/>
        </w:tabs>
        <w:spacing w:before="0"/>
        <w:ind w:left="5760"/>
        <w:rPr>
          <w:rFonts w:ascii="Arial" w:hAnsi="Arial"/>
        </w:rPr>
      </w:pPr>
      <w:r w:rsidRPr="003A34C7">
        <w:rPr>
          <w:rFonts w:ascii="Arial" w:hAnsi="Arial"/>
          <w:b/>
          <w:u w:val="single"/>
        </w:rPr>
        <w:t xml:space="preserve">Chief </w:t>
      </w:r>
      <w:r w:rsidR="00D43BED">
        <w:rPr>
          <w:rFonts w:ascii="Arial" w:hAnsi="Arial"/>
          <w:b/>
          <w:u w:val="single"/>
        </w:rPr>
        <w:t>Financial</w:t>
      </w:r>
      <w:r w:rsidR="008B3CC7" w:rsidRPr="003A34C7">
        <w:rPr>
          <w:rFonts w:ascii="Arial" w:hAnsi="Arial"/>
          <w:b/>
          <w:u w:val="single"/>
        </w:rPr>
        <w:t xml:space="preserve"> </w:t>
      </w:r>
      <w:r w:rsidRPr="003A34C7">
        <w:rPr>
          <w:rFonts w:ascii="Arial" w:hAnsi="Arial"/>
          <w:b/>
          <w:u w:val="single"/>
        </w:rPr>
        <w:t>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3A34C7" w:rsidRDefault="00640E94" w:rsidP="003A34C7">
            <w:pPr>
              <w:pStyle w:val="BodyText"/>
              <w:spacing w:before="0"/>
              <w:rPr>
                <w:rFonts w:ascii="Arial" w:hAnsi="Arial"/>
              </w:rPr>
            </w:pPr>
            <w:r>
              <w:rPr>
                <w:rFonts w:ascii="Arial" w:hAnsi="Arial"/>
              </w:rPr>
              <w:t>Name of Issuer</w:t>
            </w:r>
          </w:p>
          <w:p w:rsidR="003A34C7" w:rsidRDefault="003A34C7" w:rsidP="003A34C7">
            <w:pPr>
              <w:pStyle w:val="BodyText"/>
              <w:spacing w:before="0"/>
              <w:rPr>
                <w:rFonts w:ascii="Arial" w:hAnsi="Arial"/>
              </w:rPr>
            </w:pPr>
          </w:p>
          <w:p w:rsidR="00640E94" w:rsidRPr="003A34C7" w:rsidRDefault="008B3CC7" w:rsidP="003A34C7">
            <w:pPr>
              <w:pStyle w:val="BodyText"/>
              <w:spacing w:before="0"/>
              <w:rPr>
                <w:rFonts w:ascii="Arial" w:hAnsi="Arial"/>
                <w:b/>
              </w:rPr>
            </w:pPr>
            <w:r>
              <w:rPr>
                <w:rFonts w:ascii="Arial" w:hAnsi="Arial"/>
                <w:b/>
              </w:rPr>
              <w:t>Bunker Hill Mining</w:t>
            </w:r>
            <w:r w:rsidR="003A34C7" w:rsidRPr="003A34C7">
              <w:rPr>
                <w:rFonts w:ascii="Arial" w:hAnsi="Arial"/>
                <w:b/>
              </w:rPr>
              <w:t xml:space="preserve">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3A34C7" w:rsidRDefault="003A34C7">
            <w:pPr>
              <w:pStyle w:val="BodyText"/>
              <w:spacing w:before="0"/>
              <w:rPr>
                <w:rFonts w:ascii="Arial" w:hAnsi="Arial"/>
              </w:rPr>
            </w:pPr>
          </w:p>
          <w:p w:rsidR="003A34C7" w:rsidRPr="003A34C7" w:rsidRDefault="00A83978" w:rsidP="008B3CC7">
            <w:pPr>
              <w:pStyle w:val="BodyText"/>
              <w:spacing w:before="0"/>
              <w:ind w:right="-50"/>
              <w:rPr>
                <w:rFonts w:ascii="Arial" w:hAnsi="Arial"/>
                <w:b/>
              </w:rPr>
            </w:pPr>
            <w:r>
              <w:rPr>
                <w:rFonts w:ascii="Arial" w:hAnsi="Arial"/>
                <w:b/>
              </w:rPr>
              <w:t>Mar</w:t>
            </w:r>
            <w:r w:rsidR="00D43BED">
              <w:rPr>
                <w:rFonts w:ascii="Arial" w:hAnsi="Arial"/>
                <w:b/>
              </w:rPr>
              <w:t>.</w:t>
            </w:r>
            <w:r w:rsidR="008B3CC7" w:rsidRPr="003A34C7">
              <w:rPr>
                <w:rFonts w:ascii="Arial" w:hAnsi="Arial"/>
                <w:b/>
              </w:rPr>
              <w:t xml:space="preserve"> </w:t>
            </w:r>
            <w:r w:rsidR="003A34C7" w:rsidRPr="003A34C7">
              <w:rPr>
                <w:rFonts w:ascii="Arial" w:hAnsi="Arial"/>
                <w:b/>
              </w:rPr>
              <w:t>201</w:t>
            </w:r>
            <w:r w:rsidR="00634F89">
              <w:rPr>
                <w:rFonts w:ascii="Arial" w:hAnsi="Arial"/>
                <w:b/>
              </w:rPr>
              <w:t>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A34C7" w:rsidRDefault="003A34C7">
            <w:pPr>
              <w:pStyle w:val="BodyText"/>
              <w:spacing w:before="0"/>
              <w:rPr>
                <w:rFonts w:ascii="Arial" w:hAnsi="Arial"/>
              </w:rPr>
            </w:pPr>
          </w:p>
          <w:p w:rsidR="003A34C7" w:rsidRPr="003A34C7" w:rsidRDefault="00CC2979" w:rsidP="00D43BED">
            <w:pPr>
              <w:pStyle w:val="BodyText"/>
              <w:spacing w:before="0"/>
              <w:rPr>
                <w:rFonts w:ascii="Arial" w:hAnsi="Arial"/>
                <w:b/>
              </w:rPr>
            </w:pPr>
            <w:r>
              <w:rPr>
                <w:rFonts w:ascii="Arial" w:hAnsi="Arial"/>
                <w:b/>
              </w:rPr>
              <w:t>201</w:t>
            </w:r>
            <w:r w:rsidR="00D43BED">
              <w:rPr>
                <w:rFonts w:ascii="Arial" w:hAnsi="Arial"/>
                <w:b/>
              </w:rPr>
              <w:t>8/0</w:t>
            </w:r>
            <w:r w:rsidR="00A83978">
              <w:rPr>
                <w:rFonts w:ascii="Arial" w:hAnsi="Arial"/>
                <w:b/>
              </w:rPr>
              <w:t>4</w:t>
            </w:r>
            <w:r w:rsidR="00D43BED">
              <w:rPr>
                <w:rFonts w:ascii="Arial" w:hAnsi="Arial"/>
                <w:b/>
              </w:rPr>
              <w:t>/0</w:t>
            </w:r>
            <w:r w:rsidR="00A83978">
              <w:rPr>
                <w:rFonts w:ascii="Arial" w:hAnsi="Arial"/>
                <w:b/>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2F1749" w:rsidRDefault="003A34C7" w:rsidP="003A34C7">
            <w:pPr>
              <w:pStyle w:val="BodyText"/>
              <w:spacing w:before="0"/>
              <w:rPr>
                <w:rFonts w:ascii="Arial" w:hAnsi="Arial"/>
                <w:b/>
              </w:rPr>
            </w:pPr>
            <w:r w:rsidRPr="002F1749">
              <w:rPr>
                <w:rFonts w:ascii="Arial" w:hAnsi="Arial"/>
                <w:b/>
              </w:rPr>
              <w:t>2702 – 401 Bay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3A34C7" w:rsidRDefault="003A34C7">
            <w:pPr>
              <w:pStyle w:val="BodyText"/>
              <w:spacing w:before="0"/>
              <w:rPr>
                <w:rFonts w:ascii="Arial" w:hAnsi="Arial"/>
              </w:rPr>
            </w:pPr>
          </w:p>
          <w:p w:rsidR="00640E94" w:rsidRPr="00D43BED" w:rsidRDefault="003A34C7">
            <w:pPr>
              <w:pStyle w:val="BodyText"/>
              <w:spacing w:before="0"/>
              <w:rPr>
                <w:rFonts w:ascii="Arial" w:hAnsi="Arial"/>
                <w:b/>
              </w:rPr>
            </w:pPr>
            <w:r w:rsidRPr="003A34C7">
              <w:rPr>
                <w:rFonts w:ascii="Arial" w:hAnsi="Arial"/>
                <w:b/>
              </w:rPr>
              <w:t>Toronto, ON M5H 2Y4</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3A34C7" w:rsidRDefault="003A34C7">
            <w:pPr>
              <w:pStyle w:val="BodyText"/>
              <w:spacing w:before="0"/>
              <w:rPr>
                <w:rFonts w:ascii="Arial" w:hAnsi="Arial"/>
              </w:rPr>
            </w:pP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3A34C7" w:rsidRDefault="003A34C7">
            <w:pPr>
              <w:pStyle w:val="BodyText"/>
              <w:spacing w:before="0"/>
              <w:rPr>
                <w:rFonts w:ascii="Arial" w:hAnsi="Arial"/>
              </w:rPr>
            </w:pPr>
          </w:p>
          <w:p w:rsidR="00640E94" w:rsidRDefault="00640E94" w:rsidP="007D0349">
            <w:pPr>
              <w:pStyle w:val="BodyText"/>
              <w:spacing w:before="0"/>
              <w:rPr>
                <w:rFonts w:ascii="Arial" w:hAnsi="Arial"/>
              </w:rPr>
            </w:pPr>
            <w:r w:rsidRPr="00FF6A50">
              <w:rPr>
                <w:rFonts w:ascii="Arial" w:hAnsi="Arial"/>
                <w:b/>
              </w:rPr>
              <w:t>(</w:t>
            </w:r>
            <w:r w:rsidR="003A34C7" w:rsidRPr="003A34C7">
              <w:rPr>
                <w:rFonts w:ascii="Arial" w:hAnsi="Arial"/>
                <w:b/>
              </w:rPr>
              <w:t>416</w:t>
            </w:r>
            <w:r w:rsidRPr="003A34C7">
              <w:rPr>
                <w:rFonts w:ascii="Arial" w:hAnsi="Arial"/>
                <w:b/>
              </w:rPr>
              <w:t>)</w:t>
            </w:r>
            <w:r w:rsidR="003A34C7" w:rsidRPr="003A34C7">
              <w:rPr>
                <w:rFonts w:ascii="Arial" w:hAnsi="Arial"/>
                <w:b/>
              </w:rPr>
              <w:t xml:space="preserve"> 477.7771</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3A34C7" w:rsidRDefault="003A34C7">
            <w:pPr>
              <w:pStyle w:val="BodyText"/>
              <w:spacing w:before="0"/>
              <w:rPr>
                <w:rFonts w:ascii="Arial" w:hAnsi="Arial"/>
              </w:rPr>
            </w:pPr>
          </w:p>
          <w:p w:rsidR="00640E94" w:rsidRPr="00D43BED" w:rsidRDefault="00D43BED">
            <w:pPr>
              <w:pStyle w:val="BodyText"/>
              <w:spacing w:before="0"/>
              <w:rPr>
                <w:rFonts w:ascii="Arial" w:hAnsi="Arial"/>
                <w:b/>
              </w:rPr>
            </w:pPr>
            <w:r>
              <w:rPr>
                <w:rFonts w:ascii="Arial" w:hAnsi="Arial"/>
                <w:b/>
              </w:rPr>
              <w:t>Julio DiGirolamo</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A34C7" w:rsidRPr="003A34C7" w:rsidRDefault="00D43BED">
            <w:pPr>
              <w:pStyle w:val="BodyText"/>
              <w:spacing w:before="0"/>
              <w:rPr>
                <w:rFonts w:ascii="Arial" w:hAnsi="Arial"/>
                <w:b/>
              </w:rPr>
            </w:pPr>
            <w:r>
              <w:rPr>
                <w:rFonts w:ascii="Arial" w:hAnsi="Arial"/>
                <w:b/>
              </w:rPr>
              <w:t>CF</w:t>
            </w:r>
            <w:r w:rsidR="008B3CC7">
              <w:rPr>
                <w:rFonts w:ascii="Arial" w:hAnsi="Arial"/>
                <w:b/>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A34C7" w:rsidRDefault="003A34C7">
            <w:pPr>
              <w:pStyle w:val="BodyText"/>
              <w:spacing w:before="0"/>
              <w:rPr>
                <w:rFonts w:ascii="Arial" w:hAnsi="Arial"/>
              </w:rPr>
            </w:pPr>
          </w:p>
          <w:p w:rsidR="003A34C7" w:rsidRPr="003A34C7" w:rsidRDefault="007D0349" w:rsidP="00D43BED">
            <w:pPr>
              <w:pStyle w:val="BodyText"/>
              <w:spacing w:before="0"/>
              <w:rPr>
                <w:rFonts w:ascii="Arial" w:hAnsi="Arial"/>
                <w:b/>
              </w:rPr>
            </w:pPr>
            <w:r>
              <w:rPr>
                <w:rFonts w:ascii="Arial" w:hAnsi="Arial"/>
                <w:b/>
                <w:lang w:val="en-US"/>
              </w:rPr>
              <w:t>(416</w:t>
            </w:r>
            <w:r w:rsidR="003A34C7" w:rsidRPr="003A34C7">
              <w:rPr>
                <w:rFonts w:ascii="Arial" w:hAnsi="Arial"/>
                <w:b/>
                <w:lang w:val="en-US"/>
              </w:rPr>
              <w:t>) 477.7771 x 20</w:t>
            </w:r>
            <w:r w:rsidR="00D43BED">
              <w:rPr>
                <w:rFonts w:ascii="Arial" w:hAnsi="Arial"/>
                <w:b/>
                <w:lang w:val="en-US"/>
              </w:rPr>
              <w:t>2</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D43BED" w:rsidRDefault="00D43BED">
            <w:pPr>
              <w:pStyle w:val="BodyText"/>
              <w:spacing w:before="0"/>
              <w:rPr>
                <w:rFonts w:ascii="Arial" w:hAnsi="Arial"/>
                <w:b/>
              </w:rPr>
            </w:pPr>
            <w:r>
              <w:rPr>
                <w:rFonts w:ascii="Arial" w:hAnsi="Arial"/>
                <w:b/>
              </w:rPr>
              <w:t>jd</w:t>
            </w:r>
            <w:r w:rsidR="003A34C7" w:rsidRPr="003A34C7">
              <w:rPr>
                <w:rFonts w:ascii="Arial" w:hAnsi="Arial"/>
                <w:b/>
              </w:rPr>
              <w:t>@</w:t>
            </w:r>
            <w:r w:rsidR="00192C50">
              <w:rPr>
                <w:rFonts w:ascii="Arial" w:hAnsi="Arial"/>
                <w:b/>
              </w:rPr>
              <w:t>bunkerhillmining.com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3A34C7" w:rsidRDefault="003A34C7">
            <w:pPr>
              <w:pStyle w:val="BodyText"/>
              <w:spacing w:before="0"/>
              <w:rPr>
                <w:rFonts w:ascii="Arial" w:hAnsi="Arial"/>
                <w:b/>
              </w:rPr>
            </w:pPr>
            <w:r w:rsidRPr="003A34C7">
              <w:rPr>
                <w:rFonts w:ascii="Arial" w:hAnsi="Arial"/>
                <w:b/>
              </w:rPr>
              <w:t>www.</w:t>
            </w:r>
            <w:r w:rsidR="002F1749">
              <w:rPr>
                <w:rFonts w:ascii="Arial" w:hAnsi="Arial"/>
                <w:b/>
              </w:rPr>
              <w:t>bunkerhillmining</w:t>
            </w:r>
            <w:r w:rsidRPr="003A34C7">
              <w:rPr>
                <w:rFonts w:ascii="Arial" w:hAnsi="Arial"/>
                <w:b/>
              </w:rPr>
              <w:t>.com</w:t>
            </w:r>
          </w:p>
        </w:tc>
      </w:tr>
    </w:tbl>
    <w:p w:rsidR="00640E94" w:rsidRDefault="00640E94" w:rsidP="00CC2979">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87" w:rsidRDefault="00F10387">
      <w:r>
        <w:separator/>
      </w:r>
    </w:p>
  </w:endnote>
  <w:endnote w:type="continuationSeparator" w:id="0">
    <w:p w:rsidR="00F10387" w:rsidRDefault="00F1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6736ED3E" wp14:editId="413858C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06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C0F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9B2FB20" wp14:editId="5258C7E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1F4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87" w:rsidRDefault="00F10387">
      <w:r>
        <w:separator/>
      </w:r>
    </w:p>
  </w:footnote>
  <w:footnote w:type="continuationSeparator" w:id="0">
    <w:p w:rsidR="00F10387" w:rsidRDefault="00F1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E235AE"/>
    <w:multiLevelType w:val="hybridMultilevel"/>
    <w:tmpl w:val="FECA2446"/>
    <w:lvl w:ilvl="0" w:tplc="CDFCC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9D80B3E"/>
    <w:multiLevelType w:val="hybridMultilevel"/>
    <w:tmpl w:val="E4B81F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E7626E4"/>
    <w:multiLevelType w:val="multilevel"/>
    <w:tmpl w:val="46B8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426AFB"/>
    <w:multiLevelType w:val="hybridMultilevel"/>
    <w:tmpl w:val="E0385C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DD00F7B"/>
    <w:multiLevelType w:val="hybridMultilevel"/>
    <w:tmpl w:val="1AD0F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7DF70BB"/>
    <w:multiLevelType w:val="hybridMultilevel"/>
    <w:tmpl w:val="04A8E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4B695F"/>
    <w:multiLevelType w:val="hybridMultilevel"/>
    <w:tmpl w:val="FE082EDC"/>
    <w:lvl w:ilvl="0" w:tplc="7B943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DC0763A"/>
    <w:multiLevelType w:val="hybridMultilevel"/>
    <w:tmpl w:val="9CF28E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6"/>
  </w:num>
  <w:num w:numId="5">
    <w:abstractNumId w:val="3"/>
  </w:num>
  <w:num w:numId="6">
    <w:abstractNumId w:val="27"/>
  </w:num>
  <w:num w:numId="7">
    <w:abstractNumId w:val="9"/>
  </w:num>
  <w:num w:numId="8">
    <w:abstractNumId w:val="30"/>
  </w:num>
  <w:num w:numId="9">
    <w:abstractNumId w:val="24"/>
  </w:num>
  <w:num w:numId="10">
    <w:abstractNumId w:val="12"/>
  </w:num>
  <w:num w:numId="11">
    <w:abstractNumId w:val="17"/>
  </w:num>
  <w:num w:numId="12">
    <w:abstractNumId w:val="19"/>
  </w:num>
  <w:num w:numId="13">
    <w:abstractNumId w:val="33"/>
  </w:num>
  <w:num w:numId="14">
    <w:abstractNumId w:val="7"/>
  </w:num>
  <w:num w:numId="15">
    <w:abstractNumId w:val="10"/>
  </w:num>
  <w:num w:numId="16">
    <w:abstractNumId w:val="14"/>
  </w:num>
  <w:num w:numId="17">
    <w:abstractNumId w:val="22"/>
  </w:num>
  <w:num w:numId="18">
    <w:abstractNumId w:val="2"/>
  </w:num>
  <w:num w:numId="19">
    <w:abstractNumId w:val="8"/>
  </w:num>
  <w:num w:numId="20">
    <w:abstractNumId w:val="28"/>
  </w:num>
  <w:num w:numId="21">
    <w:abstractNumId w:val="1"/>
  </w:num>
  <w:num w:numId="22">
    <w:abstractNumId w:val="0"/>
  </w:num>
  <w:num w:numId="23">
    <w:abstractNumId w:val="26"/>
  </w:num>
  <w:num w:numId="24">
    <w:abstractNumId w:val="23"/>
  </w:num>
  <w:num w:numId="25">
    <w:abstractNumId w:val="4"/>
  </w:num>
  <w:num w:numId="26">
    <w:abstractNumId w:val="31"/>
  </w:num>
  <w:num w:numId="27">
    <w:abstractNumId w:val="35"/>
  </w:num>
  <w:num w:numId="28">
    <w:abstractNumId w:val="6"/>
  </w:num>
  <w:num w:numId="29">
    <w:abstractNumId w:val="5"/>
  </w:num>
  <w:num w:numId="30">
    <w:abstractNumId w:val="13"/>
  </w:num>
  <w:num w:numId="31">
    <w:abstractNumId w:val="18"/>
  </w:num>
  <w:num w:numId="32">
    <w:abstractNumId w:val="15"/>
  </w:num>
  <w:num w:numId="33">
    <w:abstractNumId w:val="11"/>
  </w:num>
  <w:num w:numId="34">
    <w:abstractNumId w:val="32"/>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3BF1"/>
    <w:rsid w:val="000A1AB1"/>
    <w:rsid w:val="000D4369"/>
    <w:rsid w:val="000F414E"/>
    <w:rsid w:val="0012043C"/>
    <w:rsid w:val="00136388"/>
    <w:rsid w:val="00144156"/>
    <w:rsid w:val="00192C50"/>
    <w:rsid w:val="0019534C"/>
    <w:rsid w:val="001C1185"/>
    <w:rsid w:val="001D2FC4"/>
    <w:rsid w:val="001F5958"/>
    <w:rsid w:val="0021058D"/>
    <w:rsid w:val="00222640"/>
    <w:rsid w:val="00225A42"/>
    <w:rsid w:val="0024718A"/>
    <w:rsid w:val="00266718"/>
    <w:rsid w:val="0029015B"/>
    <w:rsid w:val="002B1765"/>
    <w:rsid w:val="002C281E"/>
    <w:rsid w:val="002D1CE9"/>
    <w:rsid w:val="002F00EB"/>
    <w:rsid w:val="002F1749"/>
    <w:rsid w:val="00307589"/>
    <w:rsid w:val="00353BD0"/>
    <w:rsid w:val="003669A9"/>
    <w:rsid w:val="00371A64"/>
    <w:rsid w:val="00374641"/>
    <w:rsid w:val="00387FA8"/>
    <w:rsid w:val="003A34C7"/>
    <w:rsid w:val="003A5565"/>
    <w:rsid w:val="003C6836"/>
    <w:rsid w:val="003E6539"/>
    <w:rsid w:val="004028B5"/>
    <w:rsid w:val="0040527E"/>
    <w:rsid w:val="00422760"/>
    <w:rsid w:val="00427B73"/>
    <w:rsid w:val="004602C4"/>
    <w:rsid w:val="0047402A"/>
    <w:rsid w:val="00481C0E"/>
    <w:rsid w:val="004B416D"/>
    <w:rsid w:val="004D5AE4"/>
    <w:rsid w:val="004E014A"/>
    <w:rsid w:val="00536F0E"/>
    <w:rsid w:val="005453C8"/>
    <w:rsid w:val="00557CC9"/>
    <w:rsid w:val="005B5317"/>
    <w:rsid w:val="005C222A"/>
    <w:rsid w:val="005D234C"/>
    <w:rsid w:val="005E7E88"/>
    <w:rsid w:val="005F6D8F"/>
    <w:rsid w:val="00620E7F"/>
    <w:rsid w:val="00633ED3"/>
    <w:rsid w:val="00634F89"/>
    <w:rsid w:val="00635E9A"/>
    <w:rsid w:val="00640E94"/>
    <w:rsid w:val="00647CA5"/>
    <w:rsid w:val="00677E7B"/>
    <w:rsid w:val="006920DC"/>
    <w:rsid w:val="006B1B48"/>
    <w:rsid w:val="006D1A06"/>
    <w:rsid w:val="006E0B73"/>
    <w:rsid w:val="00730B69"/>
    <w:rsid w:val="00736073"/>
    <w:rsid w:val="00744B01"/>
    <w:rsid w:val="00765371"/>
    <w:rsid w:val="00781A98"/>
    <w:rsid w:val="007D0349"/>
    <w:rsid w:val="007E47D2"/>
    <w:rsid w:val="007F1817"/>
    <w:rsid w:val="008357A3"/>
    <w:rsid w:val="008774E0"/>
    <w:rsid w:val="008B2461"/>
    <w:rsid w:val="008B3CC7"/>
    <w:rsid w:val="008B7E92"/>
    <w:rsid w:val="008C1934"/>
    <w:rsid w:val="008F32ED"/>
    <w:rsid w:val="008F3771"/>
    <w:rsid w:val="00922A46"/>
    <w:rsid w:val="00932122"/>
    <w:rsid w:val="009B6BFC"/>
    <w:rsid w:val="009F4AB6"/>
    <w:rsid w:val="00A379DE"/>
    <w:rsid w:val="00A47914"/>
    <w:rsid w:val="00A83978"/>
    <w:rsid w:val="00A8547A"/>
    <w:rsid w:val="00B01A3F"/>
    <w:rsid w:val="00B02EA6"/>
    <w:rsid w:val="00B034D7"/>
    <w:rsid w:val="00B5174E"/>
    <w:rsid w:val="00B7273C"/>
    <w:rsid w:val="00B814C3"/>
    <w:rsid w:val="00BB5EF2"/>
    <w:rsid w:val="00BC4078"/>
    <w:rsid w:val="00BC6981"/>
    <w:rsid w:val="00BE4B91"/>
    <w:rsid w:val="00BF769B"/>
    <w:rsid w:val="00C27A18"/>
    <w:rsid w:val="00C52B8E"/>
    <w:rsid w:val="00C61F01"/>
    <w:rsid w:val="00C6383E"/>
    <w:rsid w:val="00CC0F2C"/>
    <w:rsid w:val="00CC2979"/>
    <w:rsid w:val="00CD5F46"/>
    <w:rsid w:val="00D05F39"/>
    <w:rsid w:val="00D2103B"/>
    <w:rsid w:val="00D31494"/>
    <w:rsid w:val="00D42A2D"/>
    <w:rsid w:val="00D43BED"/>
    <w:rsid w:val="00DA511B"/>
    <w:rsid w:val="00DB1865"/>
    <w:rsid w:val="00DB728E"/>
    <w:rsid w:val="00DC60C0"/>
    <w:rsid w:val="00DD0858"/>
    <w:rsid w:val="00DD3DA7"/>
    <w:rsid w:val="00DD65B1"/>
    <w:rsid w:val="00E36141"/>
    <w:rsid w:val="00E83E58"/>
    <w:rsid w:val="00EB3786"/>
    <w:rsid w:val="00ED781F"/>
    <w:rsid w:val="00EE4406"/>
    <w:rsid w:val="00EF5F72"/>
    <w:rsid w:val="00F10387"/>
    <w:rsid w:val="00F27C6A"/>
    <w:rsid w:val="00F51F56"/>
    <w:rsid w:val="00F77D1C"/>
    <w:rsid w:val="00FD588C"/>
    <w:rsid w:val="00FF6A50"/>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6F727-5D25-40FB-98A2-853DC904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F1749"/>
    <w:rPr>
      <w:color w:val="0000FF" w:themeColor="hyperlink"/>
      <w:u w:val="single"/>
    </w:rPr>
  </w:style>
  <w:style w:type="character" w:customStyle="1" w:styleId="UnresolvedMention1">
    <w:name w:val="Unresolved Mention1"/>
    <w:basedOn w:val="DefaultParagraphFont"/>
    <w:uiPriority w:val="99"/>
    <w:semiHidden/>
    <w:unhideWhenUsed/>
    <w:rsid w:val="002F1749"/>
    <w:rPr>
      <w:color w:val="808080"/>
      <w:shd w:val="clear" w:color="auto" w:fill="E6E6E6"/>
    </w:rPr>
  </w:style>
  <w:style w:type="paragraph" w:styleId="NormalWeb">
    <w:name w:val="Normal (Web)"/>
    <w:basedOn w:val="Normal"/>
    <w:uiPriority w:val="99"/>
    <w:semiHidden/>
    <w:unhideWhenUsed/>
    <w:rsid w:val="002F1749"/>
    <w:pPr>
      <w:spacing w:before="100" w:beforeAutospacing="1" w:after="100" w:afterAutospacing="1"/>
    </w:pPr>
    <w:rPr>
      <w:sz w:val="24"/>
      <w:szCs w:val="24"/>
      <w:lang w:val="en-CA" w:eastAsia="en-CA"/>
    </w:rPr>
  </w:style>
  <w:style w:type="character" w:styleId="Strong">
    <w:name w:val="Strong"/>
    <w:basedOn w:val="DefaultParagraphFont"/>
    <w:uiPriority w:val="22"/>
    <w:qFormat/>
    <w:rsid w:val="002F1749"/>
    <w:rPr>
      <w:b/>
      <w:bCs/>
    </w:rPr>
  </w:style>
  <w:style w:type="paragraph" w:styleId="Revision">
    <w:name w:val="Revision"/>
    <w:hidden/>
    <w:uiPriority w:val="99"/>
    <w:semiHidden/>
    <w:rsid w:val="00D42A2D"/>
  </w:style>
  <w:style w:type="paragraph" w:styleId="ListParagraph">
    <w:name w:val="List Paragraph"/>
    <w:basedOn w:val="Normal"/>
    <w:uiPriority w:val="34"/>
    <w:qFormat/>
    <w:rsid w:val="0063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484">
      <w:bodyDiv w:val="1"/>
      <w:marLeft w:val="0"/>
      <w:marRight w:val="0"/>
      <w:marTop w:val="0"/>
      <w:marBottom w:val="0"/>
      <w:divBdr>
        <w:top w:val="none" w:sz="0" w:space="0" w:color="auto"/>
        <w:left w:val="none" w:sz="0" w:space="0" w:color="auto"/>
        <w:bottom w:val="none" w:sz="0" w:space="0" w:color="auto"/>
        <w:right w:val="none" w:sz="0" w:space="0" w:color="auto"/>
      </w:divBdr>
    </w:div>
    <w:div w:id="411201554">
      <w:bodyDiv w:val="1"/>
      <w:marLeft w:val="0"/>
      <w:marRight w:val="0"/>
      <w:marTop w:val="0"/>
      <w:marBottom w:val="0"/>
      <w:divBdr>
        <w:top w:val="none" w:sz="0" w:space="0" w:color="auto"/>
        <w:left w:val="none" w:sz="0" w:space="0" w:color="auto"/>
        <w:bottom w:val="none" w:sz="0" w:space="0" w:color="auto"/>
        <w:right w:val="none" w:sz="0" w:space="0" w:color="auto"/>
      </w:divBdr>
    </w:div>
    <w:div w:id="703141290">
      <w:bodyDiv w:val="1"/>
      <w:marLeft w:val="0"/>
      <w:marRight w:val="0"/>
      <w:marTop w:val="0"/>
      <w:marBottom w:val="0"/>
      <w:divBdr>
        <w:top w:val="none" w:sz="0" w:space="0" w:color="auto"/>
        <w:left w:val="none" w:sz="0" w:space="0" w:color="auto"/>
        <w:bottom w:val="none" w:sz="0" w:space="0" w:color="auto"/>
        <w:right w:val="none" w:sz="0" w:space="0" w:color="auto"/>
      </w:divBdr>
    </w:div>
    <w:div w:id="917321971">
      <w:bodyDiv w:val="1"/>
      <w:marLeft w:val="0"/>
      <w:marRight w:val="0"/>
      <w:marTop w:val="0"/>
      <w:marBottom w:val="0"/>
      <w:divBdr>
        <w:top w:val="none" w:sz="0" w:space="0" w:color="auto"/>
        <w:left w:val="none" w:sz="0" w:space="0" w:color="auto"/>
        <w:bottom w:val="none" w:sz="0" w:space="0" w:color="auto"/>
        <w:right w:val="none" w:sz="0" w:space="0" w:color="auto"/>
      </w:divBdr>
    </w:div>
    <w:div w:id="1004819657">
      <w:bodyDiv w:val="1"/>
      <w:marLeft w:val="0"/>
      <w:marRight w:val="0"/>
      <w:marTop w:val="0"/>
      <w:marBottom w:val="0"/>
      <w:divBdr>
        <w:top w:val="none" w:sz="0" w:space="0" w:color="auto"/>
        <w:left w:val="none" w:sz="0" w:space="0" w:color="auto"/>
        <w:bottom w:val="none" w:sz="0" w:space="0" w:color="auto"/>
        <w:right w:val="none" w:sz="0" w:space="0" w:color="auto"/>
      </w:divBdr>
    </w:div>
    <w:div w:id="1215628420">
      <w:bodyDiv w:val="1"/>
      <w:marLeft w:val="0"/>
      <w:marRight w:val="0"/>
      <w:marTop w:val="0"/>
      <w:marBottom w:val="0"/>
      <w:divBdr>
        <w:top w:val="none" w:sz="0" w:space="0" w:color="auto"/>
        <w:left w:val="none" w:sz="0" w:space="0" w:color="auto"/>
        <w:bottom w:val="none" w:sz="0" w:space="0" w:color="auto"/>
        <w:right w:val="none" w:sz="0" w:space="0" w:color="auto"/>
      </w:divBdr>
    </w:div>
    <w:div w:id="1604723004">
      <w:bodyDiv w:val="1"/>
      <w:marLeft w:val="0"/>
      <w:marRight w:val="0"/>
      <w:marTop w:val="0"/>
      <w:marBottom w:val="0"/>
      <w:divBdr>
        <w:top w:val="none" w:sz="0" w:space="0" w:color="auto"/>
        <w:left w:val="none" w:sz="0" w:space="0" w:color="auto"/>
        <w:bottom w:val="none" w:sz="0" w:space="0" w:color="auto"/>
        <w:right w:val="none" w:sz="0" w:space="0" w:color="auto"/>
      </w:divBdr>
    </w:div>
    <w:div w:id="1633632897">
      <w:bodyDiv w:val="1"/>
      <w:marLeft w:val="0"/>
      <w:marRight w:val="0"/>
      <w:marTop w:val="0"/>
      <w:marBottom w:val="0"/>
      <w:divBdr>
        <w:top w:val="none" w:sz="0" w:space="0" w:color="auto"/>
        <w:left w:val="none" w:sz="0" w:space="0" w:color="auto"/>
        <w:bottom w:val="none" w:sz="0" w:space="0" w:color="auto"/>
        <w:right w:val="none" w:sz="0" w:space="0" w:color="auto"/>
      </w:divBdr>
    </w:div>
    <w:div w:id="1977174289">
      <w:bodyDiv w:val="1"/>
      <w:marLeft w:val="0"/>
      <w:marRight w:val="0"/>
      <w:marTop w:val="0"/>
      <w:marBottom w:val="0"/>
      <w:divBdr>
        <w:top w:val="none" w:sz="0" w:space="0" w:color="auto"/>
        <w:left w:val="none" w:sz="0" w:space="0" w:color="auto"/>
        <w:bottom w:val="none" w:sz="0" w:space="0" w:color="auto"/>
        <w:right w:val="none" w:sz="0" w:space="0" w:color="auto"/>
      </w:divBdr>
    </w:div>
    <w:div w:id="19997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helga fairhurst</cp:lastModifiedBy>
  <cp:revision>2</cp:revision>
  <cp:lastPrinted>2017-12-06T19:36:00Z</cp:lastPrinted>
  <dcterms:created xsi:type="dcterms:W3CDTF">2018-04-03T18:54:00Z</dcterms:created>
  <dcterms:modified xsi:type="dcterms:W3CDTF">2018-04-03T18:54:00Z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