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347220">
        <w:rPr>
          <w:rFonts w:ascii="Arial" w:hAnsi="Arial"/>
          <w:i/>
          <w:color w:val="000000"/>
        </w:rPr>
        <w:t>96,578,249</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347220">
        <w:rPr>
          <w:rFonts w:ascii="Arial" w:hAnsi="Arial"/>
          <w:i/>
          <w:color w:val="000000"/>
        </w:rPr>
        <w:t>November 5</w:t>
      </w:r>
      <w:r w:rsidR="008B2474" w:rsidRPr="00CA5F81">
        <w:rPr>
          <w:rFonts w:ascii="Arial" w:hAnsi="Arial"/>
          <w:i/>
          <w:color w:val="000000"/>
        </w:rPr>
        <w:t>, 2018</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645202" w:rsidRDefault="006E3ACF" w:rsidP="006222DD">
      <w:pPr>
        <w:pStyle w:val="List"/>
        <w:spacing w:before="120"/>
        <w:ind w:left="720" w:firstLine="0"/>
        <w:jc w:val="both"/>
        <w:rPr>
          <w:rFonts w:ascii="Arial" w:hAnsi="Arial"/>
          <w:i/>
        </w:rPr>
      </w:pPr>
      <w:r>
        <w:rPr>
          <w:rFonts w:ascii="Arial" w:hAnsi="Arial"/>
          <w:i/>
        </w:rPr>
        <w:t xml:space="preserve">During October 2018, Pivot continued to position itself </w:t>
      </w:r>
      <w:r w:rsidR="00645202">
        <w:rPr>
          <w:rFonts w:ascii="Arial" w:hAnsi="Arial"/>
          <w:i/>
        </w:rPr>
        <w:t>to maximize</w:t>
      </w:r>
      <w:r>
        <w:rPr>
          <w:rFonts w:ascii="Arial" w:hAnsi="Arial"/>
          <w:i/>
        </w:rPr>
        <w:t xml:space="preserve"> value to its shareholders.  Pivot signed </w:t>
      </w:r>
      <w:r w:rsidR="00645202">
        <w:rPr>
          <w:rFonts w:ascii="Arial" w:hAnsi="Arial"/>
          <w:i/>
        </w:rPr>
        <w:t>l</w:t>
      </w:r>
      <w:r>
        <w:rPr>
          <w:rFonts w:ascii="Arial" w:hAnsi="Arial"/>
          <w:i/>
        </w:rPr>
        <w:t xml:space="preserve">etter of </w:t>
      </w:r>
      <w:r w:rsidR="00645202">
        <w:rPr>
          <w:rFonts w:ascii="Arial" w:hAnsi="Arial"/>
          <w:i/>
        </w:rPr>
        <w:t>i</w:t>
      </w:r>
      <w:r>
        <w:rPr>
          <w:rFonts w:ascii="Arial" w:hAnsi="Arial"/>
          <w:i/>
        </w:rPr>
        <w:t>ntent for the reverse t</w:t>
      </w:r>
      <w:r w:rsidRPr="006E3ACF">
        <w:rPr>
          <w:rFonts w:ascii="Arial" w:hAnsi="Arial"/>
          <w:i/>
        </w:rPr>
        <w:t xml:space="preserve">akeover of Knol </w:t>
      </w:r>
      <w:r w:rsidR="00645202">
        <w:rPr>
          <w:rFonts w:ascii="Arial" w:hAnsi="Arial"/>
          <w:i/>
        </w:rPr>
        <w:t xml:space="preserve">Resources Corp. (“Knol”), a company listed on the TSX-V, </w:t>
      </w:r>
      <w:r w:rsidRPr="006E3ACF">
        <w:rPr>
          <w:rFonts w:ascii="Arial" w:hAnsi="Arial"/>
          <w:i/>
        </w:rPr>
        <w:t xml:space="preserve">pursuant to which Pivot will spin out </w:t>
      </w:r>
      <w:bookmarkStart w:id="5" w:name="_GoBack"/>
      <w:bookmarkEnd w:id="5"/>
      <w:r w:rsidR="00645202" w:rsidRPr="006E3ACF">
        <w:rPr>
          <w:rFonts w:ascii="Arial" w:hAnsi="Arial"/>
          <w:i/>
        </w:rPr>
        <w:t xml:space="preserve">non-U.S. cannabis assets </w:t>
      </w:r>
      <w:r w:rsidR="00645202">
        <w:rPr>
          <w:rFonts w:ascii="Arial" w:hAnsi="Arial"/>
          <w:i/>
        </w:rPr>
        <w:t xml:space="preserve">to Knol.  </w:t>
      </w:r>
    </w:p>
    <w:p w:rsidR="006E3ACF" w:rsidRDefault="00645202" w:rsidP="006222DD">
      <w:pPr>
        <w:pStyle w:val="List"/>
        <w:spacing w:before="120"/>
        <w:ind w:left="720" w:firstLine="0"/>
        <w:jc w:val="both"/>
        <w:rPr>
          <w:rFonts w:ascii="Arial" w:hAnsi="Arial"/>
          <w:i/>
        </w:rPr>
      </w:pPr>
      <w:r>
        <w:rPr>
          <w:rFonts w:ascii="Arial" w:hAnsi="Arial"/>
          <w:i/>
        </w:rPr>
        <w:t xml:space="preserve">Pivot </w:t>
      </w:r>
      <w:r w:rsidRPr="00645202">
        <w:rPr>
          <w:rFonts w:ascii="Arial" w:hAnsi="Arial"/>
          <w:i/>
        </w:rPr>
        <w:t>signed a</w:t>
      </w:r>
      <w:r>
        <w:rPr>
          <w:rFonts w:ascii="Arial" w:hAnsi="Arial"/>
          <w:i/>
        </w:rPr>
        <w:t xml:space="preserve"> letter of i</w:t>
      </w:r>
      <w:r w:rsidRPr="00645202">
        <w:rPr>
          <w:rFonts w:ascii="Arial" w:hAnsi="Arial"/>
          <w:i/>
        </w:rPr>
        <w:t>ntent to create a Joint Venture with Cartagena Inc.</w:t>
      </w:r>
      <w:r w:rsidR="003C15A9">
        <w:rPr>
          <w:rFonts w:ascii="Arial" w:hAnsi="Arial"/>
          <w:i/>
        </w:rPr>
        <w:t xml:space="preserve"> </w:t>
      </w:r>
      <w:r w:rsidR="003C15A9" w:rsidRPr="00645202">
        <w:rPr>
          <w:rFonts w:ascii="Arial" w:hAnsi="Arial"/>
          <w:i/>
        </w:rPr>
        <w:t xml:space="preserve">("the </w:t>
      </w:r>
      <w:r w:rsidR="003C15A9">
        <w:rPr>
          <w:rFonts w:ascii="Arial" w:hAnsi="Arial"/>
          <w:i/>
        </w:rPr>
        <w:t xml:space="preserve">Cartagena </w:t>
      </w:r>
      <w:r w:rsidR="003C15A9" w:rsidRPr="00645202">
        <w:rPr>
          <w:rFonts w:ascii="Arial" w:hAnsi="Arial"/>
          <w:i/>
        </w:rPr>
        <w:t>Joint Venture")</w:t>
      </w:r>
      <w:r w:rsidRPr="00645202">
        <w:rPr>
          <w:rFonts w:ascii="Arial" w:hAnsi="Arial"/>
          <w:i/>
        </w:rPr>
        <w:t xml:space="preserve">, a subsidiary of Mexico-based Licorera Del Sur.  The </w:t>
      </w:r>
      <w:r w:rsidR="003C15A9">
        <w:rPr>
          <w:rFonts w:ascii="Arial" w:hAnsi="Arial"/>
          <w:i/>
        </w:rPr>
        <w:t xml:space="preserve">Cartagena </w:t>
      </w:r>
      <w:r w:rsidRPr="00645202">
        <w:rPr>
          <w:rFonts w:ascii="Arial" w:hAnsi="Arial"/>
          <w:i/>
        </w:rPr>
        <w:t xml:space="preserve">Joint Venture will develop and commercialize cannabis-infused non-alcoholic beverages using Pivot's patented, water-soluble powdered cannabis technologies combined with Cartagena's fine spirits and flavoured extract formulations.  </w:t>
      </w:r>
    </w:p>
    <w:p w:rsidR="003C15A9" w:rsidRDefault="003C15A9" w:rsidP="006222DD">
      <w:pPr>
        <w:pStyle w:val="List"/>
        <w:spacing w:before="120"/>
        <w:ind w:left="720" w:firstLine="0"/>
        <w:jc w:val="both"/>
        <w:rPr>
          <w:rFonts w:ascii="Arial" w:hAnsi="Arial"/>
          <w:i/>
        </w:rPr>
      </w:pPr>
      <w:r>
        <w:rPr>
          <w:rFonts w:ascii="Arial" w:hAnsi="Arial"/>
          <w:i/>
        </w:rPr>
        <w:t xml:space="preserve">In addition, Pivot signed a letter of letter of intent to create a joint venture </w:t>
      </w:r>
      <w:r w:rsidRPr="003C15A9">
        <w:rPr>
          <w:rFonts w:ascii="Arial" w:hAnsi="Arial"/>
          <w:i/>
        </w:rPr>
        <w:t>with Mexico-based Intercontinental Market</w:t>
      </w:r>
      <w:r>
        <w:rPr>
          <w:rFonts w:ascii="Arial" w:hAnsi="Arial"/>
          <w:i/>
        </w:rPr>
        <w:t xml:space="preserve">ing Co., S.A. de C.V. (“IMACO”) </w:t>
      </w:r>
      <w:r w:rsidRPr="003C15A9">
        <w:rPr>
          <w:rFonts w:ascii="Arial" w:hAnsi="Arial"/>
          <w:i/>
        </w:rPr>
        <w:t>for the purposes of importing, registering and distributing Pivot’s patented line of bio-cannabis products into the Mexican market</w:t>
      </w:r>
      <w:r>
        <w:rPr>
          <w:rFonts w:ascii="Arial" w:hAnsi="Arial"/>
          <w:i/>
        </w:rPr>
        <w:t>.</w:t>
      </w:r>
    </w:p>
    <w:p w:rsidR="003D3F52" w:rsidRDefault="006E3ACF" w:rsidP="006222DD">
      <w:pPr>
        <w:pStyle w:val="List"/>
        <w:spacing w:before="120"/>
        <w:ind w:left="720" w:firstLine="0"/>
        <w:jc w:val="both"/>
        <w:rPr>
          <w:rFonts w:ascii="Arial" w:hAnsi="Arial"/>
          <w:i/>
        </w:rPr>
      </w:pPr>
      <w:r>
        <w:rPr>
          <w:rFonts w:ascii="Arial" w:hAnsi="Arial"/>
          <w:i/>
        </w:rPr>
        <w:t xml:space="preserve">In October 2018, Pivot’s </w:t>
      </w:r>
      <w:r w:rsidRPr="006E3ACF">
        <w:rPr>
          <w:rFonts w:ascii="Arial" w:hAnsi="Arial"/>
          <w:i/>
        </w:rPr>
        <w:t xml:space="preserve">wholly-owned subsidiary, Pivot Naturals LLC, signed a Contract Manufacturing and Licensing Agreement </w:t>
      </w:r>
      <w:r>
        <w:rPr>
          <w:rFonts w:ascii="Arial" w:hAnsi="Arial"/>
          <w:i/>
        </w:rPr>
        <w:t xml:space="preserve">with Ananda Acquisitions LLC, whereby </w:t>
      </w:r>
      <w:r w:rsidRPr="006E3ACF">
        <w:rPr>
          <w:rFonts w:ascii="Arial" w:hAnsi="Arial"/>
          <w:i/>
        </w:rPr>
        <w:t>Pivot will formulate and manufacture various cannabis-infused edible products for Ananda using Pivot's patented Ready-To-Infuse-Cannabis ("RTIC") technology.</w:t>
      </w:r>
      <w:r>
        <w:rPr>
          <w:rFonts w:ascii="Arial" w:hAnsi="Arial"/>
          <w:i/>
        </w:rPr>
        <w:t xml:space="preserve">  Pursuant to the agreement, Pivot received an initial formulation fee of</w:t>
      </w:r>
      <w:r w:rsidRPr="006E3ACF">
        <w:rPr>
          <w:rFonts w:ascii="Arial" w:hAnsi="Arial"/>
          <w:i/>
        </w:rPr>
        <w:t xml:space="preserve"> </w:t>
      </w:r>
      <w:r>
        <w:rPr>
          <w:rFonts w:ascii="Arial" w:hAnsi="Arial"/>
          <w:i/>
        </w:rPr>
        <w:t>USD $120,000</w:t>
      </w:r>
      <w:r w:rsidR="00912C13">
        <w:rPr>
          <w:rFonts w:ascii="Arial" w:hAnsi="Arial"/>
          <w:i/>
        </w:rPr>
        <w:t>.</w:t>
      </w:r>
    </w:p>
    <w:p w:rsidR="00B00844" w:rsidRDefault="00B00844" w:rsidP="006222DD">
      <w:pPr>
        <w:pStyle w:val="List"/>
        <w:spacing w:before="120"/>
        <w:ind w:left="720" w:firstLine="0"/>
        <w:jc w:val="both"/>
        <w:rPr>
          <w:rFonts w:ascii="Arial" w:hAnsi="Arial"/>
          <w:i/>
        </w:rPr>
      </w:pPr>
      <w:r>
        <w:rPr>
          <w:rFonts w:ascii="Arial" w:hAnsi="Arial"/>
          <w:i/>
        </w:rPr>
        <w:t xml:space="preserve">On the financing front, Pivot </w:t>
      </w:r>
      <w:r w:rsidRPr="00B00844">
        <w:rPr>
          <w:rFonts w:ascii="Arial" w:hAnsi="Arial"/>
          <w:i/>
        </w:rPr>
        <w:t xml:space="preserve">closed a non-brokered </w:t>
      </w:r>
      <w:r>
        <w:rPr>
          <w:rFonts w:ascii="Arial" w:hAnsi="Arial"/>
          <w:i/>
        </w:rPr>
        <w:t>p</w:t>
      </w:r>
      <w:r w:rsidRPr="00B00844">
        <w:rPr>
          <w:rFonts w:ascii="Arial" w:hAnsi="Arial"/>
          <w:i/>
        </w:rPr>
        <w:t xml:space="preserve">rivate </w:t>
      </w:r>
      <w:r>
        <w:rPr>
          <w:rFonts w:ascii="Arial" w:hAnsi="Arial"/>
          <w:i/>
        </w:rPr>
        <w:t>p</w:t>
      </w:r>
      <w:r w:rsidRPr="00B00844">
        <w:rPr>
          <w:rFonts w:ascii="Arial" w:hAnsi="Arial"/>
          <w:i/>
        </w:rPr>
        <w:t>lacement</w:t>
      </w:r>
      <w:r>
        <w:rPr>
          <w:rFonts w:ascii="Arial" w:hAnsi="Arial"/>
          <w:i/>
        </w:rPr>
        <w:t xml:space="preserve"> for a total of </w:t>
      </w:r>
      <w:r w:rsidRPr="00B00844">
        <w:rPr>
          <w:rFonts w:ascii="Arial" w:hAnsi="Arial"/>
          <w:i/>
        </w:rPr>
        <w:t>$1,641,300 and settled $1,500,000 of outstanding debt with the issuance of common shares and share purchase warrant</w:t>
      </w:r>
      <w:r w:rsidR="00CA5F81">
        <w:rPr>
          <w:rFonts w:ascii="Arial" w:hAnsi="Arial"/>
          <w:i/>
        </w:rPr>
        <w:t>s</w:t>
      </w:r>
      <w:r w:rsidRPr="00B00844">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D859EC" w:rsidP="00D861FE">
      <w:pPr>
        <w:pStyle w:val="List"/>
        <w:spacing w:before="120"/>
        <w:ind w:left="720" w:firstLine="0"/>
        <w:jc w:val="both"/>
        <w:rPr>
          <w:rFonts w:ascii="Arial" w:hAnsi="Arial"/>
          <w:i/>
        </w:rPr>
      </w:pPr>
      <w:r>
        <w:rPr>
          <w:rFonts w:ascii="Arial" w:hAnsi="Arial"/>
          <w:i/>
        </w:rPr>
        <w:t>None</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B00844" w:rsidP="0014406D">
      <w:pPr>
        <w:pStyle w:val="List"/>
        <w:spacing w:before="120"/>
        <w:ind w:left="720" w:firstLine="0"/>
        <w:jc w:val="both"/>
        <w:rPr>
          <w:rFonts w:ascii="Arial" w:hAnsi="Arial"/>
          <w:i/>
        </w:rPr>
      </w:pPr>
      <w:r w:rsidRPr="00D861FE">
        <w:rPr>
          <w:rFonts w:ascii="Arial" w:hAnsi="Arial"/>
          <w:i/>
        </w:rPr>
        <w:t>Please see Item 1</w:t>
      </w:r>
      <w:r w:rsidR="00912C13">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7D63AD" w:rsidP="0014406D">
      <w:pPr>
        <w:pStyle w:val="List"/>
        <w:spacing w:before="120"/>
        <w:ind w:left="720" w:firstLine="0"/>
        <w:jc w:val="both"/>
        <w:rPr>
          <w:rFonts w:ascii="Arial" w:hAnsi="Arial"/>
          <w:i/>
        </w:rPr>
      </w:pPr>
      <w:r>
        <w:rPr>
          <w:rFonts w:ascii="Arial" w:hAnsi="Arial"/>
          <w:i/>
        </w:rPr>
        <w:t>None</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081F"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14406D" w:rsidRPr="0014406D" w:rsidRDefault="005568F1" w:rsidP="00CF07E2">
      <w:pPr>
        <w:pStyle w:val="List"/>
        <w:spacing w:before="120"/>
        <w:ind w:left="720" w:firstLine="0"/>
        <w:jc w:val="both"/>
        <w:rPr>
          <w:rFonts w:ascii="Arial" w:hAnsi="Arial"/>
          <w:i/>
        </w:rPr>
      </w:pPr>
      <w:r>
        <w:rPr>
          <w:rFonts w:ascii="Arial" w:hAnsi="Arial"/>
          <w:i/>
        </w:rPr>
        <w:t>None</w:t>
      </w:r>
      <w:r w:rsidR="00E24AB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4406D" w:rsidRPr="0014406D" w:rsidRDefault="00A67EA2" w:rsidP="004A59B5">
      <w:pPr>
        <w:pStyle w:val="List"/>
        <w:spacing w:before="120"/>
        <w:ind w:left="720" w:firstLine="0"/>
        <w:jc w:val="both"/>
        <w:rPr>
          <w:rFonts w:ascii="Arial" w:hAnsi="Arial"/>
          <w:i/>
        </w:rPr>
      </w:pPr>
      <w:r>
        <w:rPr>
          <w:rFonts w:ascii="Arial" w:hAnsi="Arial"/>
          <w:i/>
        </w:rPr>
        <w:t>None</w:t>
      </w:r>
      <w:r w:rsidR="004F119A">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B00844" w:rsidP="0014406D">
      <w:pPr>
        <w:pStyle w:val="List"/>
        <w:spacing w:before="120"/>
        <w:ind w:left="720" w:firstLine="0"/>
        <w:jc w:val="both"/>
        <w:rPr>
          <w:rFonts w:ascii="Arial" w:hAnsi="Arial"/>
          <w:i/>
        </w:rPr>
      </w:pPr>
      <w:r>
        <w:rPr>
          <w:rFonts w:ascii="Arial" w:hAnsi="Arial"/>
          <w:i/>
        </w:rPr>
        <w:t xml:space="preserve">Pursuant to the settlement </w:t>
      </w:r>
      <w:r w:rsidRPr="00B00844">
        <w:rPr>
          <w:rFonts w:ascii="Arial" w:hAnsi="Arial"/>
          <w:i/>
        </w:rPr>
        <w:t>$1,500,000 of outstanding debt with the issuance of common shares and share purchase warrant</w:t>
      </w:r>
      <w:r>
        <w:rPr>
          <w:rFonts w:ascii="Arial" w:hAnsi="Arial"/>
          <w:i/>
        </w:rPr>
        <w:t xml:space="preserve">, Pivot issued </w:t>
      </w:r>
      <w:r w:rsidRPr="00B00844">
        <w:rPr>
          <w:rFonts w:ascii="Arial" w:hAnsi="Arial"/>
          <w:i/>
        </w:rPr>
        <w:t xml:space="preserve">3,750,000 units consisting of </w:t>
      </w:r>
      <w:r>
        <w:rPr>
          <w:rFonts w:ascii="Arial" w:hAnsi="Arial"/>
          <w:i/>
        </w:rPr>
        <w:t>one common share and one</w:t>
      </w:r>
      <w:r w:rsidRPr="00B00844">
        <w:rPr>
          <w:rFonts w:ascii="Arial" w:hAnsi="Arial"/>
          <w:i/>
        </w:rPr>
        <w:t xml:space="preserve"> share purchase warrant</w:t>
      </w:r>
      <w:r>
        <w:rPr>
          <w:rFonts w:ascii="Arial" w:hAnsi="Arial"/>
          <w:i/>
        </w:rPr>
        <w:t>, expiring in three years and entitling the holder to purchase one common share for each share purchase warrant at an exercise price of $0.60.</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7728D7" w:rsidRDefault="00B00844" w:rsidP="0014081F">
      <w:pPr>
        <w:pStyle w:val="List"/>
        <w:spacing w:before="120"/>
        <w:ind w:left="720" w:firstLine="0"/>
        <w:jc w:val="both"/>
        <w:rPr>
          <w:rFonts w:ascii="Arial" w:hAnsi="Arial"/>
          <w:i/>
        </w:rPr>
      </w:pPr>
      <w:r>
        <w:rPr>
          <w:rFonts w:ascii="Arial" w:hAnsi="Arial"/>
          <w:i/>
        </w:rPr>
        <w:t xml:space="preserve">Pursuant to the </w:t>
      </w:r>
      <w:r w:rsidRPr="00B00844">
        <w:rPr>
          <w:rFonts w:ascii="Arial" w:hAnsi="Arial"/>
          <w:i/>
        </w:rPr>
        <w:t xml:space="preserve">non-brokered </w:t>
      </w:r>
      <w:r>
        <w:rPr>
          <w:rFonts w:ascii="Arial" w:hAnsi="Arial"/>
          <w:i/>
        </w:rPr>
        <w:t>p</w:t>
      </w:r>
      <w:r w:rsidRPr="00B00844">
        <w:rPr>
          <w:rFonts w:ascii="Arial" w:hAnsi="Arial"/>
          <w:i/>
        </w:rPr>
        <w:t xml:space="preserve">rivate </w:t>
      </w:r>
      <w:r>
        <w:rPr>
          <w:rFonts w:ascii="Arial" w:hAnsi="Arial"/>
          <w:i/>
        </w:rPr>
        <w:t>p</w:t>
      </w:r>
      <w:r w:rsidRPr="00B00844">
        <w:rPr>
          <w:rFonts w:ascii="Arial" w:hAnsi="Arial"/>
          <w:i/>
        </w:rPr>
        <w:t>lacement</w:t>
      </w:r>
      <w:r>
        <w:rPr>
          <w:rFonts w:ascii="Arial" w:hAnsi="Arial"/>
          <w:i/>
        </w:rPr>
        <w:t xml:space="preserve"> for a total of </w:t>
      </w:r>
      <w:r w:rsidRPr="00B00844">
        <w:rPr>
          <w:rFonts w:ascii="Arial" w:hAnsi="Arial"/>
          <w:i/>
        </w:rPr>
        <w:t>$1,641,300</w:t>
      </w:r>
      <w:r>
        <w:rPr>
          <w:rFonts w:ascii="Arial" w:hAnsi="Arial"/>
          <w:i/>
        </w:rPr>
        <w:t xml:space="preserve">, Pivot issued </w:t>
      </w:r>
      <w:r w:rsidRPr="00B00844">
        <w:rPr>
          <w:rFonts w:ascii="Arial" w:hAnsi="Arial"/>
          <w:i/>
        </w:rPr>
        <w:t xml:space="preserve">4,078,250 units consisting of </w:t>
      </w:r>
      <w:r w:rsidR="004B3D99">
        <w:rPr>
          <w:rFonts w:ascii="Arial" w:hAnsi="Arial"/>
          <w:i/>
        </w:rPr>
        <w:t>one</w:t>
      </w:r>
      <w:r w:rsidRPr="00B00844">
        <w:rPr>
          <w:rFonts w:ascii="Arial" w:hAnsi="Arial"/>
          <w:i/>
        </w:rPr>
        <w:t xml:space="preserve"> common share an</w:t>
      </w:r>
      <w:r w:rsidR="004B3D99">
        <w:rPr>
          <w:rFonts w:ascii="Arial" w:hAnsi="Arial"/>
          <w:i/>
        </w:rPr>
        <w:t>d one</w:t>
      </w:r>
      <w:r>
        <w:rPr>
          <w:rFonts w:ascii="Arial" w:hAnsi="Arial"/>
          <w:i/>
        </w:rPr>
        <w:t xml:space="preserve"> share purchase warrant, expiring in three years and entitling the holder to purchase one common share for each share purchase warrant at an exercise price of $0.60.  Agent fees consisted of $88,104 in cash and </w:t>
      </w:r>
      <w:r w:rsidRPr="00B00844">
        <w:rPr>
          <w:rFonts w:ascii="Arial" w:hAnsi="Arial"/>
          <w:i/>
        </w:rPr>
        <w:t>220,260 agent warrants</w:t>
      </w:r>
      <w:r>
        <w:rPr>
          <w:rFonts w:ascii="Arial" w:hAnsi="Arial"/>
          <w:i/>
        </w:rPr>
        <w:t>, expiring in three years and entitling the agent to purchase one common share for each agent warrant at an exercise price of $0.60.</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14406D" w:rsidRPr="0014406D" w:rsidRDefault="0014406D"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5B3DB7"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CF7D3E" w:rsidP="0014406D">
      <w:pPr>
        <w:pStyle w:val="List"/>
        <w:spacing w:before="120"/>
        <w:ind w:left="720" w:firstLine="0"/>
        <w:jc w:val="both"/>
        <w:rPr>
          <w:rFonts w:ascii="Arial" w:hAnsi="Arial"/>
          <w:i/>
        </w:rPr>
      </w:pPr>
      <w:r>
        <w:rPr>
          <w:rFonts w:ascii="Arial" w:hAnsi="Arial"/>
          <w:i/>
        </w:rPr>
        <w:t>None</w:t>
      </w:r>
      <w:r w:rsidR="00972C40">
        <w:rPr>
          <w:rFonts w:ascii="Arial" w:hAnsi="Arial"/>
          <w:i/>
        </w:rPr>
        <w:t xml:space="preserve">.  </w:t>
      </w:r>
      <w:r w:rsidR="004F119A" w:rsidRPr="004F119A">
        <w:rPr>
          <w:rFonts w:ascii="Arial" w:hAnsi="Arial"/>
          <w:i/>
        </w:rPr>
        <w:t xml:space="preserve"> </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4B3D99" w:rsidRPr="00CA5F81">
        <w:rPr>
          <w:rFonts w:ascii="Arial" w:hAnsi="Arial"/>
        </w:rPr>
        <w:t xml:space="preserve">November </w:t>
      </w:r>
      <w:r w:rsidR="00CA5F81" w:rsidRPr="00CA5F81">
        <w:rPr>
          <w:rFonts w:ascii="Arial" w:hAnsi="Arial"/>
        </w:rPr>
        <w:t>5</w:t>
      </w:r>
      <w:r w:rsidR="007736E2" w:rsidRPr="007736E2">
        <w:rPr>
          <w:rFonts w:ascii="Arial" w:hAnsi="Arial"/>
        </w:rPr>
        <w:t>, 2018</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7736E2" w:rsidRDefault="004B3D99">
            <w:pPr>
              <w:pStyle w:val="BodyText"/>
              <w:spacing w:before="0"/>
              <w:rPr>
                <w:rFonts w:ascii="Arial" w:hAnsi="Arial"/>
              </w:rPr>
            </w:pPr>
            <w:r>
              <w:rPr>
                <w:rFonts w:ascii="Arial" w:hAnsi="Arial"/>
              </w:rPr>
              <w:t>October</w:t>
            </w:r>
            <w:r w:rsidR="007736E2">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7736E2" w:rsidRDefault="00522B71" w:rsidP="004B3D99">
            <w:pPr>
              <w:pStyle w:val="BodyText"/>
              <w:spacing w:before="0"/>
              <w:rPr>
                <w:rFonts w:ascii="Arial" w:hAnsi="Arial"/>
              </w:rPr>
            </w:pPr>
            <w:r>
              <w:rPr>
                <w:rFonts w:ascii="Arial" w:hAnsi="Arial"/>
              </w:rPr>
              <w:t>2018/</w:t>
            </w:r>
            <w:r w:rsidR="004B3D99">
              <w:rPr>
                <w:rFonts w:ascii="Arial" w:hAnsi="Arial"/>
              </w:rPr>
              <w:t>11</w:t>
            </w:r>
            <w:r w:rsidR="004B3D99" w:rsidRPr="00CA5F81">
              <w:rPr>
                <w:rFonts w:ascii="Arial" w:hAnsi="Arial"/>
              </w:rPr>
              <w:t>/</w:t>
            </w:r>
            <w:r w:rsidR="00CA5F81" w:rsidRPr="00CA5F81">
              <w:rPr>
                <w:rFonts w:ascii="Arial" w:hAnsi="Arial"/>
              </w:rPr>
              <w:t>5</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05" w:rsidRDefault="00DF5F05">
      <w:r>
        <w:separator/>
      </w:r>
    </w:p>
  </w:endnote>
  <w:endnote w:type="continuationSeparator" w:id="0">
    <w:p w:rsidR="00DF5F05" w:rsidRDefault="00DF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064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4722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8FA5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05" w:rsidRDefault="00DF5F05">
      <w:r>
        <w:separator/>
      </w:r>
    </w:p>
  </w:footnote>
  <w:footnote w:type="continuationSeparator" w:id="0">
    <w:p w:rsidR="00DF5F05" w:rsidRDefault="00DF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462DC"/>
    <w:rsid w:val="000620B8"/>
    <w:rsid w:val="000A1679"/>
    <w:rsid w:val="000A1AB1"/>
    <w:rsid w:val="000B1BCE"/>
    <w:rsid w:val="000B2461"/>
    <w:rsid w:val="000B5711"/>
    <w:rsid w:val="000C2C22"/>
    <w:rsid w:val="0014081F"/>
    <w:rsid w:val="0014406D"/>
    <w:rsid w:val="001B28AF"/>
    <w:rsid w:val="00253AD3"/>
    <w:rsid w:val="0025435B"/>
    <w:rsid w:val="002601A7"/>
    <w:rsid w:val="002B127E"/>
    <w:rsid w:val="002C281E"/>
    <w:rsid w:val="002D76E9"/>
    <w:rsid w:val="002F00EB"/>
    <w:rsid w:val="002F72D5"/>
    <w:rsid w:val="00311869"/>
    <w:rsid w:val="00315ED8"/>
    <w:rsid w:val="00347220"/>
    <w:rsid w:val="003669A9"/>
    <w:rsid w:val="00371A64"/>
    <w:rsid w:val="00387FA8"/>
    <w:rsid w:val="003B7A52"/>
    <w:rsid w:val="003C15A9"/>
    <w:rsid w:val="003D3F52"/>
    <w:rsid w:val="004016FD"/>
    <w:rsid w:val="0042595D"/>
    <w:rsid w:val="004822FC"/>
    <w:rsid w:val="004A1C7B"/>
    <w:rsid w:val="004A59B5"/>
    <w:rsid w:val="004B3D99"/>
    <w:rsid w:val="004F119A"/>
    <w:rsid w:val="00522B71"/>
    <w:rsid w:val="00545268"/>
    <w:rsid w:val="005453C8"/>
    <w:rsid w:val="005568F1"/>
    <w:rsid w:val="00576D3E"/>
    <w:rsid w:val="005B3DB7"/>
    <w:rsid w:val="005F6D8F"/>
    <w:rsid w:val="0061199A"/>
    <w:rsid w:val="006124C1"/>
    <w:rsid w:val="00620E7F"/>
    <w:rsid w:val="006222DD"/>
    <w:rsid w:val="00633ED3"/>
    <w:rsid w:val="00635E9A"/>
    <w:rsid w:val="00640E94"/>
    <w:rsid w:val="00645202"/>
    <w:rsid w:val="0069326C"/>
    <w:rsid w:val="00694CC7"/>
    <w:rsid w:val="006A0B2A"/>
    <w:rsid w:val="006B36FB"/>
    <w:rsid w:val="006B458A"/>
    <w:rsid w:val="006C7657"/>
    <w:rsid w:val="006D1A06"/>
    <w:rsid w:val="006E08F1"/>
    <w:rsid w:val="006E3ACF"/>
    <w:rsid w:val="0075799B"/>
    <w:rsid w:val="007728D7"/>
    <w:rsid w:val="007736E2"/>
    <w:rsid w:val="00774A0A"/>
    <w:rsid w:val="007D5D33"/>
    <w:rsid w:val="007D63AD"/>
    <w:rsid w:val="008024AE"/>
    <w:rsid w:val="0084310F"/>
    <w:rsid w:val="008734B8"/>
    <w:rsid w:val="0089367E"/>
    <w:rsid w:val="008B2474"/>
    <w:rsid w:val="008B7E92"/>
    <w:rsid w:val="008F19CC"/>
    <w:rsid w:val="00912C13"/>
    <w:rsid w:val="00922A46"/>
    <w:rsid w:val="009547B8"/>
    <w:rsid w:val="00972C40"/>
    <w:rsid w:val="0098583F"/>
    <w:rsid w:val="00994923"/>
    <w:rsid w:val="00997F6C"/>
    <w:rsid w:val="009E14BB"/>
    <w:rsid w:val="00A47914"/>
    <w:rsid w:val="00A670A4"/>
    <w:rsid w:val="00A6779D"/>
    <w:rsid w:val="00A6786C"/>
    <w:rsid w:val="00A67EA2"/>
    <w:rsid w:val="00A73C0A"/>
    <w:rsid w:val="00AB142B"/>
    <w:rsid w:val="00B00844"/>
    <w:rsid w:val="00B45744"/>
    <w:rsid w:val="00B77573"/>
    <w:rsid w:val="00B926A7"/>
    <w:rsid w:val="00C17B54"/>
    <w:rsid w:val="00C27A18"/>
    <w:rsid w:val="00C429D7"/>
    <w:rsid w:val="00C463A8"/>
    <w:rsid w:val="00C6383E"/>
    <w:rsid w:val="00C93831"/>
    <w:rsid w:val="00CA5F81"/>
    <w:rsid w:val="00CB4136"/>
    <w:rsid w:val="00CF07E2"/>
    <w:rsid w:val="00CF63D0"/>
    <w:rsid w:val="00CF7D3E"/>
    <w:rsid w:val="00D533D0"/>
    <w:rsid w:val="00D77E39"/>
    <w:rsid w:val="00D859EC"/>
    <w:rsid w:val="00D861FE"/>
    <w:rsid w:val="00DA25CF"/>
    <w:rsid w:val="00DF5F05"/>
    <w:rsid w:val="00E24ABB"/>
    <w:rsid w:val="00E36141"/>
    <w:rsid w:val="00E3730E"/>
    <w:rsid w:val="00E63ACF"/>
    <w:rsid w:val="00E7727D"/>
    <w:rsid w:val="00E83E58"/>
    <w:rsid w:val="00E965C9"/>
    <w:rsid w:val="00F1359E"/>
    <w:rsid w:val="00F4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2136</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48</cp:revision>
  <cp:lastPrinted>2004-05-10T18:28:00Z</cp:lastPrinted>
  <dcterms:created xsi:type="dcterms:W3CDTF">2018-02-01T18:59:00Z</dcterms:created>
  <dcterms:modified xsi:type="dcterms:W3CDTF">2018-11-05T20:15:00Z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