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E7F" w:rsidRDefault="00337CCE" w:rsidP="000E3E9C">
      <w:pPr>
        <w:pStyle w:val="Corps"/>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Pivot </w:t>
      </w:r>
      <w:r w:rsidR="00941E7F">
        <w:rPr>
          <w:rFonts w:ascii="Times New Roman" w:hAnsi="Times New Roman" w:cs="Times New Roman"/>
          <w:b/>
          <w:bCs/>
          <w:sz w:val="24"/>
          <w:szCs w:val="24"/>
        </w:rPr>
        <w:t xml:space="preserve">Completes </w:t>
      </w:r>
      <w:r w:rsidR="00CD5E78">
        <w:rPr>
          <w:rFonts w:ascii="Times New Roman" w:hAnsi="Times New Roman" w:cs="Times New Roman"/>
          <w:b/>
          <w:bCs/>
          <w:sz w:val="24"/>
          <w:szCs w:val="24"/>
        </w:rPr>
        <w:t>C</w:t>
      </w:r>
      <w:r w:rsidR="00941E7F">
        <w:rPr>
          <w:rFonts w:ascii="Times New Roman" w:hAnsi="Times New Roman" w:cs="Times New Roman"/>
          <w:b/>
          <w:bCs/>
          <w:sz w:val="24"/>
          <w:szCs w:val="24"/>
        </w:rPr>
        <w:t>$</w:t>
      </w:r>
      <w:r w:rsidR="00335789">
        <w:rPr>
          <w:rFonts w:ascii="Times New Roman" w:hAnsi="Times New Roman" w:cs="Times New Roman"/>
          <w:b/>
          <w:bCs/>
          <w:sz w:val="24"/>
          <w:szCs w:val="24"/>
        </w:rPr>
        <w:t>1.64</w:t>
      </w:r>
      <w:r w:rsidR="00941E7F">
        <w:rPr>
          <w:rFonts w:ascii="Times New Roman" w:hAnsi="Times New Roman" w:cs="Times New Roman"/>
          <w:b/>
          <w:bCs/>
          <w:sz w:val="24"/>
          <w:szCs w:val="24"/>
        </w:rPr>
        <w:t xml:space="preserve"> Million </w:t>
      </w:r>
      <w:r w:rsidR="009115B8">
        <w:rPr>
          <w:rFonts w:ascii="Times New Roman" w:hAnsi="Times New Roman" w:cs="Times New Roman"/>
          <w:b/>
          <w:bCs/>
          <w:sz w:val="24"/>
          <w:szCs w:val="24"/>
        </w:rPr>
        <w:t xml:space="preserve">Non-Brokered </w:t>
      </w:r>
      <w:r w:rsidR="00941E7F">
        <w:rPr>
          <w:rFonts w:ascii="Times New Roman" w:hAnsi="Times New Roman" w:cs="Times New Roman"/>
          <w:b/>
          <w:bCs/>
          <w:sz w:val="24"/>
          <w:szCs w:val="24"/>
        </w:rPr>
        <w:t xml:space="preserve">Private Placement </w:t>
      </w:r>
    </w:p>
    <w:p w:rsidR="009054B0" w:rsidRPr="009115B8" w:rsidRDefault="00941E7F" w:rsidP="000E3E9C">
      <w:pPr>
        <w:pStyle w:val="Corps"/>
        <w:contextualSpacing/>
        <w:jc w:val="center"/>
        <w:rPr>
          <w:rFonts w:ascii="Times New Roman" w:hAnsi="Times New Roman" w:cs="Times New Roman"/>
          <w:b/>
          <w:bCs/>
          <w:i/>
          <w:sz w:val="24"/>
          <w:szCs w:val="24"/>
        </w:rPr>
      </w:pPr>
      <w:r w:rsidRPr="009115B8">
        <w:rPr>
          <w:rFonts w:ascii="Times New Roman" w:hAnsi="Times New Roman" w:cs="Times New Roman"/>
          <w:b/>
          <w:bCs/>
          <w:i/>
          <w:sz w:val="24"/>
          <w:szCs w:val="24"/>
        </w:rPr>
        <w:t xml:space="preserve">Strengthens Balance Sheet </w:t>
      </w:r>
      <w:proofErr w:type="gramStart"/>
      <w:r w:rsidRPr="009115B8">
        <w:rPr>
          <w:rFonts w:ascii="Times New Roman" w:hAnsi="Times New Roman" w:cs="Times New Roman"/>
          <w:b/>
          <w:bCs/>
          <w:i/>
          <w:sz w:val="24"/>
          <w:szCs w:val="24"/>
        </w:rPr>
        <w:t>With</w:t>
      </w:r>
      <w:proofErr w:type="gramEnd"/>
      <w:r w:rsidRPr="009115B8">
        <w:rPr>
          <w:rFonts w:ascii="Times New Roman" w:hAnsi="Times New Roman" w:cs="Times New Roman"/>
          <w:b/>
          <w:bCs/>
          <w:i/>
          <w:sz w:val="24"/>
          <w:szCs w:val="24"/>
        </w:rPr>
        <w:t xml:space="preserve"> Partial </w:t>
      </w:r>
      <w:r w:rsidR="0044699A" w:rsidRPr="009115B8">
        <w:rPr>
          <w:rFonts w:ascii="Times New Roman" w:hAnsi="Times New Roman" w:cs="Times New Roman"/>
          <w:b/>
          <w:bCs/>
          <w:i/>
          <w:sz w:val="24"/>
          <w:szCs w:val="24"/>
        </w:rPr>
        <w:t>Debt Settlement</w:t>
      </w:r>
      <w:r w:rsidRPr="009115B8">
        <w:rPr>
          <w:rFonts w:ascii="Times New Roman" w:hAnsi="Times New Roman" w:cs="Times New Roman"/>
          <w:b/>
          <w:bCs/>
          <w:i/>
          <w:sz w:val="24"/>
          <w:szCs w:val="24"/>
        </w:rPr>
        <w:t xml:space="preserve"> </w:t>
      </w:r>
    </w:p>
    <w:p w:rsidR="00760409" w:rsidRDefault="001563EB" w:rsidP="008E4A7A">
      <w:pPr>
        <w:jc w:val="both"/>
      </w:pPr>
      <w:r w:rsidRPr="00BE3095">
        <w:rPr>
          <w:lang w:val="de-DE"/>
        </w:rPr>
        <w:t>VANCOUVER, BC - (</w:t>
      </w:r>
      <w:proofErr w:type="spellStart"/>
      <w:r w:rsidR="002B3797">
        <w:rPr>
          <w:lang w:val="de-DE"/>
        </w:rPr>
        <w:t>October</w:t>
      </w:r>
      <w:proofErr w:type="spellEnd"/>
      <w:r w:rsidR="002B3797">
        <w:rPr>
          <w:lang w:val="de-DE"/>
        </w:rPr>
        <w:t xml:space="preserve"> </w:t>
      </w:r>
      <w:r w:rsidR="00AA675B">
        <w:rPr>
          <w:lang w:val="de-DE"/>
        </w:rPr>
        <w:t>22</w:t>
      </w:r>
      <w:r w:rsidRPr="00BE3095">
        <w:rPr>
          <w:lang w:val="de-DE"/>
        </w:rPr>
        <w:t xml:space="preserve">, 2018) </w:t>
      </w:r>
      <w:r w:rsidRPr="00BE3095">
        <w:t xml:space="preserve">– </w:t>
      </w:r>
      <w:hyperlink r:id="rId7" w:history="1">
        <w:r w:rsidRPr="00BE3095">
          <w:rPr>
            <w:rStyle w:val="Hyperlink0"/>
            <w:rFonts w:eastAsia="Calibri"/>
          </w:rPr>
          <w:t>Pivot Pharmaceuticals Inc</w:t>
        </w:r>
      </w:hyperlink>
      <w:r w:rsidRPr="00BE3095">
        <w:t xml:space="preserve">. (CSE: </w:t>
      </w:r>
      <w:hyperlink r:id="rId8" w:history="1">
        <w:r w:rsidRPr="00BE3095">
          <w:rPr>
            <w:rStyle w:val="Hyperlink0"/>
            <w:rFonts w:eastAsia="Calibri"/>
            <w:lang w:val="de-DE"/>
          </w:rPr>
          <w:t>PVOT</w:t>
        </w:r>
      </w:hyperlink>
      <w:r w:rsidRPr="00BE3095">
        <w:t xml:space="preserve"> / OTCQB: </w:t>
      </w:r>
      <w:hyperlink r:id="rId9" w:history="1">
        <w:r w:rsidRPr="00BE3095">
          <w:rPr>
            <w:rStyle w:val="Hyperlink0"/>
            <w:rFonts w:eastAsia="Calibri"/>
            <w:lang w:val="de-DE"/>
          </w:rPr>
          <w:t>PVOTF</w:t>
        </w:r>
      </w:hyperlink>
      <w:r w:rsidRPr="00BE3095">
        <w:rPr>
          <w:lang w:val="de-DE"/>
        </w:rPr>
        <w:t xml:space="preserve"> / FRA: </w:t>
      </w:r>
      <w:hyperlink r:id="rId10" w:history="1">
        <w:r w:rsidRPr="00BE3095">
          <w:rPr>
            <w:rStyle w:val="Hyperlink0"/>
            <w:rFonts w:eastAsia="Calibri"/>
          </w:rPr>
          <w:t>NPAT</w:t>
        </w:r>
      </w:hyperlink>
      <w:r w:rsidRPr="00BE3095">
        <w:t xml:space="preserve">) (“Pivot” or the “Company”) is pleased to announce </w:t>
      </w:r>
      <w:r w:rsidR="002B3797" w:rsidRPr="002B3797">
        <w:t xml:space="preserve">that it </w:t>
      </w:r>
      <w:r w:rsidR="00631D70">
        <w:t xml:space="preserve">has </w:t>
      </w:r>
      <w:r w:rsidR="0044699A">
        <w:t>closed a non-brokered Private Placement</w:t>
      </w:r>
      <w:r w:rsidR="009115B8">
        <w:t xml:space="preserve"> (the “Private Placement”) </w:t>
      </w:r>
      <w:r w:rsidR="0044699A">
        <w:t xml:space="preserve">for a total of </w:t>
      </w:r>
      <w:r w:rsidR="009115B8">
        <w:t>C</w:t>
      </w:r>
      <w:r w:rsidR="0044699A">
        <w:t>$</w:t>
      </w:r>
      <w:r w:rsidR="00DE1D81">
        <w:t>1,641,3</w:t>
      </w:r>
      <w:r w:rsidR="0044699A">
        <w:t xml:space="preserve">00 and </w:t>
      </w:r>
      <w:r w:rsidR="00073232">
        <w:t xml:space="preserve">has also settled </w:t>
      </w:r>
      <w:r w:rsidR="009115B8">
        <w:t>C</w:t>
      </w:r>
      <w:r w:rsidR="00073232">
        <w:t xml:space="preserve">$1,500,000 of outstanding debt with the issuance of </w:t>
      </w:r>
      <w:r w:rsidR="003C13B8">
        <w:t xml:space="preserve">common </w:t>
      </w:r>
      <w:r w:rsidR="00073232">
        <w:t>shares</w:t>
      </w:r>
      <w:r w:rsidR="003C13B8">
        <w:t xml:space="preserve"> and share purchase warrant</w:t>
      </w:r>
      <w:r w:rsidR="00073232">
        <w:t>.</w:t>
      </w:r>
      <w:r w:rsidR="003C13B8">
        <w:t xml:space="preserve"> Proceeds of the Private Placement will be used for </w:t>
      </w:r>
      <w:r w:rsidR="009115B8">
        <w:t>general working capital purposes</w:t>
      </w:r>
      <w:r w:rsidR="00DE1D81">
        <w:t>, capital expenditures and patent costs</w:t>
      </w:r>
      <w:r w:rsidR="009115B8">
        <w:t>.</w:t>
      </w:r>
    </w:p>
    <w:p w:rsidR="00C011AB" w:rsidRPr="00C011AB" w:rsidRDefault="00C011AB" w:rsidP="008E4A7A">
      <w:pPr>
        <w:jc w:val="both"/>
      </w:pPr>
    </w:p>
    <w:p w:rsidR="004225BC" w:rsidRDefault="004225BC" w:rsidP="0044699A">
      <w:pPr>
        <w:pStyle w:val="ListParagraph"/>
        <w:ind w:left="0"/>
        <w:jc w:val="both"/>
        <w:rPr>
          <w:rFonts w:ascii="Times New Roman" w:eastAsia="Arial Unicode MS" w:hAnsi="Times New Roman" w:cs="Times New Roman"/>
          <w:b/>
          <w:color w:val="auto"/>
          <w:u w:val="single"/>
        </w:rPr>
      </w:pPr>
      <w:r w:rsidRPr="004225BC">
        <w:rPr>
          <w:rFonts w:ascii="Times New Roman" w:eastAsia="Arial Unicode MS" w:hAnsi="Times New Roman" w:cs="Times New Roman"/>
          <w:b/>
          <w:color w:val="auto"/>
          <w:u w:val="single"/>
        </w:rPr>
        <w:t>Private Placement</w:t>
      </w:r>
    </w:p>
    <w:p w:rsidR="004225BC" w:rsidRPr="004225BC" w:rsidRDefault="004225BC" w:rsidP="0044699A">
      <w:pPr>
        <w:pStyle w:val="ListParagraph"/>
        <w:ind w:left="0"/>
        <w:jc w:val="both"/>
        <w:rPr>
          <w:rFonts w:ascii="Times New Roman" w:eastAsia="Arial Unicode MS" w:hAnsi="Times New Roman" w:cs="Times New Roman"/>
          <w:b/>
          <w:color w:val="auto"/>
          <w:u w:val="single"/>
        </w:rPr>
      </w:pPr>
    </w:p>
    <w:p w:rsidR="0044699A" w:rsidRPr="0044699A" w:rsidRDefault="0044699A" w:rsidP="0044699A">
      <w:pPr>
        <w:pStyle w:val="ListParagraph"/>
        <w:ind w:left="0"/>
        <w:jc w:val="both"/>
        <w:rPr>
          <w:rFonts w:ascii="Times New Roman" w:eastAsia="Arial Unicode MS" w:hAnsi="Times New Roman" w:cs="Times New Roman"/>
          <w:color w:val="auto"/>
        </w:rPr>
      </w:pPr>
      <w:r w:rsidRPr="0044699A">
        <w:rPr>
          <w:rFonts w:ascii="Times New Roman" w:eastAsia="Arial Unicode MS" w:hAnsi="Times New Roman" w:cs="Times New Roman"/>
          <w:color w:val="auto"/>
        </w:rPr>
        <w:t xml:space="preserve">The Company issued </w:t>
      </w:r>
      <w:r w:rsidR="00DE1D81">
        <w:rPr>
          <w:rFonts w:ascii="Times New Roman" w:eastAsia="Arial Unicode MS" w:hAnsi="Times New Roman" w:cs="Times New Roman"/>
          <w:color w:val="auto"/>
        </w:rPr>
        <w:t>4,103,250 units</w:t>
      </w:r>
      <w:r>
        <w:rPr>
          <w:rFonts w:ascii="Times New Roman" w:eastAsia="Arial Unicode MS" w:hAnsi="Times New Roman" w:cs="Times New Roman"/>
          <w:color w:val="auto"/>
        </w:rPr>
        <w:t xml:space="preserve"> </w:t>
      </w:r>
      <w:r w:rsidRPr="0044699A">
        <w:rPr>
          <w:rFonts w:ascii="Times New Roman" w:eastAsia="Arial Unicode MS" w:hAnsi="Times New Roman" w:cs="Times New Roman"/>
          <w:color w:val="auto"/>
        </w:rPr>
        <w:t>(“Units”) at a price of C$0.</w:t>
      </w:r>
      <w:r>
        <w:rPr>
          <w:rFonts w:ascii="Times New Roman" w:eastAsia="Arial Unicode MS" w:hAnsi="Times New Roman" w:cs="Times New Roman"/>
          <w:color w:val="auto"/>
        </w:rPr>
        <w:t>40</w:t>
      </w:r>
      <w:r w:rsidRPr="0044699A">
        <w:rPr>
          <w:rFonts w:ascii="Times New Roman" w:eastAsia="Arial Unicode MS" w:hAnsi="Times New Roman" w:cs="Times New Roman"/>
          <w:color w:val="auto"/>
        </w:rPr>
        <w:t xml:space="preserve"> per Unit for gross proceeds of C$</w:t>
      </w:r>
      <w:r w:rsidR="00DE1D81">
        <w:rPr>
          <w:rFonts w:ascii="Times New Roman" w:eastAsia="Arial Unicode MS" w:hAnsi="Times New Roman" w:cs="Times New Roman"/>
          <w:color w:val="auto"/>
        </w:rPr>
        <w:t>1,641,300</w:t>
      </w:r>
      <w:r>
        <w:rPr>
          <w:rFonts w:ascii="Times New Roman" w:eastAsia="Arial Unicode MS" w:hAnsi="Times New Roman" w:cs="Times New Roman"/>
          <w:color w:val="auto"/>
        </w:rPr>
        <w:t>.</w:t>
      </w:r>
      <w:r w:rsidRPr="0044699A">
        <w:rPr>
          <w:rFonts w:ascii="Times New Roman" w:eastAsia="Arial Unicode MS" w:hAnsi="Times New Roman" w:cs="Times New Roman"/>
          <w:color w:val="auto"/>
        </w:rPr>
        <w:t xml:space="preserve"> Each Unit consist</w:t>
      </w:r>
      <w:r w:rsidR="009115B8">
        <w:rPr>
          <w:rFonts w:ascii="Times New Roman" w:eastAsia="Arial Unicode MS" w:hAnsi="Times New Roman" w:cs="Times New Roman"/>
          <w:color w:val="auto"/>
        </w:rPr>
        <w:t>s</w:t>
      </w:r>
      <w:r w:rsidRPr="0044699A">
        <w:rPr>
          <w:rFonts w:ascii="Times New Roman" w:eastAsia="Arial Unicode MS" w:hAnsi="Times New Roman" w:cs="Times New Roman"/>
          <w:color w:val="auto"/>
        </w:rPr>
        <w:t xml:space="preserve"> of one common share (“Common Share”) and one common share purchase warrant (“Warrant”).</w:t>
      </w:r>
      <w:r>
        <w:rPr>
          <w:rFonts w:ascii="Times New Roman" w:eastAsia="Arial Unicode MS" w:hAnsi="Times New Roman" w:cs="Times New Roman"/>
          <w:color w:val="auto"/>
        </w:rPr>
        <w:t xml:space="preserve"> </w:t>
      </w:r>
      <w:r w:rsidRPr="0044699A">
        <w:rPr>
          <w:rFonts w:ascii="Times New Roman" w:eastAsia="Arial Unicode MS" w:hAnsi="Times New Roman" w:cs="Times New Roman"/>
          <w:color w:val="auto"/>
        </w:rPr>
        <w:t xml:space="preserve">Each Warrant is exercisable for </w:t>
      </w:r>
      <w:r w:rsidR="00AA675B">
        <w:rPr>
          <w:rFonts w:ascii="Times New Roman" w:eastAsia="Arial Unicode MS" w:hAnsi="Times New Roman" w:cs="Times New Roman"/>
          <w:color w:val="auto"/>
        </w:rPr>
        <w:t>one</w:t>
      </w:r>
      <w:r w:rsidRPr="0044699A">
        <w:rPr>
          <w:rFonts w:ascii="Times New Roman" w:eastAsia="Arial Unicode MS" w:hAnsi="Times New Roman" w:cs="Times New Roman"/>
          <w:color w:val="auto"/>
        </w:rPr>
        <w:t xml:space="preserve"> Common Share </w:t>
      </w:r>
      <w:r w:rsidR="00AA675B">
        <w:rPr>
          <w:rFonts w:ascii="Times New Roman" w:eastAsia="Arial Unicode MS" w:hAnsi="Times New Roman" w:cs="Times New Roman"/>
          <w:color w:val="auto"/>
        </w:rPr>
        <w:t xml:space="preserve">for a period of three years </w:t>
      </w:r>
      <w:r w:rsidRPr="0044699A">
        <w:rPr>
          <w:rFonts w:ascii="Times New Roman" w:eastAsia="Arial Unicode MS" w:hAnsi="Times New Roman" w:cs="Times New Roman"/>
          <w:color w:val="auto"/>
        </w:rPr>
        <w:t>from the date of issuanc</w:t>
      </w:r>
      <w:r>
        <w:rPr>
          <w:rFonts w:ascii="Times New Roman" w:eastAsia="Arial Unicode MS" w:hAnsi="Times New Roman" w:cs="Times New Roman"/>
          <w:color w:val="auto"/>
        </w:rPr>
        <w:t>e at an exercise price of C$0.60</w:t>
      </w:r>
      <w:r w:rsidRPr="0044699A">
        <w:rPr>
          <w:rFonts w:ascii="Times New Roman" w:eastAsia="Arial Unicode MS" w:hAnsi="Times New Roman" w:cs="Times New Roman"/>
          <w:color w:val="auto"/>
        </w:rPr>
        <w:t>. The Common Shares</w:t>
      </w:r>
      <w:r w:rsidR="009115B8">
        <w:rPr>
          <w:rFonts w:ascii="Times New Roman" w:eastAsia="Arial Unicode MS" w:hAnsi="Times New Roman" w:cs="Times New Roman"/>
          <w:color w:val="auto"/>
        </w:rPr>
        <w:t xml:space="preserve"> and Warrants </w:t>
      </w:r>
      <w:r w:rsidRPr="0044699A">
        <w:rPr>
          <w:rFonts w:ascii="Times New Roman" w:eastAsia="Arial Unicode MS" w:hAnsi="Times New Roman" w:cs="Times New Roman"/>
          <w:color w:val="auto"/>
        </w:rPr>
        <w:t>will be subject to resale restrictions for a period of four months</w:t>
      </w:r>
      <w:r w:rsidR="00DE1D81">
        <w:rPr>
          <w:rFonts w:ascii="Times New Roman" w:eastAsia="Arial Unicode MS" w:hAnsi="Times New Roman" w:cs="Times New Roman"/>
          <w:color w:val="auto"/>
        </w:rPr>
        <w:t xml:space="preserve"> and one day</w:t>
      </w:r>
      <w:r w:rsidRPr="0044699A">
        <w:rPr>
          <w:rFonts w:ascii="Times New Roman" w:eastAsia="Arial Unicode MS" w:hAnsi="Times New Roman" w:cs="Times New Roman"/>
          <w:color w:val="auto"/>
        </w:rPr>
        <w:t xml:space="preserve"> from </w:t>
      </w:r>
      <w:r w:rsidR="00AA675B">
        <w:rPr>
          <w:rFonts w:ascii="Times New Roman" w:eastAsia="Arial Unicode MS" w:hAnsi="Times New Roman" w:cs="Times New Roman"/>
          <w:color w:val="auto"/>
        </w:rPr>
        <w:t xml:space="preserve">the date of </w:t>
      </w:r>
      <w:r w:rsidRPr="0044699A">
        <w:rPr>
          <w:rFonts w:ascii="Times New Roman" w:eastAsia="Arial Unicode MS" w:hAnsi="Times New Roman" w:cs="Times New Roman"/>
          <w:color w:val="auto"/>
        </w:rPr>
        <w:t>issuance.</w:t>
      </w:r>
    </w:p>
    <w:p w:rsidR="0044699A" w:rsidRPr="0044699A" w:rsidRDefault="0044699A" w:rsidP="0044699A">
      <w:pPr>
        <w:pStyle w:val="ListParagraph"/>
        <w:ind w:left="0"/>
        <w:jc w:val="both"/>
        <w:rPr>
          <w:rFonts w:ascii="Times New Roman" w:eastAsia="Arial Unicode MS" w:hAnsi="Times New Roman" w:cs="Times New Roman"/>
          <w:color w:val="auto"/>
        </w:rPr>
      </w:pPr>
    </w:p>
    <w:p w:rsidR="0044699A" w:rsidRPr="0044699A" w:rsidRDefault="0044699A" w:rsidP="0044699A">
      <w:pPr>
        <w:pStyle w:val="ListParagraph"/>
        <w:ind w:left="0"/>
        <w:jc w:val="both"/>
        <w:rPr>
          <w:rFonts w:ascii="Times New Roman" w:eastAsia="Arial Unicode MS" w:hAnsi="Times New Roman" w:cs="Times New Roman"/>
          <w:color w:val="auto"/>
        </w:rPr>
      </w:pPr>
      <w:proofErr w:type="gramStart"/>
      <w:r w:rsidRPr="0044699A">
        <w:rPr>
          <w:rFonts w:ascii="Times New Roman" w:eastAsia="Arial Unicode MS" w:hAnsi="Times New Roman" w:cs="Times New Roman"/>
          <w:color w:val="auto"/>
        </w:rPr>
        <w:t>In connection with</w:t>
      </w:r>
      <w:proofErr w:type="gramEnd"/>
      <w:r w:rsidRPr="0044699A">
        <w:rPr>
          <w:rFonts w:ascii="Times New Roman" w:eastAsia="Arial Unicode MS" w:hAnsi="Times New Roman" w:cs="Times New Roman"/>
          <w:color w:val="auto"/>
        </w:rPr>
        <w:t xml:space="preserve"> the closing of the Private Placement, </w:t>
      </w:r>
      <w:r>
        <w:rPr>
          <w:rFonts w:ascii="Times New Roman" w:eastAsia="Arial Unicode MS" w:hAnsi="Times New Roman" w:cs="Times New Roman"/>
          <w:color w:val="auto"/>
        </w:rPr>
        <w:t xml:space="preserve">Hampton Securities </w:t>
      </w:r>
      <w:r w:rsidR="004225BC">
        <w:rPr>
          <w:rFonts w:ascii="Times New Roman" w:eastAsia="Arial Unicode MS" w:hAnsi="Times New Roman" w:cs="Times New Roman"/>
          <w:color w:val="auto"/>
        </w:rPr>
        <w:t>Limited</w:t>
      </w:r>
      <w:r w:rsidR="00597008">
        <w:rPr>
          <w:rFonts w:ascii="Times New Roman" w:eastAsia="Arial Unicode MS" w:hAnsi="Times New Roman" w:cs="Times New Roman"/>
          <w:color w:val="auto"/>
        </w:rPr>
        <w:t>,</w:t>
      </w:r>
      <w:r>
        <w:rPr>
          <w:rFonts w:ascii="Times New Roman" w:eastAsia="Arial Unicode MS" w:hAnsi="Times New Roman" w:cs="Times New Roman"/>
          <w:color w:val="auto"/>
        </w:rPr>
        <w:t xml:space="preserve"> Industrial Alliance Securities</w:t>
      </w:r>
      <w:r w:rsidR="004225BC">
        <w:rPr>
          <w:rFonts w:ascii="Times New Roman" w:eastAsia="Arial Unicode MS" w:hAnsi="Times New Roman" w:cs="Times New Roman"/>
          <w:color w:val="auto"/>
        </w:rPr>
        <w:t xml:space="preserve"> Inc.</w:t>
      </w:r>
      <w:r>
        <w:rPr>
          <w:rFonts w:ascii="Times New Roman" w:eastAsia="Arial Unicode MS" w:hAnsi="Times New Roman" w:cs="Times New Roman"/>
          <w:color w:val="auto"/>
        </w:rPr>
        <w:t xml:space="preserve">, </w:t>
      </w:r>
      <w:r w:rsidRPr="0044699A">
        <w:rPr>
          <w:rFonts w:ascii="Times New Roman" w:eastAsia="Arial Unicode MS" w:hAnsi="Times New Roman" w:cs="Times New Roman"/>
          <w:color w:val="auto"/>
        </w:rPr>
        <w:t>and certain other finders received an aggregate cash commission of $</w:t>
      </w:r>
      <w:r w:rsidR="00DE1D81">
        <w:rPr>
          <w:rFonts w:ascii="Times New Roman" w:eastAsia="Arial Unicode MS" w:hAnsi="Times New Roman" w:cs="Times New Roman"/>
          <w:color w:val="auto"/>
        </w:rPr>
        <w:t>88,904</w:t>
      </w:r>
      <w:r w:rsidR="00B20E30">
        <w:rPr>
          <w:rFonts w:ascii="Times New Roman" w:eastAsia="Arial Unicode MS" w:hAnsi="Times New Roman" w:cs="Times New Roman"/>
          <w:color w:val="auto"/>
        </w:rPr>
        <w:t xml:space="preserve"> </w:t>
      </w:r>
      <w:r w:rsidRPr="0044699A">
        <w:rPr>
          <w:rFonts w:ascii="Times New Roman" w:eastAsia="Arial Unicode MS" w:hAnsi="Times New Roman" w:cs="Times New Roman"/>
          <w:color w:val="auto"/>
        </w:rPr>
        <w:t>representing commissions of up to 8% of the gross proceeds raised by such finders</w:t>
      </w:r>
      <w:r w:rsidR="00DE1D81">
        <w:rPr>
          <w:rFonts w:ascii="Times New Roman" w:eastAsia="Arial Unicode MS" w:hAnsi="Times New Roman" w:cs="Times New Roman"/>
          <w:color w:val="auto"/>
        </w:rPr>
        <w:t>, and 222,260 agent warrants, representing 8% of the gross number of U</w:t>
      </w:r>
      <w:r w:rsidR="00DE1D81" w:rsidRPr="00DE1D81">
        <w:rPr>
          <w:rFonts w:ascii="Times New Roman" w:eastAsia="Arial Unicode MS" w:hAnsi="Times New Roman" w:cs="Times New Roman"/>
          <w:color w:val="auto"/>
        </w:rPr>
        <w:t>nits raised</w:t>
      </w:r>
      <w:r w:rsidR="00DE1D81">
        <w:rPr>
          <w:rFonts w:ascii="Times New Roman" w:eastAsia="Arial Unicode MS" w:hAnsi="Times New Roman" w:cs="Times New Roman"/>
          <w:color w:val="auto"/>
        </w:rPr>
        <w:t>.</w:t>
      </w:r>
    </w:p>
    <w:p w:rsidR="00031D8A" w:rsidRDefault="00031D8A" w:rsidP="0044699A">
      <w:pPr>
        <w:pStyle w:val="ListParagraph"/>
        <w:ind w:left="0"/>
        <w:jc w:val="both"/>
        <w:rPr>
          <w:rFonts w:ascii="Times New Roman" w:eastAsia="Arial Unicode MS" w:hAnsi="Times New Roman" w:cs="Times New Roman"/>
          <w:color w:val="auto"/>
        </w:rPr>
      </w:pPr>
    </w:p>
    <w:p w:rsidR="004225BC" w:rsidRPr="004225BC" w:rsidRDefault="004225BC" w:rsidP="0044699A">
      <w:pPr>
        <w:pStyle w:val="ListParagraph"/>
        <w:ind w:left="0"/>
        <w:jc w:val="both"/>
        <w:rPr>
          <w:rFonts w:ascii="Times New Roman" w:eastAsia="Arial Unicode MS" w:hAnsi="Times New Roman" w:cs="Times New Roman"/>
          <w:b/>
          <w:color w:val="auto"/>
          <w:u w:val="single"/>
        </w:rPr>
      </w:pPr>
      <w:r w:rsidRPr="004225BC">
        <w:rPr>
          <w:rFonts w:ascii="Times New Roman" w:eastAsia="Arial Unicode MS" w:hAnsi="Times New Roman" w:cs="Times New Roman"/>
          <w:b/>
          <w:color w:val="auto"/>
          <w:u w:val="single"/>
        </w:rPr>
        <w:t>Debt Settlement</w:t>
      </w:r>
    </w:p>
    <w:p w:rsidR="00AA675B" w:rsidRDefault="00AA675B" w:rsidP="00AA675B">
      <w:pPr>
        <w:pStyle w:val="BodyText"/>
      </w:pPr>
      <w:r>
        <w:t xml:space="preserve">The Company </w:t>
      </w:r>
      <w:r w:rsidRPr="00B81D6A">
        <w:t xml:space="preserve">has settled </w:t>
      </w:r>
      <w:r>
        <w:t>C</w:t>
      </w:r>
      <w:r w:rsidRPr="00B81D6A">
        <w:t>$</w:t>
      </w:r>
      <w:r>
        <w:t>1,500,000</w:t>
      </w:r>
      <w:r w:rsidRPr="00B81D6A">
        <w:t xml:space="preserve"> </w:t>
      </w:r>
      <w:r>
        <w:t xml:space="preserve">principal amount (“Settlement Amount”) </w:t>
      </w:r>
      <w:r w:rsidRPr="00B81D6A">
        <w:t xml:space="preserve">of </w:t>
      </w:r>
      <w:r>
        <w:t xml:space="preserve">its outstanding 10% senior secured convertible debentures </w:t>
      </w:r>
      <w:r w:rsidR="00B20E30" w:rsidRPr="00B20E30">
        <w:t>March 2,</w:t>
      </w:r>
      <w:r w:rsidRPr="00B20E30">
        <w:t xml:space="preserve"> 2019</w:t>
      </w:r>
      <w:r>
        <w:t xml:space="preserve"> (“Debentures”)  through</w:t>
      </w:r>
      <w:r w:rsidRPr="00B81D6A">
        <w:t xml:space="preserve"> the issuance of an aggregate </w:t>
      </w:r>
      <w:r>
        <w:t>3,750,000</w:t>
      </w:r>
      <w:r w:rsidRPr="00B81D6A">
        <w:t xml:space="preserve"> common shares of the Company </w:t>
      </w:r>
      <w:r>
        <w:t xml:space="preserve">(“Settlement Shares”) </w:t>
      </w:r>
      <w:r w:rsidRPr="00B81D6A">
        <w:t>at a deemed price of $</w:t>
      </w:r>
      <w:r>
        <w:t>0.40</w:t>
      </w:r>
      <w:r w:rsidRPr="00B81D6A">
        <w:t xml:space="preserve"> per share and </w:t>
      </w:r>
      <w:r w:rsidRPr="006E27DF">
        <w:t>3,</w:t>
      </w:r>
      <w:r>
        <w:t>7</w:t>
      </w:r>
      <w:r w:rsidRPr="006E27DF">
        <w:t xml:space="preserve">50,000 </w:t>
      </w:r>
      <w:r>
        <w:t xml:space="preserve">common </w:t>
      </w:r>
      <w:r w:rsidRPr="00B81D6A">
        <w:t>share purchase warrants</w:t>
      </w:r>
      <w:r>
        <w:t xml:space="preserve"> (“Settlement Warrants”), together with an amount payable in cash equal to the interest that the Debenture holders would have received in respect of the Settlement Amount if it remained outstanding to maturity. </w:t>
      </w:r>
      <w:r w:rsidRPr="0044699A">
        <w:rPr>
          <w:rFonts w:eastAsia="Arial Unicode MS"/>
        </w:rPr>
        <w:t xml:space="preserve">Each </w:t>
      </w:r>
      <w:r>
        <w:rPr>
          <w:rFonts w:eastAsia="Arial Unicode MS"/>
        </w:rPr>
        <w:t>w</w:t>
      </w:r>
      <w:r w:rsidRPr="0044699A">
        <w:rPr>
          <w:rFonts w:eastAsia="Arial Unicode MS"/>
        </w:rPr>
        <w:t xml:space="preserve">arrant is exercisable for </w:t>
      </w:r>
      <w:r>
        <w:rPr>
          <w:rFonts w:eastAsia="Arial Unicode MS"/>
        </w:rPr>
        <w:t>one</w:t>
      </w:r>
      <w:r w:rsidRPr="0044699A">
        <w:rPr>
          <w:rFonts w:eastAsia="Arial Unicode MS"/>
        </w:rPr>
        <w:t xml:space="preserve"> </w:t>
      </w:r>
      <w:r>
        <w:rPr>
          <w:rFonts w:eastAsia="Arial Unicode MS"/>
        </w:rPr>
        <w:t>c</w:t>
      </w:r>
      <w:r w:rsidRPr="0044699A">
        <w:rPr>
          <w:rFonts w:eastAsia="Arial Unicode MS"/>
        </w:rPr>
        <w:t xml:space="preserve">ommon </w:t>
      </w:r>
      <w:r>
        <w:rPr>
          <w:rFonts w:eastAsia="Arial Unicode MS"/>
        </w:rPr>
        <w:t>s</w:t>
      </w:r>
      <w:r w:rsidRPr="0044699A">
        <w:rPr>
          <w:rFonts w:eastAsia="Arial Unicode MS"/>
        </w:rPr>
        <w:t xml:space="preserve">hare </w:t>
      </w:r>
      <w:r>
        <w:rPr>
          <w:rFonts w:eastAsia="Arial Unicode MS"/>
        </w:rPr>
        <w:t xml:space="preserve">of the Company for a period of </w:t>
      </w:r>
      <w:r w:rsidRPr="0044699A">
        <w:rPr>
          <w:rFonts w:eastAsia="Arial Unicode MS"/>
        </w:rPr>
        <w:t>three years from the date of issuanc</w:t>
      </w:r>
      <w:r>
        <w:rPr>
          <w:rFonts w:eastAsia="Arial Unicode MS"/>
        </w:rPr>
        <w:t>e at an exercise price of C$0.60</w:t>
      </w:r>
      <w:r w:rsidRPr="0044699A">
        <w:rPr>
          <w:rFonts w:eastAsia="Arial Unicode MS"/>
        </w:rPr>
        <w:t>.</w:t>
      </w:r>
      <w:r w:rsidRPr="00B81D6A">
        <w:t xml:space="preserve"> The </w:t>
      </w:r>
      <w:r>
        <w:t>Settlement S</w:t>
      </w:r>
      <w:r w:rsidRPr="00B81D6A">
        <w:t xml:space="preserve">hares </w:t>
      </w:r>
      <w:r>
        <w:t xml:space="preserve">and Settlement Warrants </w:t>
      </w:r>
      <w:r w:rsidRPr="00533075">
        <w:t>will be subject to resale restrictions for a period of four months from the date of issuance</w:t>
      </w:r>
      <w:r w:rsidRPr="00B81D6A">
        <w:t>.</w:t>
      </w:r>
      <w:r>
        <w:t xml:space="preserve"> As part of the satisfaction of the Settlement Amount, the conversion price of the remaining principal amount of the Debentures has been adjusted to C$0.42, being the closing price of the common shares of the Company on the Canadian Securities Exchange on the last trading preceding the date of the debt settlement.    </w:t>
      </w:r>
    </w:p>
    <w:p w:rsidR="000A2CA7" w:rsidRDefault="000A2CA7" w:rsidP="004225BC">
      <w:pPr>
        <w:pStyle w:val="BodyText"/>
        <w:rPr>
          <w:b/>
          <w:u w:val="single"/>
        </w:rPr>
      </w:pPr>
      <w:r w:rsidRPr="000A2CA7">
        <w:rPr>
          <w:b/>
          <w:u w:val="single"/>
        </w:rPr>
        <w:t>About Pivot Pharmaceuticals Inc.</w:t>
      </w:r>
    </w:p>
    <w:p w:rsidR="00522C92" w:rsidRDefault="00522C92" w:rsidP="004225BC">
      <w:pPr>
        <w:pStyle w:val="BodyText"/>
        <w:rPr>
          <w:b/>
          <w:u w:val="single"/>
        </w:rPr>
      </w:pPr>
    </w:p>
    <w:p w:rsidR="00993B5B" w:rsidRPr="000A2CA7" w:rsidRDefault="000A2CA7" w:rsidP="000A2CA7">
      <w:pPr>
        <w:pStyle w:val="Corps"/>
        <w:spacing w:line="240" w:lineRule="auto"/>
        <w:jc w:val="both"/>
        <w:rPr>
          <w:rFonts w:ascii="Times New Roman" w:eastAsia="Times New Roman" w:hAnsi="Times New Roman" w:cs="Times New Roman"/>
          <w:sz w:val="24"/>
          <w:szCs w:val="24"/>
        </w:rPr>
      </w:pPr>
      <w:r w:rsidRPr="00BE3095">
        <w:rPr>
          <w:rFonts w:ascii="Times New Roman" w:hAnsi="Times New Roman" w:cs="Times New Roman"/>
          <w:sz w:val="24"/>
          <w:szCs w:val="24"/>
        </w:rPr>
        <w:t>Pivot Pharmaceuticals Inc. is a biopharmaceutical company engaged in the development and commercialization of therapeutic pharmaceuticals and nutraceuticals using innovative drug delivery platform technologies. Pivot’s wholly-owned medical cannabis products division, Pivot Green Stream Health Solutions Inc. (“</w:t>
      </w:r>
      <w:r w:rsidRPr="00BF68AA">
        <w:rPr>
          <w:rFonts w:ascii="Times New Roman" w:hAnsi="Times New Roman" w:cs="Times New Roman"/>
          <w:sz w:val="24"/>
          <w:szCs w:val="24"/>
          <w:lang w:val="en-CA"/>
        </w:rPr>
        <w:t>PGS</w:t>
      </w:r>
      <w:r w:rsidRPr="00BE3095">
        <w:rPr>
          <w:rFonts w:ascii="Times New Roman" w:hAnsi="Times New Roman" w:cs="Times New Roman"/>
          <w:sz w:val="24"/>
          <w:szCs w:val="24"/>
        </w:rPr>
        <w:t>” or “Pivot Green Stream”), conducts research, development and commercialization of cannabinoid-based nutraceuticals and pharmaceuticals. Pivot’s wholly-owned U.S. subsidiary, Pivot Naturals, LLC, based in Costa Mesa, California, will manufacture and supply finished powderized cannabis products such as food additives, capsules, bulk powder and stick packs to the California market. PGS has acquired “</w:t>
      </w:r>
      <w:r w:rsidRPr="00BE3095">
        <w:rPr>
          <w:rFonts w:ascii="Times New Roman" w:hAnsi="Times New Roman" w:cs="Times New Roman"/>
          <w:sz w:val="24"/>
          <w:szCs w:val="24"/>
          <w:lang w:val="de-DE"/>
        </w:rPr>
        <w:t>RTIC</w:t>
      </w:r>
      <w:r w:rsidRPr="00BE3095">
        <w:rPr>
          <w:rFonts w:ascii="Times New Roman" w:hAnsi="Times New Roman" w:cs="Times New Roman"/>
          <w:sz w:val="24"/>
          <w:szCs w:val="24"/>
        </w:rPr>
        <w:t xml:space="preserve">” Ready-To-Infuse Cannabis oil-to-powder technology and Thrudermic Transdermal Nanotechnology (transdermal); acquired worldwide rights to BiPhasix™ Dermal Drug Delivery platform technology (topical), Solmic Solubilisation technology (oral), and Solumer™ Oral Drug Delivery technology; and an option to acquire worldwide rights to TriVair™ Nasal and Pulmonary Breath-Propelled Drug Delivery Systems™ for the delivery and commercialization of cannabinoid, cannabidiol (CBD), and tetrahydrocannabinol (THC)-based products. For more information please visit </w:t>
      </w:r>
      <w:hyperlink r:id="rId11" w:history="1">
        <w:r w:rsidR="00273059">
          <w:rPr>
            <w:rStyle w:val="Hyperlink0"/>
            <w:rFonts w:eastAsia="Calibri"/>
          </w:rPr>
          <w:t>pivotpharma.com</w:t>
        </w:r>
      </w:hyperlink>
      <w:r w:rsidRPr="00BE3095">
        <w:rPr>
          <w:rFonts w:ascii="Times New Roman" w:hAnsi="Times New Roman" w:cs="Times New Roman"/>
          <w:sz w:val="24"/>
          <w:szCs w:val="24"/>
        </w:rPr>
        <w:t xml:space="preserve"> </w:t>
      </w:r>
    </w:p>
    <w:p w:rsidR="00993B5B" w:rsidRPr="000A2CA7" w:rsidRDefault="00993B5B" w:rsidP="00993B5B">
      <w:pPr>
        <w:pStyle w:val="Corps"/>
        <w:shd w:val="clear" w:color="auto" w:fill="FFFFFF"/>
        <w:spacing w:after="150"/>
        <w:jc w:val="both"/>
        <w:rPr>
          <w:rFonts w:ascii="Times New Roman" w:eastAsia="Arial Unicode MS" w:hAnsi="Times New Roman" w:cs="Times New Roman"/>
          <w:b/>
          <w:color w:val="auto"/>
          <w:sz w:val="24"/>
          <w:szCs w:val="24"/>
          <w:u w:val="single"/>
        </w:rPr>
      </w:pPr>
      <w:r w:rsidRPr="000A2CA7">
        <w:rPr>
          <w:rFonts w:ascii="Times New Roman" w:eastAsia="Arial Unicode MS" w:hAnsi="Times New Roman" w:cs="Times New Roman"/>
          <w:b/>
          <w:color w:val="auto"/>
          <w:sz w:val="24"/>
          <w:szCs w:val="24"/>
          <w:u w:val="single"/>
        </w:rPr>
        <w:t>Cautionary Note Regarding Forward-Looking Statements</w:t>
      </w:r>
      <w:r w:rsidR="000A2CA7" w:rsidRPr="000A2CA7">
        <w:rPr>
          <w:rFonts w:ascii="Times New Roman" w:eastAsia="Arial Unicode MS" w:hAnsi="Times New Roman" w:cs="Times New Roman"/>
          <w:b/>
          <w:color w:val="auto"/>
          <w:sz w:val="24"/>
          <w:szCs w:val="24"/>
          <w:u w:val="single"/>
        </w:rPr>
        <w:t>:</w:t>
      </w:r>
    </w:p>
    <w:p w:rsidR="00273059" w:rsidRPr="00BE3095" w:rsidRDefault="00273059" w:rsidP="00273059">
      <w:pPr>
        <w:pStyle w:val="Corps"/>
        <w:spacing w:line="240" w:lineRule="auto"/>
        <w:jc w:val="both"/>
        <w:rPr>
          <w:rFonts w:ascii="Times New Roman" w:eastAsia="Times New Roman" w:hAnsi="Times New Roman" w:cs="Times New Roman"/>
          <w:i/>
          <w:iCs/>
          <w:sz w:val="24"/>
          <w:szCs w:val="24"/>
        </w:rPr>
      </w:pPr>
      <w:r w:rsidRPr="00BE3095">
        <w:rPr>
          <w:rFonts w:ascii="Times New Roman" w:hAnsi="Times New Roman" w:cs="Times New Roman"/>
          <w:i/>
          <w:iCs/>
          <w:sz w:val="24"/>
          <w:szCs w:val="24"/>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F42A9A" w:rsidRPr="00BE3095" w:rsidRDefault="001563EB">
      <w:pPr>
        <w:pStyle w:val="NormalWeb"/>
        <w:jc w:val="both"/>
        <w:rPr>
          <w:rFonts w:cs="Times New Roman"/>
          <w:b/>
          <w:bCs/>
          <w:shd w:val="clear" w:color="auto" w:fill="FFFFFF"/>
        </w:rPr>
      </w:pPr>
      <w:r w:rsidRPr="00BE3095">
        <w:rPr>
          <w:rFonts w:cs="Times New Roman"/>
          <w:b/>
          <w:bCs/>
          <w:shd w:val="clear" w:color="auto" w:fill="FFFFFF"/>
        </w:rPr>
        <w:t>Contact:</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Pivot Pharmaceuticals Inc.</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Patrick Frankham, PhD, MBA</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Chief Executive Officer</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2" w:history="1">
        <w:r w:rsidRPr="00BE3095">
          <w:rPr>
            <w:rFonts w:cs="Times New Roman"/>
          </w:rPr>
          <w:t>Info@PivotPharma.com</w:t>
        </w:r>
      </w:hyperlink>
      <w:r w:rsidRPr="00BE3095">
        <w:rPr>
          <w:rFonts w:cs="Times New Roman"/>
          <w:shd w:val="clear" w:color="auto" w:fill="FFFFFF"/>
        </w:rPr>
        <w:t xml:space="preserve"> </w:t>
      </w:r>
    </w:p>
    <w:p w:rsidR="00F42A9A" w:rsidRPr="00BE3095" w:rsidRDefault="00F42A9A">
      <w:pPr>
        <w:pStyle w:val="NormalWeb"/>
        <w:spacing w:after="0"/>
        <w:jc w:val="both"/>
        <w:rPr>
          <w:rFonts w:cs="Times New Roman"/>
          <w:shd w:val="clear" w:color="auto" w:fill="FFFFFF"/>
        </w:rPr>
      </w:pP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Virtus Advisory Group</w:t>
      </w:r>
    </w:p>
    <w:p w:rsidR="00F42A9A" w:rsidRPr="00BE3095" w:rsidRDefault="009D02D0" w:rsidP="00235B4D">
      <w:pPr>
        <w:pStyle w:val="NormalWeb"/>
        <w:spacing w:after="0"/>
        <w:contextualSpacing/>
        <w:jc w:val="both"/>
        <w:rPr>
          <w:rFonts w:cs="Times New Roman"/>
          <w:shd w:val="clear" w:color="auto" w:fill="FFFFFF"/>
        </w:rPr>
      </w:pPr>
      <w:r w:rsidRPr="00BE3095">
        <w:rPr>
          <w:rFonts w:cs="Times New Roman"/>
          <w:shd w:val="clear" w:color="auto" w:fill="FFFFFF"/>
        </w:rPr>
        <w:t>Shareholder Inquiries</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3" w:history="1">
        <w:r w:rsidRPr="00BE3095">
          <w:rPr>
            <w:rStyle w:val="Hyperlink"/>
            <w:rFonts w:cs="Times New Roman"/>
            <w:shd w:val="clear" w:color="auto" w:fill="FFFFFF"/>
          </w:rPr>
          <w:t>Pivot@virtusadvisor</w:t>
        </w:r>
        <w:r w:rsidR="00235B4D" w:rsidRPr="00BE3095">
          <w:rPr>
            <w:rStyle w:val="Hyperlink"/>
            <w:rFonts w:cs="Times New Roman"/>
            <w:shd w:val="clear" w:color="auto" w:fill="FFFFFF"/>
          </w:rPr>
          <w:t>y</w:t>
        </w:r>
        <w:r w:rsidRPr="00BE3095">
          <w:rPr>
            <w:rStyle w:val="Hyperlink"/>
            <w:rFonts w:cs="Times New Roman"/>
            <w:shd w:val="clear" w:color="auto" w:fill="FFFFFF"/>
          </w:rPr>
          <w:t>.com</w:t>
        </w:r>
      </w:hyperlink>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Phone: 416-644-5081</w:t>
      </w:r>
    </w:p>
    <w:sectPr w:rsidR="00F42A9A" w:rsidRPr="00BE3095">
      <w:footerReference w:type="default" r:id="rId14"/>
      <w:headerReference w:type="first" r:id="rId15"/>
      <w:pgSz w:w="12240" w:h="15840"/>
      <w:pgMar w:top="1701" w:right="737" w:bottom="1021" w:left="737" w:header="0" w:footer="1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709" w:rsidRDefault="00767709">
      <w:r>
        <w:separator/>
      </w:r>
    </w:p>
  </w:endnote>
  <w:endnote w:type="continuationSeparator" w:id="0">
    <w:p w:rsidR="00767709" w:rsidRDefault="0076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tham Pro">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F42A9A">
    <w:pPr>
      <w:pStyle w:val="p1"/>
      <w:rPr>
        <w:rFonts w:ascii="Gotham Pro" w:eastAsia="Gotham Pro" w:hAnsi="Gotham Pro" w:cs="Gotham Pro"/>
        <w:caps/>
        <w:color w:val="000000"/>
        <w:u w:color="000000"/>
        <w:shd w:val="clear" w:color="auto" w:fill="FCFCFC"/>
      </w:rPr>
    </w:pPr>
  </w:p>
  <w:p w:rsidR="00F42A9A" w:rsidRDefault="00F42A9A">
    <w:pPr>
      <w:pStyle w:val="p1"/>
      <w:rPr>
        <w:rFonts w:ascii="Gotham Pro" w:eastAsia="Gotham Pro" w:hAnsi="Gotham Pro" w:cs="Gotham Pro"/>
        <w:caps/>
        <w:color w:val="000000"/>
        <w:u w:color="000000"/>
        <w:shd w:val="clear" w:color="auto" w:fill="FCFCFC"/>
      </w:rPr>
    </w:pPr>
  </w:p>
  <w:p w:rsidR="00F42A9A" w:rsidRDefault="001563EB">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rsidR="00F42A9A" w:rsidRDefault="001563EB">
    <w:pPr>
      <w:pStyle w:val="p1"/>
    </w:pPr>
    <w:r>
      <w:rPr>
        <w:rFonts w:ascii="Gotham Pro" w:eastAsia="Gotham Pro" w:hAnsi="Gotham Pro" w:cs="Gotham Pro"/>
        <w:caps/>
        <w:shd w:val="clear" w:color="auto" w:fill="FCFCFC"/>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709" w:rsidRDefault="00767709">
      <w:r>
        <w:separator/>
      </w:r>
    </w:p>
  </w:footnote>
  <w:footnote w:type="continuationSeparator" w:id="0">
    <w:p w:rsidR="00767709" w:rsidRDefault="007677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1563EB">
    <w:pPr>
      <w:pStyle w:val="Header"/>
      <w:jc w:val="center"/>
    </w:pPr>
    <w:r>
      <w:rPr>
        <w:noProof/>
      </w:rPr>
      <w:drawing>
        <wp:inline distT="0" distB="0" distL="0" distR="0" wp14:anchorId="55DCC863" wp14:editId="12005EDA">
          <wp:extent cx="1943100" cy="14573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4F4E"/>
    <w:multiLevelType w:val="hybridMultilevel"/>
    <w:tmpl w:val="04CE9BFC"/>
    <w:numStyleLink w:val="Style2import"/>
  </w:abstractNum>
  <w:abstractNum w:abstractNumId="2">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A"/>
    <w:rsid w:val="00006283"/>
    <w:rsid w:val="00010335"/>
    <w:rsid w:val="000259AE"/>
    <w:rsid w:val="00031D8A"/>
    <w:rsid w:val="000365DE"/>
    <w:rsid w:val="00036C76"/>
    <w:rsid w:val="0003778B"/>
    <w:rsid w:val="00041FAD"/>
    <w:rsid w:val="000523EA"/>
    <w:rsid w:val="000613ED"/>
    <w:rsid w:val="00073232"/>
    <w:rsid w:val="00086DC1"/>
    <w:rsid w:val="00087D3D"/>
    <w:rsid w:val="00090DA0"/>
    <w:rsid w:val="000958DC"/>
    <w:rsid w:val="000A2CA7"/>
    <w:rsid w:val="000B1CB2"/>
    <w:rsid w:val="000B2381"/>
    <w:rsid w:val="000C747A"/>
    <w:rsid w:val="000D4469"/>
    <w:rsid w:val="000E3E9C"/>
    <w:rsid w:val="000E6313"/>
    <w:rsid w:val="0010275A"/>
    <w:rsid w:val="00106E46"/>
    <w:rsid w:val="001078E4"/>
    <w:rsid w:val="00115199"/>
    <w:rsid w:val="00130469"/>
    <w:rsid w:val="00130EC5"/>
    <w:rsid w:val="00134F23"/>
    <w:rsid w:val="00137F95"/>
    <w:rsid w:val="001409C6"/>
    <w:rsid w:val="00142577"/>
    <w:rsid w:val="001445DE"/>
    <w:rsid w:val="001563EB"/>
    <w:rsid w:val="0016289F"/>
    <w:rsid w:val="00162B4E"/>
    <w:rsid w:val="00186C0D"/>
    <w:rsid w:val="00195231"/>
    <w:rsid w:val="001A6020"/>
    <w:rsid w:val="001B2AC7"/>
    <w:rsid w:val="001E2BFB"/>
    <w:rsid w:val="001E783B"/>
    <w:rsid w:val="00222D7A"/>
    <w:rsid w:val="00235B4D"/>
    <w:rsid w:val="002429F6"/>
    <w:rsid w:val="0024419B"/>
    <w:rsid w:val="00270D9C"/>
    <w:rsid w:val="00272EF2"/>
    <w:rsid w:val="00273059"/>
    <w:rsid w:val="00297813"/>
    <w:rsid w:val="002A3B7E"/>
    <w:rsid w:val="002A5641"/>
    <w:rsid w:val="002B0469"/>
    <w:rsid w:val="002B3797"/>
    <w:rsid w:val="002D0E63"/>
    <w:rsid w:val="002D7D35"/>
    <w:rsid w:val="002F0CCD"/>
    <w:rsid w:val="00313AB5"/>
    <w:rsid w:val="00313D7E"/>
    <w:rsid w:val="003149EF"/>
    <w:rsid w:val="00323AB9"/>
    <w:rsid w:val="00324E14"/>
    <w:rsid w:val="00335789"/>
    <w:rsid w:val="00337CCE"/>
    <w:rsid w:val="00340439"/>
    <w:rsid w:val="00341F01"/>
    <w:rsid w:val="00344F5C"/>
    <w:rsid w:val="00346B11"/>
    <w:rsid w:val="00350905"/>
    <w:rsid w:val="003513FF"/>
    <w:rsid w:val="0035756D"/>
    <w:rsid w:val="00361281"/>
    <w:rsid w:val="00365C5C"/>
    <w:rsid w:val="00370BF2"/>
    <w:rsid w:val="00372421"/>
    <w:rsid w:val="003C13B8"/>
    <w:rsid w:val="003C2412"/>
    <w:rsid w:val="003C6432"/>
    <w:rsid w:val="003D51AD"/>
    <w:rsid w:val="003E0351"/>
    <w:rsid w:val="003E6982"/>
    <w:rsid w:val="003E7510"/>
    <w:rsid w:val="00400490"/>
    <w:rsid w:val="00403F4B"/>
    <w:rsid w:val="004075C1"/>
    <w:rsid w:val="00412277"/>
    <w:rsid w:val="00416362"/>
    <w:rsid w:val="0041726F"/>
    <w:rsid w:val="00417CDF"/>
    <w:rsid w:val="0042141F"/>
    <w:rsid w:val="004225BC"/>
    <w:rsid w:val="00436D0E"/>
    <w:rsid w:val="004376B9"/>
    <w:rsid w:val="00444E5F"/>
    <w:rsid w:val="0044699A"/>
    <w:rsid w:val="00455136"/>
    <w:rsid w:val="004611DA"/>
    <w:rsid w:val="004762BF"/>
    <w:rsid w:val="004A3174"/>
    <w:rsid w:val="004C3382"/>
    <w:rsid w:val="004D0FCC"/>
    <w:rsid w:val="004D641D"/>
    <w:rsid w:val="004E508D"/>
    <w:rsid w:val="005007B7"/>
    <w:rsid w:val="00500952"/>
    <w:rsid w:val="00502BB7"/>
    <w:rsid w:val="00513D38"/>
    <w:rsid w:val="00520021"/>
    <w:rsid w:val="00522C92"/>
    <w:rsid w:val="00544596"/>
    <w:rsid w:val="00546273"/>
    <w:rsid w:val="00551462"/>
    <w:rsid w:val="0056701D"/>
    <w:rsid w:val="005757E5"/>
    <w:rsid w:val="00577914"/>
    <w:rsid w:val="005961F4"/>
    <w:rsid w:val="00597008"/>
    <w:rsid w:val="005B0D7F"/>
    <w:rsid w:val="005B5FB0"/>
    <w:rsid w:val="005C1960"/>
    <w:rsid w:val="005F1180"/>
    <w:rsid w:val="005F121D"/>
    <w:rsid w:val="005F152B"/>
    <w:rsid w:val="005F4CD1"/>
    <w:rsid w:val="00631D70"/>
    <w:rsid w:val="00641902"/>
    <w:rsid w:val="00646654"/>
    <w:rsid w:val="00655254"/>
    <w:rsid w:val="00655CA9"/>
    <w:rsid w:val="00671862"/>
    <w:rsid w:val="00672884"/>
    <w:rsid w:val="00672DD7"/>
    <w:rsid w:val="00692CC9"/>
    <w:rsid w:val="006A4D68"/>
    <w:rsid w:val="006B0CC9"/>
    <w:rsid w:val="006D210C"/>
    <w:rsid w:val="006D41F0"/>
    <w:rsid w:val="006E02FE"/>
    <w:rsid w:val="006E5A1C"/>
    <w:rsid w:val="006F3D09"/>
    <w:rsid w:val="00701490"/>
    <w:rsid w:val="00704751"/>
    <w:rsid w:val="00717BB6"/>
    <w:rsid w:val="007240A1"/>
    <w:rsid w:val="00727970"/>
    <w:rsid w:val="00733AB0"/>
    <w:rsid w:val="00755042"/>
    <w:rsid w:val="007555D8"/>
    <w:rsid w:val="00760409"/>
    <w:rsid w:val="00764ABB"/>
    <w:rsid w:val="00767709"/>
    <w:rsid w:val="00797375"/>
    <w:rsid w:val="007A4F2A"/>
    <w:rsid w:val="007A66B7"/>
    <w:rsid w:val="007A72BB"/>
    <w:rsid w:val="007B0273"/>
    <w:rsid w:val="007B1C70"/>
    <w:rsid w:val="007B674F"/>
    <w:rsid w:val="007B6E09"/>
    <w:rsid w:val="007C069B"/>
    <w:rsid w:val="007C0D2D"/>
    <w:rsid w:val="007F1EC4"/>
    <w:rsid w:val="007F20C5"/>
    <w:rsid w:val="008000F4"/>
    <w:rsid w:val="00804EC5"/>
    <w:rsid w:val="008113DE"/>
    <w:rsid w:val="00824E42"/>
    <w:rsid w:val="00836796"/>
    <w:rsid w:val="00867142"/>
    <w:rsid w:val="00867D2B"/>
    <w:rsid w:val="00874558"/>
    <w:rsid w:val="00874F87"/>
    <w:rsid w:val="00881E64"/>
    <w:rsid w:val="00890920"/>
    <w:rsid w:val="008A6251"/>
    <w:rsid w:val="008C0AB3"/>
    <w:rsid w:val="008C3D87"/>
    <w:rsid w:val="008C6B54"/>
    <w:rsid w:val="008D15B6"/>
    <w:rsid w:val="008E1DE5"/>
    <w:rsid w:val="008E4A7A"/>
    <w:rsid w:val="008E6549"/>
    <w:rsid w:val="009043F7"/>
    <w:rsid w:val="009054B0"/>
    <w:rsid w:val="009115B8"/>
    <w:rsid w:val="009259DA"/>
    <w:rsid w:val="00931567"/>
    <w:rsid w:val="00933489"/>
    <w:rsid w:val="00941E7F"/>
    <w:rsid w:val="009566CB"/>
    <w:rsid w:val="009604B1"/>
    <w:rsid w:val="00971E30"/>
    <w:rsid w:val="00976C72"/>
    <w:rsid w:val="009861AC"/>
    <w:rsid w:val="00990114"/>
    <w:rsid w:val="00991372"/>
    <w:rsid w:val="00992330"/>
    <w:rsid w:val="00993B5B"/>
    <w:rsid w:val="00996E9F"/>
    <w:rsid w:val="009A3003"/>
    <w:rsid w:val="009C2B32"/>
    <w:rsid w:val="009D02D0"/>
    <w:rsid w:val="009E190C"/>
    <w:rsid w:val="009E5772"/>
    <w:rsid w:val="009F28C5"/>
    <w:rsid w:val="00A064D4"/>
    <w:rsid w:val="00A101C1"/>
    <w:rsid w:val="00A12A99"/>
    <w:rsid w:val="00A23BB8"/>
    <w:rsid w:val="00A24C30"/>
    <w:rsid w:val="00A30CCE"/>
    <w:rsid w:val="00A35EE8"/>
    <w:rsid w:val="00A37DED"/>
    <w:rsid w:val="00A562D4"/>
    <w:rsid w:val="00A56AF6"/>
    <w:rsid w:val="00A75213"/>
    <w:rsid w:val="00A86AE4"/>
    <w:rsid w:val="00A86F61"/>
    <w:rsid w:val="00A977A2"/>
    <w:rsid w:val="00AA675B"/>
    <w:rsid w:val="00AC67AE"/>
    <w:rsid w:val="00AF12E3"/>
    <w:rsid w:val="00B00F9F"/>
    <w:rsid w:val="00B16842"/>
    <w:rsid w:val="00B20E30"/>
    <w:rsid w:val="00B35FB2"/>
    <w:rsid w:val="00B37EBB"/>
    <w:rsid w:val="00B41C5B"/>
    <w:rsid w:val="00B545AD"/>
    <w:rsid w:val="00B60B38"/>
    <w:rsid w:val="00B61145"/>
    <w:rsid w:val="00B663F8"/>
    <w:rsid w:val="00B825A6"/>
    <w:rsid w:val="00B90A06"/>
    <w:rsid w:val="00B93615"/>
    <w:rsid w:val="00B9512B"/>
    <w:rsid w:val="00BA69E0"/>
    <w:rsid w:val="00BC6FD7"/>
    <w:rsid w:val="00BD42AC"/>
    <w:rsid w:val="00BE3095"/>
    <w:rsid w:val="00BE7A29"/>
    <w:rsid w:val="00BF68AA"/>
    <w:rsid w:val="00C011AB"/>
    <w:rsid w:val="00C05DE2"/>
    <w:rsid w:val="00C2162C"/>
    <w:rsid w:val="00C234A1"/>
    <w:rsid w:val="00C3559A"/>
    <w:rsid w:val="00C41158"/>
    <w:rsid w:val="00C5711B"/>
    <w:rsid w:val="00C6263F"/>
    <w:rsid w:val="00C67E6C"/>
    <w:rsid w:val="00C712F8"/>
    <w:rsid w:val="00C71A4F"/>
    <w:rsid w:val="00C75400"/>
    <w:rsid w:val="00C77CCB"/>
    <w:rsid w:val="00C9323A"/>
    <w:rsid w:val="00C95313"/>
    <w:rsid w:val="00CA1188"/>
    <w:rsid w:val="00CB7746"/>
    <w:rsid w:val="00CC45E0"/>
    <w:rsid w:val="00CC6D28"/>
    <w:rsid w:val="00CC7328"/>
    <w:rsid w:val="00CD5E78"/>
    <w:rsid w:val="00CE2947"/>
    <w:rsid w:val="00CE5FA4"/>
    <w:rsid w:val="00CF3B91"/>
    <w:rsid w:val="00D039D8"/>
    <w:rsid w:val="00D03B4D"/>
    <w:rsid w:val="00D36F44"/>
    <w:rsid w:val="00D3734B"/>
    <w:rsid w:val="00D40D89"/>
    <w:rsid w:val="00D41A2C"/>
    <w:rsid w:val="00D478A3"/>
    <w:rsid w:val="00D505A6"/>
    <w:rsid w:val="00D5124C"/>
    <w:rsid w:val="00D52196"/>
    <w:rsid w:val="00D54804"/>
    <w:rsid w:val="00D646CD"/>
    <w:rsid w:val="00D76030"/>
    <w:rsid w:val="00D7618F"/>
    <w:rsid w:val="00D82802"/>
    <w:rsid w:val="00DA6813"/>
    <w:rsid w:val="00DC2292"/>
    <w:rsid w:val="00DD209F"/>
    <w:rsid w:val="00DD4D19"/>
    <w:rsid w:val="00DD4F25"/>
    <w:rsid w:val="00DE1D81"/>
    <w:rsid w:val="00DE747C"/>
    <w:rsid w:val="00DF4C17"/>
    <w:rsid w:val="00DF563C"/>
    <w:rsid w:val="00E0062B"/>
    <w:rsid w:val="00E31931"/>
    <w:rsid w:val="00E44CCD"/>
    <w:rsid w:val="00E51490"/>
    <w:rsid w:val="00E673CA"/>
    <w:rsid w:val="00E940BF"/>
    <w:rsid w:val="00E94A83"/>
    <w:rsid w:val="00EA2873"/>
    <w:rsid w:val="00EA461E"/>
    <w:rsid w:val="00EA7F26"/>
    <w:rsid w:val="00EB1838"/>
    <w:rsid w:val="00ED5D01"/>
    <w:rsid w:val="00EF61FC"/>
    <w:rsid w:val="00EF74E0"/>
    <w:rsid w:val="00F00D10"/>
    <w:rsid w:val="00F11235"/>
    <w:rsid w:val="00F176A0"/>
    <w:rsid w:val="00F201A8"/>
    <w:rsid w:val="00F221F7"/>
    <w:rsid w:val="00F24870"/>
    <w:rsid w:val="00F42A9A"/>
    <w:rsid w:val="00F442BF"/>
    <w:rsid w:val="00F57622"/>
    <w:rsid w:val="00F66711"/>
    <w:rsid w:val="00F741B1"/>
    <w:rsid w:val="00F7799F"/>
    <w:rsid w:val="00F857F4"/>
    <w:rsid w:val="00F93541"/>
    <w:rsid w:val="00F946EF"/>
    <w:rsid w:val="00F95F58"/>
    <w:rsid w:val="00FB1747"/>
    <w:rsid w:val="00FB5FA2"/>
    <w:rsid w:val="00FC0E28"/>
    <w:rsid w:val="00FC1A3B"/>
    <w:rsid w:val="00FC2B40"/>
    <w:rsid w:val="00FC418C"/>
    <w:rsid w:val="00FC5826"/>
    <w:rsid w:val="00FC60F6"/>
    <w:rsid w:val="00FD0C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75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sid w:val="00577914"/>
    <w:rPr>
      <w:sz w:val="18"/>
      <w:szCs w:val="18"/>
    </w:rPr>
  </w:style>
  <w:style w:type="character" w:customStyle="1" w:styleId="BalloonTextChar">
    <w:name w:val="Balloon Text Char"/>
    <w:basedOn w:val="DefaultParagraphFont"/>
    <w:link w:val="BalloonText"/>
    <w:uiPriority w:val="99"/>
    <w:semiHidden/>
    <w:rsid w:val="00577914"/>
    <w:rPr>
      <w:sz w:val="18"/>
      <w:szCs w:val="18"/>
    </w:rPr>
  </w:style>
  <w:style w:type="character" w:styleId="FollowedHyperlink">
    <w:name w:val="FollowedHyperlink"/>
    <w:basedOn w:val="DefaultParagraphFont"/>
    <w:uiPriority w:val="99"/>
    <w:semiHidden/>
    <w:unhideWhenUsed/>
    <w:rsid w:val="00B9512B"/>
    <w:rPr>
      <w:color w:val="FF00FF" w:themeColor="followedHyperlink"/>
      <w:u w:val="single"/>
    </w:rPr>
  </w:style>
  <w:style w:type="paragraph" w:styleId="Footer">
    <w:name w:val="footer"/>
    <w:basedOn w:val="Normal"/>
    <w:link w:val="FooterChar"/>
    <w:uiPriority w:val="99"/>
    <w:unhideWhenUsed/>
    <w:rsid w:val="00551462"/>
    <w:pPr>
      <w:tabs>
        <w:tab w:val="center" w:pos="4680"/>
        <w:tab w:val="right" w:pos="9360"/>
      </w:tabs>
    </w:pPr>
  </w:style>
  <w:style w:type="character" w:customStyle="1" w:styleId="FooterChar">
    <w:name w:val="Footer Char"/>
    <w:basedOn w:val="DefaultParagraphFont"/>
    <w:link w:val="Footer"/>
    <w:uiPriority w:val="99"/>
    <w:rsid w:val="00551462"/>
    <w:rPr>
      <w:sz w:val="24"/>
      <w:szCs w:val="24"/>
    </w:rPr>
  </w:style>
  <w:style w:type="table" w:styleId="TableGrid">
    <w:name w:val="Table Grid"/>
    <w:basedOn w:val="TableNormal"/>
    <w:uiPriority w:val="39"/>
    <w:rsid w:val="009F2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5">
    <w:name w:val="Body Text First .5"/>
    <w:basedOn w:val="Normal"/>
    <w:link w:val="BodyTextFirst5Car"/>
    <w:rsid w:val="007240A1"/>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sid w:val="007240A1"/>
    <w:rPr>
      <w:rFonts w:ascii="Arial" w:eastAsia="Times New Roman" w:hAnsi="Arial"/>
      <w:sz w:val="22"/>
      <w:bdr w:val="none" w:sz="0" w:space="0" w:color="auto"/>
    </w:rPr>
  </w:style>
  <w:style w:type="paragraph" w:styleId="BodyText">
    <w:name w:val="Body Text"/>
    <w:basedOn w:val="Normal"/>
    <w:link w:val="BodyTextChar"/>
    <w:rsid w:val="00C77CCB"/>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eastAsia="Times New Roman"/>
      <w:bdr w:val="none" w:sz="0" w:space="0" w:color="auto"/>
      <w:lang w:val="en-CA"/>
    </w:rPr>
  </w:style>
  <w:style w:type="character" w:customStyle="1" w:styleId="BodyTextChar">
    <w:name w:val="Body Text Char"/>
    <w:basedOn w:val="DefaultParagraphFont"/>
    <w:link w:val="BodyText"/>
    <w:rsid w:val="00C77CCB"/>
    <w:rPr>
      <w:rFonts w:eastAsia="Times New Roman"/>
      <w:sz w:val="24"/>
      <w:szCs w:val="24"/>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694966441">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 w:id="12957142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ivotpharma.com/" TargetMode="External"/><Relationship Id="rId12" Type="http://schemas.openxmlformats.org/officeDocument/2006/relationships/hyperlink" Target="mailto:Info@PivotPharma.com" TargetMode="External"/><Relationship Id="rId13" Type="http://schemas.openxmlformats.org/officeDocument/2006/relationships/hyperlink" Target="mailto:pivot@virtusadvisory.com?subject=Pivot%20Pharma"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ivotpharma.com/" TargetMode="External"/><Relationship Id="rId8" Type="http://schemas.openxmlformats.org/officeDocument/2006/relationships/hyperlink" Target="http://thecse.com/en/listings/life-sciences/pivot-pharmaceuticals-inc" TargetMode="External"/><Relationship Id="rId9" Type="http://schemas.openxmlformats.org/officeDocument/2006/relationships/hyperlink" Target="https://www.otcmarkets.com/stock/PVOTF/quote" TargetMode="External"/><Relationship Id="rId10" Type="http://schemas.openxmlformats.org/officeDocument/2006/relationships/hyperlink" Target="https://markets.ft.com/data/equities/tearsheet/summary?s=NPAT:F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918</Words>
  <Characters>5235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frankham</dc:creator>
  <cp:lastModifiedBy>Devan Dass</cp:lastModifiedBy>
  <cp:revision>2</cp:revision>
  <cp:lastPrinted>2018-10-16T19:51:00Z</cp:lastPrinted>
  <dcterms:created xsi:type="dcterms:W3CDTF">2018-10-21T16:52:00Z</dcterms:created>
  <dcterms:modified xsi:type="dcterms:W3CDTF">2018-10-21T16:52:00Z</dcterms:modified>
</cp:coreProperties>
</file>