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9C" w:rsidRDefault="00E80F9C" w:rsidP="00E80F9C">
      <w:pPr>
        <w:pStyle w:val="Corps"/>
        <w:contextualSpacing/>
        <w:rPr>
          <w:rFonts w:ascii="Times New Roman" w:hAnsi="Times New Roman" w:cs="Times New Roman"/>
          <w:b/>
          <w:bCs/>
          <w:color w:val="auto"/>
          <w:sz w:val="24"/>
          <w:szCs w:val="24"/>
        </w:rPr>
      </w:pPr>
    </w:p>
    <w:p w:rsidR="0093797A" w:rsidRDefault="00E80F9C" w:rsidP="00E80F9C">
      <w:pPr>
        <w:pStyle w:val="Corps"/>
        <w:contextualSpacing/>
        <w:jc w:val="center"/>
        <w:rPr>
          <w:rFonts w:ascii="Times New Roman" w:hAnsi="Times New Roman" w:cs="Times New Roman"/>
          <w:b/>
          <w:bCs/>
          <w:sz w:val="24"/>
          <w:szCs w:val="24"/>
        </w:rPr>
      </w:pPr>
      <w:r>
        <w:rPr>
          <w:rFonts w:ascii="Times New Roman" w:hAnsi="Times New Roman" w:cs="Times New Roman"/>
          <w:b/>
          <w:bCs/>
          <w:sz w:val="24"/>
          <w:szCs w:val="24"/>
        </w:rPr>
        <w:t>Pivot Pharmaceuticals Inc. T</w:t>
      </w:r>
      <w:r w:rsidRPr="00337CCE">
        <w:rPr>
          <w:rFonts w:ascii="Times New Roman" w:hAnsi="Times New Roman" w:cs="Times New Roman"/>
          <w:b/>
          <w:bCs/>
          <w:sz w:val="24"/>
          <w:szCs w:val="24"/>
        </w:rPr>
        <w:t xml:space="preserve">o Spin Out </w:t>
      </w:r>
      <w:r>
        <w:rPr>
          <w:rFonts w:ascii="Times New Roman" w:hAnsi="Times New Roman" w:cs="Times New Roman"/>
          <w:b/>
          <w:bCs/>
          <w:sz w:val="24"/>
          <w:szCs w:val="24"/>
        </w:rPr>
        <w:t xml:space="preserve">Non-U.S. </w:t>
      </w:r>
      <w:r w:rsidRPr="00337CCE">
        <w:rPr>
          <w:rFonts w:ascii="Times New Roman" w:hAnsi="Times New Roman" w:cs="Times New Roman"/>
          <w:b/>
          <w:bCs/>
          <w:sz w:val="24"/>
          <w:szCs w:val="24"/>
        </w:rPr>
        <w:t xml:space="preserve">Assets </w:t>
      </w:r>
      <w:r>
        <w:rPr>
          <w:rFonts w:ascii="Times New Roman" w:hAnsi="Times New Roman" w:cs="Times New Roman"/>
          <w:b/>
          <w:bCs/>
          <w:sz w:val="24"/>
          <w:szCs w:val="24"/>
        </w:rPr>
        <w:t>to</w:t>
      </w:r>
      <w:r w:rsidRPr="00337CCE">
        <w:rPr>
          <w:rFonts w:ascii="Times New Roman" w:hAnsi="Times New Roman" w:cs="Times New Roman"/>
          <w:b/>
          <w:bCs/>
          <w:sz w:val="24"/>
          <w:szCs w:val="24"/>
        </w:rPr>
        <w:t xml:space="preserve"> Unlock Shareholder Value</w:t>
      </w:r>
      <w:r w:rsidR="0093797A">
        <w:rPr>
          <w:rFonts w:ascii="Times New Roman" w:hAnsi="Times New Roman" w:cs="Times New Roman"/>
          <w:b/>
          <w:bCs/>
          <w:sz w:val="24"/>
          <w:szCs w:val="24"/>
        </w:rPr>
        <w:t xml:space="preserve"> </w:t>
      </w:r>
    </w:p>
    <w:p w:rsidR="00E80F9C" w:rsidRPr="00631D70" w:rsidRDefault="00E80F9C" w:rsidP="00E80F9C">
      <w:pPr>
        <w:pStyle w:val="Corps"/>
        <w:contextualSpacing/>
        <w:jc w:val="center"/>
        <w:rPr>
          <w:rFonts w:ascii="Times New Roman" w:hAnsi="Times New Roman" w:cs="Times New Roman"/>
          <w:b/>
          <w:bCs/>
          <w:i/>
          <w:sz w:val="24"/>
          <w:szCs w:val="24"/>
        </w:rPr>
      </w:pPr>
      <w:proofErr w:type="spellStart"/>
      <w:r w:rsidRPr="00631D70">
        <w:rPr>
          <w:rFonts w:ascii="Times New Roman" w:hAnsi="Times New Roman" w:cs="Times New Roman"/>
          <w:b/>
          <w:bCs/>
          <w:i/>
          <w:sz w:val="24"/>
          <w:szCs w:val="24"/>
        </w:rPr>
        <w:t>Knol</w:t>
      </w:r>
      <w:proofErr w:type="spellEnd"/>
      <w:r w:rsidRPr="00631D70">
        <w:rPr>
          <w:rFonts w:ascii="Times New Roman" w:hAnsi="Times New Roman" w:cs="Times New Roman"/>
          <w:b/>
          <w:bCs/>
          <w:i/>
          <w:sz w:val="24"/>
          <w:szCs w:val="24"/>
        </w:rPr>
        <w:t xml:space="preserve"> Resources </w:t>
      </w:r>
      <w:r>
        <w:rPr>
          <w:rFonts w:ascii="Times New Roman" w:hAnsi="Times New Roman" w:cs="Times New Roman"/>
          <w:b/>
          <w:bCs/>
          <w:i/>
          <w:sz w:val="24"/>
          <w:szCs w:val="24"/>
        </w:rPr>
        <w:t xml:space="preserve">Corp. </w:t>
      </w:r>
      <w:r w:rsidR="00DB146F">
        <w:rPr>
          <w:rFonts w:ascii="Times New Roman" w:hAnsi="Times New Roman" w:cs="Times New Roman"/>
          <w:b/>
          <w:bCs/>
          <w:i/>
          <w:sz w:val="24"/>
          <w:szCs w:val="24"/>
        </w:rPr>
        <w:t>signs</w:t>
      </w:r>
      <w:r>
        <w:rPr>
          <w:rFonts w:ascii="Times New Roman" w:hAnsi="Times New Roman" w:cs="Times New Roman"/>
          <w:b/>
          <w:bCs/>
          <w:i/>
          <w:sz w:val="24"/>
          <w:szCs w:val="24"/>
        </w:rPr>
        <w:t xml:space="preserve"> Letter of Intent with Pivot to </w:t>
      </w:r>
      <w:r w:rsidR="00DB146F">
        <w:rPr>
          <w:rFonts w:ascii="Times New Roman" w:hAnsi="Times New Roman" w:cs="Times New Roman"/>
          <w:b/>
          <w:bCs/>
          <w:i/>
          <w:sz w:val="24"/>
          <w:szCs w:val="24"/>
        </w:rPr>
        <w:t>F</w:t>
      </w:r>
      <w:r>
        <w:rPr>
          <w:rFonts w:ascii="Times New Roman" w:hAnsi="Times New Roman" w:cs="Times New Roman"/>
          <w:b/>
          <w:bCs/>
          <w:i/>
          <w:sz w:val="24"/>
          <w:szCs w:val="24"/>
        </w:rPr>
        <w:t xml:space="preserve">orm </w:t>
      </w:r>
      <w:r w:rsidR="00DB146F">
        <w:rPr>
          <w:rFonts w:ascii="Times New Roman" w:hAnsi="Times New Roman" w:cs="Times New Roman"/>
          <w:b/>
          <w:bCs/>
          <w:i/>
          <w:sz w:val="24"/>
          <w:szCs w:val="24"/>
        </w:rPr>
        <w:t>N</w:t>
      </w:r>
      <w:r>
        <w:rPr>
          <w:rFonts w:ascii="Times New Roman" w:hAnsi="Times New Roman" w:cs="Times New Roman"/>
          <w:b/>
          <w:bCs/>
          <w:i/>
          <w:sz w:val="24"/>
          <w:szCs w:val="24"/>
        </w:rPr>
        <w:t>ew Canadian-based Cannabis Company</w:t>
      </w:r>
    </w:p>
    <w:p w:rsidR="00E80F9C" w:rsidRDefault="00E80F9C" w:rsidP="00E80F9C">
      <w:pPr>
        <w:jc w:val="both"/>
      </w:pPr>
      <w:r w:rsidRPr="00BE3095">
        <w:rPr>
          <w:lang w:val="de-DE"/>
        </w:rPr>
        <w:t>VANCOUVER, BC - (</w:t>
      </w:r>
      <w:proofErr w:type="spellStart"/>
      <w:r>
        <w:rPr>
          <w:lang w:val="de-DE"/>
        </w:rPr>
        <w:t>October</w:t>
      </w:r>
      <w:proofErr w:type="spellEnd"/>
      <w:r>
        <w:rPr>
          <w:lang w:val="de-DE"/>
        </w:rPr>
        <w:t xml:space="preserve"> </w:t>
      </w:r>
      <w:r w:rsidR="00DB146F">
        <w:rPr>
          <w:rFonts w:ascii="Symbol" w:hAnsi="Symbol"/>
          <w:lang w:val="de-DE"/>
        </w:rPr>
        <w:t></w:t>
      </w:r>
      <w:r w:rsidR="00DB146F">
        <w:rPr>
          <w:rFonts w:ascii="Symbol" w:hAnsi="Symbol"/>
          <w:lang w:val="de-DE"/>
        </w:rPr>
        <w:t></w:t>
      </w:r>
      <w:r w:rsidRPr="00BE3095">
        <w:rPr>
          <w:lang w:val="de-DE"/>
        </w:rPr>
        <w:t xml:space="preserve">, 2018) </w:t>
      </w:r>
      <w:r w:rsidRPr="00BE3095">
        <w:t xml:space="preserve">– </w:t>
      </w:r>
      <w:hyperlink r:id="rId9" w:history="1">
        <w:r w:rsidRPr="00BE3095">
          <w:rPr>
            <w:rStyle w:val="Hyperlink0"/>
            <w:rFonts w:eastAsia="Calibri"/>
          </w:rPr>
          <w:t>Pivot Pharmaceuticals Inc</w:t>
        </w:r>
      </w:hyperlink>
      <w:r w:rsidRPr="00BE3095">
        <w:t xml:space="preserve">. (CSE: </w:t>
      </w:r>
      <w:hyperlink r:id="rId10" w:history="1">
        <w:r w:rsidRPr="00BE3095">
          <w:rPr>
            <w:rStyle w:val="Hyperlink0"/>
            <w:rFonts w:eastAsia="Calibri"/>
            <w:lang w:val="de-DE"/>
          </w:rPr>
          <w:t>PVOT</w:t>
        </w:r>
      </w:hyperlink>
      <w:r w:rsidRPr="00BE3095">
        <w:t xml:space="preserve"> / OTCQB: </w:t>
      </w:r>
      <w:hyperlink r:id="rId11" w:history="1">
        <w:r w:rsidRPr="00BE3095">
          <w:rPr>
            <w:rStyle w:val="Hyperlink0"/>
            <w:rFonts w:eastAsia="Calibri"/>
            <w:lang w:val="de-DE"/>
          </w:rPr>
          <w:t>PVOTF</w:t>
        </w:r>
      </w:hyperlink>
      <w:r w:rsidRPr="00BE3095">
        <w:rPr>
          <w:lang w:val="de-DE"/>
        </w:rPr>
        <w:t xml:space="preserve"> / FRA: </w:t>
      </w:r>
      <w:hyperlink r:id="rId12" w:history="1">
        <w:r w:rsidRPr="00BE3095">
          <w:rPr>
            <w:rStyle w:val="Hyperlink0"/>
            <w:rFonts w:eastAsia="Calibri"/>
          </w:rPr>
          <w:t>NPAT</w:t>
        </w:r>
      </w:hyperlink>
      <w:r w:rsidRPr="00BE3095">
        <w:t>) (“</w:t>
      </w:r>
      <w:r w:rsidRPr="00723811">
        <w:rPr>
          <w:b/>
        </w:rPr>
        <w:t>Pivot</w:t>
      </w:r>
      <w:r w:rsidRPr="00BE3095">
        <w:t xml:space="preserve">”) </w:t>
      </w:r>
      <w:r>
        <w:t xml:space="preserve">and  </w:t>
      </w:r>
      <w:proofErr w:type="spellStart"/>
      <w:r>
        <w:t>Knol</w:t>
      </w:r>
      <w:proofErr w:type="spellEnd"/>
      <w:r>
        <w:t xml:space="preserve"> Resources Corp. (TSX-V: </w:t>
      </w:r>
      <w:hyperlink r:id="rId13" w:history="1">
        <w:r w:rsidRPr="00AF12E3">
          <w:rPr>
            <w:rStyle w:val="Hyperlink0"/>
            <w:rFonts w:eastAsia="Calibri"/>
            <w:lang w:val="de-DE"/>
          </w:rPr>
          <w:t>NOL.H</w:t>
        </w:r>
      </w:hyperlink>
      <w:r w:rsidRPr="00F176A0">
        <w:rPr>
          <w:rStyle w:val="Hyperlink0"/>
          <w:rFonts w:eastAsia="Calibri"/>
          <w:color w:val="000000" w:themeColor="text1"/>
          <w:u w:val="none"/>
          <w:lang w:val="de-DE"/>
        </w:rPr>
        <w:t>)</w:t>
      </w:r>
      <w:r>
        <w:rPr>
          <w:rStyle w:val="Hyperlink0"/>
          <w:rFonts w:eastAsia="Calibri"/>
          <w:color w:val="000000" w:themeColor="text1"/>
          <w:u w:val="none"/>
          <w:lang w:val="de-DE"/>
        </w:rPr>
        <w:t xml:space="preserve">  (</w:t>
      </w:r>
      <w:r w:rsidRPr="00BE3095">
        <w:t>“</w:t>
      </w:r>
      <w:proofErr w:type="spellStart"/>
      <w:r w:rsidRPr="00723811">
        <w:rPr>
          <w:b/>
        </w:rPr>
        <w:t>Knol</w:t>
      </w:r>
      <w:proofErr w:type="spellEnd"/>
      <w:r w:rsidRPr="00BE3095">
        <w:t>”</w:t>
      </w:r>
      <w:r>
        <w:t>)</w:t>
      </w:r>
      <w:r>
        <w:rPr>
          <w:rStyle w:val="Hyperlink0"/>
          <w:rFonts w:eastAsia="Calibri"/>
          <w:color w:val="000000" w:themeColor="text1"/>
          <w:u w:val="none"/>
          <w:lang w:val="de-DE"/>
        </w:rPr>
        <w:t xml:space="preserve"> </w:t>
      </w:r>
      <w:proofErr w:type="spellStart"/>
      <w:r>
        <w:rPr>
          <w:rStyle w:val="Hyperlink0"/>
          <w:rFonts w:eastAsia="Calibri"/>
          <w:color w:val="000000" w:themeColor="text1"/>
          <w:u w:val="none"/>
          <w:lang w:val="de-DE"/>
        </w:rPr>
        <w:t>are</w:t>
      </w:r>
      <w:proofErr w:type="spellEnd"/>
      <w:r w:rsidRPr="00BE3095">
        <w:t xml:space="preserve"> pleased to announce </w:t>
      </w:r>
      <w:r w:rsidR="00DB146F">
        <w:t>the execution of a Letter of I</w:t>
      </w:r>
      <w:r>
        <w:t xml:space="preserve">ntent </w:t>
      </w:r>
      <w:proofErr w:type="spellStart"/>
      <w:r>
        <w:rPr>
          <w:rStyle w:val="Hyperlink0"/>
          <w:rFonts w:eastAsia="Calibri"/>
          <w:color w:val="000000" w:themeColor="text1"/>
          <w:u w:val="none"/>
          <w:lang w:val="de-DE"/>
        </w:rPr>
        <w:t>for</w:t>
      </w:r>
      <w:proofErr w:type="spellEnd"/>
      <w:r>
        <w:rPr>
          <w:rStyle w:val="Hyperlink0"/>
          <w:rFonts w:eastAsia="Calibri"/>
          <w:color w:val="000000" w:themeColor="text1"/>
          <w:u w:val="none"/>
          <w:lang w:val="de-DE"/>
        </w:rPr>
        <w:t xml:space="preserve"> </w:t>
      </w:r>
      <w:proofErr w:type="spellStart"/>
      <w:r>
        <w:rPr>
          <w:rStyle w:val="Hyperlink0"/>
          <w:rFonts w:eastAsia="Calibri"/>
          <w:color w:val="000000" w:themeColor="text1"/>
          <w:u w:val="none"/>
          <w:lang w:val="de-DE"/>
        </w:rPr>
        <w:t>the</w:t>
      </w:r>
      <w:proofErr w:type="spellEnd"/>
      <w:r>
        <w:rPr>
          <w:rStyle w:val="Hyperlink0"/>
          <w:rFonts w:eastAsia="Calibri"/>
          <w:color w:val="000000" w:themeColor="text1"/>
          <w:u w:val="none"/>
          <w:lang w:val="de-DE"/>
        </w:rPr>
        <w:t xml:space="preserve"> </w:t>
      </w:r>
      <w:r w:rsidR="00DB146F">
        <w:rPr>
          <w:rStyle w:val="Hyperlink0"/>
          <w:rFonts w:eastAsia="Calibri"/>
          <w:color w:val="000000" w:themeColor="text1"/>
          <w:u w:val="none"/>
          <w:lang w:val="de-DE"/>
        </w:rPr>
        <w:t>R</w:t>
      </w:r>
      <w:r>
        <w:rPr>
          <w:rStyle w:val="Hyperlink0"/>
          <w:rFonts w:eastAsia="Calibri"/>
          <w:color w:val="000000" w:themeColor="text1"/>
          <w:u w:val="none"/>
          <w:lang w:val="de-DE"/>
        </w:rPr>
        <w:t xml:space="preserve">everse </w:t>
      </w:r>
      <w:r w:rsidR="00DB146F">
        <w:rPr>
          <w:rStyle w:val="Hyperlink0"/>
          <w:rFonts w:eastAsia="Calibri"/>
          <w:color w:val="000000" w:themeColor="text1"/>
          <w:u w:val="none"/>
          <w:lang w:val="de-DE"/>
        </w:rPr>
        <w:t>T</w:t>
      </w:r>
      <w:r>
        <w:rPr>
          <w:rStyle w:val="Hyperlink0"/>
          <w:rFonts w:eastAsia="Calibri"/>
          <w:color w:val="000000" w:themeColor="text1"/>
          <w:u w:val="none"/>
          <w:lang w:val="de-DE"/>
        </w:rPr>
        <w:t xml:space="preserve">akeover </w:t>
      </w:r>
      <w:proofErr w:type="spellStart"/>
      <w:r>
        <w:rPr>
          <w:rStyle w:val="Hyperlink0"/>
          <w:rFonts w:eastAsia="Calibri"/>
          <w:color w:val="000000" w:themeColor="text1"/>
          <w:u w:val="none"/>
          <w:lang w:val="de-DE"/>
        </w:rPr>
        <w:t>of</w:t>
      </w:r>
      <w:proofErr w:type="spellEnd"/>
      <w:r>
        <w:rPr>
          <w:rStyle w:val="Hyperlink0"/>
          <w:rFonts w:eastAsia="Calibri"/>
          <w:color w:val="000000" w:themeColor="text1"/>
          <w:u w:val="none"/>
          <w:lang w:val="de-DE"/>
        </w:rPr>
        <w:t xml:space="preserve"> </w:t>
      </w:r>
      <w:proofErr w:type="spellStart"/>
      <w:r>
        <w:rPr>
          <w:rStyle w:val="Hyperlink0"/>
          <w:rFonts w:eastAsia="Calibri"/>
          <w:color w:val="000000" w:themeColor="text1"/>
          <w:u w:val="none"/>
          <w:lang w:val="de-DE"/>
        </w:rPr>
        <w:t>Knol</w:t>
      </w:r>
      <w:proofErr w:type="spellEnd"/>
      <w:r>
        <w:rPr>
          <w:rStyle w:val="Hyperlink0"/>
          <w:rFonts w:eastAsia="Calibri"/>
          <w:color w:val="000000" w:themeColor="text1"/>
          <w:u w:val="none"/>
          <w:lang w:val="de-DE"/>
        </w:rPr>
        <w:t xml:space="preserve"> </w:t>
      </w:r>
      <w:proofErr w:type="spellStart"/>
      <w:r>
        <w:rPr>
          <w:rStyle w:val="Hyperlink0"/>
          <w:rFonts w:eastAsia="Calibri"/>
          <w:color w:val="000000" w:themeColor="text1"/>
          <w:u w:val="none"/>
          <w:lang w:val="de-DE"/>
        </w:rPr>
        <w:t>pursuant</w:t>
      </w:r>
      <w:proofErr w:type="spellEnd"/>
      <w:r>
        <w:rPr>
          <w:rStyle w:val="Hyperlink0"/>
          <w:rFonts w:eastAsia="Calibri"/>
          <w:color w:val="000000" w:themeColor="text1"/>
          <w:u w:val="none"/>
          <w:lang w:val="de-DE"/>
        </w:rPr>
        <w:t xml:space="preserve"> </w:t>
      </w:r>
      <w:proofErr w:type="spellStart"/>
      <w:r>
        <w:rPr>
          <w:rStyle w:val="Hyperlink0"/>
          <w:rFonts w:eastAsia="Calibri"/>
          <w:color w:val="000000" w:themeColor="text1"/>
          <w:u w:val="none"/>
          <w:lang w:val="de-DE"/>
        </w:rPr>
        <w:t>to</w:t>
      </w:r>
      <w:proofErr w:type="spellEnd"/>
      <w:r>
        <w:rPr>
          <w:rStyle w:val="Hyperlink0"/>
          <w:rFonts w:eastAsia="Calibri"/>
          <w:color w:val="000000" w:themeColor="text1"/>
          <w:u w:val="none"/>
          <w:lang w:val="de-DE"/>
        </w:rPr>
        <w:t xml:space="preserve"> </w:t>
      </w:r>
      <w:proofErr w:type="spellStart"/>
      <w:r>
        <w:rPr>
          <w:rStyle w:val="Hyperlink0"/>
          <w:rFonts w:eastAsia="Calibri"/>
          <w:color w:val="000000" w:themeColor="text1"/>
          <w:u w:val="none"/>
          <w:lang w:val="de-DE"/>
        </w:rPr>
        <w:t>which</w:t>
      </w:r>
      <w:proofErr w:type="spellEnd"/>
      <w:r>
        <w:rPr>
          <w:rStyle w:val="Hyperlink0"/>
          <w:rFonts w:eastAsia="Calibri"/>
          <w:color w:val="000000" w:themeColor="text1"/>
          <w:u w:val="none"/>
          <w:lang w:val="de-DE"/>
        </w:rPr>
        <w:t xml:space="preserve"> Pivot will </w:t>
      </w:r>
      <w:proofErr w:type="spellStart"/>
      <w:r>
        <w:rPr>
          <w:rStyle w:val="Hyperlink0"/>
          <w:rFonts w:eastAsia="Calibri"/>
          <w:color w:val="000000" w:themeColor="text1"/>
          <w:u w:val="none"/>
          <w:lang w:val="de-DE"/>
        </w:rPr>
        <w:t>spin</w:t>
      </w:r>
      <w:proofErr w:type="spellEnd"/>
      <w:r>
        <w:rPr>
          <w:rStyle w:val="Hyperlink0"/>
          <w:rFonts w:eastAsia="Calibri"/>
          <w:color w:val="000000" w:themeColor="text1"/>
          <w:u w:val="none"/>
          <w:lang w:val="de-DE"/>
        </w:rPr>
        <w:t xml:space="preserve"> out </w:t>
      </w:r>
      <w:proofErr w:type="spellStart"/>
      <w:r>
        <w:rPr>
          <w:rStyle w:val="Hyperlink0"/>
          <w:rFonts w:eastAsia="Calibri"/>
          <w:color w:val="000000" w:themeColor="text1"/>
          <w:u w:val="none"/>
          <w:lang w:val="de-DE"/>
        </w:rPr>
        <w:t>to</w:t>
      </w:r>
      <w:proofErr w:type="spellEnd"/>
      <w:r>
        <w:rPr>
          <w:rStyle w:val="Hyperlink0"/>
          <w:rFonts w:eastAsia="Calibri"/>
          <w:color w:val="000000" w:themeColor="text1"/>
          <w:u w:val="none"/>
          <w:lang w:val="de-DE"/>
        </w:rPr>
        <w:t xml:space="preserve"> </w:t>
      </w:r>
      <w:proofErr w:type="spellStart"/>
      <w:r>
        <w:rPr>
          <w:rStyle w:val="Hyperlink0"/>
          <w:rFonts w:eastAsia="Calibri"/>
          <w:color w:val="000000" w:themeColor="text1"/>
          <w:u w:val="none"/>
          <w:lang w:val="de-DE"/>
        </w:rPr>
        <w:t>Knol</w:t>
      </w:r>
      <w:proofErr w:type="spellEnd"/>
      <w:r>
        <w:rPr>
          <w:rStyle w:val="Hyperlink0"/>
          <w:rFonts w:eastAsia="Calibri"/>
          <w:color w:val="000000" w:themeColor="text1"/>
          <w:u w:val="none"/>
          <w:lang w:val="de-DE"/>
        </w:rPr>
        <w:t xml:space="preserve"> </w:t>
      </w:r>
      <w:proofErr w:type="spellStart"/>
      <w:r>
        <w:rPr>
          <w:rStyle w:val="Hyperlink0"/>
          <w:rFonts w:eastAsia="Calibri"/>
          <w:color w:val="000000" w:themeColor="text1"/>
          <w:u w:val="none"/>
          <w:lang w:val="de-DE"/>
        </w:rPr>
        <w:t>its</w:t>
      </w:r>
      <w:proofErr w:type="spellEnd"/>
      <w:r>
        <w:rPr>
          <w:rStyle w:val="Hyperlink0"/>
          <w:rFonts w:eastAsia="Calibri"/>
          <w:color w:val="000000" w:themeColor="text1"/>
          <w:u w:val="none"/>
          <w:lang w:val="de-DE"/>
        </w:rPr>
        <w:t xml:space="preserve"> non-U.S. </w:t>
      </w:r>
      <w:proofErr w:type="spellStart"/>
      <w:r>
        <w:rPr>
          <w:rStyle w:val="Hyperlink0"/>
          <w:rFonts w:eastAsia="Calibri"/>
          <w:color w:val="000000" w:themeColor="text1"/>
          <w:u w:val="none"/>
          <w:lang w:val="de-DE"/>
        </w:rPr>
        <w:t>cannabis</w:t>
      </w:r>
      <w:proofErr w:type="spellEnd"/>
      <w:r>
        <w:rPr>
          <w:rStyle w:val="Hyperlink0"/>
          <w:rFonts w:eastAsia="Calibri"/>
          <w:color w:val="000000" w:themeColor="text1"/>
          <w:u w:val="none"/>
          <w:lang w:val="de-DE"/>
        </w:rPr>
        <w:t xml:space="preserve"> </w:t>
      </w:r>
      <w:proofErr w:type="spellStart"/>
      <w:r>
        <w:rPr>
          <w:rStyle w:val="Hyperlink0"/>
          <w:rFonts w:eastAsia="Calibri"/>
          <w:color w:val="000000" w:themeColor="text1"/>
          <w:u w:val="none"/>
          <w:lang w:val="de-DE"/>
        </w:rPr>
        <w:t>assets</w:t>
      </w:r>
      <w:proofErr w:type="spellEnd"/>
      <w:r>
        <w:rPr>
          <w:rStyle w:val="Hyperlink0"/>
          <w:rFonts w:eastAsia="Calibri"/>
          <w:color w:val="000000" w:themeColor="text1"/>
          <w:u w:val="none"/>
          <w:lang w:val="de-DE"/>
        </w:rPr>
        <w:t xml:space="preserve">, </w:t>
      </w:r>
      <w:proofErr w:type="spellStart"/>
      <w:r>
        <w:rPr>
          <w:rStyle w:val="Hyperlink0"/>
          <w:rFonts w:eastAsia="Calibri"/>
          <w:color w:val="000000" w:themeColor="text1"/>
          <w:u w:val="none"/>
          <w:lang w:val="de-DE"/>
        </w:rPr>
        <w:t>thereby</w:t>
      </w:r>
      <w:proofErr w:type="spellEnd"/>
      <w:r>
        <w:rPr>
          <w:rStyle w:val="Hyperlink0"/>
          <w:rFonts w:eastAsia="Calibri"/>
          <w:color w:val="000000" w:themeColor="text1"/>
          <w:u w:val="none"/>
          <w:lang w:val="de-DE"/>
        </w:rPr>
        <w:t xml:space="preserve"> </w:t>
      </w:r>
      <w:proofErr w:type="spellStart"/>
      <w:r>
        <w:rPr>
          <w:rStyle w:val="Hyperlink0"/>
          <w:rFonts w:eastAsia="Calibri"/>
          <w:color w:val="000000" w:themeColor="text1"/>
          <w:u w:val="none"/>
          <w:lang w:val="de-DE"/>
        </w:rPr>
        <w:t>unlocking</w:t>
      </w:r>
      <w:proofErr w:type="spellEnd"/>
      <w:r>
        <w:t xml:space="preserve"> the underlying value of Pivot</w:t>
      </w:r>
      <w:r w:rsidRPr="002B3797">
        <w:t xml:space="preserve">’s </w:t>
      </w:r>
      <w:r>
        <w:t xml:space="preserve">global </w:t>
      </w:r>
      <w:r w:rsidRPr="002B3797">
        <w:t>assets</w:t>
      </w:r>
      <w:r>
        <w:t xml:space="preserve"> (the “</w:t>
      </w:r>
      <w:r w:rsidRPr="00723811">
        <w:rPr>
          <w:b/>
        </w:rPr>
        <w:t>Spin Out Transaction</w:t>
      </w:r>
      <w:r>
        <w:t>” or the “</w:t>
      </w:r>
      <w:r w:rsidRPr="00723811">
        <w:rPr>
          <w:b/>
        </w:rPr>
        <w:t>Transaction</w:t>
      </w:r>
      <w:r>
        <w:t>”).</w:t>
      </w:r>
    </w:p>
    <w:p w:rsidR="00E80F9C" w:rsidRPr="00C011AB" w:rsidRDefault="00E80F9C" w:rsidP="00E80F9C">
      <w:pPr>
        <w:jc w:val="both"/>
      </w:pPr>
    </w:p>
    <w:p w:rsidR="00E80F9C" w:rsidRPr="00C41158" w:rsidRDefault="00E80F9C" w:rsidP="00E80F9C">
      <w:pPr>
        <w:jc w:val="both"/>
        <w:rPr>
          <w:b/>
          <w:u w:val="single"/>
        </w:rPr>
      </w:pPr>
      <w:r w:rsidRPr="00C41158">
        <w:rPr>
          <w:b/>
          <w:u w:val="single"/>
        </w:rPr>
        <w:t>H</w:t>
      </w:r>
      <w:r w:rsidR="0030644F">
        <w:rPr>
          <w:b/>
          <w:u w:val="single"/>
        </w:rPr>
        <w:t>ighlights</w:t>
      </w:r>
    </w:p>
    <w:p w:rsidR="00E80F9C" w:rsidRPr="00C41158" w:rsidRDefault="00E80F9C" w:rsidP="00E80F9C">
      <w:pPr>
        <w:jc w:val="both"/>
        <w:rPr>
          <w:b/>
          <w:u w:val="single"/>
        </w:rPr>
      </w:pPr>
    </w:p>
    <w:p w:rsidR="00E80F9C" w:rsidRDefault="00E80F9C" w:rsidP="00E80F9C">
      <w:pPr>
        <w:pStyle w:val="Paragraphedeliste"/>
        <w:numPr>
          <w:ilvl w:val="0"/>
          <w:numId w:val="5"/>
        </w:numPr>
        <w:jc w:val="both"/>
        <w:rPr>
          <w:rFonts w:ascii="Times New Roman" w:hAnsi="Times New Roman" w:cs="Times New Roman"/>
          <w:b/>
        </w:rPr>
      </w:pPr>
      <w:r w:rsidRPr="00C41158">
        <w:rPr>
          <w:rFonts w:ascii="Times New Roman" w:hAnsi="Times New Roman" w:cs="Times New Roman"/>
          <w:b/>
        </w:rPr>
        <w:t>Pivot</w:t>
      </w:r>
      <w:r>
        <w:rPr>
          <w:rFonts w:ascii="Times New Roman" w:hAnsi="Times New Roman" w:cs="Times New Roman"/>
          <w:b/>
        </w:rPr>
        <w:t xml:space="preserve"> and </w:t>
      </w:r>
      <w:proofErr w:type="spellStart"/>
      <w:r>
        <w:rPr>
          <w:rFonts w:ascii="Times New Roman" w:hAnsi="Times New Roman" w:cs="Times New Roman"/>
          <w:b/>
        </w:rPr>
        <w:t>Knol</w:t>
      </w:r>
      <w:proofErr w:type="spellEnd"/>
      <w:r>
        <w:rPr>
          <w:rFonts w:ascii="Times New Roman" w:hAnsi="Times New Roman" w:cs="Times New Roman"/>
          <w:b/>
        </w:rPr>
        <w:t xml:space="preserve"> sign </w:t>
      </w:r>
      <w:r w:rsidR="00DB146F">
        <w:rPr>
          <w:rFonts w:ascii="Times New Roman" w:hAnsi="Times New Roman" w:cs="Times New Roman"/>
          <w:b/>
        </w:rPr>
        <w:t>L</w:t>
      </w:r>
      <w:r>
        <w:rPr>
          <w:rFonts w:ascii="Times New Roman" w:hAnsi="Times New Roman" w:cs="Times New Roman"/>
          <w:b/>
        </w:rPr>
        <w:t xml:space="preserve">etter of </w:t>
      </w:r>
      <w:r w:rsidR="00DB146F">
        <w:rPr>
          <w:rFonts w:ascii="Times New Roman" w:hAnsi="Times New Roman" w:cs="Times New Roman"/>
          <w:b/>
        </w:rPr>
        <w:t>I</w:t>
      </w:r>
      <w:r>
        <w:rPr>
          <w:rFonts w:ascii="Times New Roman" w:hAnsi="Times New Roman" w:cs="Times New Roman"/>
          <w:b/>
        </w:rPr>
        <w:t xml:space="preserve">ntent for </w:t>
      </w:r>
      <w:r w:rsidR="00DB146F">
        <w:rPr>
          <w:rFonts w:ascii="Times New Roman" w:hAnsi="Times New Roman" w:cs="Times New Roman"/>
          <w:b/>
        </w:rPr>
        <w:t>R</w:t>
      </w:r>
      <w:r>
        <w:rPr>
          <w:rFonts w:ascii="Times New Roman" w:hAnsi="Times New Roman" w:cs="Times New Roman"/>
          <w:b/>
        </w:rPr>
        <w:t xml:space="preserve">everse </w:t>
      </w:r>
      <w:r w:rsidR="00DB146F">
        <w:rPr>
          <w:rFonts w:ascii="Times New Roman" w:hAnsi="Times New Roman" w:cs="Times New Roman"/>
          <w:b/>
        </w:rPr>
        <w:t>T</w:t>
      </w:r>
      <w:r>
        <w:rPr>
          <w:rFonts w:ascii="Times New Roman" w:hAnsi="Times New Roman" w:cs="Times New Roman"/>
          <w:b/>
        </w:rPr>
        <w:t xml:space="preserve">akeover of </w:t>
      </w:r>
      <w:proofErr w:type="spellStart"/>
      <w:r>
        <w:rPr>
          <w:rFonts w:ascii="Times New Roman" w:hAnsi="Times New Roman" w:cs="Times New Roman"/>
          <w:b/>
        </w:rPr>
        <w:t>Knol</w:t>
      </w:r>
      <w:proofErr w:type="spellEnd"/>
      <w:r>
        <w:rPr>
          <w:rFonts w:ascii="Times New Roman" w:hAnsi="Times New Roman" w:cs="Times New Roman"/>
          <w:b/>
        </w:rPr>
        <w:t xml:space="preserve"> by the shareholders of Pivot;</w:t>
      </w:r>
    </w:p>
    <w:p w:rsidR="00E80F9C" w:rsidRDefault="00E80F9C" w:rsidP="00E80F9C">
      <w:pPr>
        <w:pStyle w:val="Paragraphedeliste"/>
        <w:numPr>
          <w:ilvl w:val="0"/>
          <w:numId w:val="5"/>
        </w:numPr>
        <w:jc w:val="both"/>
        <w:rPr>
          <w:rFonts w:ascii="Times New Roman" w:hAnsi="Times New Roman" w:cs="Times New Roman"/>
          <w:b/>
        </w:rPr>
      </w:pPr>
      <w:r>
        <w:rPr>
          <w:rFonts w:ascii="Times New Roman" w:hAnsi="Times New Roman" w:cs="Times New Roman"/>
          <w:b/>
        </w:rPr>
        <w:t xml:space="preserve">Pivot’s Non-U.S. assets to be transferred to </w:t>
      </w:r>
      <w:proofErr w:type="spellStart"/>
      <w:r>
        <w:rPr>
          <w:rFonts w:ascii="Times New Roman" w:hAnsi="Times New Roman" w:cs="Times New Roman"/>
          <w:b/>
        </w:rPr>
        <w:t>Knol</w:t>
      </w:r>
      <w:proofErr w:type="spellEnd"/>
      <w:r>
        <w:rPr>
          <w:rFonts w:ascii="Times New Roman" w:hAnsi="Times New Roman" w:cs="Times New Roman"/>
          <w:b/>
        </w:rPr>
        <w:t>;</w:t>
      </w:r>
    </w:p>
    <w:p w:rsidR="00E80F9C" w:rsidRDefault="00E80F9C" w:rsidP="00E80F9C">
      <w:pPr>
        <w:pStyle w:val="Paragraphedeliste"/>
        <w:numPr>
          <w:ilvl w:val="0"/>
          <w:numId w:val="5"/>
        </w:numPr>
        <w:jc w:val="both"/>
        <w:rPr>
          <w:rFonts w:ascii="Times New Roman" w:hAnsi="Times New Roman" w:cs="Times New Roman"/>
          <w:b/>
        </w:rPr>
      </w:pPr>
      <w:proofErr w:type="spellStart"/>
      <w:r>
        <w:rPr>
          <w:rFonts w:ascii="Times New Roman" w:hAnsi="Times New Roman" w:cs="Times New Roman"/>
          <w:b/>
        </w:rPr>
        <w:t>Knol’s</w:t>
      </w:r>
      <w:proofErr w:type="spellEnd"/>
      <w:r>
        <w:rPr>
          <w:rFonts w:ascii="Times New Roman" w:hAnsi="Times New Roman" w:cs="Times New Roman"/>
          <w:b/>
        </w:rPr>
        <w:t xml:space="preserve"> current cash balance is </w:t>
      </w:r>
      <w:r w:rsidRPr="008D1B67">
        <w:rPr>
          <w:rFonts w:ascii="Times New Roman" w:hAnsi="Times New Roman" w:cs="Times New Roman"/>
          <w:b/>
        </w:rPr>
        <w:t>$3.5 million;</w:t>
      </w:r>
    </w:p>
    <w:p w:rsidR="00E80F9C" w:rsidRDefault="00E80F9C" w:rsidP="00E80F9C">
      <w:pPr>
        <w:pStyle w:val="Paragraphedeliste"/>
        <w:numPr>
          <w:ilvl w:val="0"/>
          <w:numId w:val="5"/>
        </w:numPr>
        <w:jc w:val="both"/>
        <w:rPr>
          <w:rFonts w:ascii="Times New Roman" w:hAnsi="Times New Roman" w:cs="Times New Roman"/>
          <w:b/>
        </w:rPr>
      </w:pPr>
      <w:r>
        <w:rPr>
          <w:rFonts w:ascii="Times New Roman" w:hAnsi="Times New Roman" w:cs="Times New Roman"/>
          <w:b/>
        </w:rPr>
        <w:t xml:space="preserve">Current Pivot shareholders to receive shares and warrants in </w:t>
      </w:r>
      <w:proofErr w:type="spellStart"/>
      <w:r>
        <w:rPr>
          <w:rFonts w:ascii="Times New Roman" w:hAnsi="Times New Roman" w:cs="Times New Roman"/>
          <w:b/>
        </w:rPr>
        <w:t>Knol</w:t>
      </w:r>
      <w:proofErr w:type="spellEnd"/>
      <w:r>
        <w:rPr>
          <w:rFonts w:ascii="Times New Roman" w:hAnsi="Times New Roman" w:cs="Times New Roman"/>
          <w:b/>
        </w:rPr>
        <w:t xml:space="preserve"> on a pro-rata basis;</w:t>
      </w:r>
    </w:p>
    <w:p w:rsidR="00E80F9C" w:rsidRDefault="00E80F9C" w:rsidP="00E80F9C">
      <w:pPr>
        <w:pStyle w:val="Paragraphedeliste"/>
        <w:numPr>
          <w:ilvl w:val="0"/>
          <w:numId w:val="5"/>
        </w:numPr>
        <w:jc w:val="both"/>
        <w:rPr>
          <w:rFonts w:ascii="Times New Roman" w:hAnsi="Times New Roman" w:cs="Times New Roman"/>
          <w:b/>
        </w:rPr>
      </w:pPr>
      <w:r>
        <w:rPr>
          <w:rFonts w:ascii="Times New Roman" w:hAnsi="Times New Roman" w:cs="Times New Roman"/>
          <w:b/>
        </w:rPr>
        <w:t xml:space="preserve">Pivot and </w:t>
      </w:r>
      <w:proofErr w:type="spellStart"/>
      <w:r>
        <w:rPr>
          <w:rFonts w:ascii="Times New Roman" w:hAnsi="Times New Roman" w:cs="Times New Roman"/>
          <w:b/>
        </w:rPr>
        <w:t>Knol</w:t>
      </w:r>
      <w:proofErr w:type="spellEnd"/>
      <w:r>
        <w:rPr>
          <w:rFonts w:ascii="Times New Roman" w:hAnsi="Times New Roman" w:cs="Times New Roman"/>
          <w:b/>
        </w:rPr>
        <w:t xml:space="preserve"> will both have rights to all intellectual property, formulations and products;</w:t>
      </w:r>
    </w:p>
    <w:p w:rsidR="00E80F9C" w:rsidRDefault="00E80F9C" w:rsidP="00E80F9C">
      <w:pPr>
        <w:pStyle w:val="Paragraphedeliste"/>
        <w:numPr>
          <w:ilvl w:val="0"/>
          <w:numId w:val="5"/>
        </w:numPr>
        <w:jc w:val="both"/>
        <w:rPr>
          <w:rFonts w:ascii="Times New Roman" w:hAnsi="Times New Roman" w:cs="Times New Roman"/>
          <w:b/>
        </w:rPr>
      </w:pPr>
      <w:r>
        <w:rPr>
          <w:rFonts w:ascii="Times New Roman" w:hAnsi="Times New Roman" w:cs="Times New Roman"/>
          <w:b/>
        </w:rPr>
        <w:t xml:space="preserve">Definitive </w:t>
      </w:r>
      <w:r w:rsidR="00DB146F">
        <w:rPr>
          <w:rFonts w:ascii="Times New Roman" w:hAnsi="Times New Roman" w:cs="Times New Roman"/>
          <w:b/>
        </w:rPr>
        <w:t>A</w:t>
      </w:r>
      <w:r>
        <w:rPr>
          <w:rFonts w:ascii="Times New Roman" w:hAnsi="Times New Roman" w:cs="Times New Roman"/>
          <w:b/>
        </w:rPr>
        <w:t>greement to be executed by November 30</w:t>
      </w:r>
      <w:r w:rsidRPr="00AF12E3">
        <w:rPr>
          <w:rFonts w:ascii="Times New Roman" w:hAnsi="Times New Roman" w:cs="Times New Roman"/>
          <w:b/>
          <w:vertAlign w:val="superscript"/>
        </w:rPr>
        <w:t>th</w:t>
      </w:r>
      <w:r>
        <w:rPr>
          <w:rFonts w:ascii="Times New Roman" w:hAnsi="Times New Roman" w:cs="Times New Roman"/>
          <w:b/>
        </w:rPr>
        <w:t xml:space="preserve">, 2018; </w:t>
      </w:r>
    </w:p>
    <w:p w:rsidR="00E80F9C" w:rsidRPr="008D1B67" w:rsidRDefault="00E80F9C" w:rsidP="00E80F9C">
      <w:pPr>
        <w:pStyle w:val="Paragraphedeliste"/>
        <w:numPr>
          <w:ilvl w:val="0"/>
          <w:numId w:val="5"/>
        </w:numPr>
        <w:jc w:val="both"/>
        <w:rPr>
          <w:rFonts w:ascii="Times New Roman" w:hAnsi="Times New Roman" w:cs="Times New Roman"/>
          <w:b/>
          <w:color w:val="auto"/>
        </w:rPr>
      </w:pPr>
      <w:proofErr w:type="spellStart"/>
      <w:r w:rsidRPr="00AF12E3">
        <w:rPr>
          <w:rFonts w:ascii="Times New Roman" w:eastAsia="Arial Unicode MS" w:hAnsi="Times New Roman" w:cs="Times New Roman"/>
          <w:b/>
          <w:color w:val="auto"/>
        </w:rPr>
        <w:t>Knol</w:t>
      </w:r>
      <w:proofErr w:type="spellEnd"/>
      <w:r w:rsidRPr="00AF12E3">
        <w:rPr>
          <w:rFonts w:ascii="Times New Roman" w:eastAsia="Arial Unicode MS" w:hAnsi="Times New Roman" w:cs="Times New Roman"/>
          <w:b/>
          <w:color w:val="auto"/>
        </w:rPr>
        <w:t xml:space="preserve"> will consolidate its common shares on a 7:1 basis prior to the closing of the Transaction;</w:t>
      </w:r>
    </w:p>
    <w:p w:rsidR="00E80F9C" w:rsidRPr="00F176A0" w:rsidRDefault="00E80F9C" w:rsidP="00E80F9C">
      <w:pPr>
        <w:pStyle w:val="Paragraphedeliste"/>
        <w:numPr>
          <w:ilvl w:val="0"/>
          <w:numId w:val="5"/>
        </w:numPr>
        <w:jc w:val="both"/>
        <w:rPr>
          <w:rFonts w:ascii="Times New Roman" w:hAnsi="Times New Roman" w:cs="Times New Roman"/>
          <w:b/>
          <w:color w:val="auto"/>
        </w:rPr>
      </w:pPr>
      <w:proofErr w:type="spellStart"/>
      <w:r>
        <w:rPr>
          <w:rFonts w:ascii="Times New Roman" w:eastAsia="Arial Unicode MS" w:hAnsi="Times New Roman" w:cs="Times New Roman"/>
          <w:b/>
          <w:color w:val="auto"/>
        </w:rPr>
        <w:t>Knol</w:t>
      </w:r>
      <w:proofErr w:type="spellEnd"/>
      <w:r>
        <w:rPr>
          <w:rFonts w:ascii="Times New Roman" w:eastAsia="Arial Unicode MS" w:hAnsi="Times New Roman" w:cs="Times New Roman"/>
          <w:b/>
          <w:color w:val="auto"/>
        </w:rPr>
        <w:t xml:space="preserve"> will change its name to a name to be agreed upon by Pivot and </w:t>
      </w:r>
      <w:proofErr w:type="spellStart"/>
      <w:r>
        <w:rPr>
          <w:rFonts w:ascii="Times New Roman" w:eastAsia="Arial Unicode MS" w:hAnsi="Times New Roman" w:cs="Times New Roman"/>
          <w:b/>
          <w:color w:val="auto"/>
        </w:rPr>
        <w:t>Knol</w:t>
      </w:r>
      <w:proofErr w:type="spellEnd"/>
      <w:r>
        <w:rPr>
          <w:rFonts w:ascii="Times New Roman" w:eastAsia="Arial Unicode MS" w:hAnsi="Times New Roman" w:cs="Times New Roman"/>
          <w:b/>
          <w:color w:val="auto"/>
        </w:rPr>
        <w:t>;</w:t>
      </w:r>
    </w:p>
    <w:p w:rsidR="00E80F9C" w:rsidRPr="005E2F20" w:rsidRDefault="00E80F9C" w:rsidP="00E80F9C">
      <w:pPr>
        <w:pStyle w:val="Paragraphedeliste"/>
        <w:numPr>
          <w:ilvl w:val="0"/>
          <w:numId w:val="5"/>
        </w:numPr>
        <w:jc w:val="both"/>
        <w:rPr>
          <w:rFonts w:ascii="Times New Roman" w:hAnsi="Times New Roman" w:cs="Times New Roman"/>
          <w:b/>
          <w:color w:val="auto"/>
        </w:rPr>
      </w:pPr>
      <w:r w:rsidRPr="005E2F20">
        <w:rPr>
          <w:rFonts w:ascii="Times New Roman" w:eastAsia="Arial Unicode MS" w:hAnsi="Times New Roman" w:cs="Times New Roman"/>
          <w:b/>
          <w:color w:val="auto"/>
        </w:rPr>
        <w:t xml:space="preserve">One of the five directors of </w:t>
      </w:r>
      <w:proofErr w:type="spellStart"/>
      <w:r w:rsidRPr="005E2F20">
        <w:rPr>
          <w:rFonts w:ascii="Times New Roman" w:eastAsia="Arial Unicode MS" w:hAnsi="Times New Roman" w:cs="Times New Roman"/>
          <w:b/>
          <w:color w:val="auto"/>
        </w:rPr>
        <w:t>Knol</w:t>
      </w:r>
      <w:proofErr w:type="spellEnd"/>
      <w:r w:rsidRPr="005E2F20">
        <w:rPr>
          <w:rFonts w:ascii="Times New Roman" w:eastAsia="Arial Unicode MS" w:hAnsi="Times New Roman" w:cs="Times New Roman"/>
          <w:b/>
          <w:color w:val="auto"/>
        </w:rPr>
        <w:t xml:space="preserve"> after closing of the Transaction (the “Resulting Issuer”) will be nominated by current </w:t>
      </w:r>
      <w:proofErr w:type="spellStart"/>
      <w:r w:rsidRPr="005E2F20">
        <w:rPr>
          <w:rFonts w:ascii="Times New Roman" w:eastAsia="Arial Unicode MS" w:hAnsi="Times New Roman" w:cs="Times New Roman"/>
          <w:b/>
          <w:color w:val="auto"/>
        </w:rPr>
        <w:t>Knol</w:t>
      </w:r>
      <w:proofErr w:type="spellEnd"/>
      <w:r w:rsidRPr="005E2F20">
        <w:rPr>
          <w:rFonts w:ascii="Times New Roman" w:eastAsia="Arial Unicode MS" w:hAnsi="Times New Roman" w:cs="Times New Roman"/>
          <w:b/>
          <w:color w:val="auto"/>
        </w:rPr>
        <w:t xml:space="preserve"> management;</w:t>
      </w:r>
      <w:r w:rsidR="005E2F20" w:rsidRPr="005E2F20">
        <w:rPr>
          <w:rFonts w:ascii="Times New Roman" w:eastAsia="Arial Unicode MS" w:hAnsi="Times New Roman" w:cs="Times New Roman"/>
          <w:b/>
          <w:color w:val="auto"/>
        </w:rPr>
        <w:t xml:space="preserve"> </w:t>
      </w:r>
    </w:p>
    <w:p w:rsidR="005E2F20" w:rsidRDefault="00E80F9C" w:rsidP="00E80F9C">
      <w:pPr>
        <w:pStyle w:val="Paragraphedeliste"/>
        <w:numPr>
          <w:ilvl w:val="0"/>
          <w:numId w:val="5"/>
        </w:numPr>
        <w:jc w:val="both"/>
        <w:rPr>
          <w:rFonts w:ascii="Times New Roman" w:hAnsi="Times New Roman" w:cs="Times New Roman"/>
          <w:b/>
        </w:rPr>
      </w:pPr>
      <w:r>
        <w:rPr>
          <w:rFonts w:ascii="Times New Roman" w:hAnsi="Times New Roman" w:cs="Times New Roman"/>
          <w:b/>
        </w:rPr>
        <w:t>Closing of the Transaction</w:t>
      </w:r>
      <w:r w:rsidR="005E2F20">
        <w:rPr>
          <w:rFonts w:ascii="Times New Roman" w:hAnsi="Times New Roman" w:cs="Times New Roman"/>
          <w:b/>
        </w:rPr>
        <w:t xml:space="preserve"> </w:t>
      </w:r>
      <w:r>
        <w:rPr>
          <w:rFonts w:ascii="Times New Roman" w:hAnsi="Times New Roman" w:cs="Times New Roman"/>
          <w:b/>
        </w:rPr>
        <w:t>subject to TSX</w:t>
      </w:r>
      <w:r w:rsidR="00C137F9">
        <w:rPr>
          <w:rFonts w:ascii="Times New Roman" w:hAnsi="Times New Roman" w:cs="Times New Roman"/>
          <w:b/>
        </w:rPr>
        <w:t>V</w:t>
      </w:r>
      <w:r w:rsidR="00DB146F">
        <w:rPr>
          <w:rFonts w:ascii="Times New Roman" w:hAnsi="Times New Roman" w:cs="Times New Roman"/>
          <w:b/>
        </w:rPr>
        <w:t xml:space="preserve"> and</w:t>
      </w:r>
      <w:r>
        <w:rPr>
          <w:rFonts w:ascii="Times New Roman" w:hAnsi="Times New Roman" w:cs="Times New Roman"/>
          <w:b/>
        </w:rPr>
        <w:t xml:space="preserve"> Pivot</w:t>
      </w:r>
      <w:r w:rsidR="005E2F20">
        <w:rPr>
          <w:rFonts w:ascii="Times New Roman" w:hAnsi="Times New Roman" w:cs="Times New Roman"/>
          <w:b/>
        </w:rPr>
        <w:t xml:space="preserve"> and </w:t>
      </w:r>
      <w:proofErr w:type="spellStart"/>
      <w:r w:rsidR="005E2F20">
        <w:rPr>
          <w:rFonts w:ascii="Times New Roman" w:hAnsi="Times New Roman" w:cs="Times New Roman"/>
          <w:b/>
        </w:rPr>
        <w:t>Knol</w:t>
      </w:r>
      <w:proofErr w:type="spellEnd"/>
      <w:r w:rsidR="005E2F20">
        <w:rPr>
          <w:rFonts w:ascii="Times New Roman" w:hAnsi="Times New Roman" w:cs="Times New Roman"/>
          <w:b/>
        </w:rPr>
        <w:t xml:space="preserve"> shareholder approvals; and</w:t>
      </w:r>
    </w:p>
    <w:p w:rsidR="00E80F9C" w:rsidRDefault="00DB146F" w:rsidP="00E80F9C">
      <w:pPr>
        <w:pStyle w:val="Paragraphedeliste"/>
        <w:numPr>
          <w:ilvl w:val="0"/>
          <w:numId w:val="5"/>
        </w:numPr>
        <w:jc w:val="both"/>
        <w:rPr>
          <w:rFonts w:ascii="Times New Roman" w:hAnsi="Times New Roman" w:cs="Times New Roman"/>
          <w:b/>
        </w:rPr>
      </w:pPr>
      <w:proofErr w:type="spellStart"/>
      <w:r>
        <w:rPr>
          <w:rFonts w:ascii="Times New Roman" w:eastAsia="Arial Unicode MS" w:hAnsi="Times New Roman" w:cs="Times New Roman"/>
          <w:b/>
          <w:color w:val="auto"/>
        </w:rPr>
        <w:t>Knol</w:t>
      </w:r>
      <w:proofErr w:type="spellEnd"/>
      <w:r>
        <w:rPr>
          <w:rFonts w:ascii="Times New Roman" w:eastAsia="Arial Unicode MS" w:hAnsi="Times New Roman" w:cs="Times New Roman"/>
          <w:b/>
          <w:color w:val="auto"/>
        </w:rPr>
        <w:t xml:space="preserve"> to complete a </w:t>
      </w:r>
      <w:r w:rsidR="004F5034">
        <w:rPr>
          <w:rFonts w:ascii="Times New Roman" w:eastAsia="Arial Unicode MS" w:hAnsi="Times New Roman" w:cs="Times New Roman"/>
          <w:b/>
          <w:color w:val="auto"/>
        </w:rPr>
        <w:t xml:space="preserve">private placement of </w:t>
      </w:r>
      <w:r>
        <w:rPr>
          <w:rFonts w:ascii="Times New Roman" w:eastAsia="Arial Unicode MS" w:hAnsi="Times New Roman" w:cs="Times New Roman"/>
          <w:b/>
          <w:color w:val="auto"/>
        </w:rPr>
        <w:t>between $3 million and $6</w:t>
      </w:r>
      <w:r w:rsidR="004F5034">
        <w:rPr>
          <w:rFonts w:ascii="Times New Roman" w:eastAsia="Arial Unicode MS" w:hAnsi="Times New Roman" w:cs="Times New Roman"/>
          <w:b/>
          <w:color w:val="auto"/>
        </w:rPr>
        <w:t> </w:t>
      </w:r>
      <w:r w:rsidR="005E2F20">
        <w:rPr>
          <w:rFonts w:ascii="Times New Roman" w:eastAsia="Arial Unicode MS" w:hAnsi="Times New Roman" w:cs="Times New Roman"/>
          <w:b/>
          <w:color w:val="auto"/>
        </w:rPr>
        <w:t xml:space="preserve">million (the “Concurrent Private Placement”) </w:t>
      </w:r>
      <w:r>
        <w:rPr>
          <w:rFonts w:ascii="Times New Roman" w:eastAsia="Arial Unicode MS" w:hAnsi="Times New Roman" w:cs="Times New Roman"/>
          <w:b/>
          <w:color w:val="auto"/>
        </w:rPr>
        <w:t xml:space="preserve">no later than </w:t>
      </w:r>
      <w:r w:rsidR="005E2F20">
        <w:rPr>
          <w:rFonts w:ascii="Times New Roman" w:eastAsia="Arial Unicode MS" w:hAnsi="Times New Roman" w:cs="Times New Roman"/>
          <w:b/>
          <w:color w:val="auto"/>
        </w:rPr>
        <w:t>concurrently with the closing of the Transaction.</w:t>
      </w:r>
    </w:p>
    <w:p w:rsidR="00E80F9C" w:rsidRPr="00EA2873" w:rsidRDefault="00E80F9C" w:rsidP="00E80F9C">
      <w:pPr>
        <w:pStyle w:val="Paragraphedeliste"/>
        <w:jc w:val="both"/>
        <w:rPr>
          <w:rFonts w:ascii="Times New Roman" w:hAnsi="Times New Roman" w:cs="Times New Roman"/>
          <w:b/>
        </w:rPr>
      </w:pPr>
    </w:p>
    <w:p w:rsidR="00514057" w:rsidRDefault="00514057"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sidRPr="00FD2533">
        <w:rPr>
          <w:rFonts w:ascii="Times New Roman" w:eastAsia="Arial Unicode MS" w:hAnsi="Times New Roman" w:cs="Times New Roman"/>
          <w:color w:val="auto"/>
          <w:sz w:val="24"/>
          <w:szCs w:val="24"/>
        </w:rPr>
        <w:t xml:space="preserve">Michael Atkinson, President and Chief Executive </w:t>
      </w:r>
      <w:r>
        <w:rPr>
          <w:rFonts w:ascii="Times New Roman" w:eastAsia="Arial Unicode MS" w:hAnsi="Times New Roman" w:cs="Times New Roman"/>
          <w:color w:val="auto"/>
          <w:sz w:val="24"/>
          <w:szCs w:val="24"/>
        </w:rPr>
        <w:t>O</w:t>
      </w:r>
      <w:r w:rsidRPr="00FD2533">
        <w:rPr>
          <w:rFonts w:ascii="Times New Roman" w:eastAsia="Arial Unicode MS" w:hAnsi="Times New Roman" w:cs="Times New Roman"/>
          <w:color w:val="auto"/>
          <w:sz w:val="24"/>
          <w:szCs w:val="24"/>
        </w:rPr>
        <w:t xml:space="preserve">fficer of </w:t>
      </w:r>
      <w:proofErr w:type="spellStart"/>
      <w:r w:rsidRPr="00FD2533">
        <w:rPr>
          <w:rFonts w:ascii="Times New Roman" w:eastAsia="Arial Unicode MS" w:hAnsi="Times New Roman" w:cs="Times New Roman"/>
          <w:color w:val="auto"/>
          <w:sz w:val="24"/>
          <w:szCs w:val="24"/>
        </w:rPr>
        <w:t>Knol</w:t>
      </w:r>
      <w:proofErr w:type="spellEnd"/>
      <w:r>
        <w:rPr>
          <w:rFonts w:ascii="Times New Roman" w:eastAsia="Arial Unicode MS" w:hAnsi="Times New Roman" w:cs="Times New Roman"/>
          <w:color w:val="auto"/>
          <w:sz w:val="24"/>
          <w:szCs w:val="24"/>
        </w:rPr>
        <w:t>,</w:t>
      </w:r>
      <w:r w:rsidRPr="00FD2533">
        <w:rPr>
          <w:rFonts w:ascii="Times New Roman" w:eastAsia="Arial Unicode MS" w:hAnsi="Times New Roman" w:cs="Times New Roman"/>
          <w:color w:val="auto"/>
          <w:sz w:val="24"/>
          <w:szCs w:val="24"/>
        </w:rPr>
        <w:t xml:space="preserve"> stated “</w:t>
      </w:r>
      <w:proofErr w:type="spellStart"/>
      <w:r w:rsidRPr="00FD2533">
        <w:rPr>
          <w:rFonts w:ascii="Times New Roman" w:eastAsia="Arial Unicode MS" w:hAnsi="Times New Roman" w:cs="Times New Roman"/>
          <w:color w:val="auto"/>
          <w:sz w:val="24"/>
          <w:szCs w:val="24"/>
        </w:rPr>
        <w:t>Knol</w:t>
      </w:r>
      <w:proofErr w:type="spellEnd"/>
      <w:r w:rsidRPr="00FD2533">
        <w:rPr>
          <w:rFonts w:ascii="Times New Roman" w:eastAsia="Arial Unicode MS" w:hAnsi="Times New Roman" w:cs="Times New Roman"/>
          <w:color w:val="auto"/>
          <w:sz w:val="24"/>
          <w:szCs w:val="24"/>
        </w:rPr>
        <w:t xml:space="preserve"> looks forward to </w:t>
      </w:r>
      <w:r>
        <w:rPr>
          <w:rFonts w:ascii="Times New Roman" w:eastAsia="Arial Unicode MS" w:hAnsi="Times New Roman" w:cs="Times New Roman"/>
          <w:color w:val="auto"/>
          <w:sz w:val="24"/>
          <w:szCs w:val="24"/>
        </w:rPr>
        <w:t xml:space="preserve">helping bring </w:t>
      </w:r>
      <w:r w:rsidRPr="00FD2533">
        <w:rPr>
          <w:rFonts w:ascii="Times New Roman" w:eastAsia="Arial Unicode MS" w:hAnsi="Times New Roman" w:cs="Times New Roman"/>
          <w:color w:val="auto"/>
          <w:sz w:val="24"/>
          <w:szCs w:val="24"/>
        </w:rPr>
        <w:t xml:space="preserve">Pivot’s </w:t>
      </w:r>
      <w:r>
        <w:rPr>
          <w:rFonts w:ascii="Times New Roman" w:eastAsia="Arial Unicode MS" w:hAnsi="Times New Roman" w:cs="Times New Roman"/>
          <w:color w:val="auto"/>
          <w:sz w:val="24"/>
          <w:szCs w:val="24"/>
        </w:rPr>
        <w:t xml:space="preserve">industry leading catalogue of patented bio-cannabis products to consumers in Canada, Latin America, Asia-Pacific and the E.U. </w:t>
      </w:r>
      <w:r w:rsidRPr="00FD2533">
        <w:rPr>
          <w:rFonts w:ascii="Times New Roman" w:eastAsia="Arial Unicode MS" w:hAnsi="Times New Roman" w:cs="Times New Roman"/>
          <w:color w:val="auto"/>
          <w:sz w:val="24"/>
          <w:szCs w:val="24"/>
        </w:rPr>
        <w:t xml:space="preserve">With a proven management team </w:t>
      </w:r>
      <w:r>
        <w:rPr>
          <w:rFonts w:ascii="Times New Roman" w:eastAsia="Arial Unicode MS" w:hAnsi="Times New Roman" w:cs="Times New Roman"/>
          <w:color w:val="auto"/>
          <w:sz w:val="24"/>
          <w:szCs w:val="24"/>
        </w:rPr>
        <w:t xml:space="preserve">from the </w:t>
      </w:r>
      <w:r w:rsidRPr="00FD2533">
        <w:rPr>
          <w:rFonts w:ascii="Times New Roman" w:eastAsia="Arial Unicode MS" w:hAnsi="Times New Roman" w:cs="Times New Roman"/>
          <w:color w:val="auto"/>
          <w:sz w:val="24"/>
          <w:szCs w:val="24"/>
        </w:rPr>
        <w:t xml:space="preserve">pharmaceutical industry and key proprietary intellectual property and products, </w:t>
      </w:r>
      <w:proofErr w:type="spellStart"/>
      <w:r w:rsidRPr="00FD2533">
        <w:rPr>
          <w:rFonts w:ascii="Times New Roman" w:eastAsia="Arial Unicode MS" w:hAnsi="Times New Roman" w:cs="Times New Roman"/>
          <w:color w:val="auto"/>
          <w:sz w:val="24"/>
          <w:szCs w:val="24"/>
        </w:rPr>
        <w:t>Knol</w:t>
      </w:r>
      <w:proofErr w:type="spellEnd"/>
      <w:r w:rsidRPr="00FD2533">
        <w:rPr>
          <w:rFonts w:ascii="Times New Roman" w:eastAsia="Arial Unicode MS" w:hAnsi="Times New Roman" w:cs="Times New Roman"/>
          <w:color w:val="auto"/>
          <w:sz w:val="24"/>
          <w:szCs w:val="24"/>
        </w:rPr>
        <w:t xml:space="preserve"> is confident that our shareholders will benefit greatly by the Transaction.</w:t>
      </w:r>
      <w:r>
        <w:rPr>
          <w:rFonts w:ascii="Times New Roman" w:eastAsia="Arial Unicode MS" w:hAnsi="Times New Roman" w:cs="Times New Roman"/>
          <w:color w:val="auto"/>
          <w:sz w:val="24"/>
          <w:szCs w:val="24"/>
        </w:rPr>
        <w:t>”</w:t>
      </w:r>
    </w:p>
    <w:p w:rsidR="00514057" w:rsidRDefault="00514057"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E80F9C"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sidRPr="00031D8A">
        <w:rPr>
          <w:rFonts w:ascii="Times New Roman" w:eastAsia="Arial Unicode MS" w:hAnsi="Times New Roman" w:cs="Times New Roman"/>
          <w:color w:val="auto"/>
          <w:sz w:val="24"/>
          <w:szCs w:val="24"/>
        </w:rPr>
        <w:t xml:space="preserve">Dr. </w:t>
      </w:r>
      <w:r>
        <w:rPr>
          <w:rFonts w:ascii="Times New Roman" w:eastAsia="Arial Unicode MS" w:hAnsi="Times New Roman" w:cs="Times New Roman"/>
          <w:color w:val="auto"/>
          <w:sz w:val="24"/>
          <w:szCs w:val="24"/>
        </w:rPr>
        <w:t xml:space="preserve">Patrick </w:t>
      </w:r>
      <w:proofErr w:type="spellStart"/>
      <w:r>
        <w:rPr>
          <w:rFonts w:ascii="Times New Roman" w:eastAsia="Arial Unicode MS" w:hAnsi="Times New Roman" w:cs="Times New Roman"/>
          <w:color w:val="auto"/>
          <w:sz w:val="24"/>
          <w:szCs w:val="24"/>
        </w:rPr>
        <w:t>Frankham</w:t>
      </w:r>
      <w:proofErr w:type="spellEnd"/>
      <w:r w:rsidRPr="00031D8A">
        <w:rPr>
          <w:rFonts w:ascii="Times New Roman" w:eastAsia="Arial Unicode MS" w:hAnsi="Times New Roman" w:cs="Times New Roman"/>
          <w:color w:val="auto"/>
          <w:sz w:val="24"/>
          <w:szCs w:val="24"/>
        </w:rPr>
        <w:t xml:space="preserve">, CEO of </w:t>
      </w:r>
      <w:r>
        <w:rPr>
          <w:rFonts w:ascii="Times New Roman" w:eastAsia="Arial Unicode MS" w:hAnsi="Times New Roman" w:cs="Times New Roman"/>
          <w:color w:val="auto"/>
          <w:sz w:val="24"/>
          <w:szCs w:val="24"/>
        </w:rPr>
        <w:t>Pivot</w:t>
      </w:r>
      <w:r w:rsidRPr="00031D8A">
        <w:rPr>
          <w:rFonts w:ascii="Times New Roman" w:eastAsia="Arial Unicode MS" w:hAnsi="Times New Roman" w:cs="Times New Roman"/>
          <w:color w:val="auto"/>
          <w:sz w:val="24"/>
          <w:szCs w:val="24"/>
        </w:rPr>
        <w:t xml:space="preserve"> stated, “</w:t>
      </w:r>
      <w:r w:rsidR="00A001AA">
        <w:rPr>
          <w:rFonts w:ascii="Times New Roman" w:eastAsia="Arial Unicode MS" w:hAnsi="Times New Roman" w:cs="Times New Roman"/>
          <w:color w:val="auto"/>
          <w:sz w:val="24"/>
          <w:szCs w:val="24"/>
        </w:rPr>
        <w:t>W</w:t>
      </w:r>
      <w:r w:rsidRPr="00031D8A">
        <w:rPr>
          <w:rFonts w:ascii="Times New Roman" w:eastAsia="Arial Unicode MS" w:hAnsi="Times New Roman" w:cs="Times New Roman"/>
          <w:color w:val="auto"/>
          <w:sz w:val="24"/>
          <w:szCs w:val="24"/>
        </w:rPr>
        <w:t>e hope to unlock significant value for our existing shareholders</w:t>
      </w:r>
      <w:r w:rsidR="00A001AA" w:rsidRPr="00A001AA">
        <w:rPr>
          <w:rFonts w:ascii="Times New Roman" w:eastAsia="Arial Unicode MS" w:hAnsi="Times New Roman" w:cs="Times New Roman"/>
          <w:color w:val="auto"/>
          <w:sz w:val="24"/>
          <w:szCs w:val="24"/>
        </w:rPr>
        <w:t xml:space="preserve"> </w:t>
      </w:r>
      <w:r w:rsidR="00A001AA">
        <w:rPr>
          <w:rFonts w:ascii="Times New Roman" w:eastAsia="Arial Unicode MS" w:hAnsi="Times New Roman" w:cs="Times New Roman"/>
          <w:color w:val="auto"/>
          <w:sz w:val="24"/>
          <w:szCs w:val="24"/>
        </w:rPr>
        <w:t>t</w:t>
      </w:r>
      <w:bookmarkStart w:id="0" w:name="_GoBack"/>
      <w:bookmarkEnd w:id="0"/>
      <w:r w:rsidR="00A001AA">
        <w:rPr>
          <w:rFonts w:ascii="Times New Roman" w:eastAsia="Arial Unicode MS" w:hAnsi="Times New Roman" w:cs="Times New Roman"/>
          <w:color w:val="auto"/>
          <w:sz w:val="24"/>
          <w:szCs w:val="24"/>
        </w:rPr>
        <w:t xml:space="preserve">hrough the Spin </w:t>
      </w:r>
      <w:proofErr w:type="gramStart"/>
      <w:r w:rsidR="00A001AA">
        <w:rPr>
          <w:rFonts w:ascii="Times New Roman" w:eastAsia="Arial Unicode MS" w:hAnsi="Times New Roman" w:cs="Times New Roman"/>
          <w:color w:val="auto"/>
          <w:sz w:val="24"/>
          <w:szCs w:val="24"/>
        </w:rPr>
        <w:t>Out</w:t>
      </w:r>
      <w:proofErr w:type="gramEnd"/>
      <w:r w:rsidR="00A001AA" w:rsidRPr="00031D8A">
        <w:rPr>
          <w:rFonts w:ascii="Times New Roman" w:eastAsia="Arial Unicode MS" w:hAnsi="Times New Roman" w:cs="Times New Roman"/>
          <w:color w:val="auto"/>
          <w:sz w:val="24"/>
          <w:szCs w:val="24"/>
        </w:rPr>
        <w:t xml:space="preserve"> Transaction</w:t>
      </w:r>
      <w:r w:rsidRPr="00031D8A">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 xml:space="preserve">With the reverse takeover of </w:t>
      </w:r>
      <w:proofErr w:type="spellStart"/>
      <w:r>
        <w:rPr>
          <w:rFonts w:ascii="Times New Roman" w:eastAsia="Arial Unicode MS" w:hAnsi="Times New Roman" w:cs="Times New Roman"/>
          <w:color w:val="auto"/>
          <w:sz w:val="24"/>
          <w:szCs w:val="24"/>
        </w:rPr>
        <w:t>Knol</w:t>
      </w:r>
      <w:proofErr w:type="spellEnd"/>
      <w:r>
        <w:rPr>
          <w:rFonts w:ascii="Times New Roman" w:eastAsia="Arial Unicode MS" w:hAnsi="Times New Roman" w:cs="Times New Roman"/>
          <w:color w:val="auto"/>
          <w:sz w:val="24"/>
          <w:szCs w:val="24"/>
        </w:rPr>
        <w:t xml:space="preserve">, we are creating </w:t>
      </w:r>
      <w:r w:rsidRPr="00031D8A">
        <w:rPr>
          <w:rFonts w:ascii="Times New Roman" w:eastAsia="Arial Unicode MS" w:hAnsi="Times New Roman" w:cs="Times New Roman"/>
          <w:color w:val="auto"/>
          <w:sz w:val="24"/>
          <w:szCs w:val="24"/>
        </w:rPr>
        <w:t>a</w:t>
      </w:r>
      <w:r>
        <w:rPr>
          <w:rFonts w:ascii="Times New Roman" w:eastAsia="Arial Unicode MS" w:hAnsi="Times New Roman" w:cs="Times New Roman"/>
          <w:color w:val="auto"/>
          <w:sz w:val="24"/>
          <w:szCs w:val="24"/>
        </w:rPr>
        <w:t>n additional</w:t>
      </w:r>
      <w:r w:rsidRPr="00031D8A">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 xml:space="preserve">company for our shareholders that will contain our Canadian and other non-U.S. assets.  The Transaction will also </w:t>
      </w:r>
      <w:r w:rsidRPr="00FF0A41">
        <w:rPr>
          <w:rFonts w:ascii="Times New Roman" w:eastAsia="Arial Unicode MS" w:hAnsi="Times New Roman" w:cs="Times New Roman"/>
          <w:color w:val="auto"/>
          <w:sz w:val="24"/>
          <w:szCs w:val="24"/>
        </w:rPr>
        <w:t xml:space="preserve">bring added visibility to our </w:t>
      </w:r>
      <w:r>
        <w:rPr>
          <w:rFonts w:ascii="Times New Roman" w:eastAsia="Arial Unicode MS" w:hAnsi="Times New Roman" w:cs="Times New Roman"/>
          <w:color w:val="auto"/>
          <w:sz w:val="24"/>
          <w:szCs w:val="24"/>
        </w:rPr>
        <w:t xml:space="preserve">premium, science-based business model, and </w:t>
      </w:r>
      <w:r w:rsidRPr="00FF0A41">
        <w:rPr>
          <w:rFonts w:ascii="Times New Roman" w:eastAsia="Arial Unicode MS" w:hAnsi="Times New Roman" w:cs="Times New Roman"/>
          <w:color w:val="auto"/>
          <w:sz w:val="24"/>
          <w:szCs w:val="24"/>
        </w:rPr>
        <w:t xml:space="preserve">the potential to attract institutional investors that are currently unable to purchase stock on the </w:t>
      </w:r>
      <w:r w:rsidR="00C137F9">
        <w:rPr>
          <w:rFonts w:ascii="Times New Roman" w:eastAsia="Arial Unicode MS" w:hAnsi="Times New Roman" w:cs="Times New Roman"/>
          <w:color w:val="auto"/>
          <w:sz w:val="24"/>
          <w:szCs w:val="24"/>
        </w:rPr>
        <w:t>Canadian Securities Exchange (the “</w:t>
      </w:r>
      <w:r w:rsidR="00C137F9" w:rsidRPr="00723811">
        <w:rPr>
          <w:rFonts w:ascii="Times New Roman" w:eastAsia="Arial Unicode MS" w:hAnsi="Times New Roman" w:cs="Times New Roman"/>
          <w:b/>
          <w:color w:val="auto"/>
          <w:sz w:val="24"/>
          <w:szCs w:val="24"/>
        </w:rPr>
        <w:t>CSE</w:t>
      </w:r>
      <w:r w:rsidR="00C137F9">
        <w:rPr>
          <w:rFonts w:ascii="Times New Roman" w:eastAsia="Arial Unicode MS" w:hAnsi="Times New Roman" w:cs="Times New Roman"/>
          <w:color w:val="auto"/>
          <w:sz w:val="24"/>
          <w:szCs w:val="24"/>
        </w:rPr>
        <w:t>”)</w:t>
      </w:r>
      <w:r w:rsidRPr="00FF0A41">
        <w:rPr>
          <w:rFonts w:ascii="Times New Roman" w:eastAsia="Arial Unicode MS" w:hAnsi="Times New Roman" w:cs="Times New Roman"/>
          <w:color w:val="auto"/>
          <w:sz w:val="24"/>
          <w:szCs w:val="24"/>
        </w:rPr>
        <w:t xml:space="preserve"> or purchase companies holding U</w:t>
      </w:r>
      <w:r>
        <w:rPr>
          <w:rFonts w:ascii="Times New Roman" w:eastAsia="Arial Unicode MS" w:hAnsi="Times New Roman" w:cs="Times New Roman"/>
          <w:color w:val="auto"/>
          <w:sz w:val="24"/>
          <w:szCs w:val="24"/>
        </w:rPr>
        <w:t>.</w:t>
      </w:r>
      <w:r w:rsidRPr="00FF0A41">
        <w:rPr>
          <w:rFonts w:ascii="Times New Roman" w:eastAsia="Arial Unicode MS" w:hAnsi="Times New Roman" w:cs="Times New Roman"/>
          <w:color w:val="auto"/>
          <w:sz w:val="24"/>
          <w:szCs w:val="24"/>
        </w:rPr>
        <w:t>S</w:t>
      </w:r>
      <w:r>
        <w:rPr>
          <w:rFonts w:ascii="Times New Roman" w:eastAsia="Arial Unicode MS" w:hAnsi="Times New Roman" w:cs="Times New Roman"/>
          <w:color w:val="auto"/>
          <w:sz w:val="24"/>
          <w:szCs w:val="24"/>
        </w:rPr>
        <w:t>.</w:t>
      </w:r>
      <w:r w:rsidRPr="00FF0A41">
        <w:rPr>
          <w:rFonts w:ascii="Times New Roman" w:eastAsia="Arial Unicode MS" w:hAnsi="Times New Roman" w:cs="Times New Roman"/>
          <w:color w:val="auto"/>
          <w:sz w:val="24"/>
          <w:szCs w:val="24"/>
        </w:rPr>
        <w:t xml:space="preserve"> assets.”</w:t>
      </w:r>
    </w:p>
    <w:p w:rsidR="00E80F9C"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E80F9C"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Dr. </w:t>
      </w:r>
      <w:proofErr w:type="spellStart"/>
      <w:r>
        <w:rPr>
          <w:rFonts w:ascii="Times New Roman" w:eastAsia="Arial Unicode MS" w:hAnsi="Times New Roman" w:cs="Times New Roman"/>
          <w:color w:val="auto"/>
          <w:sz w:val="24"/>
          <w:szCs w:val="24"/>
        </w:rPr>
        <w:t>Frankham</w:t>
      </w:r>
      <w:proofErr w:type="spellEnd"/>
      <w:r>
        <w:rPr>
          <w:rFonts w:ascii="Times New Roman" w:eastAsia="Arial Unicode MS" w:hAnsi="Times New Roman" w:cs="Times New Roman"/>
          <w:color w:val="auto"/>
          <w:sz w:val="24"/>
          <w:szCs w:val="24"/>
        </w:rPr>
        <w:t xml:space="preserve"> continued, </w:t>
      </w:r>
      <w:r w:rsidRPr="00031D8A">
        <w:rPr>
          <w:rFonts w:ascii="Times New Roman" w:eastAsia="Arial Unicode MS" w:hAnsi="Times New Roman" w:cs="Times New Roman"/>
          <w:color w:val="auto"/>
          <w:sz w:val="24"/>
          <w:szCs w:val="24"/>
        </w:rPr>
        <w:t>“Our CSE</w:t>
      </w:r>
      <w:r>
        <w:rPr>
          <w:rFonts w:ascii="Times New Roman" w:eastAsia="Arial Unicode MS" w:hAnsi="Times New Roman" w:cs="Times New Roman"/>
          <w:color w:val="auto"/>
          <w:sz w:val="24"/>
          <w:szCs w:val="24"/>
        </w:rPr>
        <w:t xml:space="preserve"> and OTCQB</w:t>
      </w:r>
      <w:r w:rsidRPr="00031D8A">
        <w:rPr>
          <w:rFonts w:ascii="Times New Roman" w:eastAsia="Arial Unicode MS" w:hAnsi="Times New Roman" w:cs="Times New Roman"/>
          <w:color w:val="auto"/>
          <w:sz w:val="24"/>
          <w:szCs w:val="24"/>
        </w:rPr>
        <w:t xml:space="preserve"> listed entity, </w:t>
      </w:r>
      <w:r>
        <w:rPr>
          <w:rFonts w:ascii="Times New Roman" w:eastAsia="Arial Unicode MS" w:hAnsi="Times New Roman" w:cs="Times New Roman"/>
          <w:color w:val="auto"/>
          <w:sz w:val="24"/>
          <w:szCs w:val="24"/>
        </w:rPr>
        <w:t>Pivot Pharmaceuticals Inc</w:t>
      </w:r>
      <w:r w:rsidRPr="00031D8A">
        <w:rPr>
          <w:rFonts w:ascii="Times New Roman" w:eastAsia="Arial Unicode MS" w:hAnsi="Times New Roman" w:cs="Times New Roman"/>
          <w:color w:val="auto"/>
          <w:sz w:val="24"/>
          <w:szCs w:val="24"/>
        </w:rPr>
        <w:t xml:space="preserve">., will continue to focus on </w:t>
      </w:r>
      <w:r>
        <w:rPr>
          <w:rFonts w:ascii="Times New Roman" w:eastAsia="Arial Unicode MS" w:hAnsi="Times New Roman" w:cs="Times New Roman"/>
          <w:color w:val="auto"/>
          <w:sz w:val="24"/>
          <w:szCs w:val="24"/>
        </w:rPr>
        <w:t xml:space="preserve">supporting its wholly-owned U.S. subsidiary, Pivot Naturals LLC., as it prepares to commercialize our </w:t>
      </w:r>
      <w:r w:rsidR="00AB5705">
        <w:rPr>
          <w:rFonts w:ascii="Times New Roman" w:eastAsia="Arial Unicode MS" w:hAnsi="Times New Roman" w:cs="Times New Roman"/>
          <w:color w:val="auto"/>
          <w:sz w:val="24"/>
          <w:szCs w:val="24"/>
        </w:rPr>
        <w:t xml:space="preserve">bio-cannabis </w:t>
      </w:r>
      <w:r>
        <w:rPr>
          <w:rFonts w:ascii="Times New Roman" w:eastAsia="Arial Unicode MS" w:hAnsi="Times New Roman" w:cs="Times New Roman"/>
          <w:color w:val="auto"/>
          <w:sz w:val="24"/>
          <w:szCs w:val="24"/>
        </w:rPr>
        <w:t xml:space="preserve">product line </w:t>
      </w:r>
      <w:r w:rsidRPr="00031D8A">
        <w:rPr>
          <w:rFonts w:ascii="Times New Roman" w:eastAsia="Arial Unicode MS" w:hAnsi="Times New Roman" w:cs="Times New Roman"/>
          <w:color w:val="auto"/>
          <w:sz w:val="24"/>
          <w:szCs w:val="24"/>
        </w:rPr>
        <w:t>in California</w:t>
      </w:r>
      <w:r>
        <w:rPr>
          <w:rFonts w:ascii="Times New Roman" w:eastAsia="Arial Unicode MS" w:hAnsi="Times New Roman" w:cs="Times New Roman"/>
          <w:color w:val="auto"/>
          <w:sz w:val="24"/>
          <w:szCs w:val="24"/>
        </w:rPr>
        <w:t xml:space="preserve"> and Nevada.</w:t>
      </w:r>
      <w:r w:rsidRPr="00031D8A">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Our manufacturing facility located in Costa Mesa, California will soon be licensed and operational and we look forward to rapidly increasing revenues, developing further strategic partnerships and pursuing expansion across the U.S</w:t>
      </w:r>
      <w:r w:rsidRPr="00031D8A">
        <w:rPr>
          <w:rFonts w:ascii="Times New Roman" w:eastAsia="Arial Unicode MS" w:hAnsi="Times New Roman" w:cs="Times New Roman"/>
          <w:color w:val="auto"/>
          <w:sz w:val="24"/>
          <w:szCs w:val="24"/>
        </w:rPr>
        <w:t>.</w:t>
      </w:r>
      <w:r>
        <w:rPr>
          <w:rFonts w:ascii="Times New Roman" w:eastAsia="Arial Unicode MS" w:hAnsi="Times New Roman" w:cs="Times New Roman"/>
          <w:color w:val="auto"/>
          <w:sz w:val="24"/>
          <w:szCs w:val="24"/>
        </w:rPr>
        <w:t xml:space="preserve"> </w:t>
      </w:r>
      <w:r w:rsidR="00AB5705">
        <w:rPr>
          <w:rFonts w:ascii="Times New Roman" w:eastAsia="Arial Unicode MS" w:hAnsi="Times New Roman" w:cs="Times New Roman"/>
          <w:color w:val="auto"/>
          <w:sz w:val="24"/>
          <w:szCs w:val="24"/>
        </w:rPr>
        <w:t xml:space="preserve">Following the closing of the </w:t>
      </w:r>
      <w:r w:rsidR="00AB5705">
        <w:rPr>
          <w:rFonts w:ascii="Times New Roman" w:eastAsia="Arial Unicode MS" w:hAnsi="Times New Roman" w:cs="Times New Roman"/>
          <w:color w:val="auto"/>
          <w:sz w:val="24"/>
          <w:szCs w:val="24"/>
        </w:rPr>
        <w:lastRenderedPageBreak/>
        <w:t xml:space="preserve">Transaction, </w:t>
      </w:r>
      <w:proofErr w:type="spellStart"/>
      <w:r w:rsidR="00AB5705">
        <w:rPr>
          <w:rFonts w:ascii="Times New Roman" w:eastAsia="Arial Unicode MS" w:hAnsi="Times New Roman" w:cs="Times New Roman"/>
          <w:color w:val="auto"/>
          <w:sz w:val="24"/>
          <w:szCs w:val="24"/>
        </w:rPr>
        <w:t>Knol</w:t>
      </w:r>
      <w:proofErr w:type="spellEnd"/>
      <w:r w:rsidR="00AB5705">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 xml:space="preserve">will focus on developing and commercializing Pivot’s extensive catalogue of bio-cannabis products in Canada, EU, Latin America and Asia-Pacific. Upon receipt of a Dealer’s License from Health Canada, the </w:t>
      </w:r>
      <w:proofErr w:type="spellStart"/>
      <w:r w:rsidR="00AB5705">
        <w:rPr>
          <w:rFonts w:ascii="Times New Roman" w:eastAsia="Arial Unicode MS" w:hAnsi="Times New Roman" w:cs="Times New Roman"/>
          <w:color w:val="auto"/>
          <w:sz w:val="24"/>
          <w:szCs w:val="24"/>
        </w:rPr>
        <w:t>Knol</w:t>
      </w:r>
      <w:proofErr w:type="spellEnd"/>
      <w:r w:rsidR="00AB5705">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will manufacture products in our current GMP facility located in Montreal and export to all non-U.S. markets, where regulations permit.</w:t>
      </w:r>
      <w:r w:rsidRPr="00031D8A">
        <w:rPr>
          <w:rFonts w:ascii="Times New Roman" w:eastAsia="Arial Unicode MS" w:hAnsi="Times New Roman" w:cs="Times New Roman"/>
          <w:color w:val="auto"/>
          <w:sz w:val="24"/>
          <w:szCs w:val="24"/>
        </w:rPr>
        <w:t>”</w:t>
      </w:r>
    </w:p>
    <w:p w:rsidR="00AB5705" w:rsidRDefault="00AB5705"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E80F9C"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sidRPr="00572304">
        <w:rPr>
          <w:rFonts w:ascii="Times New Roman" w:eastAsia="Arial Unicode MS" w:hAnsi="Times New Roman" w:cs="Times New Roman"/>
          <w:color w:val="auto"/>
          <w:sz w:val="24"/>
          <w:szCs w:val="24"/>
        </w:rPr>
        <w:t xml:space="preserve">Cannabis is legalized in </w:t>
      </w:r>
      <w:r>
        <w:rPr>
          <w:rFonts w:ascii="Times New Roman" w:eastAsia="Arial Unicode MS" w:hAnsi="Times New Roman" w:cs="Times New Roman"/>
          <w:color w:val="auto"/>
          <w:sz w:val="24"/>
          <w:szCs w:val="24"/>
        </w:rPr>
        <w:t>several</w:t>
      </w:r>
      <w:r w:rsidRPr="00572304">
        <w:rPr>
          <w:rFonts w:ascii="Times New Roman" w:eastAsia="Arial Unicode MS" w:hAnsi="Times New Roman" w:cs="Times New Roman"/>
          <w:color w:val="auto"/>
          <w:sz w:val="24"/>
          <w:szCs w:val="24"/>
        </w:rPr>
        <w:t xml:space="preserve"> U.S. states but still illegal at the federal level, which is the main reason why </w:t>
      </w:r>
      <w:r>
        <w:rPr>
          <w:rFonts w:ascii="Times New Roman" w:eastAsia="Arial Unicode MS" w:hAnsi="Times New Roman" w:cs="Times New Roman"/>
          <w:color w:val="auto"/>
          <w:sz w:val="24"/>
          <w:szCs w:val="24"/>
        </w:rPr>
        <w:t xml:space="preserve">companies such as Pivot are advised to place their </w:t>
      </w:r>
      <w:r w:rsidRPr="00572304">
        <w:rPr>
          <w:rFonts w:ascii="Times New Roman" w:eastAsia="Arial Unicode MS" w:hAnsi="Times New Roman" w:cs="Times New Roman"/>
          <w:color w:val="auto"/>
          <w:sz w:val="24"/>
          <w:szCs w:val="24"/>
        </w:rPr>
        <w:t>U.S.</w:t>
      </w:r>
      <w:r>
        <w:rPr>
          <w:rFonts w:ascii="Times New Roman" w:eastAsia="Arial Unicode MS" w:hAnsi="Times New Roman" w:cs="Times New Roman"/>
          <w:color w:val="auto"/>
          <w:sz w:val="24"/>
          <w:szCs w:val="24"/>
        </w:rPr>
        <w:t xml:space="preserve"> assets into a separate company</w:t>
      </w:r>
      <w:r w:rsidRPr="00572304">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 xml:space="preserve"> </w:t>
      </w:r>
      <w:r w:rsidR="00723811">
        <w:rPr>
          <w:rFonts w:ascii="Times New Roman" w:eastAsia="Arial Unicode MS" w:hAnsi="Times New Roman" w:cs="Times New Roman"/>
          <w:color w:val="auto"/>
          <w:sz w:val="24"/>
          <w:szCs w:val="24"/>
        </w:rPr>
        <w:t xml:space="preserve">Upon completion of the Transaction, </w:t>
      </w:r>
      <w:proofErr w:type="spellStart"/>
      <w:r w:rsidR="00723811">
        <w:rPr>
          <w:rFonts w:ascii="Times New Roman" w:eastAsia="Arial Unicode MS" w:hAnsi="Times New Roman" w:cs="Times New Roman"/>
          <w:color w:val="auto"/>
          <w:sz w:val="24"/>
          <w:szCs w:val="24"/>
        </w:rPr>
        <w:t>Knol</w:t>
      </w:r>
      <w:proofErr w:type="spellEnd"/>
      <w:r w:rsidR="00723811">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 xml:space="preserve">will be </w:t>
      </w:r>
      <w:r w:rsidRPr="00572304">
        <w:rPr>
          <w:rFonts w:ascii="Times New Roman" w:eastAsia="Arial Unicode MS" w:hAnsi="Times New Roman" w:cs="Times New Roman"/>
          <w:color w:val="auto"/>
          <w:sz w:val="24"/>
          <w:szCs w:val="24"/>
        </w:rPr>
        <w:t xml:space="preserve">poised to acquire </w:t>
      </w:r>
      <w:r>
        <w:rPr>
          <w:rFonts w:ascii="Times New Roman" w:eastAsia="Arial Unicode MS" w:hAnsi="Times New Roman" w:cs="Times New Roman"/>
          <w:color w:val="auto"/>
          <w:sz w:val="24"/>
          <w:szCs w:val="24"/>
        </w:rPr>
        <w:t xml:space="preserve">additional </w:t>
      </w:r>
      <w:r w:rsidRPr="00572304">
        <w:rPr>
          <w:rFonts w:ascii="Times New Roman" w:eastAsia="Arial Unicode MS" w:hAnsi="Times New Roman" w:cs="Times New Roman"/>
          <w:color w:val="auto"/>
          <w:sz w:val="24"/>
          <w:szCs w:val="24"/>
        </w:rPr>
        <w:t xml:space="preserve">cannabis </w:t>
      </w:r>
      <w:r w:rsidR="00723811">
        <w:rPr>
          <w:rFonts w:ascii="Times New Roman" w:eastAsia="Arial Unicode MS" w:hAnsi="Times New Roman" w:cs="Times New Roman"/>
          <w:color w:val="auto"/>
          <w:sz w:val="24"/>
          <w:szCs w:val="24"/>
        </w:rPr>
        <w:t xml:space="preserve">industry </w:t>
      </w:r>
      <w:r w:rsidRPr="00572304">
        <w:rPr>
          <w:rFonts w:ascii="Times New Roman" w:eastAsia="Arial Unicode MS" w:hAnsi="Times New Roman" w:cs="Times New Roman"/>
          <w:color w:val="auto"/>
          <w:sz w:val="24"/>
          <w:szCs w:val="24"/>
        </w:rPr>
        <w:t xml:space="preserve">assets </w:t>
      </w:r>
      <w:r>
        <w:rPr>
          <w:rFonts w:ascii="Times New Roman" w:eastAsia="Arial Unicode MS" w:hAnsi="Times New Roman" w:cs="Times New Roman"/>
          <w:color w:val="auto"/>
          <w:sz w:val="24"/>
          <w:szCs w:val="24"/>
        </w:rPr>
        <w:t>and attract a broader range of investors</w:t>
      </w:r>
      <w:r w:rsidRPr="00572304">
        <w:rPr>
          <w:rFonts w:ascii="Times New Roman" w:eastAsia="Arial Unicode MS" w:hAnsi="Times New Roman" w:cs="Times New Roman"/>
          <w:color w:val="auto"/>
          <w:sz w:val="24"/>
          <w:szCs w:val="24"/>
        </w:rPr>
        <w:t>.</w:t>
      </w:r>
    </w:p>
    <w:p w:rsidR="00E80F9C"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E80F9C" w:rsidRPr="00A75213" w:rsidRDefault="00E80F9C" w:rsidP="00E80F9C">
      <w:pPr>
        <w:pStyle w:val="Corps"/>
        <w:shd w:val="clear" w:color="auto" w:fill="FFFFFF"/>
        <w:spacing w:after="150" w:line="240" w:lineRule="auto"/>
        <w:contextualSpacing/>
        <w:jc w:val="both"/>
        <w:rPr>
          <w:rFonts w:ascii="Times New Roman" w:eastAsia="Arial Unicode MS" w:hAnsi="Times New Roman" w:cs="Times New Roman"/>
          <w:b/>
          <w:color w:val="auto"/>
          <w:sz w:val="24"/>
          <w:szCs w:val="24"/>
          <w:u w:val="single"/>
        </w:rPr>
      </w:pPr>
      <w:r w:rsidRPr="00A75213">
        <w:rPr>
          <w:rFonts w:ascii="Times New Roman" w:eastAsia="Arial Unicode MS" w:hAnsi="Times New Roman" w:cs="Times New Roman"/>
          <w:b/>
          <w:color w:val="auto"/>
          <w:sz w:val="24"/>
          <w:szCs w:val="24"/>
          <w:u w:val="single"/>
        </w:rPr>
        <w:t xml:space="preserve">Description </w:t>
      </w:r>
      <w:r w:rsidR="0030644F">
        <w:rPr>
          <w:rFonts w:ascii="Times New Roman" w:eastAsia="Arial Unicode MS" w:hAnsi="Times New Roman" w:cs="Times New Roman"/>
          <w:b/>
          <w:color w:val="auto"/>
          <w:sz w:val="24"/>
          <w:szCs w:val="24"/>
          <w:u w:val="single"/>
        </w:rPr>
        <w:t>of the Terms of the Transaction</w:t>
      </w:r>
    </w:p>
    <w:p w:rsidR="00E80F9C" w:rsidRPr="00993B5B"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E80F9C"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Under the Transaction,</w:t>
      </w:r>
      <w:r w:rsidRPr="00993B5B">
        <w:rPr>
          <w:rFonts w:ascii="Times New Roman" w:eastAsia="Arial Unicode MS" w:hAnsi="Times New Roman" w:cs="Times New Roman"/>
          <w:color w:val="auto"/>
          <w:sz w:val="24"/>
          <w:szCs w:val="24"/>
        </w:rPr>
        <w:t xml:space="preserve"> Pivot would transfer to </w:t>
      </w:r>
      <w:proofErr w:type="spellStart"/>
      <w:r w:rsidRPr="00993B5B">
        <w:rPr>
          <w:rFonts w:ascii="Times New Roman" w:eastAsia="Arial Unicode MS" w:hAnsi="Times New Roman" w:cs="Times New Roman"/>
          <w:color w:val="auto"/>
          <w:sz w:val="24"/>
          <w:szCs w:val="24"/>
        </w:rPr>
        <w:t>Knol</w:t>
      </w:r>
      <w:proofErr w:type="spellEnd"/>
      <w:r w:rsidRPr="00993B5B">
        <w:rPr>
          <w:rFonts w:ascii="Times New Roman" w:eastAsia="Arial Unicode MS" w:hAnsi="Times New Roman" w:cs="Times New Roman"/>
          <w:color w:val="auto"/>
          <w:sz w:val="24"/>
          <w:szCs w:val="24"/>
        </w:rPr>
        <w:t xml:space="preserve"> all of the assets and related liabilities comprising all of Pivot’s non-US cannabis operations, including all related intellectual property rights held by Pivot, (the “</w:t>
      </w:r>
      <w:r w:rsidRPr="00723811">
        <w:rPr>
          <w:rFonts w:ascii="Times New Roman" w:eastAsia="Arial Unicode MS" w:hAnsi="Times New Roman" w:cs="Times New Roman"/>
          <w:b/>
          <w:color w:val="auto"/>
          <w:sz w:val="24"/>
          <w:szCs w:val="24"/>
        </w:rPr>
        <w:t>Non-US Assets</w:t>
      </w:r>
      <w:r w:rsidRPr="00993B5B">
        <w:rPr>
          <w:rFonts w:ascii="Times New Roman" w:eastAsia="Arial Unicode MS" w:hAnsi="Times New Roman" w:cs="Times New Roman"/>
          <w:color w:val="auto"/>
          <w:sz w:val="24"/>
          <w:szCs w:val="24"/>
        </w:rPr>
        <w:t>”) in consideration for which the shareholders of Pivot (the “</w:t>
      </w:r>
      <w:r w:rsidRPr="00723811">
        <w:rPr>
          <w:rFonts w:ascii="Times New Roman" w:eastAsia="Arial Unicode MS" w:hAnsi="Times New Roman" w:cs="Times New Roman"/>
          <w:b/>
          <w:color w:val="auto"/>
          <w:sz w:val="24"/>
          <w:szCs w:val="24"/>
        </w:rPr>
        <w:t>Pivot Shareholders</w:t>
      </w:r>
      <w:r w:rsidRPr="00993B5B">
        <w:rPr>
          <w:rFonts w:ascii="Times New Roman" w:eastAsia="Arial Unicode MS" w:hAnsi="Times New Roman" w:cs="Times New Roman"/>
          <w:color w:val="auto"/>
          <w:sz w:val="24"/>
          <w:szCs w:val="24"/>
        </w:rPr>
        <w:t xml:space="preserve">”) would acquire a controlling interest in </w:t>
      </w:r>
      <w:r>
        <w:rPr>
          <w:rFonts w:ascii="Times New Roman" w:eastAsia="Arial Unicode MS" w:hAnsi="Times New Roman" w:cs="Times New Roman"/>
          <w:color w:val="auto"/>
          <w:sz w:val="24"/>
          <w:szCs w:val="24"/>
        </w:rPr>
        <w:t>the Resulting Issuer</w:t>
      </w:r>
      <w:r w:rsidRPr="00993B5B">
        <w:rPr>
          <w:rFonts w:ascii="Times New Roman" w:eastAsia="Arial Unicode MS" w:hAnsi="Times New Roman" w:cs="Times New Roman"/>
          <w:color w:val="auto"/>
          <w:sz w:val="24"/>
          <w:szCs w:val="24"/>
        </w:rPr>
        <w:t>.</w:t>
      </w:r>
    </w:p>
    <w:p w:rsidR="00E80F9C"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E80F9C"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sidRPr="00993B5B">
        <w:rPr>
          <w:rFonts w:ascii="Times New Roman" w:eastAsia="Arial Unicode MS" w:hAnsi="Times New Roman" w:cs="Times New Roman"/>
          <w:color w:val="auto"/>
          <w:sz w:val="24"/>
          <w:szCs w:val="24"/>
        </w:rPr>
        <w:t xml:space="preserve">Subject to further due diligence, it is contemplated that the Transaction will be accomplished by way of a statutory plan of arrangement under the provisions of section 288 of the </w:t>
      </w:r>
      <w:r w:rsidRPr="00693C20">
        <w:rPr>
          <w:rFonts w:ascii="Times New Roman" w:eastAsia="Arial Unicode MS" w:hAnsi="Times New Roman" w:cs="Times New Roman"/>
          <w:i/>
          <w:color w:val="auto"/>
          <w:sz w:val="24"/>
          <w:szCs w:val="24"/>
        </w:rPr>
        <w:t>Business Corporations Act</w:t>
      </w:r>
      <w:r>
        <w:rPr>
          <w:rFonts w:ascii="Times New Roman" w:eastAsia="Arial Unicode MS" w:hAnsi="Times New Roman" w:cs="Times New Roman"/>
          <w:color w:val="auto"/>
          <w:sz w:val="24"/>
          <w:szCs w:val="24"/>
        </w:rPr>
        <w:t xml:space="preserve"> (British </w:t>
      </w:r>
      <w:r w:rsidRPr="00993B5B">
        <w:rPr>
          <w:rFonts w:ascii="Times New Roman" w:eastAsia="Arial Unicode MS" w:hAnsi="Times New Roman" w:cs="Times New Roman"/>
          <w:color w:val="auto"/>
          <w:sz w:val="24"/>
          <w:szCs w:val="24"/>
        </w:rPr>
        <w:t>Columbia) pursuant to which Pivot would transfer the Non-US Assets to a wholly-owned subsidiary (“</w:t>
      </w:r>
      <w:r w:rsidRPr="00723811">
        <w:rPr>
          <w:rFonts w:ascii="Times New Roman" w:eastAsia="Arial Unicode MS" w:hAnsi="Times New Roman" w:cs="Times New Roman"/>
          <w:b/>
          <w:color w:val="auto"/>
          <w:sz w:val="24"/>
          <w:szCs w:val="24"/>
        </w:rPr>
        <w:t>Non-</w:t>
      </w:r>
      <w:proofErr w:type="spellStart"/>
      <w:r w:rsidRPr="00723811">
        <w:rPr>
          <w:rFonts w:ascii="Times New Roman" w:eastAsia="Arial Unicode MS" w:hAnsi="Times New Roman" w:cs="Times New Roman"/>
          <w:b/>
          <w:color w:val="auto"/>
          <w:sz w:val="24"/>
          <w:szCs w:val="24"/>
        </w:rPr>
        <w:t>USco</w:t>
      </w:r>
      <w:proofErr w:type="spellEnd"/>
      <w:r w:rsidRPr="00993B5B">
        <w:rPr>
          <w:rFonts w:ascii="Times New Roman" w:eastAsia="Arial Unicode MS" w:hAnsi="Times New Roman" w:cs="Times New Roman"/>
          <w:color w:val="auto"/>
          <w:sz w:val="24"/>
          <w:szCs w:val="24"/>
        </w:rPr>
        <w:t>”) and issue special shares (the “</w:t>
      </w:r>
      <w:r w:rsidRPr="00723811">
        <w:rPr>
          <w:rFonts w:ascii="Times New Roman" w:eastAsia="Arial Unicode MS" w:hAnsi="Times New Roman" w:cs="Times New Roman"/>
          <w:b/>
          <w:color w:val="auto"/>
          <w:sz w:val="24"/>
          <w:szCs w:val="24"/>
        </w:rPr>
        <w:t>Special Shares</w:t>
      </w:r>
      <w:r w:rsidRPr="00993B5B">
        <w:rPr>
          <w:rFonts w:ascii="Times New Roman" w:eastAsia="Arial Unicode MS" w:hAnsi="Times New Roman" w:cs="Times New Roman"/>
          <w:color w:val="auto"/>
          <w:sz w:val="24"/>
          <w:szCs w:val="24"/>
        </w:rPr>
        <w:t>”) to its shareholders.</w:t>
      </w:r>
    </w:p>
    <w:p w:rsidR="00E80F9C"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E80F9C"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sidRPr="00993B5B">
        <w:rPr>
          <w:rFonts w:ascii="Times New Roman" w:eastAsia="Arial Unicode MS" w:hAnsi="Times New Roman" w:cs="Times New Roman"/>
          <w:color w:val="auto"/>
          <w:sz w:val="24"/>
          <w:szCs w:val="24"/>
        </w:rPr>
        <w:t xml:space="preserve">The Pivot Shareholders would in turn transfer the Special Shares received by them to </w:t>
      </w:r>
      <w:proofErr w:type="spellStart"/>
      <w:r w:rsidRPr="00993B5B">
        <w:rPr>
          <w:rFonts w:ascii="Times New Roman" w:eastAsia="Arial Unicode MS" w:hAnsi="Times New Roman" w:cs="Times New Roman"/>
          <w:color w:val="auto"/>
          <w:sz w:val="24"/>
          <w:szCs w:val="24"/>
        </w:rPr>
        <w:t>Knol</w:t>
      </w:r>
      <w:proofErr w:type="spellEnd"/>
      <w:r w:rsidRPr="00993B5B">
        <w:rPr>
          <w:rFonts w:ascii="Times New Roman" w:eastAsia="Arial Unicode MS" w:hAnsi="Times New Roman" w:cs="Times New Roman"/>
          <w:color w:val="auto"/>
          <w:sz w:val="24"/>
          <w:szCs w:val="24"/>
        </w:rPr>
        <w:t xml:space="preserve"> in exchange for common shares (“</w:t>
      </w:r>
      <w:proofErr w:type="spellStart"/>
      <w:r w:rsidRPr="00723811">
        <w:rPr>
          <w:rFonts w:ascii="Times New Roman" w:eastAsia="Arial Unicode MS" w:hAnsi="Times New Roman" w:cs="Times New Roman"/>
          <w:b/>
          <w:color w:val="auto"/>
          <w:sz w:val="24"/>
          <w:szCs w:val="24"/>
        </w:rPr>
        <w:t>Knol</w:t>
      </w:r>
      <w:proofErr w:type="spellEnd"/>
      <w:r w:rsidRPr="00723811">
        <w:rPr>
          <w:rFonts w:ascii="Times New Roman" w:eastAsia="Arial Unicode MS" w:hAnsi="Times New Roman" w:cs="Times New Roman"/>
          <w:b/>
          <w:color w:val="auto"/>
          <w:sz w:val="24"/>
          <w:szCs w:val="24"/>
        </w:rPr>
        <w:t xml:space="preserve"> Shares</w:t>
      </w:r>
      <w:r w:rsidRPr="00993B5B">
        <w:rPr>
          <w:rFonts w:ascii="Times New Roman" w:eastAsia="Arial Unicode MS" w:hAnsi="Times New Roman" w:cs="Times New Roman"/>
          <w:color w:val="auto"/>
          <w:sz w:val="24"/>
          <w:szCs w:val="24"/>
        </w:rPr>
        <w:t>”) and common share purchase warrants (</w:t>
      </w:r>
      <w:r>
        <w:rPr>
          <w:rFonts w:ascii="Times New Roman" w:eastAsia="Arial Unicode MS" w:hAnsi="Times New Roman" w:cs="Times New Roman"/>
          <w:color w:val="auto"/>
          <w:sz w:val="24"/>
          <w:szCs w:val="24"/>
        </w:rPr>
        <w:t>“</w:t>
      </w:r>
      <w:r w:rsidRPr="00723811">
        <w:rPr>
          <w:rFonts w:ascii="Times New Roman" w:eastAsia="Arial Unicode MS" w:hAnsi="Times New Roman" w:cs="Times New Roman"/>
          <w:b/>
          <w:color w:val="auto"/>
          <w:sz w:val="24"/>
          <w:szCs w:val="24"/>
        </w:rPr>
        <w:t>Warrants</w:t>
      </w:r>
      <w:r>
        <w:rPr>
          <w:rFonts w:ascii="Times New Roman" w:eastAsia="Arial Unicode MS" w:hAnsi="Times New Roman" w:cs="Times New Roman"/>
          <w:color w:val="auto"/>
          <w:sz w:val="24"/>
          <w:szCs w:val="24"/>
        </w:rPr>
        <w:t xml:space="preserve">”) of </w:t>
      </w:r>
      <w:proofErr w:type="spellStart"/>
      <w:r>
        <w:rPr>
          <w:rFonts w:ascii="Times New Roman" w:eastAsia="Arial Unicode MS" w:hAnsi="Times New Roman" w:cs="Times New Roman"/>
          <w:color w:val="auto"/>
          <w:sz w:val="24"/>
          <w:szCs w:val="24"/>
        </w:rPr>
        <w:t>Knol</w:t>
      </w:r>
      <w:proofErr w:type="spellEnd"/>
      <w:r>
        <w:rPr>
          <w:rFonts w:ascii="Times New Roman" w:eastAsia="Arial Unicode MS" w:hAnsi="Times New Roman" w:cs="Times New Roman"/>
          <w:color w:val="auto"/>
          <w:sz w:val="24"/>
          <w:szCs w:val="24"/>
        </w:rPr>
        <w:t xml:space="preserve"> (</w:t>
      </w:r>
      <w:proofErr w:type="gramStart"/>
      <w:r>
        <w:rPr>
          <w:rFonts w:ascii="Times New Roman" w:eastAsia="Arial Unicode MS" w:hAnsi="Times New Roman" w:cs="Times New Roman"/>
          <w:color w:val="auto"/>
          <w:sz w:val="24"/>
          <w:szCs w:val="24"/>
        </w:rPr>
        <w:t>the</w:t>
      </w:r>
      <w:proofErr w:type="gramEnd"/>
      <w:r>
        <w:rPr>
          <w:rFonts w:ascii="Times New Roman" w:eastAsia="Arial Unicode MS" w:hAnsi="Times New Roman" w:cs="Times New Roman"/>
          <w:color w:val="auto"/>
          <w:sz w:val="24"/>
          <w:szCs w:val="24"/>
        </w:rPr>
        <w:t> “</w:t>
      </w:r>
      <w:r w:rsidRPr="00723811">
        <w:rPr>
          <w:rFonts w:ascii="Times New Roman" w:eastAsia="Arial Unicode MS" w:hAnsi="Times New Roman" w:cs="Times New Roman"/>
          <w:b/>
          <w:color w:val="auto"/>
          <w:sz w:val="24"/>
          <w:szCs w:val="24"/>
        </w:rPr>
        <w:t>Share Exchange</w:t>
      </w:r>
      <w:r w:rsidRPr="00993B5B">
        <w:rPr>
          <w:rFonts w:ascii="Times New Roman" w:eastAsia="Arial Unicode MS" w:hAnsi="Times New Roman" w:cs="Times New Roman"/>
          <w:color w:val="auto"/>
          <w:sz w:val="24"/>
          <w:szCs w:val="24"/>
        </w:rPr>
        <w:t>”).  Following the Share Exchange, th</w:t>
      </w:r>
      <w:r w:rsidR="0030644F">
        <w:rPr>
          <w:rFonts w:ascii="Times New Roman" w:eastAsia="Arial Unicode MS" w:hAnsi="Times New Roman" w:cs="Times New Roman"/>
          <w:color w:val="auto"/>
          <w:sz w:val="24"/>
          <w:szCs w:val="24"/>
        </w:rPr>
        <w:t>e</w:t>
      </w:r>
      <w:r w:rsidRPr="00993B5B">
        <w:rPr>
          <w:rFonts w:ascii="Times New Roman" w:eastAsia="Arial Unicode MS" w:hAnsi="Times New Roman" w:cs="Times New Roman"/>
          <w:color w:val="auto"/>
          <w:sz w:val="24"/>
          <w:szCs w:val="24"/>
        </w:rPr>
        <w:t xml:space="preserve"> Special Shares would be redeemed by Pivot in exchange for common shares of Non-</w:t>
      </w:r>
      <w:proofErr w:type="spellStart"/>
      <w:r w:rsidRPr="00993B5B">
        <w:rPr>
          <w:rFonts w:ascii="Times New Roman" w:eastAsia="Arial Unicode MS" w:hAnsi="Times New Roman" w:cs="Times New Roman"/>
          <w:color w:val="auto"/>
          <w:sz w:val="24"/>
          <w:szCs w:val="24"/>
        </w:rPr>
        <w:t>USco</w:t>
      </w:r>
      <w:proofErr w:type="spellEnd"/>
      <w:r w:rsidRPr="00993B5B">
        <w:rPr>
          <w:rFonts w:ascii="Times New Roman" w:eastAsia="Arial Unicode MS" w:hAnsi="Times New Roman" w:cs="Times New Roman"/>
          <w:color w:val="auto"/>
          <w:sz w:val="24"/>
          <w:szCs w:val="24"/>
        </w:rPr>
        <w:t>, thereby making Non-</w:t>
      </w:r>
      <w:proofErr w:type="spellStart"/>
      <w:r w:rsidRPr="00993B5B">
        <w:rPr>
          <w:rFonts w:ascii="Times New Roman" w:eastAsia="Arial Unicode MS" w:hAnsi="Times New Roman" w:cs="Times New Roman"/>
          <w:color w:val="auto"/>
          <w:sz w:val="24"/>
          <w:szCs w:val="24"/>
        </w:rPr>
        <w:t>USco</w:t>
      </w:r>
      <w:proofErr w:type="spellEnd"/>
      <w:r w:rsidRPr="00993B5B">
        <w:rPr>
          <w:rFonts w:ascii="Times New Roman" w:eastAsia="Arial Unicode MS" w:hAnsi="Times New Roman" w:cs="Times New Roman"/>
          <w:color w:val="auto"/>
          <w:sz w:val="24"/>
          <w:szCs w:val="24"/>
        </w:rPr>
        <w:t xml:space="preserve"> a wholly-owned subsidiary of </w:t>
      </w:r>
      <w:proofErr w:type="spellStart"/>
      <w:r w:rsidRPr="00993B5B">
        <w:rPr>
          <w:rFonts w:ascii="Times New Roman" w:eastAsia="Arial Unicode MS" w:hAnsi="Times New Roman" w:cs="Times New Roman"/>
          <w:color w:val="auto"/>
          <w:sz w:val="24"/>
          <w:szCs w:val="24"/>
        </w:rPr>
        <w:t>Knol</w:t>
      </w:r>
      <w:proofErr w:type="spellEnd"/>
      <w:r w:rsidRPr="00993B5B">
        <w:rPr>
          <w:rFonts w:ascii="Times New Roman" w:eastAsia="Arial Unicode MS" w:hAnsi="Times New Roman" w:cs="Times New Roman"/>
          <w:color w:val="auto"/>
          <w:sz w:val="24"/>
          <w:szCs w:val="24"/>
        </w:rPr>
        <w:t>.</w:t>
      </w:r>
    </w:p>
    <w:p w:rsidR="00E80F9C" w:rsidRPr="00993B5B"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E80F9C"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Pivot currently has outstanding indebtedness of approximately $5.0 million owing pursuant to a convertible debenture which is secured against all of the assets of Pivot.  </w:t>
      </w:r>
      <w:r w:rsidRPr="00993B5B">
        <w:rPr>
          <w:rFonts w:ascii="Times New Roman" w:eastAsia="Arial Unicode MS" w:hAnsi="Times New Roman" w:cs="Times New Roman"/>
          <w:color w:val="auto"/>
          <w:sz w:val="24"/>
          <w:szCs w:val="24"/>
        </w:rPr>
        <w:t>Pivot will use its commercially rea</w:t>
      </w:r>
      <w:r>
        <w:rPr>
          <w:rFonts w:ascii="Times New Roman" w:eastAsia="Arial Unicode MS" w:hAnsi="Times New Roman" w:cs="Times New Roman"/>
          <w:color w:val="auto"/>
          <w:sz w:val="24"/>
          <w:szCs w:val="24"/>
        </w:rPr>
        <w:t>sonable efforts to eliminate this</w:t>
      </w:r>
      <w:r w:rsidRPr="00993B5B">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i</w:t>
      </w:r>
      <w:r w:rsidRPr="00993B5B">
        <w:rPr>
          <w:rFonts w:ascii="Times New Roman" w:eastAsia="Arial Unicode MS" w:hAnsi="Times New Roman" w:cs="Times New Roman"/>
          <w:color w:val="auto"/>
          <w:sz w:val="24"/>
          <w:szCs w:val="24"/>
        </w:rPr>
        <w:t>ndebtedness and the</w:t>
      </w:r>
      <w:r>
        <w:rPr>
          <w:rFonts w:ascii="Times New Roman" w:eastAsia="Arial Unicode MS" w:hAnsi="Times New Roman" w:cs="Times New Roman"/>
          <w:color w:val="auto"/>
          <w:sz w:val="24"/>
          <w:szCs w:val="24"/>
        </w:rPr>
        <w:t xml:space="preserve"> related s</w:t>
      </w:r>
      <w:r w:rsidRPr="00993B5B">
        <w:rPr>
          <w:rFonts w:ascii="Times New Roman" w:eastAsia="Arial Unicode MS" w:hAnsi="Times New Roman" w:cs="Times New Roman"/>
          <w:color w:val="auto"/>
          <w:sz w:val="24"/>
          <w:szCs w:val="24"/>
        </w:rPr>
        <w:t xml:space="preserve">ecurity prior to the redemption of the Special Shares.  However, should </w:t>
      </w:r>
      <w:r>
        <w:rPr>
          <w:rFonts w:ascii="Times New Roman" w:eastAsia="Arial Unicode MS" w:hAnsi="Times New Roman" w:cs="Times New Roman"/>
          <w:color w:val="auto"/>
          <w:sz w:val="24"/>
          <w:szCs w:val="24"/>
        </w:rPr>
        <w:t>it remain in place</w:t>
      </w:r>
      <w:r w:rsidRPr="00993B5B">
        <w:rPr>
          <w:rFonts w:ascii="Times New Roman" w:eastAsia="Arial Unicode MS" w:hAnsi="Times New Roman" w:cs="Times New Roman"/>
          <w:color w:val="auto"/>
          <w:sz w:val="24"/>
          <w:szCs w:val="24"/>
        </w:rPr>
        <w:t xml:space="preserve"> at the time of the redemption, </w:t>
      </w:r>
      <w:proofErr w:type="spellStart"/>
      <w:r>
        <w:rPr>
          <w:rFonts w:ascii="Times New Roman" w:eastAsia="Arial Unicode MS" w:hAnsi="Times New Roman" w:cs="Times New Roman"/>
          <w:color w:val="auto"/>
          <w:sz w:val="24"/>
          <w:szCs w:val="24"/>
        </w:rPr>
        <w:t>Knol</w:t>
      </w:r>
      <w:proofErr w:type="spellEnd"/>
      <w:r>
        <w:rPr>
          <w:rFonts w:ascii="Times New Roman" w:eastAsia="Arial Unicode MS" w:hAnsi="Times New Roman" w:cs="Times New Roman"/>
          <w:color w:val="auto"/>
          <w:sz w:val="24"/>
          <w:szCs w:val="24"/>
        </w:rPr>
        <w:t xml:space="preserve"> and Pivot have agreed that Non-</w:t>
      </w:r>
      <w:proofErr w:type="spellStart"/>
      <w:r>
        <w:rPr>
          <w:rFonts w:ascii="Times New Roman" w:eastAsia="Arial Unicode MS" w:hAnsi="Times New Roman" w:cs="Times New Roman"/>
          <w:color w:val="auto"/>
          <w:sz w:val="24"/>
          <w:szCs w:val="24"/>
        </w:rPr>
        <w:t>USco</w:t>
      </w:r>
      <w:proofErr w:type="spellEnd"/>
      <w:r>
        <w:rPr>
          <w:rFonts w:ascii="Times New Roman" w:eastAsia="Arial Unicode MS" w:hAnsi="Times New Roman" w:cs="Times New Roman"/>
          <w:color w:val="auto"/>
          <w:sz w:val="24"/>
          <w:szCs w:val="24"/>
        </w:rPr>
        <w:t xml:space="preserve"> will assume a portion of this </w:t>
      </w:r>
      <w:r w:rsidRPr="00993B5B">
        <w:rPr>
          <w:rFonts w:ascii="Times New Roman" w:eastAsia="Arial Unicode MS" w:hAnsi="Times New Roman" w:cs="Times New Roman"/>
          <w:color w:val="auto"/>
          <w:sz w:val="24"/>
          <w:szCs w:val="24"/>
        </w:rPr>
        <w:t xml:space="preserve">indebtedness not to exceed </w:t>
      </w:r>
      <w:r>
        <w:rPr>
          <w:rFonts w:ascii="Times New Roman" w:eastAsia="Arial Unicode MS" w:hAnsi="Times New Roman" w:cs="Times New Roman"/>
          <w:color w:val="auto"/>
          <w:sz w:val="24"/>
          <w:szCs w:val="24"/>
        </w:rPr>
        <w:t xml:space="preserve">the lesser of </w:t>
      </w:r>
      <w:r w:rsidRPr="00993B5B">
        <w:rPr>
          <w:rFonts w:ascii="Times New Roman" w:eastAsia="Arial Unicode MS" w:hAnsi="Times New Roman" w:cs="Times New Roman"/>
          <w:color w:val="auto"/>
          <w:sz w:val="24"/>
          <w:szCs w:val="24"/>
        </w:rPr>
        <w:t>approximately $</w:t>
      </w:r>
      <w:r>
        <w:rPr>
          <w:rFonts w:ascii="Times New Roman" w:eastAsia="Arial Unicode MS" w:hAnsi="Times New Roman" w:cs="Times New Roman"/>
          <w:color w:val="auto"/>
          <w:sz w:val="24"/>
          <w:szCs w:val="24"/>
        </w:rPr>
        <w:t>2.5 million</w:t>
      </w:r>
      <w:r w:rsidRPr="00993B5B">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 xml:space="preserve">and one-half of the outstanding </w:t>
      </w:r>
      <w:r w:rsidRPr="00993B5B">
        <w:rPr>
          <w:rFonts w:ascii="Times New Roman" w:eastAsia="Arial Unicode MS" w:hAnsi="Times New Roman" w:cs="Times New Roman"/>
          <w:color w:val="auto"/>
          <w:sz w:val="24"/>
          <w:szCs w:val="24"/>
        </w:rPr>
        <w:t>principal amount</w:t>
      </w:r>
      <w:r>
        <w:rPr>
          <w:rFonts w:ascii="Times New Roman" w:eastAsia="Arial Unicode MS" w:hAnsi="Times New Roman" w:cs="Times New Roman"/>
          <w:color w:val="auto"/>
          <w:sz w:val="24"/>
          <w:szCs w:val="24"/>
        </w:rPr>
        <w:t xml:space="preserve"> </w:t>
      </w:r>
      <w:r w:rsidR="0030644F">
        <w:rPr>
          <w:rFonts w:ascii="Times New Roman" w:eastAsia="Arial Unicode MS" w:hAnsi="Times New Roman" w:cs="Times New Roman"/>
          <w:color w:val="auto"/>
          <w:sz w:val="24"/>
          <w:szCs w:val="24"/>
        </w:rPr>
        <w:t>of</w:t>
      </w:r>
      <w:r>
        <w:rPr>
          <w:rFonts w:ascii="Times New Roman" w:eastAsia="Arial Unicode MS" w:hAnsi="Times New Roman" w:cs="Times New Roman"/>
          <w:color w:val="auto"/>
          <w:sz w:val="24"/>
          <w:szCs w:val="24"/>
        </w:rPr>
        <w:t xml:space="preserve"> the debentures</w:t>
      </w:r>
      <w:r w:rsidRPr="00993B5B">
        <w:rPr>
          <w:rFonts w:ascii="Times New Roman" w:eastAsia="Arial Unicode MS" w:hAnsi="Times New Roman" w:cs="Times New Roman"/>
          <w:color w:val="auto"/>
          <w:sz w:val="24"/>
          <w:szCs w:val="24"/>
        </w:rPr>
        <w:t xml:space="preserve"> (the “</w:t>
      </w:r>
      <w:r w:rsidRPr="00723811">
        <w:rPr>
          <w:rFonts w:ascii="Times New Roman" w:eastAsia="Arial Unicode MS" w:hAnsi="Times New Roman" w:cs="Times New Roman"/>
          <w:b/>
          <w:color w:val="auto"/>
          <w:sz w:val="24"/>
          <w:szCs w:val="24"/>
        </w:rPr>
        <w:t>Indebtedness</w:t>
      </w:r>
      <w:r w:rsidRPr="00993B5B">
        <w:rPr>
          <w:rFonts w:ascii="Times New Roman" w:eastAsia="Arial Unicode MS" w:hAnsi="Times New Roman" w:cs="Times New Roman"/>
          <w:color w:val="auto"/>
          <w:sz w:val="24"/>
          <w:szCs w:val="24"/>
        </w:rPr>
        <w:t>”) which will be secured by the Non-U</w:t>
      </w:r>
      <w:r>
        <w:rPr>
          <w:rFonts w:ascii="Times New Roman" w:eastAsia="Arial Unicode MS" w:hAnsi="Times New Roman" w:cs="Times New Roman"/>
          <w:color w:val="auto"/>
          <w:sz w:val="24"/>
          <w:szCs w:val="24"/>
        </w:rPr>
        <w:t>S Assets, with the balance of the</w:t>
      </w:r>
      <w:r w:rsidRPr="00993B5B">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I</w:t>
      </w:r>
      <w:r w:rsidRPr="00993B5B">
        <w:rPr>
          <w:rFonts w:ascii="Times New Roman" w:eastAsia="Arial Unicode MS" w:hAnsi="Times New Roman" w:cs="Times New Roman"/>
          <w:color w:val="auto"/>
          <w:sz w:val="24"/>
          <w:szCs w:val="24"/>
        </w:rPr>
        <w:t xml:space="preserve">ndebtedness </w:t>
      </w:r>
      <w:r>
        <w:rPr>
          <w:rFonts w:ascii="Times New Roman" w:eastAsia="Arial Unicode MS" w:hAnsi="Times New Roman" w:cs="Times New Roman"/>
          <w:color w:val="auto"/>
          <w:sz w:val="24"/>
          <w:szCs w:val="24"/>
        </w:rPr>
        <w:t>being</w:t>
      </w:r>
      <w:r w:rsidRPr="00993B5B">
        <w:rPr>
          <w:rFonts w:ascii="Times New Roman" w:eastAsia="Arial Unicode MS" w:hAnsi="Times New Roman" w:cs="Times New Roman"/>
          <w:color w:val="auto"/>
          <w:sz w:val="24"/>
          <w:szCs w:val="24"/>
        </w:rPr>
        <w:t xml:space="preserve"> retained by Pivot (together with the corresponding </w:t>
      </w:r>
      <w:r>
        <w:rPr>
          <w:rFonts w:ascii="Times New Roman" w:eastAsia="Arial Unicode MS" w:hAnsi="Times New Roman" w:cs="Times New Roman"/>
          <w:color w:val="auto"/>
          <w:sz w:val="24"/>
          <w:szCs w:val="24"/>
        </w:rPr>
        <w:t>s</w:t>
      </w:r>
      <w:r w:rsidRPr="00993B5B">
        <w:rPr>
          <w:rFonts w:ascii="Times New Roman" w:eastAsia="Arial Unicode MS" w:hAnsi="Times New Roman" w:cs="Times New Roman"/>
          <w:color w:val="auto"/>
          <w:sz w:val="24"/>
          <w:szCs w:val="24"/>
        </w:rPr>
        <w:t>ecurity).  Should, for any reason, it be determined at any time following the signin</w:t>
      </w:r>
      <w:r>
        <w:rPr>
          <w:rFonts w:ascii="Times New Roman" w:eastAsia="Arial Unicode MS" w:hAnsi="Times New Roman" w:cs="Times New Roman"/>
          <w:color w:val="auto"/>
          <w:sz w:val="24"/>
          <w:szCs w:val="24"/>
        </w:rPr>
        <w:t xml:space="preserve">g of the Definitive Agreement </w:t>
      </w:r>
      <w:r w:rsidRPr="00993B5B">
        <w:rPr>
          <w:rFonts w:ascii="Times New Roman" w:eastAsia="Arial Unicode MS" w:hAnsi="Times New Roman" w:cs="Times New Roman"/>
          <w:color w:val="auto"/>
          <w:sz w:val="24"/>
          <w:szCs w:val="24"/>
        </w:rPr>
        <w:t>and prior to the mailing of the proxy circular in respect of the special meeting o</w:t>
      </w:r>
      <w:r w:rsidR="005E2F20">
        <w:rPr>
          <w:rFonts w:ascii="Times New Roman" w:eastAsia="Arial Unicode MS" w:hAnsi="Times New Roman" w:cs="Times New Roman"/>
          <w:color w:val="auto"/>
          <w:sz w:val="24"/>
          <w:szCs w:val="24"/>
        </w:rPr>
        <w:t xml:space="preserve">f the shareholders of </w:t>
      </w:r>
      <w:proofErr w:type="spellStart"/>
      <w:r w:rsidR="005E2F20">
        <w:rPr>
          <w:rFonts w:ascii="Times New Roman" w:eastAsia="Arial Unicode MS" w:hAnsi="Times New Roman" w:cs="Times New Roman"/>
          <w:color w:val="auto"/>
          <w:sz w:val="24"/>
          <w:szCs w:val="24"/>
        </w:rPr>
        <w:t>Knol</w:t>
      </w:r>
      <w:proofErr w:type="spellEnd"/>
      <w:r w:rsidR="005E2F20">
        <w:rPr>
          <w:rFonts w:ascii="Times New Roman" w:eastAsia="Arial Unicode MS" w:hAnsi="Times New Roman" w:cs="Times New Roman"/>
          <w:color w:val="auto"/>
          <w:sz w:val="24"/>
          <w:szCs w:val="24"/>
        </w:rPr>
        <w:t xml:space="preserve"> (the </w:t>
      </w:r>
      <w:r w:rsidRPr="00993B5B">
        <w:rPr>
          <w:rFonts w:ascii="Times New Roman" w:eastAsia="Arial Unicode MS" w:hAnsi="Times New Roman" w:cs="Times New Roman"/>
          <w:color w:val="auto"/>
          <w:sz w:val="24"/>
          <w:szCs w:val="24"/>
        </w:rPr>
        <w:t>“</w:t>
      </w:r>
      <w:proofErr w:type="spellStart"/>
      <w:r w:rsidRPr="005E2F20">
        <w:rPr>
          <w:rFonts w:ascii="Times New Roman" w:eastAsia="Arial Unicode MS" w:hAnsi="Times New Roman" w:cs="Times New Roman"/>
          <w:b/>
          <w:color w:val="auto"/>
          <w:sz w:val="24"/>
          <w:szCs w:val="24"/>
        </w:rPr>
        <w:t>Knol</w:t>
      </w:r>
      <w:proofErr w:type="spellEnd"/>
      <w:r w:rsidRPr="005E2F20">
        <w:rPr>
          <w:rFonts w:ascii="Times New Roman" w:eastAsia="Arial Unicode MS" w:hAnsi="Times New Roman" w:cs="Times New Roman"/>
          <w:b/>
          <w:color w:val="auto"/>
          <w:sz w:val="24"/>
          <w:szCs w:val="24"/>
        </w:rPr>
        <w:t xml:space="preserve"> Shareholders</w:t>
      </w:r>
      <w:r w:rsidRPr="00993B5B">
        <w:rPr>
          <w:rFonts w:ascii="Times New Roman" w:eastAsia="Arial Unicode MS" w:hAnsi="Times New Roman" w:cs="Times New Roman"/>
          <w:color w:val="auto"/>
          <w:sz w:val="24"/>
          <w:szCs w:val="24"/>
        </w:rPr>
        <w:t>”) to be called in order to obtain their approval of the Transaction, that the principal amount of the Indebtedness to be assumed by Non-</w:t>
      </w:r>
      <w:proofErr w:type="spellStart"/>
      <w:r w:rsidRPr="00993B5B">
        <w:rPr>
          <w:rFonts w:ascii="Times New Roman" w:eastAsia="Arial Unicode MS" w:hAnsi="Times New Roman" w:cs="Times New Roman"/>
          <w:color w:val="auto"/>
          <w:sz w:val="24"/>
          <w:szCs w:val="24"/>
        </w:rPr>
        <w:t>USco</w:t>
      </w:r>
      <w:proofErr w:type="spellEnd"/>
      <w:r w:rsidRPr="00993B5B">
        <w:rPr>
          <w:rFonts w:ascii="Times New Roman" w:eastAsia="Arial Unicode MS" w:hAnsi="Times New Roman" w:cs="Times New Roman"/>
          <w:color w:val="auto"/>
          <w:sz w:val="24"/>
          <w:szCs w:val="24"/>
        </w:rPr>
        <w:t xml:space="preserve"> at the time of redemption will exceed </w:t>
      </w:r>
      <w:r>
        <w:rPr>
          <w:rFonts w:ascii="Times New Roman" w:eastAsia="Arial Unicode MS" w:hAnsi="Times New Roman" w:cs="Times New Roman"/>
          <w:color w:val="auto"/>
          <w:sz w:val="24"/>
          <w:szCs w:val="24"/>
        </w:rPr>
        <w:t>the amount referenced above</w:t>
      </w:r>
      <w:r w:rsidRPr="00993B5B">
        <w:rPr>
          <w:rFonts w:ascii="Times New Roman" w:eastAsia="Arial Unicode MS" w:hAnsi="Times New Roman" w:cs="Times New Roman"/>
          <w:color w:val="auto"/>
          <w:sz w:val="24"/>
          <w:szCs w:val="24"/>
        </w:rPr>
        <w:t xml:space="preserve">, either </w:t>
      </w:r>
      <w:proofErr w:type="spellStart"/>
      <w:r w:rsidRPr="00993B5B">
        <w:rPr>
          <w:rFonts w:ascii="Times New Roman" w:eastAsia="Arial Unicode MS" w:hAnsi="Times New Roman" w:cs="Times New Roman"/>
          <w:color w:val="auto"/>
          <w:sz w:val="24"/>
          <w:szCs w:val="24"/>
        </w:rPr>
        <w:t>Knol</w:t>
      </w:r>
      <w:proofErr w:type="spellEnd"/>
      <w:r w:rsidRPr="00993B5B">
        <w:rPr>
          <w:rFonts w:ascii="Times New Roman" w:eastAsia="Arial Unicode MS" w:hAnsi="Times New Roman" w:cs="Times New Roman"/>
          <w:color w:val="auto"/>
          <w:sz w:val="24"/>
          <w:szCs w:val="24"/>
        </w:rPr>
        <w:t xml:space="preserve"> or Pivot would be entitled to terminate the Transaction by way of written notice, upon which Pivot would pay to </w:t>
      </w:r>
      <w:proofErr w:type="spellStart"/>
      <w:r w:rsidRPr="00993B5B">
        <w:rPr>
          <w:rFonts w:ascii="Times New Roman" w:eastAsia="Arial Unicode MS" w:hAnsi="Times New Roman" w:cs="Times New Roman"/>
          <w:color w:val="auto"/>
          <w:sz w:val="24"/>
          <w:szCs w:val="24"/>
        </w:rPr>
        <w:t>Knol</w:t>
      </w:r>
      <w:proofErr w:type="spellEnd"/>
      <w:r w:rsidRPr="00993B5B">
        <w:rPr>
          <w:rFonts w:ascii="Times New Roman" w:eastAsia="Arial Unicode MS" w:hAnsi="Times New Roman" w:cs="Times New Roman"/>
          <w:color w:val="auto"/>
          <w:sz w:val="24"/>
          <w:szCs w:val="24"/>
        </w:rPr>
        <w:t xml:space="preserve"> an amount equal to the lesser of (</w:t>
      </w:r>
      <w:proofErr w:type="spellStart"/>
      <w:r w:rsidRPr="00993B5B">
        <w:rPr>
          <w:rFonts w:ascii="Times New Roman" w:eastAsia="Arial Unicode MS" w:hAnsi="Times New Roman" w:cs="Times New Roman"/>
          <w:color w:val="auto"/>
          <w:sz w:val="24"/>
          <w:szCs w:val="24"/>
        </w:rPr>
        <w:t>i</w:t>
      </w:r>
      <w:proofErr w:type="spellEnd"/>
      <w:r w:rsidRPr="00993B5B">
        <w:rPr>
          <w:rFonts w:ascii="Times New Roman" w:eastAsia="Arial Unicode MS" w:hAnsi="Times New Roman" w:cs="Times New Roman"/>
          <w:color w:val="auto"/>
          <w:sz w:val="24"/>
          <w:szCs w:val="24"/>
        </w:rPr>
        <w:t xml:space="preserve">) the legal fees and other costs incurred by </w:t>
      </w:r>
      <w:proofErr w:type="spellStart"/>
      <w:r w:rsidRPr="00993B5B">
        <w:rPr>
          <w:rFonts w:ascii="Times New Roman" w:eastAsia="Arial Unicode MS" w:hAnsi="Times New Roman" w:cs="Times New Roman"/>
          <w:color w:val="auto"/>
          <w:sz w:val="24"/>
          <w:szCs w:val="24"/>
        </w:rPr>
        <w:t>Knol</w:t>
      </w:r>
      <w:proofErr w:type="spellEnd"/>
      <w:r w:rsidRPr="00993B5B">
        <w:rPr>
          <w:rFonts w:ascii="Times New Roman" w:eastAsia="Arial Unicode MS" w:hAnsi="Times New Roman" w:cs="Times New Roman"/>
          <w:color w:val="auto"/>
          <w:sz w:val="24"/>
          <w:szCs w:val="24"/>
        </w:rPr>
        <w:t xml:space="preserve"> in pursuing the Transaction and (ii) $50,000.</w:t>
      </w:r>
      <w:r>
        <w:rPr>
          <w:rFonts w:ascii="Times New Roman" w:eastAsia="Arial Unicode MS" w:hAnsi="Times New Roman" w:cs="Times New Roman"/>
          <w:color w:val="auto"/>
          <w:sz w:val="24"/>
          <w:szCs w:val="24"/>
        </w:rPr>
        <w:t xml:space="preserve">  The exchange ratio for the Special Shares will be adjusted, as described below, based on the amount of the Indebtedness assumed by the Resulting Issuer.</w:t>
      </w:r>
    </w:p>
    <w:p w:rsidR="00E80F9C"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E80F9C"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Trading in the common shares of </w:t>
      </w:r>
      <w:proofErr w:type="spellStart"/>
      <w:r>
        <w:rPr>
          <w:rFonts w:ascii="Times New Roman" w:eastAsia="Arial Unicode MS" w:hAnsi="Times New Roman" w:cs="Times New Roman"/>
          <w:color w:val="auto"/>
          <w:sz w:val="24"/>
          <w:szCs w:val="24"/>
        </w:rPr>
        <w:t>Knol</w:t>
      </w:r>
      <w:proofErr w:type="spellEnd"/>
      <w:r>
        <w:rPr>
          <w:rFonts w:ascii="Times New Roman" w:eastAsia="Arial Unicode MS" w:hAnsi="Times New Roman" w:cs="Times New Roman"/>
          <w:color w:val="auto"/>
          <w:sz w:val="24"/>
          <w:szCs w:val="24"/>
        </w:rPr>
        <w:t xml:space="preserve"> will remain halted pending the satisfaction of all applicable requirements of the </w:t>
      </w:r>
      <w:r w:rsidR="0030644F">
        <w:rPr>
          <w:rFonts w:ascii="Times New Roman" w:eastAsia="Arial Unicode MS" w:hAnsi="Times New Roman" w:cs="Times New Roman"/>
          <w:color w:val="auto"/>
          <w:sz w:val="24"/>
          <w:szCs w:val="24"/>
        </w:rPr>
        <w:t>TSX Venture Exchange (the “</w:t>
      </w:r>
      <w:r w:rsidRPr="0030644F">
        <w:rPr>
          <w:rFonts w:ascii="Times New Roman" w:eastAsia="Arial Unicode MS" w:hAnsi="Times New Roman" w:cs="Times New Roman"/>
          <w:b/>
          <w:color w:val="auto"/>
          <w:sz w:val="24"/>
          <w:szCs w:val="24"/>
        </w:rPr>
        <w:t>TSXV</w:t>
      </w:r>
      <w:r w:rsidR="0030644F">
        <w:rPr>
          <w:rFonts w:ascii="Times New Roman" w:eastAsia="Arial Unicode MS" w:hAnsi="Times New Roman" w:cs="Times New Roman"/>
          <w:color w:val="auto"/>
          <w:sz w:val="24"/>
          <w:szCs w:val="24"/>
        </w:rPr>
        <w:t>”)</w:t>
      </w:r>
      <w:r>
        <w:rPr>
          <w:rFonts w:ascii="Times New Roman" w:eastAsia="Arial Unicode MS" w:hAnsi="Times New Roman" w:cs="Times New Roman"/>
          <w:color w:val="auto"/>
          <w:sz w:val="24"/>
          <w:szCs w:val="24"/>
        </w:rPr>
        <w:t xml:space="preserve">.  There can be no assurance that trading in the common shares of </w:t>
      </w:r>
      <w:proofErr w:type="spellStart"/>
      <w:r>
        <w:rPr>
          <w:rFonts w:ascii="Times New Roman" w:eastAsia="Arial Unicode MS" w:hAnsi="Times New Roman" w:cs="Times New Roman"/>
          <w:color w:val="auto"/>
          <w:sz w:val="24"/>
          <w:szCs w:val="24"/>
        </w:rPr>
        <w:t>Knol</w:t>
      </w:r>
      <w:proofErr w:type="spellEnd"/>
      <w:r>
        <w:rPr>
          <w:rFonts w:ascii="Times New Roman" w:eastAsia="Arial Unicode MS" w:hAnsi="Times New Roman" w:cs="Times New Roman"/>
          <w:color w:val="auto"/>
          <w:sz w:val="24"/>
          <w:szCs w:val="24"/>
        </w:rPr>
        <w:t xml:space="preserve"> will resume prior to the completion of the Transaction.</w:t>
      </w:r>
    </w:p>
    <w:p w:rsidR="00E80F9C" w:rsidRPr="00993B5B"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E80F9C" w:rsidRDefault="00E80F9C" w:rsidP="00E80F9C">
      <w:pPr>
        <w:pStyle w:val="Corps"/>
        <w:keepNext/>
        <w:shd w:val="clear" w:color="auto" w:fill="FFFFFF"/>
        <w:spacing w:after="150" w:line="240" w:lineRule="auto"/>
        <w:contextualSpacing/>
        <w:jc w:val="both"/>
        <w:rPr>
          <w:rFonts w:ascii="Times New Roman" w:eastAsia="Arial Unicode MS" w:hAnsi="Times New Roman" w:cs="Times New Roman"/>
          <w:b/>
          <w:color w:val="auto"/>
          <w:sz w:val="24"/>
          <w:szCs w:val="24"/>
          <w:u w:val="single"/>
        </w:rPr>
      </w:pPr>
      <w:proofErr w:type="spellStart"/>
      <w:r>
        <w:rPr>
          <w:rFonts w:ascii="Times New Roman" w:eastAsia="Arial Unicode MS" w:hAnsi="Times New Roman" w:cs="Times New Roman"/>
          <w:b/>
          <w:color w:val="auto"/>
          <w:sz w:val="24"/>
          <w:szCs w:val="24"/>
          <w:u w:val="single"/>
        </w:rPr>
        <w:lastRenderedPageBreak/>
        <w:t>Knol</w:t>
      </w:r>
      <w:proofErr w:type="spellEnd"/>
      <w:r>
        <w:rPr>
          <w:rFonts w:ascii="Times New Roman" w:eastAsia="Arial Unicode MS" w:hAnsi="Times New Roman" w:cs="Times New Roman"/>
          <w:b/>
          <w:color w:val="auto"/>
          <w:sz w:val="24"/>
          <w:szCs w:val="24"/>
          <w:u w:val="single"/>
        </w:rPr>
        <w:t xml:space="preserve"> Consolidation</w:t>
      </w:r>
    </w:p>
    <w:p w:rsidR="00E80F9C" w:rsidRPr="009A3003" w:rsidRDefault="00E80F9C" w:rsidP="00E80F9C">
      <w:pPr>
        <w:pStyle w:val="Corps"/>
        <w:keepNext/>
        <w:shd w:val="clear" w:color="auto" w:fill="FFFFFF"/>
        <w:spacing w:after="150" w:line="240" w:lineRule="auto"/>
        <w:contextualSpacing/>
        <w:jc w:val="both"/>
        <w:rPr>
          <w:rFonts w:ascii="Times New Roman" w:eastAsia="Arial Unicode MS" w:hAnsi="Times New Roman" w:cs="Times New Roman"/>
          <w:b/>
          <w:color w:val="auto"/>
          <w:sz w:val="24"/>
          <w:szCs w:val="24"/>
          <w:u w:val="single"/>
        </w:rPr>
      </w:pPr>
    </w:p>
    <w:p w:rsidR="00E80F9C" w:rsidRDefault="00E80F9C" w:rsidP="00E80F9C">
      <w:pPr>
        <w:pStyle w:val="Corps"/>
        <w:keepNext/>
        <w:shd w:val="clear" w:color="auto" w:fill="FFFFFF"/>
        <w:spacing w:after="150" w:line="240" w:lineRule="auto"/>
        <w:contextualSpacing/>
        <w:jc w:val="both"/>
        <w:rPr>
          <w:rFonts w:ascii="Times New Roman" w:eastAsia="Arial Unicode MS" w:hAnsi="Times New Roman" w:cs="Times New Roman"/>
          <w:color w:val="auto"/>
          <w:sz w:val="24"/>
          <w:szCs w:val="24"/>
        </w:rPr>
      </w:pPr>
      <w:r w:rsidRPr="00993B5B">
        <w:rPr>
          <w:rFonts w:ascii="Times New Roman" w:eastAsia="Arial Unicode MS" w:hAnsi="Times New Roman" w:cs="Times New Roman"/>
          <w:color w:val="auto"/>
          <w:sz w:val="24"/>
          <w:szCs w:val="24"/>
        </w:rPr>
        <w:t xml:space="preserve">In connection with the Transaction, </w:t>
      </w:r>
      <w:proofErr w:type="spellStart"/>
      <w:r w:rsidRPr="00993B5B">
        <w:rPr>
          <w:rFonts w:ascii="Times New Roman" w:eastAsia="Arial Unicode MS" w:hAnsi="Times New Roman" w:cs="Times New Roman"/>
          <w:color w:val="auto"/>
          <w:sz w:val="24"/>
          <w:szCs w:val="24"/>
        </w:rPr>
        <w:t>Knol</w:t>
      </w:r>
      <w:proofErr w:type="spellEnd"/>
      <w:r w:rsidRPr="00993B5B">
        <w:rPr>
          <w:rFonts w:ascii="Times New Roman" w:eastAsia="Arial Unicode MS" w:hAnsi="Times New Roman" w:cs="Times New Roman"/>
          <w:color w:val="auto"/>
          <w:sz w:val="24"/>
          <w:szCs w:val="24"/>
        </w:rPr>
        <w:t xml:space="preserve"> will consolidate its common shares on a 7:1 basis immediately prior to the Share Exchange (the “</w:t>
      </w:r>
      <w:r w:rsidRPr="001D3E30">
        <w:rPr>
          <w:rFonts w:ascii="Times New Roman" w:eastAsia="Arial Unicode MS" w:hAnsi="Times New Roman" w:cs="Times New Roman"/>
          <w:b/>
          <w:color w:val="auto"/>
          <w:sz w:val="24"/>
          <w:szCs w:val="24"/>
        </w:rPr>
        <w:t>Consolidation</w:t>
      </w:r>
      <w:r w:rsidRPr="00993B5B">
        <w:rPr>
          <w:rFonts w:ascii="Times New Roman" w:eastAsia="Arial Unicode MS" w:hAnsi="Times New Roman" w:cs="Times New Roman"/>
          <w:color w:val="auto"/>
          <w:sz w:val="24"/>
          <w:szCs w:val="24"/>
        </w:rPr>
        <w:t>”) and change its name to a name to be agreed upon by the parties (the “</w:t>
      </w:r>
      <w:r w:rsidRPr="001D3E30">
        <w:rPr>
          <w:rFonts w:ascii="Times New Roman" w:eastAsia="Arial Unicode MS" w:hAnsi="Times New Roman" w:cs="Times New Roman"/>
          <w:b/>
          <w:color w:val="auto"/>
          <w:sz w:val="24"/>
          <w:szCs w:val="24"/>
        </w:rPr>
        <w:t>Name Change</w:t>
      </w:r>
      <w:r w:rsidRPr="00993B5B">
        <w:rPr>
          <w:rFonts w:ascii="Times New Roman" w:eastAsia="Arial Unicode MS" w:hAnsi="Times New Roman" w:cs="Times New Roman"/>
          <w:color w:val="auto"/>
          <w:sz w:val="24"/>
          <w:szCs w:val="24"/>
        </w:rPr>
        <w:t>”).</w:t>
      </w:r>
    </w:p>
    <w:p w:rsidR="00E80F9C"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E80F9C" w:rsidRDefault="00DC3167" w:rsidP="00E80F9C">
      <w:pPr>
        <w:pStyle w:val="Corps"/>
        <w:keepNext/>
        <w:shd w:val="clear" w:color="auto" w:fill="FFFFFF"/>
        <w:spacing w:after="150" w:line="240" w:lineRule="auto"/>
        <w:contextualSpacing/>
        <w:jc w:val="both"/>
        <w:rPr>
          <w:rFonts w:ascii="Times New Roman" w:eastAsia="Arial Unicode MS" w:hAnsi="Times New Roman" w:cs="Times New Roman"/>
          <w:b/>
          <w:color w:val="auto"/>
          <w:sz w:val="24"/>
          <w:szCs w:val="24"/>
          <w:u w:val="single"/>
        </w:rPr>
      </w:pPr>
      <w:r>
        <w:rPr>
          <w:rFonts w:ascii="Times New Roman" w:eastAsia="Arial Unicode MS" w:hAnsi="Times New Roman" w:cs="Times New Roman"/>
          <w:b/>
          <w:color w:val="auto"/>
          <w:sz w:val="24"/>
          <w:szCs w:val="24"/>
          <w:u w:val="single"/>
        </w:rPr>
        <w:t>Share Breakdown</w:t>
      </w:r>
    </w:p>
    <w:p w:rsidR="00E80F9C" w:rsidRPr="00933489" w:rsidRDefault="00E80F9C" w:rsidP="00E80F9C">
      <w:pPr>
        <w:pStyle w:val="Corps"/>
        <w:keepNext/>
        <w:shd w:val="clear" w:color="auto" w:fill="FFFFFF"/>
        <w:spacing w:after="150" w:line="240" w:lineRule="auto"/>
        <w:contextualSpacing/>
        <w:jc w:val="both"/>
        <w:rPr>
          <w:rFonts w:ascii="Times New Roman" w:eastAsia="Arial Unicode MS" w:hAnsi="Times New Roman" w:cs="Times New Roman"/>
          <w:b/>
          <w:color w:val="auto"/>
          <w:sz w:val="24"/>
          <w:szCs w:val="24"/>
          <w:u w:val="single"/>
        </w:rPr>
      </w:pPr>
    </w:p>
    <w:p w:rsidR="00E80F9C" w:rsidRDefault="00E80F9C" w:rsidP="00E80F9C">
      <w:pPr>
        <w:pStyle w:val="Corps"/>
        <w:keepNext/>
        <w:shd w:val="clear" w:color="auto" w:fill="FFFFFF"/>
        <w:spacing w:after="150" w:line="240" w:lineRule="auto"/>
        <w:contextualSpacing/>
        <w:jc w:val="both"/>
        <w:rPr>
          <w:rFonts w:ascii="Times New Roman" w:eastAsia="Arial Unicode MS" w:hAnsi="Times New Roman" w:cs="Times New Roman"/>
          <w:color w:val="auto"/>
          <w:sz w:val="24"/>
          <w:szCs w:val="24"/>
        </w:rPr>
      </w:pPr>
      <w:r w:rsidRPr="00993B5B">
        <w:rPr>
          <w:rFonts w:ascii="Times New Roman" w:eastAsia="Arial Unicode MS" w:hAnsi="Times New Roman" w:cs="Times New Roman"/>
          <w:color w:val="auto"/>
          <w:sz w:val="24"/>
          <w:szCs w:val="24"/>
        </w:rPr>
        <w:t>Should Non-</w:t>
      </w:r>
      <w:proofErr w:type="spellStart"/>
      <w:r w:rsidRPr="00993B5B">
        <w:rPr>
          <w:rFonts w:ascii="Times New Roman" w:eastAsia="Arial Unicode MS" w:hAnsi="Times New Roman" w:cs="Times New Roman"/>
          <w:color w:val="auto"/>
          <w:sz w:val="24"/>
          <w:szCs w:val="24"/>
        </w:rPr>
        <w:t>USco</w:t>
      </w:r>
      <w:proofErr w:type="spellEnd"/>
      <w:r w:rsidRPr="00993B5B">
        <w:rPr>
          <w:rFonts w:ascii="Times New Roman" w:eastAsia="Arial Unicode MS" w:hAnsi="Times New Roman" w:cs="Times New Roman"/>
          <w:color w:val="auto"/>
          <w:sz w:val="24"/>
          <w:szCs w:val="24"/>
        </w:rPr>
        <w:t xml:space="preserve"> not retain any of the Indebtedness upon closing of the Transaction, an aggregate of</w:t>
      </w:r>
      <w:r>
        <w:rPr>
          <w:rFonts w:ascii="Times New Roman" w:eastAsia="Arial Unicode MS" w:hAnsi="Times New Roman" w:cs="Times New Roman"/>
          <w:color w:val="auto"/>
          <w:sz w:val="24"/>
          <w:szCs w:val="24"/>
        </w:rPr>
        <w:t xml:space="preserve"> approximately</w:t>
      </w:r>
      <w:r w:rsidRPr="00993B5B">
        <w:rPr>
          <w:rFonts w:ascii="Times New Roman" w:eastAsia="Arial Unicode MS" w:hAnsi="Times New Roman" w:cs="Times New Roman"/>
          <w:color w:val="auto"/>
          <w:sz w:val="24"/>
          <w:szCs w:val="24"/>
        </w:rPr>
        <w:t>: (</w:t>
      </w:r>
      <w:proofErr w:type="spellStart"/>
      <w:r w:rsidRPr="00993B5B">
        <w:rPr>
          <w:rFonts w:ascii="Times New Roman" w:eastAsia="Arial Unicode MS" w:hAnsi="Times New Roman" w:cs="Times New Roman"/>
          <w:color w:val="auto"/>
          <w:sz w:val="24"/>
          <w:szCs w:val="24"/>
        </w:rPr>
        <w:t>i</w:t>
      </w:r>
      <w:proofErr w:type="spellEnd"/>
      <w:r w:rsidRPr="00993B5B">
        <w:rPr>
          <w:rFonts w:ascii="Times New Roman" w:eastAsia="Arial Unicode MS" w:hAnsi="Times New Roman" w:cs="Times New Roman"/>
          <w:color w:val="auto"/>
          <w:sz w:val="24"/>
          <w:szCs w:val="24"/>
        </w:rPr>
        <w:t xml:space="preserve">) 35,000,000 post-Consolidation </w:t>
      </w:r>
      <w:proofErr w:type="spellStart"/>
      <w:r w:rsidRPr="00993B5B">
        <w:rPr>
          <w:rFonts w:ascii="Times New Roman" w:eastAsia="Arial Unicode MS" w:hAnsi="Times New Roman" w:cs="Times New Roman"/>
          <w:color w:val="auto"/>
          <w:sz w:val="24"/>
          <w:szCs w:val="24"/>
        </w:rPr>
        <w:t>Knol</w:t>
      </w:r>
      <w:proofErr w:type="spellEnd"/>
      <w:r w:rsidRPr="00993B5B">
        <w:rPr>
          <w:rFonts w:ascii="Times New Roman" w:eastAsia="Arial Unicode MS" w:hAnsi="Times New Roman" w:cs="Times New Roman"/>
          <w:color w:val="auto"/>
          <w:sz w:val="24"/>
          <w:szCs w:val="24"/>
        </w:rPr>
        <w:t xml:space="preserve"> Shares (the “</w:t>
      </w:r>
      <w:r w:rsidRPr="001D3E30">
        <w:rPr>
          <w:rFonts w:ascii="Times New Roman" w:eastAsia="Arial Unicode MS" w:hAnsi="Times New Roman" w:cs="Times New Roman"/>
          <w:b/>
          <w:color w:val="auto"/>
          <w:sz w:val="24"/>
          <w:szCs w:val="24"/>
        </w:rPr>
        <w:t>Payment Shares</w:t>
      </w:r>
      <w:r w:rsidRPr="00993B5B">
        <w:rPr>
          <w:rFonts w:ascii="Times New Roman" w:eastAsia="Arial Unicode MS" w:hAnsi="Times New Roman" w:cs="Times New Roman"/>
          <w:color w:val="auto"/>
          <w:sz w:val="24"/>
          <w:szCs w:val="24"/>
        </w:rPr>
        <w:t xml:space="preserve">”), at a deemed issue price of $0.50 per Payment Share, and (ii) 12,000,000 Warrants will be issued by </w:t>
      </w:r>
      <w:proofErr w:type="spellStart"/>
      <w:r w:rsidRPr="00993B5B">
        <w:rPr>
          <w:rFonts w:ascii="Times New Roman" w:eastAsia="Arial Unicode MS" w:hAnsi="Times New Roman" w:cs="Times New Roman"/>
          <w:color w:val="auto"/>
          <w:sz w:val="24"/>
          <w:szCs w:val="24"/>
        </w:rPr>
        <w:t>Knol</w:t>
      </w:r>
      <w:proofErr w:type="spellEnd"/>
      <w:r w:rsidRPr="00993B5B">
        <w:rPr>
          <w:rFonts w:ascii="Times New Roman" w:eastAsia="Arial Unicode MS" w:hAnsi="Times New Roman" w:cs="Times New Roman"/>
          <w:color w:val="auto"/>
          <w:sz w:val="24"/>
          <w:szCs w:val="24"/>
        </w:rPr>
        <w:t xml:space="preserve"> to the Pivot Shareholders in consideration of the acquisition of all of the issued and outstanding Special Shares.  </w:t>
      </w:r>
      <w:r>
        <w:rPr>
          <w:rFonts w:ascii="Times New Roman" w:eastAsia="Arial Unicode MS" w:hAnsi="Times New Roman" w:cs="Times New Roman"/>
          <w:color w:val="auto"/>
          <w:sz w:val="24"/>
          <w:szCs w:val="24"/>
        </w:rPr>
        <w:t>It is intended that each</w:t>
      </w:r>
      <w:r w:rsidRPr="00993B5B">
        <w:rPr>
          <w:rFonts w:ascii="Times New Roman" w:eastAsia="Arial Unicode MS" w:hAnsi="Times New Roman" w:cs="Times New Roman"/>
          <w:color w:val="auto"/>
          <w:sz w:val="24"/>
          <w:szCs w:val="24"/>
        </w:rPr>
        <w:t xml:space="preserve"> Warrant will entitle its holder to acquire one additional post-Consolidation </w:t>
      </w:r>
      <w:proofErr w:type="spellStart"/>
      <w:r w:rsidRPr="00993B5B">
        <w:rPr>
          <w:rFonts w:ascii="Times New Roman" w:eastAsia="Arial Unicode MS" w:hAnsi="Times New Roman" w:cs="Times New Roman"/>
          <w:color w:val="auto"/>
          <w:sz w:val="24"/>
          <w:szCs w:val="24"/>
        </w:rPr>
        <w:t>Knol</w:t>
      </w:r>
      <w:proofErr w:type="spellEnd"/>
      <w:r w:rsidRPr="00993B5B">
        <w:rPr>
          <w:rFonts w:ascii="Times New Roman" w:eastAsia="Arial Unicode MS" w:hAnsi="Times New Roman" w:cs="Times New Roman"/>
          <w:color w:val="auto"/>
          <w:sz w:val="24"/>
          <w:szCs w:val="24"/>
        </w:rPr>
        <w:t xml:space="preserve"> Share at a price of $0.75 per share for a period of 24 months.</w:t>
      </w:r>
    </w:p>
    <w:p w:rsidR="00E80F9C" w:rsidRPr="00993B5B"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E80F9C"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sidRPr="00993B5B">
        <w:rPr>
          <w:rFonts w:ascii="Times New Roman" w:eastAsia="Arial Unicode MS" w:hAnsi="Times New Roman" w:cs="Times New Roman"/>
          <w:color w:val="auto"/>
          <w:sz w:val="24"/>
          <w:szCs w:val="24"/>
        </w:rPr>
        <w:t>Alternatively, should Non-</w:t>
      </w:r>
      <w:proofErr w:type="spellStart"/>
      <w:r w:rsidRPr="00993B5B">
        <w:rPr>
          <w:rFonts w:ascii="Times New Roman" w:eastAsia="Arial Unicode MS" w:hAnsi="Times New Roman" w:cs="Times New Roman"/>
          <w:color w:val="auto"/>
          <w:sz w:val="24"/>
          <w:szCs w:val="24"/>
        </w:rPr>
        <w:t>USco</w:t>
      </w:r>
      <w:proofErr w:type="spellEnd"/>
      <w:r w:rsidRPr="00993B5B">
        <w:rPr>
          <w:rFonts w:ascii="Times New Roman" w:eastAsia="Arial Unicode MS" w:hAnsi="Times New Roman" w:cs="Times New Roman"/>
          <w:color w:val="auto"/>
          <w:sz w:val="24"/>
          <w:szCs w:val="24"/>
        </w:rPr>
        <w:t xml:space="preserve"> retain a portion of the Indebtedness upon closing of the Transaction, assuming that the portion retained is equal to $2,500,000 (the “</w:t>
      </w:r>
      <w:r w:rsidRPr="001D3E30">
        <w:rPr>
          <w:rFonts w:ascii="Times New Roman" w:eastAsia="Arial Unicode MS" w:hAnsi="Times New Roman" w:cs="Times New Roman"/>
          <w:b/>
          <w:color w:val="auto"/>
          <w:sz w:val="24"/>
          <w:szCs w:val="24"/>
        </w:rPr>
        <w:t>Maximum Indebtedness</w:t>
      </w:r>
      <w:r w:rsidRPr="00993B5B">
        <w:rPr>
          <w:rFonts w:ascii="Times New Roman" w:eastAsia="Arial Unicode MS" w:hAnsi="Times New Roman" w:cs="Times New Roman"/>
          <w:color w:val="auto"/>
          <w:sz w:val="24"/>
          <w:szCs w:val="24"/>
        </w:rPr>
        <w:t>”), an aggregate of</w:t>
      </w:r>
      <w:r>
        <w:rPr>
          <w:rFonts w:ascii="Times New Roman" w:eastAsia="Arial Unicode MS" w:hAnsi="Times New Roman" w:cs="Times New Roman"/>
          <w:color w:val="auto"/>
          <w:sz w:val="24"/>
          <w:szCs w:val="24"/>
        </w:rPr>
        <w:t xml:space="preserve"> approximately</w:t>
      </w:r>
      <w:r w:rsidRPr="00993B5B">
        <w:rPr>
          <w:rFonts w:ascii="Times New Roman" w:eastAsia="Arial Unicode MS" w:hAnsi="Times New Roman" w:cs="Times New Roman"/>
          <w:color w:val="auto"/>
          <w:sz w:val="24"/>
          <w:szCs w:val="24"/>
        </w:rPr>
        <w:t>: (</w:t>
      </w:r>
      <w:proofErr w:type="spellStart"/>
      <w:r w:rsidRPr="00993B5B">
        <w:rPr>
          <w:rFonts w:ascii="Times New Roman" w:eastAsia="Arial Unicode MS" w:hAnsi="Times New Roman" w:cs="Times New Roman"/>
          <w:color w:val="auto"/>
          <w:sz w:val="24"/>
          <w:szCs w:val="24"/>
        </w:rPr>
        <w:t>i</w:t>
      </w:r>
      <w:proofErr w:type="spellEnd"/>
      <w:r w:rsidRPr="00993B5B">
        <w:rPr>
          <w:rFonts w:ascii="Times New Roman" w:eastAsia="Arial Unicode MS" w:hAnsi="Times New Roman" w:cs="Times New Roman"/>
          <w:color w:val="auto"/>
          <w:sz w:val="24"/>
          <w:szCs w:val="24"/>
        </w:rPr>
        <w:t xml:space="preserve">) 30,000,000 Payment Shares, and (ii) 10,285,714 Warrants will be issued by </w:t>
      </w:r>
      <w:proofErr w:type="spellStart"/>
      <w:r w:rsidRPr="00993B5B">
        <w:rPr>
          <w:rFonts w:ascii="Times New Roman" w:eastAsia="Arial Unicode MS" w:hAnsi="Times New Roman" w:cs="Times New Roman"/>
          <w:color w:val="auto"/>
          <w:sz w:val="24"/>
          <w:szCs w:val="24"/>
        </w:rPr>
        <w:t>Knol</w:t>
      </w:r>
      <w:proofErr w:type="spellEnd"/>
      <w:r w:rsidRPr="00993B5B">
        <w:rPr>
          <w:rFonts w:ascii="Times New Roman" w:eastAsia="Arial Unicode MS" w:hAnsi="Times New Roman" w:cs="Times New Roman"/>
          <w:color w:val="auto"/>
          <w:sz w:val="24"/>
          <w:szCs w:val="24"/>
        </w:rPr>
        <w:t xml:space="preserve"> to the Pivot Shareholders in consideration of the acquisition of all of the issued</w:t>
      </w:r>
      <w:r>
        <w:rPr>
          <w:rFonts w:ascii="Times New Roman" w:eastAsia="Arial Unicode MS" w:hAnsi="Times New Roman" w:cs="Times New Roman"/>
          <w:color w:val="auto"/>
          <w:sz w:val="24"/>
          <w:szCs w:val="24"/>
        </w:rPr>
        <w:t xml:space="preserve"> and outstanding Special Shares.</w:t>
      </w:r>
    </w:p>
    <w:p w:rsidR="00E80F9C"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E80F9C"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sidRPr="00993B5B">
        <w:rPr>
          <w:rFonts w:ascii="Times New Roman" w:eastAsia="Arial Unicode MS" w:hAnsi="Times New Roman" w:cs="Times New Roman"/>
          <w:color w:val="auto"/>
          <w:sz w:val="24"/>
          <w:szCs w:val="24"/>
        </w:rPr>
        <w:t xml:space="preserve">Below is the anticipated </w:t>
      </w:r>
      <w:r>
        <w:rPr>
          <w:rFonts w:ascii="Times New Roman" w:eastAsia="Arial Unicode MS" w:hAnsi="Times New Roman" w:cs="Times New Roman"/>
          <w:color w:val="auto"/>
          <w:sz w:val="24"/>
          <w:szCs w:val="24"/>
        </w:rPr>
        <w:t>approximate</w:t>
      </w:r>
      <w:r w:rsidRPr="00993B5B">
        <w:rPr>
          <w:rFonts w:ascii="Times New Roman" w:eastAsia="Arial Unicode MS" w:hAnsi="Times New Roman" w:cs="Times New Roman"/>
          <w:color w:val="auto"/>
          <w:sz w:val="24"/>
          <w:szCs w:val="24"/>
        </w:rPr>
        <w:t xml:space="preserve"> share ownership of </w:t>
      </w:r>
      <w:r>
        <w:rPr>
          <w:rFonts w:ascii="Times New Roman" w:eastAsia="Arial Unicode MS" w:hAnsi="Times New Roman" w:cs="Times New Roman"/>
          <w:color w:val="auto"/>
          <w:sz w:val="24"/>
          <w:szCs w:val="24"/>
        </w:rPr>
        <w:t>the Resulting Issuer</w:t>
      </w:r>
      <w:r w:rsidRPr="00993B5B">
        <w:rPr>
          <w:rFonts w:ascii="Times New Roman" w:eastAsia="Arial Unicode MS" w:hAnsi="Times New Roman" w:cs="Times New Roman"/>
          <w:color w:val="auto"/>
          <w:sz w:val="24"/>
          <w:szCs w:val="24"/>
        </w:rPr>
        <w:t xml:space="preserve"> before and after giving effect to the Consolidation, the Transaction and the assumption by Non-</w:t>
      </w:r>
      <w:proofErr w:type="spellStart"/>
      <w:r w:rsidRPr="00993B5B">
        <w:rPr>
          <w:rFonts w:ascii="Times New Roman" w:eastAsia="Arial Unicode MS" w:hAnsi="Times New Roman" w:cs="Times New Roman"/>
          <w:color w:val="auto"/>
          <w:sz w:val="24"/>
          <w:szCs w:val="24"/>
        </w:rPr>
        <w:t>USco</w:t>
      </w:r>
      <w:proofErr w:type="spellEnd"/>
      <w:r w:rsidRPr="00993B5B">
        <w:rPr>
          <w:rFonts w:ascii="Times New Roman" w:eastAsia="Arial Unicode MS" w:hAnsi="Times New Roman" w:cs="Times New Roman"/>
          <w:color w:val="auto"/>
          <w:sz w:val="24"/>
          <w:szCs w:val="24"/>
        </w:rPr>
        <w:t xml:space="preserve"> of the Maximum Indebtedness</w:t>
      </w:r>
      <w:r w:rsidR="00723811">
        <w:rPr>
          <w:rFonts w:ascii="Times New Roman" w:eastAsia="Arial Unicode MS" w:hAnsi="Times New Roman" w:cs="Times New Roman"/>
          <w:color w:val="auto"/>
          <w:sz w:val="24"/>
          <w:szCs w:val="24"/>
        </w:rPr>
        <w:t xml:space="preserve">, but without </w:t>
      </w:r>
      <w:r w:rsidR="004F5034">
        <w:rPr>
          <w:rFonts w:ascii="Times New Roman" w:eastAsia="Arial Unicode MS" w:hAnsi="Times New Roman" w:cs="Times New Roman"/>
          <w:color w:val="auto"/>
          <w:sz w:val="24"/>
          <w:szCs w:val="24"/>
        </w:rPr>
        <w:t>giving effect to the Concurrent Private Placement</w:t>
      </w:r>
      <w:r w:rsidRPr="00993B5B">
        <w:rPr>
          <w:rFonts w:ascii="Times New Roman" w:eastAsia="Arial Unicode MS" w:hAnsi="Times New Roman" w:cs="Times New Roman"/>
          <w:color w:val="auto"/>
          <w:sz w:val="24"/>
          <w:szCs w:val="24"/>
        </w:rPr>
        <w:t>.</w:t>
      </w:r>
    </w:p>
    <w:p w:rsidR="00E80F9C" w:rsidRPr="00993B5B" w:rsidRDefault="00E80F9C" w:rsidP="00E80F9C">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361"/>
        <w:gridCol w:w="1191"/>
        <w:gridCol w:w="1124"/>
        <w:gridCol w:w="1881"/>
      </w:tblGrid>
      <w:tr w:rsidR="00E80F9C" w:rsidTr="001F0FA0">
        <w:tc>
          <w:tcPr>
            <w:tcW w:w="7225" w:type="dxa"/>
            <w:gridSpan w:val="5"/>
            <w:shd w:val="clear" w:color="auto" w:fill="auto"/>
          </w:tcPr>
          <w:p w:rsidR="00E80F9C" w:rsidRPr="00375ED2" w:rsidRDefault="00E80F9C" w:rsidP="001F0FA0">
            <w:pPr>
              <w:pStyle w:val="BodyTextFirst5"/>
              <w:spacing w:after="120"/>
              <w:ind w:firstLine="0"/>
              <w:jc w:val="center"/>
              <w:rPr>
                <w:rFonts w:cs="Arial"/>
                <w:b/>
                <w:sz w:val="21"/>
                <w:szCs w:val="21"/>
              </w:rPr>
            </w:pPr>
            <w:r w:rsidRPr="00375ED2">
              <w:rPr>
                <w:rFonts w:cs="Arial"/>
                <w:b/>
                <w:i/>
                <w:sz w:val="21"/>
                <w:szCs w:val="21"/>
              </w:rPr>
              <w:t>Pre-Transaction, Pre-Consolidation</w:t>
            </w:r>
          </w:p>
        </w:tc>
      </w:tr>
      <w:tr w:rsidR="00E80F9C" w:rsidTr="001F0FA0">
        <w:tc>
          <w:tcPr>
            <w:tcW w:w="1668" w:type="dxa"/>
            <w:shd w:val="clear" w:color="auto" w:fill="auto"/>
          </w:tcPr>
          <w:p w:rsidR="00E80F9C" w:rsidRPr="00375ED2" w:rsidRDefault="00E80F9C" w:rsidP="001F0FA0">
            <w:pPr>
              <w:pStyle w:val="BodyTextFirst5"/>
              <w:spacing w:after="120"/>
              <w:ind w:firstLine="0"/>
              <w:rPr>
                <w:rFonts w:cs="Arial"/>
                <w:sz w:val="20"/>
              </w:rPr>
            </w:pPr>
          </w:p>
        </w:tc>
        <w:tc>
          <w:tcPr>
            <w:tcW w:w="1361" w:type="dxa"/>
            <w:shd w:val="clear" w:color="auto" w:fill="auto"/>
          </w:tcPr>
          <w:p w:rsidR="00E80F9C" w:rsidRPr="00375ED2" w:rsidRDefault="00E80F9C" w:rsidP="001F0FA0">
            <w:pPr>
              <w:pStyle w:val="BodyTextFirst5"/>
              <w:spacing w:after="120"/>
              <w:ind w:firstLine="0"/>
              <w:rPr>
                <w:rFonts w:cs="Arial"/>
                <w:b/>
                <w:i/>
                <w:sz w:val="20"/>
              </w:rPr>
            </w:pPr>
            <w:proofErr w:type="spellStart"/>
            <w:r w:rsidRPr="00375ED2">
              <w:rPr>
                <w:rFonts w:cs="Arial"/>
                <w:b/>
                <w:i/>
                <w:sz w:val="20"/>
              </w:rPr>
              <w:t>Knol</w:t>
            </w:r>
            <w:proofErr w:type="spellEnd"/>
            <w:r w:rsidRPr="00375ED2">
              <w:rPr>
                <w:rFonts w:cs="Arial"/>
                <w:b/>
                <w:i/>
                <w:sz w:val="20"/>
              </w:rPr>
              <w:t xml:space="preserve"> Shares</w:t>
            </w:r>
          </w:p>
        </w:tc>
        <w:tc>
          <w:tcPr>
            <w:tcW w:w="1191" w:type="dxa"/>
            <w:shd w:val="clear" w:color="auto" w:fill="auto"/>
          </w:tcPr>
          <w:p w:rsidR="00E80F9C" w:rsidRPr="00375ED2" w:rsidRDefault="00E80F9C" w:rsidP="001F0FA0">
            <w:pPr>
              <w:pStyle w:val="BodyTextFirst5"/>
              <w:spacing w:after="120"/>
              <w:ind w:firstLine="0"/>
              <w:rPr>
                <w:rFonts w:cs="Arial"/>
                <w:b/>
                <w:i/>
                <w:sz w:val="20"/>
              </w:rPr>
            </w:pPr>
            <w:proofErr w:type="spellStart"/>
            <w:r w:rsidRPr="00375ED2">
              <w:rPr>
                <w:rFonts w:cs="Arial"/>
                <w:b/>
                <w:i/>
                <w:sz w:val="20"/>
              </w:rPr>
              <w:t>Knol</w:t>
            </w:r>
            <w:proofErr w:type="spellEnd"/>
            <w:r w:rsidRPr="00375ED2">
              <w:rPr>
                <w:rFonts w:cs="Arial"/>
                <w:b/>
                <w:i/>
                <w:sz w:val="20"/>
              </w:rPr>
              <w:t xml:space="preserve"> Warrants</w:t>
            </w:r>
          </w:p>
        </w:tc>
        <w:tc>
          <w:tcPr>
            <w:tcW w:w="1124" w:type="dxa"/>
            <w:shd w:val="clear" w:color="auto" w:fill="auto"/>
          </w:tcPr>
          <w:p w:rsidR="00E80F9C" w:rsidRPr="00375ED2" w:rsidRDefault="00E80F9C" w:rsidP="001F0FA0">
            <w:pPr>
              <w:pStyle w:val="BodyTextFirst5"/>
              <w:spacing w:after="120"/>
              <w:ind w:firstLine="0"/>
              <w:rPr>
                <w:rFonts w:cs="Arial"/>
                <w:b/>
                <w:i/>
                <w:sz w:val="20"/>
              </w:rPr>
            </w:pPr>
            <w:proofErr w:type="spellStart"/>
            <w:r w:rsidRPr="00375ED2">
              <w:rPr>
                <w:rFonts w:cs="Arial"/>
                <w:b/>
                <w:i/>
                <w:sz w:val="20"/>
              </w:rPr>
              <w:t>Knol</w:t>
            </w:r>
            <w:proofErr w:type="spellEnd"/>
            <w:r w:rsidRPr="00375ED2">
              <w:rPr>
                <w:rFonts w:cs="Arial"/>
                <w:b/>
                <w:i/>
                <w:sz w:val="20"/>
              </w:rPr>
              <w:t xml:space="preserve"> Options</w:t>
            </w:r>
          </w:p>
        </w:tc>
        <w:tc>
          <w:tcPr>
            <w:tcW w:w="1881" w:type="dxa"/>
            <w:shd w:val="clear" w:color="auto" w:fill="auto"/>
          </w:tcPr>
          <w:p w:rsidR="00E80F9C" w:rsidRPr="00375ED2" w:rsidRDefault="00E80F9C" w:rsidP="001F0FA0">
            <w:pPr>
              <w:pStyle w:val="BodyTextFirst5"/>
              <w:spacing w:after="120"/>
              <w:ind w:right="-391" w:firstLine="0"/>
              <w:rPr>
                <w:rFonts w:cs="Arial"/>
                <w:b/>
                <w:i/>
                <w:sz w:val="20"/>
              </w:rPr>
            </w:pPr>
            <w:r w:rsidRPr="00375ED2">
              <w:rPr>
                <w:rFonts w:cs="Arial"/>
                <w:b/>
                <w:i/>
                <w:sz w:val="20"/>
              </w:rPr>
              <w:t>Percentage Undiluted/ / Fully-Diluted</w:t>
            </w:r>
          </w:p>
        </w:tc>
      </w:tr>
      <w:tr w:rsidR="00E80F9C" w:rsidTr="001F0FA0">
        <w:tc>
          <w:tcPr>
            <w:tcW w:w="1668" w:type="dxa"/>
            <w:shd w:val="clear" w:color="auto" w:fill="auto"/>
          </w:tcPr>
          <w:p w:rsidR="00E80F9C" w:rsidRPr="00375ED2" w:rsidRDefault="00E80F9C" w:rsidP="001F0FA0">
            <w:pPr>
              <w:pStyle w:val="BodyTextFirst5"/>
              <w:spacing w:after="120"/>
              <w:ind w:firstLine="0"/>
              <w:rPr>
                <w:rFonts w:cs="Arial"/>
                <w:b/>
                <w:sz w:val="20"/>
              </w:rPr>
            </w:pPr>
            <w:r w:rsidRPr="00375ED2">
              <w:rPr>
                <w:rFonts w:cs="Arial"/>
                <w:b/>
                <w:sz w:val="20"/>
              </w:rPr>
              <w:t xml:space="preserve">Current shareholders of </w:t>
            </w:r>
            <w:proofErr w:type="spellStart"/>
            <w:r w:rsidRPr="00375ED2">
              <w:rPr>
                <w:rFonts w:cs="Arial"/>
                <w:b/>
                <w:sz w:val="20"/>
              </w:rPr>
              <w:t>Knol</w:t>
            </w:r>
            <w:proofErr w:type="spellEnd"/>
          </w:p>
        </w:tc>
        <w:tc>
          <w:tcPr>
            <w:tcW w:w="1361" w:type="dxa"/>
            <w:shd w:val="clear" w:color="auto" w:fill="auto"/>
            <w:vAlign w:val="center"/>
          </w:tcPr>
          <w:p w:rsidR="00E80F9C" w:rsidRPr="00375ED2" w:rsidRDefault="00E80F9C" w:rsidP="001F0FA0">
            <w:pPr>
              <w:pStyle w:val="BodyTextFirst5"/>
              <w:spacing w:after="120"/>
              <w:ind w:firstLine="0"/>
              <w:rPr>
                <w:rFonts w:cs="Arial"/>
                <w:sz w:val="20"/>
              </w:rPr>
            </w:pPr>
            <w:r w:rsidRPr="00375ED2">
              <w:rPr>
                <w:rFonts w:cs="Arial"/>
                <w:sz w:val="20"/>
              </w:rPr>
              <w:t>55,696,470</w:t>
            </w:r>
          </w:p>
        </w:tc>
        <w:tc>
          <w:tcPr>
            <w:tcW w:w="1191" w:type="dxa"/>
            <w:shd w:val="clear" w:color="auto" w:fill="auto"/>
            <w:vAlign w:val="center"/>
          </w:tcPr>
          <w:p w:rsidR="00E80F9C" w:rsidRPr="00375ED2" w:rsidRDefault="00E80F9C" w:rsidP="001F0FA0">
            <w:pPr>
              <w:pStyle w:val="BodyTextFirst5"/>
              <w:spacing w:after="120"/>
              <w:ind w:right="-108" w:firstLine="0"/>
              <w:rPr>
                <w:rFonts w:cs="Arial"/>
                <w:sz w:val="20"/>
              </w:rPr>
            </w:pPr>
            <w:r w:rsidRPr="00375ED2">
              <w:rPr>
                <w:rFonts w:cs="Arial"/>
                <w:sz w:val="20"/>
              </w:rPr>
              <w:t>50,000,000</w:t>
            </w:r>
          </w:p>
        </w:tc>
        <w:tc>
          <w:tcPr>
            <w:tcW w:w="1124" w:type="dxa"/>
            <w:shd w:val="clear" w:color="auto" w:fill="auto"/>
            <w:vAlign w:val="center"/>
          </w:tcPr>
          <w:p w:rsidR="00E80F9C" w:rsidRPr="00375ED2" w:rsidRDefault="00E80F9C" w:rsidP="001F0FA0">
            <w:pPr>
              <w:pStyle w:val="BodyTextFirst5"/>
              <w:spacing w:after="120"/>
              <w:ind w:right="-118" w:firstLine="0"/>
              <w:rPr>
                <w:rFonts w:cs="Arial"/>
                <w:sz w:val="20"/>
              </w:rPr>
            </w:pPr>
            <w:r w:rsidRPr="00375ED2">
              <w:rPr>
                <w:rFonts w:cs="Arial"/>
                <w:sz w:val="20"/>
              </w:rPr>
              <w:t>2,000,000</w:t>
            </w:r>
          </w:p>
        </w:tc>
        <w:tc>
          <w:tcPr>
            <w:tcW w:w="1881" w:type="dxa"/>
            <w:shd w:val="clear" w:color="auto" w:fill="auto"/>
            <w:vAlign w:val="center"/>
          </w:tcPr>
          <w:p w:rsidR="00E80F9C" w:rsidRPr="00375ED2" w:rsidRDefault="00E80F9C" w:rsidP="001F0FA0">
            <w:pPr>
              <w:pStyle w:val="BodyTextFirst5"/>
              <w:spacing w:after="120"/>
              <w:ind w:right="-118" w:firstLine="0"/>
              <w:rPr>
                <w:rFonts w:cs="Arial"/>
                <w:sz w:val="20"/>
              </w:rPr>
            </w:pPr>
            <w:r w:rsidRPr="00375ED2">
              <w:rPr>
                <w:rFonts w:cs="Arial"/>
                <w:sz w:val="20"/>
              </w:rPr>
              <w:t>100% /</w:t>
            </w:r>
            <w:r>
              <w:rPr>
                <w:rFonts w:cs="Arial"/>
                <w:sz w:val="20"/>
              </w:rPr>
              <w:t xml:space="preserve"> </w:t>
            </w:r>
            <w:r w:rsidRPr="00375ED2">
              <w:rPr>
                <w:rFonts w:cs="Arial"/>
                <w:sz w:val="20"/>
              </w:rPr>
              <w:t>100%</w:t>
            </w:r>
          </w:p>
        </w:tc>
      </w:tr>
      <w:tr w:rsidR="00E80F9C" w:rsidTr="001F0FA0">
        <w:tc>
          <w:tcPr>
            <w:tcW w:w="7225" w:type="dxa"/>
            <w:gridSpan w:val="5"/>
            <w:shd w:val="clear" w:color="auto" w:fill="auto"/>
          </w:tcPr>
          <w:p w:rsidR="00E80F9C" w:rsidRPr="00375ED2" w:rsidRDefault="00E80F9C" w:rsidP="001F0FA0">
            <w:pPr>
              <w:pStyle w:val="BodyTextFirst5"/>
              <w:spacing w:after="120"/>
              <w:ind w:firstLine="0"/>
              <w:rPr>
                <w:rFonts w:cs="Arial"/>
                <w:i/>
                <w:sz w:val="21"/>
                <w:szCs w:val="21"/>
                <w:u w:val="single"/>
              </w:rPr>
            </w:pPr>
          </w:p>
        </w:tc>
      </w:tr>
      <w:tr w:rsidR="00E80F9C" w:rsidTr="001F0FA0">
        <w:tc>
          <w:tcPr>
            <w:tcW w:w="7225" w:type="dxa"/>
            <w:gridSpan w:val="5"/>
            <w:shd w:val="clear" w:color="auto" w:fill="auto"/>
          </w:tcPr>
          <w:p w:rsidR="00E80F9C" w:rsidRPr="00375ED2" w:rsidRDefault="00E80F9C" w:rsidP="001F0FA0">
            <w:pPr>
              <w:pStyle w:val="BodyTextFirst5"/>
              <w:spacing w:after="120"/>
              <w:ind w:firstLine="0"/>
              <w:jc w:val="center"/>
              <w:rPr>
                <w:rFonts w:cs="Arial"/>
                <w:b/>
                <w:sz w:val="20"/>
              </w:rPr>
            </w:pPr>
            <w:r w:rsidRPr="00375ED2">
              <w:rPr>
                <w:rFonts w:cs="Arial"/>
                <w:b/>
                <w:i/>
                <w:sz w:val="21"/>
                <w:szCs w:val="21"/>
              </w:rPr>
              <w:t>Pre-Transaction, Post-Consolidation</w:t>
            </w:r>
          </w:p>
        </w:tc>
      </w:tr>
      <w:tr w:rsidR="00E80F9C" w:rsidTr="001F0FA0">
        <w:tc>
          <w:tcPr>
            <w:tcW w:w="1668" w:type="dxa"/>
            <w:shd w:val="clear" w:color="auto" w:fill="auto"/>
          </w:tcPr>
          <w:p w:rsidR="00E80F9C" w:rsidRPr="00375ED2" w:rsidRDefault="00E80F9C" w:rsidP="001F0FA0">
            <w:pPr>
              <w:pStyle w:val="BodyTextFirst5"/>
              <w:spacing w:after="120"/>
              <w:ind w:firstLine="0"/>
              <w:rPr>
                <w:rFonts w:cs="Arial"/>
                <w:b/>
                <w:sz w:val="20"/>
              </w:rPr>
            </w:pPr>
          </w:p>
        </w:tc>
        <w:tc>
          <w:tcPr>
            <w:tcW w:w="1361" w:type="dxa"/>
            <w:shd w:val="clear" w:color="auto" w:fill="auto"/>
          </w:tcPr>
          <w:p w:rsidR="00E80F9C" w:rsidRPr="00375ED2" w:rsidRDefault="00E80F9C" w:rsidP="001F0FA0">
            <w:pPr>
              <w:pStyle w:val="BodyTextFirst5"/>
              <w:spacing w:after="120"/>
              <w:ind w:firstLine="0"/>
              <w:rPr>
                <w:rFonts w:cs="Arial"/>
                <w:b/>
                <w:i/>
                <w:sz w:val="20"/>
              </w:rPr>
            </w:pPr>
            <w:proofErr w:type="spellStart"/>
            <w:r w:rsidRPr="00375ED2">
              <w:rPr>
                <w:rFonts w:cs="Arial"/>
                <w:b/>
                <w:i/>
                <w:sz w:val="20"/>
              </w:rPr>
              <w:t>Knol</w:t>
            </w:r>
            <w:proofErr w:type="spellEnd"/>
            <w:r w:rsidRPr="00375ED2">
              <w:rPr>
                <w:rFonts w:cs="Arial"/>
                <w:b/>
                <w:i/>
                <w:sz w:val="20"/>
              </w:rPr>
              <w:t xml:space="preserve"> Shares</w:t>
            </w:r>
          </w:p>
        </w:tc>
        <w:tc>
          <w:tcPr>
            <w:tcW w:w="1191" w:type="dxa"/>
            <w:shd w:val="clear" w:color="auto" w:fill="auto"/>
          </w:tcPr>
          <w:p w:rsidR="00E80F9C" w:rsidRPr="00375ED2" w:rsidRDefault="00E80F9C" w:rsidP="001F0FA0">
            <w:pPr>
              <w:pStyle w:val="BodyTextFirst5"/>
              <w:spacing w:after="120"/>
              <w:ind w:firstLine="0"/>
              <w:rPr>
                <w:rFonts w:cs="Arial"/>
                <w:b/>
                <w:i/>
                <w:sz w:val="20"/>
              </w:rPr>
            </w:pPr>
            <w:proofErr w:type="spellStart"/>
            <w:r w:rsidRPr="00375ED2">
              <w:rPr>
                <w:rFonts w:cs="Arial"/>
                <w:b/>
                <w:i/>
                <w:sz w:val="20"/>
              </w:rPr>
              <w:t>Knol</w:t>
            </w:r>
            <w:proofErr w:type="spellEnd"/>
            <w:r w:rsidRPr="00375ED2">
              <w:rPr>
                <w:rFonts w:cs="Arial"/>
                <w:b/>
                <w:i/>
                <w:sz w:val="20"/>
              </w:rPr>
              <w:t xml:space="preserve"> Warrants</w:t>
            </w:r>
          </w:p>
        </w:tc>
        <w:tc>
          <w:tcPr>
            <w:tcW w:w="1124" w:type="dxa"/>
            <w:shd w:val="clear" w:color="auto" w:fill="auto"/>
          </w:tcPr>
          <w:p w:rsidR="00E80F9C" w:rsidRPr="00375ED2" w:rsidRDefault="00E80F9C" w:rsidP="001F0FA0">
            <w:pPr>
              <w:pStyle w:val="BodyTextFirst5"/>
              <w:spacing w:after="120"/>
              <w:ind w:firstLine="0"/>
              <w:rPr>
                <w:rFonts w:cs="Arial"/>
                <w:b/>
                <w:i/>
                <w:sz w:val="20"/>
              </w:rPr>
            </w:pPr>
            <w:proofErr w:type="spellStart"/>
            <w:r w:rsidRPr="00375ED2">
              <w:rPr>
                <w:rFonts w:cs="Arial"/>
                <w:b/>
                <w:i/>
                <w:sz w:val="20"/>
              </w:rPr>
              <w:t>Knol</w:t>
            </w:r>
            <w:proofErr w:type="spellEnd"/>
            <w:r w:rsidRPr="00375ED2">
              <w:rPr>
                <w:rFonts w:cs="Arial"/>
                <w:b/>
                <w:i/>
                <w:sz w:val="20"/>
              </w:rPr>
              <w:t xml:space="preserve"> Options</w:t>
            </w:r>
          </w:p>
        </w:tc>
        <w:tc>
          <w:tcPr>
            <w:tcW w:w="1881" w:type="dxa"/>
            <w:shd w:val="clear" w:color="auto" w:fill="auto"/>
          </w:tcPr>
          <w:p w:rsidR="00E80F9C" w:rsidRPr="00375ED2" w:rsidRDefault="00E80F9C" w:rsidP="001F0FA0">
            <w:pPr>
              <w:pStyle w:val="BodyTextFirst5"/>
              <w:spacing w:after="120"/>
              <w:ind w:right="-391" w:firstLine="0"/>
              <w:rPr>
                <w:rFonts w:cs="Arial"/>
                <w:b/>
                <w:i/>
                <w:sz w:val="20"/>
              </w:rPr>
            </w:pPr>
            <w:r w:rsidRPr="00375ED2">
              <w:rPr>
                <w:rFonts w:cs="Arial"/>
                <w:b/>
                <w:i/>
                <w:sz w:val="20"/>
              </w:rPr>
              <w:t>Percentage Undiluted/ / Fully-Diluted</w:t>
            </w:r>
          </w:p>
        </w:tc>
      </w:tr>
      <w:tr w:rsidR="00E80F9C" w:rsidTr="001F0FA0">
        <w:tc>
          <w:tcPr>
            <w:tcW w:w="1668" w:type="dxa"/>
            <w:shd w:val="clear" w:color="auto" w:fill="auto"/>
          </w:tcPr>
          <w:p w:rsidR="00E80F9C" w:rsidRPr="00375ED2" w:rsidRDefault="00E80F9C" w:rsidP="001F0FA0">
            <w:pPr>
              <w:pStyle w:val="BodyTextFirst5"/>
              <w:spacing w:after="120"/>
              <w:ind w:firstLine="0"/>
              <w:rPr>
                <w:rFonts w:cs="Arial"/>
                <w:b/>
                <w:sz w:val="20"/>
              </w:rPr>
            </w:pPr>
            <w:r w:rsidRPr="00375ED2">
              <w:rPr>
                <w:rFonts w:cs="Arial"/>
                <w:b/>
                <w:sz w:val="20"/>
              </w:rPr>
              <w:t xml:space="preserve">Current shareholders of </w:t>
            </w:r>
            <w:proofErr w:type="spellStart"/>
            <w:r w:rsidRPr="00375ED2">
              <w:rPr>
                <w:rFonts w:cs="Arial"/>
                <w:b/>
                <w:sz w:val="20"/>
              </w:rPr>
              <w:t>Knol</w:t>
            </w:r>
            <w:proofErr w:type="spellEnd"/>
          </w:p>
        </w:tc>
        <w:tc>
          <w:tcPr>
            <w:tcW w:w="1361" w:type="dxa"/>
            <w:shd w:val="clear" w:color="auto" w:fill="auto"/>
            <w:vAlign w:val="center"/>
          </w:tcPr>
          <w:p w:rsidR="00E80F9C" w:rsidRPr="00375ED2" w:rsidRDefault="00E80F9C" w:rsidP="001F0FA0">
            <w:pPr>
              <w:pStyle w:val="BodyTextFirst5"/>
              <w:spacing w:after="120"/>
              <w:ind w:firstLine="0"/>
              <w:rPr>
                <w:rFonts w:cs="Arial"/>
                <w:sz w:val="20"/>
              </w:rPr>
            </w:pPr>
            <w:r w:rsidRPr="00375ED2">
              <w:rPr>
                <w:rFonts w:cs="Arial"/>
                <w:sz w:val="20"/>
              </w:rPr>
              <w:t>7,956,638</w:t>
            </w:r>
          </w:p>
        </w:tc>
        <w:tc>
          <w:tcPr>
            <w:tcW w:w="1191" w:type="dxa"/>
            <w:shd w:val="clear" w:color="auto" w:fill="auto"/>
            <w:vAlign w:val="center"/>
          </w:tcPr>
          <w:p w:rsidR="00E80F9C" w:rsidRPr="00375ED2" w:rsidRDefault="00E80F9C" w:rsidP="001F0FA0">
            <w:pPr>
              <w:pStyle w:val="BodyTextFirst5"/>
              <w:spacing w:after="120"/>
              <w:ind w:firstLine="0"/>
              <w:rPr>
                <w:rFonts w:cs="Arial"/>
                <w:sz w:val="20"/>
              </w:rPr>
            </w:pPr>
            <w:r w:rsidRPr="00375ED2">
              <w:rPr>
                <w:rFonts w:cs="Arial"/>
                <w:sz w:val="20"/>
              </w:rPr>
              <w:t>7,142,857</w:t>
            </w:r>
          </w:p>
        </w:tc>
        <w:tc>
          <w:tcPr>
            <w:tcW w:w="1124" w:type="dxa"/>
            <w:shd w:val="clear" w:color="auto" w:fill="auto"/>
            <w:vAlign w:val="center"/>
          </w:tcPr>
          <w:p w:rsidR="00E80F9C" w:rsidRPr="00375ED2" w:rsidRDefault="00E80F9C" w:rsidP="001F0FA0">
            <w:pPr>
              <w:pStyle w:val="BodyTextFirst5"/>
              <w:spacing w:after="120"/>
              <w:ind w:firstLine="0"/>
              <w:rPr>
                <w:rFonts w:cs="Arial"/>
                <w:sz w:val="20"/>
              </w:rPr>
            </w:pPr>
            <w:r w:rsidRPr="00375ED2">
              <w:rPr>
                <w:rFonts w:cs="Arial"/>
                <w:sz w:val="20"/>
              </w:rPr>
              <w:t>285,714</w:t>
            </w:r>
          </w:p>
        </w:tc>
        <w:tc>
          <w:tcPr>
            <w:tcW w:w="1881" w:type="dxa"/>
            <w:shd w:val="clear" w:color="auto" w:fill="auto"/>
            <w:vAlign w:val="center"/>
          </w:tcPr>
          <w:p w:rsidR="00E80F9C" w:rsidRPr="00367D6F" w:rsidRDefault="00E80F9C" w:rsidP="001F0FA0">
            <w:pPr>
              <w:pStyle w:val="BodyTextFirst5"/>
              <w:spacing w:after="120"/>
              <w:ind w:firstLine="0"/>
              <w:rPr>
                <w:rFonts w:cs="Arial"/>
                <w:sz w:val="20"/>
              </w:rPr>
            </w:pPr>
            <w:r w:rsidRPr="00375ED2">
              <w:rPr>
                <w:rFonts w:cs="Arial"/>
                <w:sz w:val="20"/>
              </w:rPr>
              <w:t>100% /</w:t>
            </w:r>
            <w:r>
              <w:rPr>
                <w:rFonts w:cs="Arial"/>
                <w:sz w:val="20"/>
              </w:rPr>
              <w:t xml:space="preserve"> </w:t>
            </w:r>
            <w:r w:rsidRPr="00375ED2">
              <w:rPr>
                <w:rFonts w:cs="Arial"/>
                <w:sz w:val="20"/>
              </w:rPr>
              <w:t>100%</w:t>
            </w:r>
          </w:p>
        </w:tc>
      </w:tr>
    </w:tbl>
    <w:p w:rsidR="00E80F9C" w:rsidRDefault="00E80F9C" w:rsidP="00E80F9C">
      <w:pPr>
        <w:pStyle w:val="Corps"/>
        <w:shd w:val="clear" w:color="auto" w:fill="FFFFFF"/>
        <w:spacing w:after="150"/>
        <w:jc w:val="both"/>
        <w:rPr>
          <w:rFonts w:ascii="Times New Roman" w:eastAsia="Arial Unicode MS" w:hAnsi="Times New Roman" w:cs="Times New Roman"/>
          <w:color w:val="auto"/>
          <w:sz w:val="24"/>
          <w:szCs w:val="24"/>
        </w:rPr>
      </w:pPr>
    </w:p>
    <w:p w:rsidR="00723811" w:rsidRDefault="00723811" w:rsidP="00E80F9C">
      <w:pPr>
        <w:pStyle w:val="Corps"/>
        <w:shd w:val="clear" w:color="auto" w:fill="FFFFFF"/>
        <w:spacing w:after="150"/>
        <w:jc w:val="both"/>
        <w:rPr>
          <w:rFonts w:ascii="Times New Roman" w:eastAsia="Arial Unicode MS" w:hAnsi="Times New Roman" w:cs="Times New Roman"/>
          <w:color w:val="auto"/>
          <w:sz w:val="24"/>
          <w:szCs w:val="24"/>
        </w:rPr>
      </w:pPr>
    </w:p>
    <w:p w:rsidR="00723811" w:rsidRDefault="00723811" w:rsidP="00E80F9C">
      <w:pPr>
        <w:pStyle w:val="Corps"/>
        <w:shd w:val="clear" w:color="auto" w:fill="FFFFFF"/>
        <w:spacing w:after="150"/>
        <w:jc w:val="both"/>
        <w:rPr>
          <w:rFonts w:ascii="Times New Roman" w:eastAsia="Arial Unicode MS" w:hAnsi="Times New Roman" w:cs="Times New Roman"/>
          <w:color w:val="auto"/>
          <w:sz w:val="24"/>
          <w:szCs w:val="24"/>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361"/>
        <w:gridCol w:w="1191"/>
        <w:gridCol w:w="1124"/>
        <w:gridCol w:w="1881"/>
      </w:tblGrid>
      <w:tr w:rsidR="00E80F9C" w:rsidTr="001F0FA0">
        <w:trPr>
          <w:trHeight w:val="466"/>
        </w:trPr>
        <w:tc>
          <w:tcPr>
            <w:tcW w:w="7225" w:type="dxa"/>
            <w:gridSpan w:val="5"/>
            <w:shd w:val="clear" w:color="auto" w:fill="auto"/>
          </w:tcPr>
          <w:p w:rsidR="00E80F9C" w:rsidRPr="00EC4357" w:rsidRDefault="00E80F9C" w:rsidP="001F0FA0">
            <w:pPr>
              <w:pStyle w:val="BodyTextFirst5"/>
              <w:spacing w:after="120"/>
              <w:ind w:firstLine="0"/>
              <w:jc w:val="center"/>
              <w:rPr>
                <w:rFonts w:cs="Arial"/>
                <w:b/>
                <w:sz w:val="21"/>
                <w:szCs w:val="21"/>
              </w:rPr>
            </w:pPr>
            <w:r w:rsidRPr="00EC4357">
              <w:rPr>
                <w:rFonts w:cs="Arial"/>
                <w:b/>
                <w:i/>
                <w:sz w:val="21"/>
                <w:szCs w:val="21"/>
              </w:rPr>
              <w:t>Post-Transaction, Post-Consolidation, No Indebtedness Assumed</w:t>
            </w:r>
          </w:p>
        </w:tc>
      </w:tr>
      <w:tr w:rsidR="00E80F9C" w:rsidTr="001F0FA0">
        <w:tc>
          <w:tcPr>
            <w:tcW w:w="1668" w:type="dxa"/>
            <w:shd w:val="clear" w:color="auto" w:fill="auto"/>
          </w:tcPr>
          <w:p w:rsidR="00E80F9C" w:rsidRPr="00EC4357" w:rsidRDefault="00E80F9C" w:rsidP="001F0FA0">
            <w:pPr>
              <w:pStyle w:val="BodyTextFirst5"/>
              <w:spacing w:after="120"/>
              <w:ind w:firstLine="0"/>
              <w:rPr>
                <w:rFonts w:cs="Arial"/>
                <w:sz w:val="20"/>
              </w:rPr>
            </w:pPr>
          </w:p>
        </w:tc>
        <w:tc>
          <w:tcPr>
            <w:tcW w:w="1361" w:type="dxa"/>
            <w:shd w:val="clear" w:color="auto" w:fill="auto"/>
          </w:tcPr>
          <w:p w:rsidR="00E80F9C" w:rsidRPr="00EC4357" w:rsidRDefault="00E80F9C" w:rsidP="001F0FA0">
            <w:pPr>
              <w:pStyle w:val="BodyTextFirst5"/>
              <w:spacing w:after="120"/>
              <w:ind w:firstLine="0"/>
              <w:rPr>
                <w:rFonts w:cs="Arial"/>
                <w:b/>
                <w:i/>
                <w:sz w:val="20"/>
              </w:rPr>
            </w:pPr>
            <w:proofErr w:type="spellStart"/>
            <w:r w:rsidRPr="00EC4357">
              <w:rPr>
                <w:rFonts w:cs="Arial"/>
                <w:b/>
                <w:i/>
                <w:sz w:val="20"/>
              </w:rPr>
              <w:t>Knol</w:t>
            </w:r>
            <w:proofErr w:type="spellEnd"/>
            <w:r w:rsidRPr="00EC4357">
              <w:rPr>
                <w:rFonts w:cs="Arial"/>
                <w:b/>
                <w:i/>
                <w:sz w:val="20"/>
              </w:rPr>
              <w:t xml:space="preserve"> Shares</w:t>
            </w:r>
          </w:p>
        </w:tc>
        <w:tc>
          <w:tcPr>
            <w:tcW w:w="1191" w:type="dxa"/>
            <w:shd w:val="clear" w:color="auto" w:fill="auto"/>
          </w:tcPr>
          <w:p w:rsidR="00E80F9C" w:rsidRPr="00EC4357" w:rsidRDefault="00E80F9C" w:rsidP="001F0FA0">
            <w:pPr>
              <w:pStyle w:val="BodyTextFirst5"/>
              <w:spacing w:after="120"/>
              <w:ind w:firstLine="0"/>
              <w:rPr>
                <w:rFonts w:cs="Arial"/>
                <w:b/>
                <w:i/>
                <w:sz w:val="20"/>
              </w:rPr>
            </w:pPr>
            <w:proofErr w:type="spellStart"/>
            <w:r w:rsidRPr="00EC4357">
              <w:rPr>
                <w:rFonts w:cs="Arial"/>
                <w:b/>
                <w:i/>
                <w:sz w:val="20"/>
              </w:rPr>
              <w:t>Knol</w:t>
            </w:r>
            <w:proofErr w:type="spellEnd"/>
            <w:r w:rsidRPr="00EC4357">
              <w:rPr>
                <w:rFonts w:cs="Arial"/>
                <w:b/>
                <w:i/>
                <w:sz w:val="20"/>
              </w:rPr>
              <w:t xml:space="preserve"> Warrants</w:t>
            </w:r>
          </w:p>
        </w:tc>
        <w:tc>
          <w:tcPr>
            <w:tcW w:w="1124" w:type="dxa"/>
            <w:shd w:val="clear" w:color="auto" w:fill="auto"/>
          </w:tcPr>
          <w:p w:rsidR="00E80F9C" w:rsidRPr="00EC4357" w:rsidRDefault="00E80F9C" w:rsidP="001F0FA0">
            <w:pPr>
              <w:pStyle w:val="BodyTextFirst5"/>
              <w:spacing w:after="120"/>
              <w:ind w:firstLine="0"/>
              <w:rPr>
                <w:rFonts w:cs="Arial"/>
                <w:b/>
                <w:i/>
                <w:sz w:val="20"/>
              </w:rPr>
            </w:pPr>
            <w:proofErr w:type="spellStart"/>
            <w:r w:rsidRPr="00EC4357">
              <w:rPr>
                <w:rFonts w:cs="Arial"/>
                <w:b/>
                <w:i/>
                <w:sz w:val="20"/>
              </w:rPr>
              <w:t>Knol</w:t>
            </w:r>
            <w:proofErr w:type="spellEnd"/>
            <w:r w:rsidRPr="00EC4357">
              <w:rPr>
                <w:rFonts w:cs="Arial"/>
                <w:b/>
                <w:i/>
                <w:sz w:val="20"/>
              </w:rPr>
              <w:t xml:space="preserve"> Options</w:t>
            </w:r>
          </w:p>
        </w:tc>
        <w:tc>
          <w:tcPr>
            <w:tcW w:w="1881" w:type="dxa"/>
            <w:shd w:val="clear" w:color="auto" w:fill="auto"/>
          </w:tcPr>
          <w:p w:rsidR="00E80F9C" w:rsidRPr="00EC4357" w:rsidRDefault="00E80F9C" w:rsidP="001F0FA0">
            <w:pPr>
              <w:pStyle w:val="BodyTextFirst5"/>
              <w:spacing w:after="120"/>
              <w:ind w:right="-391" w:firstLine="0"/>
              <w:rPr>
                <w:rFonts w:cs="Arial"/>
                <w:b/>
                <w:i/>
                <w:sz w:val="20"/>
              </w:rPr>
            </w:pPr>
            <w:r w:rsidRPr="00EC4357">
              <w:rPr>
                <w:rFonts w:cs="Arial"/>
                <w:b/>
                <w:i/>
                <w:sz w:val="20"/>
              </w:rPr>
              <w:t>Percentage Undiluted/ / Fully-Diluted</w:t>
            </w:r>
          </w:p>
        </w:tc>
      </w:tr>
      <w:tr w:rsidR="00E80F9C" w:rsidTr="001F0FA0">
        <w:tc>
          <w:tcPr>
            <w:tcW w:w="1668" w:type="dxa"/>
            <w:shd w:val="clear" w:color="auto" w:fill="auto"/>
          </w:tcPr>
          <w:p w:rsidR="00E80F9C" w:rsidRPr="00EC4357" w:rsidRDefault="00E80F9C" w:rsidP="001F0FA0">
            <w:pPr>
              <w:pStyle w:val="BodyTextFirst5"/>
              <w:spacing w:after="120"/>
              <w:ind w:firstLine="0"/>
              <w:rPr>
                <w:rFonts w:cs="Arial"/>
                <w:b/>
                <w:sz w:val="20"/>
              </w:rPr>
            </w:pPr>
            <w:r w:rsidRPr="00EC4357">
              <w:rPr>
                <w:rFonts w:cs="Arial"/>
                <w:b/>
                <w:sz w:val="20"/>
              </w:rPr>
              <w:t xml:space="preserve">Current shareholders of </w:t>
            </w:r>
            <w:proofErr w:type="spellStart"/>
            <w:r w:rsidRPr="00EC4357">
              <w:rPr>
                <w:rFonts w:cs="Arial"/>
                <w:b/>
                <w:sz w:val="20"/>
              </w:rPr>
              <w:t>Knol</w:t>
            </w:r>
            <w:proofErr w:type="spellEnd"/>
          </w:p>
        </w:tc>
        <w:tc>
          <w:tcPr>
            <w:tcW w:w="1361" w:type="dxa"/>
            <w:shd w:val="clear" w:color="auto" w:fill="auto"/>
            <w:vAlign w:val="center"/>
          </w:tcPr>
          <w:p w:rsidR="00E80F9C" w:rsidRPr="00EC4357" w:rsidRDefault="00E80F9C" w:rsidP="001F0FA0">
            <w:pPr>
              <w:pStyle w:val="BodyTextFirst5"/>
              <w:spacing w:after="120"/>
              <w:ind w:firstLine="0"/>
              <w:rPr>
                <w:rFonts w:cs="Arial"/>
                <w:sz w:val="20"/>
              </w:rPr>
            </w:pPr>
            <w:r w:rsidRPr="00EC4357">
              <w:rPr>
                <w:rFonts w:cs="Arial"/>
                <w:sz w:val="20"/>
              </w:rPr>
              <w:t>7,956,638</w:t>
            </w:r>
          </w:p>
        </w:tc>
        <w:tc>
          <w:tcPr>
            <w:tcW w:w="1191" w:type="dxa"/>
            <w:shd w:val="clear" w:color="auto" w:fill="auto"/>
            <w:vAlign w:val="center"/>
          </w:tcPr>
          <w:p w:rsidR="00E80F9C" w:rsidRPr="00EC4357" w:rsidRDefault="00E80F9C" w:rsidP="001F0FA0">
            <w:pPr>
              <w:pStyle w:val="BodyTextFirst5"/>
              <w:spacing w:after="120"/>
              <w:ind w:right="-108" w:firstLine="0"/>
              <w:rPr>
                <w:rFonts w:cs="Arial"/>
                <w:sz w:val="20"/>
              </w:rPr>
            </w:pPr>
            <w:r w:rsidRPr="00EC4357">
              <w:rPr>
                <w:rFonts w:cs="Arial"/>
                <w:sz w:val="20"/>
              </w:rPr>
              <w:t>7,142,857</w:t>
            </w:r>
          </w:p>
        </w:tc>
        <w:tc>
          <w:tcPr>
            <w:tcW w:w="1124" w:type="dxa"/>
            <w:shd w:val="clear" w:color="auto" w:fill="auto"/>
            <w:vAlign w:val="center"/>
          </w:tcPr>
          <w:p w:rsidR="00E80F9C" w:rsidRPr="00EC4357" w:rsidRDefault="00E80F9C" w:rsidP="001F0FA0">
            <w:pPr>
              <w:pStyle w:val="BodyTextFirst5"/>
              <w:spacing w:after="120"/>
              <w:ind w:right="-118" w:firstLine="0"/>
              <w:rPr>
                <w:rFonts w:cs="Arial"/>
                <w:sz w:val="20"/>
              </w:rPr>
            </w:pPr>
            <w:r w:rsidRPr="00EC4357">
              <w:rPr>
                <w:rFonts w:cs="Arial"/>
                <w:sz w:val="20"/>
              </w:rPr>
              <w:t>285,714</w:t>
            </w:r>
          </w:p>
        </w:tc>
        <w:tc>
          <w:tcPr>
            <w:tcW w:w="1881" w:type="dxa"/>
            <w:shd w:val="clear" w:color="auto" w:fill="auto"/>
            <w:vAlign w:val="center"/>
          </w:tcPr>
          <w:p w:rsidR="00E80F9C" w:rsidRPr="00EC4357" w:rsidRDefault="00E80F9C" w:rsidP="001F0FA0">
            <w:pPr>
              <w:pStyle w:val="BodyTextFirst5"/>
              <w:spacing w:after="120"/>
              <w:ind w:firstLine="0"/>
              <w:rPr>
                <w:rFonts w:cs="Arial"/>
                <w:sz w:val="20"/>
              </w:rPr>
            </w:pPr>
            <w:r w:rsidRPr="00EC4357">
              <w:rPr>
                <w:rFonts w:cs="Arial"/>
                <w:sz w:val="20"/>
              </w:rPr>
              <w:t>18.52% /</w:t>
            </w:r>
            <w:r>
              <w:rPr>
                <w:rFonts w:cs="Arial"/>
                <w:sz w:val="20"/>
              </w:rPr>
              <w:t xml:space="preserve"> </w:t>
            </w:r>
            <w:r w:rsidRPr="00EC4357">
              <w:rPr>
                <w:rFonts w:cs="Arial"/>
                <w:sz w:val="20"/>
              </w:rPr>
              <w:t>24.66%</w:t>
            </w:r>
          </w:p>
        </w:tc>
      </w:tr>
      <w:tr w:rsidR="00E80F9C" w:rsidTr="001F0FA0">
        <w:tc>
          <w:tcPr>
            <w:tcW w:w="1668" w:type="dxa"/>
            <w:shd w:val="clear" w:color="auto" w:fill="auto"/>
          </w:tcPr>
          <w:p w:rsidR="00E80F9C" w:rsidRPr="00EC4357" w:rsidRDefault="00E80F9C" w:rsidP="001F0FA0">
            <w:pPr>
              <w:pStyle w:val="BodyTextFirst5"/>
              <w:spacing w:after="120"/>
              <w:ind w:firstLine="0"/>
              <w:rPr>
                <w:rFonts w:cs="Arial"/>
                <w:b/>
                <w:sz w:val="20"/>
                <w:vertAlign w:val="superscript"/>
              </w:rPr>
            </w:pPr>
            <w:r w:rsidRPr="00EC4357">
              <w:rPr>
                <w:rFonts w:cs="Arial"/>
                <w:b/>
                <w:sz w:val="20"/>
              </w:rPr>
              <w:t>Pivot Shareholders</w:t>
            </w:r>
            <w:r w:rsidRPr="00EC4357">
              <w:rPr>
                <w:rFonts w:cs="Arial"/>
                <w:b/>
                <w:sz w:val="20"/>
                <w:vertAlign w:val="superscript"/>
              </w:rPr>
              <w:t>1</w:t>
            </w:r>
          </w:p>
        </w:tc>
        <w:tc>
          <w:tcPr>
            <w:tcW w:w="1361" w:type="dxa"/>
            <w:shd w:val="clear" w:color="auto" w:fill="auto"/>
            <w:vAlign w:val="center"/>
          </w:tcPr>
          <w:p w:rsidR="00E80F9C" w:rsidRPr="00EC4357" w:rsidRDefault="00E80F9C" w:rsidP="001F0FA0">
            <w:pPr>
              <w:pStyle w:val="BodyTextFirst5"/>
              <w:spacing w:after="120"/>
              <w:ind w:firstLine="0"/>
              <w:rPr>
                <w:rFonts w:cs="Arial"/>
                <w:sz w:val="20"/>
              </w:rPr>
            </w:pPr>
            <w:r w:rsidRPr="00EC4357">
              <w:rPr>
                <w:rFonts w:cs="Arial"/>
                <w:sz w:val="20"/>
              </w:rPr>
              <w:t>35,000,000</w:t>
            </w:r>
          </w:p>
        </w:tc>
        <w:tc>
          <w:tcPr>
            <w:tcW w:w="1191" w:type="dxa"/>
            <w:shd w:val="clear" w:color="auto" w:fill="auto"/>
            <w:vAlign w:val="center"/>
          </w:tcPr>
          <w:p w:rsidR="00E80F9C" w:rsidRPr="00EC4357" w:rsidRDefault="00E80F9C" w:rsidP="001F0FA0">
            <w:pPr>
              <w:pStyle w:val="BodyTextFirst5"/>
              <w:spacing w:after="120"/>
              <w:ind w:right="-108" w:firstLine="0"/>
              <w:rPr>
                <w:rFonts w:cs="Arial"/>
                <w:sz w:val="20"/>
              </w:rPr>
            </w:pPr>
            <w:r w:rsidRPr="00EC4357">
              <w:rPr>
                <w:rFonts w:cs="Arial"/>
                <w:sz w:val="20"/>
              </w:rPr>
              <w:t>12,000,000</w:t>
            </w:r>
          </w:p>
        </w:tc>
        <w:tc>
          <w:tcPr>
            <w:tcW w:w="1124" w:type="dxa"/>
            <w:shd w:val="clear" w:color="auto" w:fill="auto"/>
            <w:vAlign w:val="center"/>
          </w:tcPr>
          <w:p w:rsidR="00E80F9C" w:rsidRPr="00EC4357" w:rsidRDefault="00E80F9C" w:rsidP="001F0FA0">
            <w:pPr>
              <w:pStyle w:val="BodyTextFirst5"/>
              <w:spacing w:after="120"/>
              <w:ind w:right="-118" w:firstLine="0"/>
              <w:rPr>
                <w:rFonts w:cs="Arial"/>
                <w:sz w:val="20"/>
              </w:rPr>
            </w:pPr>
            <w:r w:rsidRPr="00EC4357">
              <w:rPr>
                <w:rFonts w:cs="Arial"/>
                <w:sz w:val="20"/>
              </w:rPr>
              <w:t>0</w:t>
            </w:r>
          </w:p>
        </w:tc>
        <w:tc>
          <w:tcPr>
            <w:tcW w:w="1881" w:type="dxa"/>
            <w:shd w:val="clear" w:color="auto" w:fill="auto"/>
            <w:vAlign w:val="center"/>
          </w:tcPr>
          <w:p w:rsidR="00E80F9C" w:rsidRPr="00EC4357" w:rsidRDefault="00E80F9C" w:rsidP="001F0FA0">
            <w:pPr>
              <w:pStyle w:val="BodyTextFirst5"/>
              <w:spacing w:after="120"/>
              <w:ind w:firstLine="0"/>
              <w:rPr>
                <w:rFonts w:cs="Arial"/>
                <w:sz w:val="20"/>
              </w:rPr>
            </w:pPr>
            <w:r w:rsidRPr="00EC4357">
              <w:rPr>
                <w:rFonts w:cs="Arial"/>
                <w:sz w:val="20"/>
              </w:rPr>
              <w:t>81.48% / 75.34</w:t>
            </w:r>
          </w:p>
        </w:tc>
      </w:tr>
      <w:tr w:rsidR="00E80F9C" w:rsidTr="001F0FA0">
        <w:tc>
          <w:tcPr>
            <w:tcW w:w="1668" w:type="dxa"/>
            <w:shd w:val="clear" w:color="auto" w:fill="auto"/>
          </w:tcPr>
          <w:p w:rsidR="00E80F9C" w:rsidRPr="00EC4357" w:rsidRDefault="00E80F9C" w:rsidP="001F0FA0">
            <w:pPr>
              <w:pStyle w:val="BodyTextFirst5"/>
              <w:spacing w:after="120"/>
              <w:ind w:firstLine="0"/>
              <w:rPr>
                <w:rFonts w:cs="Arial"/>
                <w:b/>
                <w:sz w:val="20"/>
              </w:rPr>
            </w:pPr>
            <w:r w:rsidRPr="00EC4357">
              <w:rPr>
                <w:rFonts w:cs="Arial"/>
                <w:b/>
                <w:sz w:val="20"/>
              </w:rPr>
              <w:t>Total:</w:t>
            </w:r>
          </w:p>
        </w:tc>
        <w:tc>
          <w:tcPr>
            <w:tcW w:w="1361" w:type="dxa"/>
            <w:shd w:val="clear" w:color="auto" w:fill="auto"/>
            <w:vAlign w:val="center"/>
          </w:tcPr>
          <w:p w:rsidR="00E80F9C" w:rsidRPr="00EC4357" w:rsidRDefault="00E80F9C" w:rsidP="001F0FA0">
            <w:pPr>
              <w:pStyle w:val="BodyTextFirst5"/>
              <w:spacing w:after="120"/>
              <w:ind w:firstLine="0"/>
              <w:rPr>
                <w:rFonts w:cs="Arial"/>
                <w:b/>
                <w:sz w:val="20"/>
              </w:rPr>
            </w:pPr>
            <w:r w:rsidRPr="00EC4357">
              <w:rPr>
                <w:rFonts w:cs="Arial"/>
                <w:b/>
                <w:sz w:val="20"/>
              </w:rPr>
              <w:t>42,956,638</w:t>
            </w:r>
          </w:p>
        </w:tc>
        <w:tc>
          <w:tcPr>
            <w:tcW w:w="1191" w:type="dxa"/>
            <w:shd w:val="clear" w:color="auto" w:fill="auto"/>
            <w:vAlign w:val="center"/>
          </w:tcPr>
          <w:p w:rsidR="00E80F9C" w:rsidRPr="00EC4357" w:rsidRDefault="00E80F9C" w:rsidP="001F0FA0">
            <w:pPr>
              <w:pStyle w:val="BodyTextFirst5"/>
              <w:spacing w:after="120"/>
              <w:ind w:right="-108" w:firstLine="0"/>
              <w:rPr>
                <w:rFonts w:cs="Arial"/>
                <w:b/>
                <w:sz w:val="20"/>
              </w:rPr>
            </w:pPr>
            <w:r w:rsidRPr="00EC4357">
              <w:rPr>
                <w:rFonts w:cs="Arial"/>
                <w:b/>
                <w:sz w:val="20"/>
              </w:rPr>
              <w:t>19,142,857</w:t>
            </w:r>
          </w:p>
        </w:tc>
        <w:tc>
          <w:tcPr>
            <w:tcW w:w="1124" w:type="dxa"/>
            <w:shd w:val="clear" w:color="auto" w:fill="auto"/>
            <w:vAlign w:val="center"/>
          </w:tcPr>
          <w:p w:rsidR="00E80F9C" w:rsidRPr="00EC4357" w:rsidRDefault="00E80F9C" w:rsidP="001F0FA0">
            <w:pPr>
              <w:pStyle w:val="BodyTextFirst5"/>
              <w:spacing w:after="120"/>
              <w:ind w:right="-118" w:firstLine="0"/>
              <w:rPr>
                <w:rFonts w:cs="Arial"/>
                <w:b/>
                <w:sz w:val="20"/>
              </w:rPr>
            </w:pPr>
            <w:r w:rsidRPr="00EC4357">
              <w:rPr>
                <w:rFonts w:cs="Arial"/>
                <w:b/>
                <w:sz w:val="20"/>
              </w:rPr>
              <w:t>285,714</w:t>
            </w:r>
          </w:p>
        </w:tc>
        <w:tc>
          <w:tcPr>
            <w:tcW w:w="1881" w:type="dxa"/>
            <w:shd w:val="clear" w:color="auto" w:fill="auto"/>
            <w:vAlign w:val="center"/>
          </w:tcPr>
          <w:p w:rsidR="00E80F9C" w:rsidRPr="00EC4357" w:rsidRDefault="00E80F9C" w:rsidP="001F0FA0">
            <w:pPr>
              <w:pStyle w:val="BodyTextFirst5"/>
              <w:spacing w:after="120"/>
              <w:ind w:firstLine="0"/>
              <w:rPr>
                <w:rFonts w:cs="Arial"/>
                <w:sz w:val="20"/>
              </w:rPr>
            </w:pPr>
          </w:p>
        </w:tc>
      </w:tr>
      <w:tr w:rsidR="00E80F9C" w:rsidTr="001F0FA0">
        <w:tc>
          <w:tcPr>
            <w:tcW w:w="7225" w:type="dxa"/>
            <w:gridSpan w:val="5"/>
            <w:shd w:val="clear" w:color="auto" w:fill="auto"/>
          </w:tcPr>
          <w:p w:rsidR="00E80F9C" w:rsidRPr="00EC4357" w:rsidRDefault="00E80F9C" w:rsidP="001F0FA0">
            <w:pPr>
              <w:pStyle w:val="BodyTextFirst5"/>
              <w:spacing w:after="120"/>
              <w:ind w:firstLine="0"/>
              <w:rPr>
                <w:rFonts w:cs="Arial"/>
                <w:sz w:val="20"/>
              </w:rPr>
            </w:pPr>
            <w:r w:rsidRPr="00EC4357">
              <w:rPr>
                <w:rFonts w:cs="Arial"/>
                <w:b/>
                <w:i/>
                <w:sz w:val="18"/>
                <w:szCs w:val="18"/>
              </w:rPr>
              <w:t xml:space="preserve">Note 1: </w:t>
            </w:r>
            <w:r w:rsidRPr="00B0788E">
              <w:rPr>
                <w:rFonts w:cs="Arial"/>
                <w:i/>
                <w:sz w:val="18"/>
                <w:szCs w:val="18"/>
              </w:rPr>
              <w:t xml:space="preserve">Appropriate adjustments will be made to the conversion terms of </w:t>
            </w:r>
            <w:r>
              <w:rPr>
                <w:rFonts w:cs="Arial"/>
                <w:i/>
                <w:sz w:val="18"/>
                <w:szCs w:val="18"/>
              </w:rPr>
              <w:t>Pivot’s</w:t>
            </w:r>
            <w:r w:rsidRPr="00B0788E">
              <w:rPr>
                <w:rFonts w:cs="Arial"/>
                <w:i/>
                <w:sz w:val="18"/>
                <w:szCs w:val="18"/>
              </w:rPr>
              <w:t xml:space="preserve"> outstanding convertible debentures</w:t>
            </w:r>
            <w:r w:rsidRPr="00EC4357">
              <w:rPr>
                <w:rFonts w:cs="Arial"/>
                <w:b/>
                <w:i/>
                <w:sz w:val="18"/>
                <w:szCs w:val="18"/>
              </w:rPr>
              <w:t>.</w:t>
            </w:r>
          </w:p>
        </w:tc>
      </w:tr>
    </w:tbl>
    <w:p w:rsidR="00E80F9C" w:rsidRDefault="00793659" w:rsidP="00793659">
      <w:pPr>
        <w:pStyle w:val="Corps"/>
        <w:shd w:val="clear" w:color="auto" w:fill="FFFFFF"/>
        <w:spacing w:after="0"/>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 </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361"/>
        <w:gridCol w:w="1191"/>
        <w:gridCol w:w="1124"/>
        <w:gridCol w:w="1881"/>
      </w:tblGrid>
      <w:tr w:rsidR="00E80F9C" w:rsidTr="001F0FA0">
        <w:tc>
          <w:tcPr>
            <w:tcW w:w="7225" w:type="dxa"/>
            <w:gridSpan w:val="5"/>
            <w:shd w:val="clear" w:color="auto" w:fill="auto"/>
          </w:tcPr>
          <w:p w:rsidR="00E80F9C" w:rsidRPr="003E4900" w:rsidRDefault="00E80F9C" w:rsidP="001F0FA0">
            <w:pPr>
              <w:pStyle w:val="BodyTextFirst5"/>
              <w:spacing w:after="0"/>
              <w:ind w:firstLine="0"/>
              <w:rPr>
                <w:rFonts w:cs="Arial"/>
                <w:b/>
                <w:sz w:val="21"/>
                <w:szCs w:val="21"/>
              </w:rPr>
            </w:pPr>
            <w:r w:rsidRPr="003E4900">
              <w:rPr>
                <w:rFonts w:cs="Arial"/>
                <w:b/>
                <w:i/>
                <w:sz w:val="21"/>
                <w:szCs w:val="21"/>
              </w:rPr>
              <w:t>Post-Transaction, Post-Consolidation, Maximum Indebtedness Assumed</w:t>
            </w:r>
          </w:p>
        </w:tc>
      </w:tr>
      <w:tr w:rsidR="00E80F9C" w:rsidTr="001F0FA0">
        <w:tc>
          <w:tcPr>
            <w:tcW w:w="1668" w:type="dxa"/>
            <w:shd w:val="clear" w:color="auto" w:fill="auto"/>
          </w:tcPr>
          <w:p w:rsidR="00E80F9C" w:rsidRPr="003E4900" w:rsidRDefault="00E80F9C" w:rsidP="001F0FA0">
            <w:pPr>
              <w:pStyle w:val="BodyTextFirst5"/>
              <w:spacing w:after="0"/>
              <w:ind w:firstLine="0"/>
              <w:rPr>
                <w:rFonts w:cs="Arial"/>
                <w:sz w:val="20"/>
              </w:rPr>
            </w:pPr>
          </w:p>
        </w:tc>
        <w:tc>
          <w:tcPr>
            <w:tcW w:w="1361" w:type="dxa"/>
            <w:shd w:val="clear" w:color="auto" w:fill="auto"/>
          </w:tcPr>
          <w:p w:rsidR="00E80F9C" w:rsidRPr="003E4900" w:rsidRDefault="00E80F9C" w:rsidP="001F0FA0">
            <w:pPr>
              <w:pStyle w:val="BodyTextFirst5"/>
              <w:spacing w:after="0"/>
              <w:ind w:firstLine="0"/>
              <w:rPr>
                <w:rFonts w:cs="Arial"/>
                <w:b/>
                <w:i/>
                <w:sz w:val="20"/>
              </w:rPr>
            </w:pPr>
            <w:proofErr w:type="spellStart"/>
            <w:r w:rsidRPr="003E4900">
              <w:rPr>
                <w:rFonts w:cs="Arial"/>
                <w:b/>
                <w:i/>
                <w:sz w:val="20"/>
              </w:rPr>
              <w:t>Knol</w:t>
            </w:r>
            <w:proofErr w:type="spellEnd"/>
            <w:r w:rsidRPr="003E4900">
              <w:rPr>
                <w:rFonts w:cs="Arial"/>
                <w:b/>
                <w:i/>
                <w:sz w:val="20"/>
              </w:rPr>
              <w:t xml:space="preserve"> Shares</w:t>
            </w:r>
          </w:p>
        </w:tc>
        <w:tc>
          <w:tcPr>
            <w:tcW w:w="1191" w:type="dxa"/>
            <w:shd w:val="clear" w:color="auto" w:fill="auto"/>
          </w:tcPr>
          <w:p w:rsidR="00E80F9C" w:rsidRPr="003E4900" w:rsidRDefault="00E80F9C" w:rsidP="001F0FA0">
            <w:pPr>
              <w:pStyle w:val="BodyTextFirst5"/>
              <w:spacing w:after="0"/>
              <w:ind w:firstLine="0"/>
              <w:rPr>
                <w:rFonts w:cs="Arial"/>
                <w:b/>
                <w:i/>
                <w:sz w:val="20"/>
              </w:rPr>
            </w:pPr>
            <w:proofErr w:type="spellStart"/>
            <w:r w:rsidRPr="003E4900">
              <w:rPr>
                <w:rFonts w:cs="Arial"/>
                <w:b/>
                <w:i/>
                <w:sz w:val="20"/>
              </w:rPr>
              <w:t>Knol</w:t>
            </w:r>
            <w:proofErr w:type="spellEnd"/>
            <w:r w:rsidRPr="003E4900">
              <w:rPr>
                <w:rFonts w:cs="Arial"/>
                <w:b/>
                <w:i/>
                <w:sz w:val="20"/>
              </w:rPr>
              <w:t xml:space="preserve"> Warrants</w:t>
            </w:r>
          </w:p>
        </w:tc>
        <w:tc>
          <w:tcPr>
            <w:tcW w:w="1124" w:type="dxa"/>
            <w:shd w:val="clear" w:color="auto" w:fill="auto"/>
          </w:tcPr>
          <w:p w:rsidR="00E80F9C" w:rsidRPr="003E4900" w:rsidRDefault="00E80F9C" w:rsidP="001F0FA0">
            <w:pPr>
              <w:pStyle w:val="BodyTextFirst5"/>
              <w:spacing w:after="0"/>
              <w:ind w:firstLine="0"/>
              <w:rPr>
                <w:rFonts w:cs="Arial"/>
                <w:b/>
                <w:i/>
                <w:sz w:val="20"/>
              </w:rPr>
            </w:pPr>
            <w:proofErr w:type="spellStart"/>
            <w:r w:rsidRPr="003E4900">
              <w:rPr>
                <w:rFonts w:cs="Arial"/>
                <w:b/>
                <w:i/>
                <w:sz w:val="20"/>
              </w:rPr>
              <w:t>Knol</w:t>
            </w:r>
            <w:proofErr w:type="spellEnd"/>
            <w:r w:rsidRPr="003E4900">
              <w:rPr>
                <w:rFonts w:cs="Arial"/>
                <w:b/>
                <w:i/>
                <w:sz w:val="20"/>
              </w:rPr>
              <w:t xml:space="preserve"> Options</w:t>
            </w:r>
          </w:p>
        </w:tc>
        <w:tc>
          <w:tcPr>
            <w:tcW w:w="1881" w:type="dxa"/>
            <w:shd w:val="clear" w:color="auto" w:fill="auto"/>
          </w:tcPr>
          <w:p w:rsidR="00E80F9C" w:rsidRPr="003E4900" w:rsidRDefault="00E80F9C" w:rsidP="001F0FA0">
            <w:pPr>
              <w:pStyle w:val="BodyTextFirst5"/>
              <w:spacing w:after="0"/>
              <w:ind w:right="-391" w:firstLine="0"/>
              <w:rPr>
                <w:rFonts w:cs="Arial"/>
                <w:b/>
                <w:i/>
                <w:sz w:val="20"/>
              </w:rPr>
            </w:pPr>
            <w:r w:rsidRPr="003E4900">
              <w:rPr>
                <w:rFonts w:cs="Arial"/>
                <w:b/>
                <w:i/>
                <w:sz w:val="20"/>
              </w:rPr>
              <w:t>Percentage Undiluted/ / Fully-Diluted</w:t>
            </w:r>
          </w:p>
        </w:tc>
      </w:tr>
      <w:tr w:rsidR="00E80F9C" w:rsidTr="001F0FA0">
        <w:tc>
          <w:tcPr>
            <w:tcW w:w="1668" w:type="dxa"/>
            <w:shd w:val="clear" w:color="auto" w:fill="auto"/>
          </w:tcPr>
          <w:p w:rsidR="00E80F9C" w:rsidRPr="003E4900" w:rsidRDefault="00E80F9C" w:rsidP="001F0FA0">
            <w:pPr>
              <w:pStyle w:val="BodyTextFirst5"/>
              <w:spacing w:after="0"/>
              <w:ind w:firstLine="0"/>
              <w:rPr>
                <w:rFonts w:cs="Arial"/>
                <w:b/>
                <w:sz w:val="20"/>
              </w:rPr>
            </w:pPr>
            <w:r w:rsidRPr="003E4900">
              <w:rPr>
                <w:rFonts w:cs="Arial"/>
                <w:b/>
                <w:sz w:val="20"/>
              </w:rPr>
              <w:t xml:space="preserve">Current shareholders of </w:t>
            </w:r>
            <w:proofErr w:type="spellStart"/>
            <w:r w:rsidRPr="003E4900">
              <w:rPr>
                <w:rFonts w:cs="Arial"/>
                <w:b/>
                <w:sz w:val="20"/>
              </w:rPr>
              <w:t>Knol</w:t>
            </w:r>
            <w:proofErr w:type="spellEnd"/>
          </w:p>
        </w:tc>
        <w:tc>
          <w:tcPr>
            <w:tcW w:w="1361" w:type="dxa"/>
            <w:shd w:val="clear" w:color="auto" w:fill="auto"/>
            <w:vAlign w:val="center"/>
          </w:tcPr>
          <w:p w:rsidR="00E80F9C" w:rsidRPr="003E4900" w:rsidRDefault="00E80F9C" w:rsidP="001F0FA0">
            <w:pPr>
              <w:pStyle w:val="BodyTextFirst5"/>
              <w:spacing w:after="0"/>
              <w:ind w:firstLine="0"/>
              <w:rPr>
                <w:rFonts w:cs="Arial"/>
                <w:sz w:val="20"/>
              </w:rPr>
            </w:pPr>
            <w:r w:rsidRPr="003E4900">
              <w:rPr>
                <w:rFonts w:cs="Arial"/>
                <w:sz w:val="20"/>
              </w:rPr>
              <w:t>7,956,638</w:t>
            </w:r>
          </w:p>
        </w:tc>
        <w:tc>
          <w:tcPr>
            <w:tcW w:w="1191" w:type="dxa"/>
            <w:shd w:val="clear" w:color="auto" w:fill="auto"/>
            <w:vAlign w:val="center"/>
          </w:tcPr>
          <w:p w:rsidR="00E80F9C" w:rsidRPr="003E4900" w:rsidRDefault="00E80F9C" w:rsidP="001F0FA0">
            <w:pPr>
              <w:pStyle w:val="BodyTextFirst5"/>
              <w:spacing w:after="0"/>
              <w:ind w:right="-108" w:firstLine="0"/>
              <w:rPr>
                <w:rFonts w:cs="Arial"/>
                <w:sz w:val="20"/>
              </w:rPr>
            </w:pPr>
            <w:r w:rsidRPr="003E4900">
              <w:rPr>
                <w:rFonts w:cs="Arial"/>
                <w:sz w:val="20"/>
              </w:rPr>
              <w:t>7,142,857</w:t>
            </w:r>
          </w:p>
        </w:tc>
        <w:tc>
          <w:tcPr>
            <w:tcW w:w="1124" w:type="dxa"/>
            <w:shd w:val="clear" w:color="auto" w:fill="auto"/>
            <w:vAlign w:val="center"/>
          </w:tcPr>
          <w:p w:rsidR="00E80F9C" w:rsidRPr="003E4900" w:rsidRDefault="00E80F9C" w:rsidP="001F0FA0">
            <w:pPr>
              <w:pStyle w:val="BodyTextFirst5"/>
              <w:spacing w:after="0"/>
              <w:ind w:right="-118" w:firstLine="0"/>
              <w:rPr>
                <w:rFonts w:cs="Arial"/>
                <w:sz w:val="20"/>
              </w:rPr>
            </w:pPr>
            <w:r w:rsidRPr="003E4900">
              <w:rPr>
                <w:rFonts w:cs="Arial"/>
                <w:sz w:val="20"/>
              </w:rPr>
              <w:t>285,714</w:t>
            </w:r>
          </w:p>
        </w:tc>
        <w:tc>
          <w:tcPr>
            <w:tcW w:w="1881" w:type="dxa"/>
            <w:shd w:val="clear" w:color="auto" w:fill="auto"/>
            <w:vAlign w:val="center"/>
          </w:tcPr>
          <w:p w:rsidR="00E80F9C" w:rsidRPr="003E4900" w:rsidRDefault="00E80F9C" w:rsidP="001F0FA0">
            <w:pPr>
              <w:pStyle w:val="BodyTextFirst5"/>
              <w:spacing w:after="0"/>
              <w:ind w:right="-108" w:firstLine="0"/>
              <w:rPr>
                <w:rFonts w:cs="Arial"/>
                <w:sz w:val="20"/>
              </w:rPr>
            </w:pPr>
            <w:r w:rsidRPr="003E4900">
              <w:rPr>
                <w:rFonts w:cs="Arial"/>
                <w:sz w:val="20"/>
              </w:rPr>
              <w:t>20.96% /</w:t>
            </w:r>
            <w:r>
              <w:rPr>
                <w:rFonts w:cs="Arial"/>
                <w:sz w:val="20"/>
              </w:rPr>
              <w:t xml:space="preserve"> </w:t>
            </w:r>
            <w:r w:rsidRPr="003E4900">
              <w:rPr>
                <w:rFonts w:cs="Arial"/>
                <w:sz w:val="20"/>
              </w:rPr>
              <w:t>26.91%</w:t>
            </w:r>
          </w:p>
        </w:tc>
      </w:tr>
      <w:tr w:rsidR="00E80F9C" w:rsidTr="001F0FA0">
        <w:tc>
          <w:tcPr>
            <w:tcW w:w="1668" w:type="dxa"/>
            <w:shd w:val="clear" w:color="auto" w:fill="auto"/>
          </w:tcPr>
          <w:p w:rsidR="00E80F9C" w:rsidRPr="003E4900" w:rsidRDefault="00E80F9C" w:rsidP="001F0FA0">
            <w:pPr>
              <w:pStyle w:val="BodyTextFirst5"/>
              <w:spacing w:after="0"/>
              <w:ind w:firstLine="0"/>
              <w:rPr>
                <w:rFonts w:cs="Arial"/>
                <w:b/>
                <w:sz w:val="20"/>
                <w:vertAlign w:val="superscript"/>
              </w:rPr>
            </w:pPr>
            <w:r w:rsidRPr="003E4900">
              <w:rPr>
                <w:rFonts w:cs="Arial"/>
                <w:b/>
                <w:sz w:val="20"/>
              </w:rPr>
              <w:t>Pivot Shareholders</w:t>
            </w:r>
            <w:r w:rsidRPr="003E4900">
              <w:rPr>
                <w:rFonts w:cs="Arial"/>
                <w:b/>
                <w:sz w:val="20"/>
                <w:vertAlign w:val="superscript"/>
              </w:rPr>
              <w:t>2</w:t>
            </w:r>
          </w:p>
        </w:tc>
        <w:tc>
          <w:tcPr>
            <w:tcW w:w="1361" w:type="dxa"/>
            <w:shd w:val="clear" w:color="auto" w:fill="auto"/>
            <w:vAlign w:val="center"/>
          </w:tcPr>
          <w:p w:rsidR="00E80F9C" w:rsidRPr="003E4900" w:rsidRDefault="00E80F9C" w:rsidP="001F0FA0">
            <w:pPr>
              <w:pStyle w:val="BodyTextFirst5"/>
              <w:spacing w:after="0"/>
              <w:ind w:firstLine="0"/>
              <w:rPr>
                <w:rFonts w:cs="Arial"/>
                <w:sz w:val="20"/>
              </w:rPr>
            </w:pPr>
            <w:r w:rsidRPr="003E4900">
              <w:rPr>
                <w:rFonts w:cs="Arial"/>
                <w:sz w:val="20"/>
              </w:rPr>
              <w:t>30,000,000</w:t>
            </w:r>
          </w:p>
        </w:tc>
        <w:tc>
          <w:tcPr>
            <w:tcW w:w="1191" w:type="dxa"/>
            <w:shd w:val="clear" w:color="auto" w:fill="auto"/>
            <w:vAlign w:val="center"/>
          </w:tcPr>
          <w:p w:rsidR="00E80F9C" w:rsidRPr="003E4900" w:rsidRDefault="00E80F9C" w:rsidP="001F0FA0">
            <w:pPr>
              <w:pStyle w:val="BodyTextFirst5"/>
              <w:spacing w:after="0"/>
              <w:ind w:right="-296" w:firstLine="0"/>
              <w:rPr>
                <w:rFonts w:cs="Arial"/>
                <w:sz w:val="20"/>
              </w:rPr>
            </w:pPr>
            <w:r w:rsidRPr="003E4900">
              <w:rPr>
                <w:rFonts w:cs="Arial"/>
                <w:sz w:val="20"/>
              </w:rPr>
              <w:t>10,285,714</w:t>
            </w:r>
          </w:p>
        </w:tc>
        <w:tc>
          <w:tcPr>
            <w:tcW w:w="1124" w:type="dxa"/>
            <w:shd w:val="clear" w:color="auto" w:fill="auto"/>
            <w:vAlign w:val="center"/>
          </w:tcPr>
          <w:p w:rsidR="00E80F9C" w:rsidRPr="003E4900" w:rsidRDefault="00E80F9C" w:rsidP="001F0FA0">
            <w:pPr>
              <w:pStyle w:val="BodyTextFirst5"/>
              <w:spacing w:after="0"/>
              <w:ind w:right="-118" w:firstLine="0"/>
              <w:rPr>
                <w:rFonts w:cs="Arial"/>
                <w:sz w:val="20"/>
              </w:rPr>
            </w:pPr>
            <w:r w:rsidRPr="003E4900">
              <w:rPr>
                <w:rFonts w:cs="Arial"/>
                <w:sz w:val="20"/>
              </w:rPr>
              <w:t>0</w:t>
            </w:r>
          </w:p>
        </w:tc>
        <w:tc>
          <w:tcPr>
            <w:tcW w:w="1881" w:type="dxa"/>
            <w:shd w:val="clear" w:color="auto" w:fill="auto"/>
            <w:vAlign w:val="center"/>
          </w:tcPr>
          <w:p w:rsidR="00E80F9C" w:rsidRPr="003E4900" w:rsidRDefault="00E80F9C" w:rsidP="001F0FA0">
            <w:pPr>
              <w:pStyle w:val="BodyTextFirst5"/>
              <w:spacing w:after="0"/>
              <w:ind w:right="-296" w:firstLine="0"/>
              <w:rPr>
                <w:rFonts w:cs="Arial"/>
                <w:sz w:val="20"/>
              </w:rPr>
            </w:pPr>
            <w:r w:rsidRPr="003E4900">
              <w:rPr>
                <w:rFonts w:cs="Arial"/>
                <w:sz w:val="20"/>
              </w:rPr>
              <w:t>79.04% / 73.09%</w:t>
            </w:r>
          </w:p>
        </w:tc>
      </w:tr>
      <w:tr w:rsidR="00E80F9C" w:rsidTr="001F0FA0">
        <w:tc>
          <w:tcPr>
            <w:tcW w:w="1668" w:type="dxa"/>
            <w:shd w:val="clear" w:color="auto" w:fill="auto"/>
          </w:tcPr>
          <w:p w:rsidR="00E80F9C" w:rsidRPr="003E4900" w:rsidRDefault="00E80F9C" w:rsidP="001F0FA0">
            <w:pPr>
              <w:pStyle w:val="BodyTextFirst5"/>
              <w:spacing w:after="0"/>
              <w:ind w:firstLine="0"/>
              <w:rPr>
                <w:rFonts w:cs="Arial"/>
                <w:b/>
                <w:sz w:val="20"/>
              </w:rPr>
            </w:pPr>
            <w:r w:rsidRPr="003E4900">
              <w:rPr>
                <w:rFonts w:cs="Arial"/>
                <w:b/>
                <w:sz w:val="20"/>
              </w:rPr>
              <w:t>Total:</w:t>
            </w:r>
          </w:p>
        </w:tc>
        <w:tc>
          <w:tcPr>
            <w:tcW w:w="1361" w:type="dxa"/>
            <w:shd w:val="clear" w:color="auto" w:fill="auto"/>
            <w:vAlign w:val="center"/>
          </w:tcPr>
          <w:p w:rsidR="00E80F9C" w:rsidRPr="003E4900" w:rsidRDefault="00E80F9C" w:rsidP="001F0FA0">
            <w:pPr>
              <w:pStyle w:val="BodyTextFirst5"/>
              <w:spacing w:after="0"/>
              <w:ind w:firstLine="0"/>
              <w:rPr>
                <w:rFonts w:cs="Arial"/>
                <w:b/>
                <w:sz w:val="20"/>
              </w:rPr>
            </w:pPr>
            <w:r w:rsidRPr="003E4900">
              <w:rPr>
                <w:rFonts w:cs="Arial"/>
                <w:b/>
                <w:sz w:val="20"/>
              </w:rPr>
              <w:t>37,956,638</w:t>
            </w:r>
          </w:p>
        </w:tc>
        <w:tc>
          <w:tcPr>
            <w:tcW w:w="1191" w:type="dxa"/>
            <w:shd w:val="clear" w:color="auto" w:fill="auto"/>
            <w:vAlign w:val="center"/>
          </w:tcPr>
          <w:p w:rsidR="00E80F9C" w:rsidRPr="003E4900" w:rsidRDefault="00E80F9C" w:rsidP="001F0FA0">
            <w:pPr>
              <w:pStyle w:val="BodyTextFirst5"/>
              <w:spacing w:after="0"/>
              <w:ind w:right="-108" w:firstLine="0"/>
              <w:rPr>
                <w:rFonts w:cs="Arial"/>
                <w:b/>
                <w:sz w:val="20"/>
              </w:rPr>
            </w:pPr>
            <w:r w:rsidRPr="003E4900">
              <w:rPr>
                <w:rFonts w:cs="Arial"/>
                <w:b/>
                <w:sz w:val="20"/>
              </w:rPr>
              <w:t>17,942,857</w:t>
            </w:r>
          </w:p>
        </w:tc>
        <w:tc>
          <w:tcPr>
            <w:tcW w:w="1124" w:type="dxa"/>
            <w:shd w:val="clear" w:color="auto" w:fill="auto"/>
            <w:vAlign w:val="center"/>
          </w:tcPr>
          <w:p w:rsidR="00E80F9C" w:rsidRPr="003E4900" w:rsidRDefault="00E80F9C" w:rsidP="001F0FA0">
            <w:pPr>
              <w:pStyle w:val="BodyTextFirst5"/>
              <w:spacing w:after="0"/>
              <w:ind w:right="-118" w:firstLine="0"/>
              <w:rPr>
                <w:rFonts w:cs="Arial"/>
                <w:b/>
                <w:sz w:val="20"/>
              </w:rPr>
            </w:pPr>
            <w:r w:rsidRPr="003E4900">
              <w:rPr>
                <w:rFonts w:cs="Arial"/>
                <w:b/>
                <w:sz w:val="20"/>
              </w:rPr>
              <w:t>285,714</w:t>
            </w:r>
          </w:p>
        </w:tc>
        <w:tc>
          <w:tcPr>
            <w:tcW w:w="1881" w:type="dxa"/>
            <w:shd w:val="clear" w:color="auto" w:fill="auto"/>
            <w:vAlign w:val="center"/>
          </w:tcPr>
          <w:p w:rsidR="00E80F9C" w:rsidRPr="003E4900" w:rsidRDefault="00E80F9C" w:rsidP="001F0FA0">
            <w:pPr>
              <w:pStyle w:val="BodyTextFirst5"/>
              <w:spacing w:after="0"/>
              <w:ind w:firstLine="0"/>
              <w:rPr>
                <w:rFonts w:cs="Arial"/>
                <w:sz w:val="20"/>
              </w:rPr>
            </w:pPr>
          </w:p>
        </w:tc>
      </w:tr>
      <w:tr w:rsidR="00E80F9C" w:rsidTr="001F0FA0">
        <w:tc>
          <w:tcPr>
            <w:tcW w:w="7225" w:type="dxa"/>
            <w:gridSpan w:val="5"/>
            <w:shd w:val="clear" w:color="auto" w:fill="auto"/>
          </w:tcPr>
          <w:p w:rsidR="00E80F9C" w:rsidRPr="00367D6F" w:rsidRDefault="00E80F9C" w:rsidP="001F0FA0">
            <w:pPr>
              <w:pStyle w:val="BodyTextFirst5"/>
              <w:spacing w:after="0"/>
              <w:ind w:firstLine="0"/>
              <w:rPr>
                <w:rFonts w:cs="Arial"/>
                <w:sz w:val="20"/>
              </w:rPr>
            </w:pPr>
            <w:r w:rsidRPr="003E4900">
              <w:rPr>
                <w:rFonts w:cs="Arial"/>
                <w:b/>
                <w:i/>
                <w:sz w:val="18"/>
                <w:szCs w:val="18"/>
              </w:rPr>
              <w:t xml:space="preserve">Note 2: </w:t>
            </w:r>
            <w:r w:rsidRPr="00B0788E">
              <w:rPr>
                <w:rFonts w:cs="Arial"/>
                <w:i/>
                <w:sz w:val="18"/>
                <w:szCs w:val="18"/>
              </w:rPr>
              <w:t>Appropriate adjustments will be m</w:t>
            </w:r>
            <w:r>
              <w:rPr>
                <w:rFonts w:cs="Arial"/>
                <w:i/>
                <w:sz w:val="18"/>
                <w:szCs w:val="18"/>
              </w:rPr>
              <w:t xml:space="preserve">ade to the conversion terms of Pivot’s </w:t>
            </w:r>
            <w:r w:rsidRPr="00B0788E">
              <w:rPr>
                <w:rFonts w:cs="Arial"/>
                <w:i/>
                <w:sz w:val="18"/>
                <w:szCs w:val="18"/>
              </w:rPr>
              <w:t>outstanding convertible debentures.</w:t>
            </w:r>
          </w:p>
        </w:tc>
      </w:tr>
    </w:tbl>
    <w:p w:rsidR="00E80F9C" w:rsidRDefault="00793659" w:rsidP="00793659">
      <w:pPr>
        <w:pStyle w:val="Corps"/>
        <w:shd w:val="clear" w:color="auto" w:fill="FFFFFF"/>
        <w:spacing w:after="0"/>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 </w:t>
      </w:r>
    </w:p>
    <w:p w:rsidR="00596E63" w:rsidRDefault="00596E63" w:rsidP="00723811">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Below </w:t>
      </w:r>
      <w:r w:rsidRPr="00993B5B">
        <w:rPr>
          <w:rFonts w:ascii="Times New Roman" w:eastAsia="Arial Unicode MS" w:hAnsi="Times New Roman" w:cs="Times New Roman"/>
          <w:color w:val="auto"/>
          <w:sz w:val="24"/>
          <w:szCs w:val="24"/>
        </w:rPr>
        <w:t xml:space="preserve">is the anticipated </w:t>
      </w:r>
      <w:r>
        <w:rPr>
          <w:rFonts w:ascii="Times New Roman" w:eastAsia="Arial Unicode MS" w:hAnsi="Times New Roman" w:cs="Times New Roman"/>
          <w:color w:val="auto"/>
          <w:sz w:val="24"/>
          <w:szCs w:val="24"/>
        </w:rPr>
        <w:t>approximate</w:t>
      </w:r>
      <w:r w:rsidRPr="00993B5B">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number of securities of the Resulting Issuer that a Pivot Shareholder</w:t>
      </w:r>
      <w:r w:rsidRPr="00993B5B">
        <w:rPr>
          <w:rFonts w:ascii="Times New Roman" w:eastAsia="Arial Unicode MS" w:hAnsi="Times New Roman" w:cs="Times New Roman"/>
          <w:color w:val="auto"/>
          <w:sz w:val="24"/>
          <w:szCs w:val="24"/>
        </w:rPr>
        <w:t xml:space="preserve"> </w:t>
      </w:r>
      <w:r w:rsidR="00D62256">
        <w:rPr>
          <w:rFonts w:ascii="Times New Roman" w:eastAsia="Arial Unicode MS" w:hAnsi="Times New Roman" w:cs="Times New Roman"/>
          <w:color w:val="auto"/>
          <w:sz w:val="24"/>
          <w:szCs w:val="24"/>
        </w:rPr>
        <w:t xml:space="preserve">holding 10,000 common shares in the capital of Pivot </w:t>
      </w:r>
      <w:r w:rsidR="00422BBC">
        <w:rPr>
          <w:rFonts w:ascii="Times New Roman" w:eastAsia="Arial Unicode MS" w:hAnsi="Times New Roman" w:cs="Times New Roman"/>
          <w:color w:val="auto"/>
          <w:sz w:val="24"/>
          <w:szCs w:val="24"/>
        </w:rPr>
        <w:t>would receive as a result of the Share Exchange</w:t>
      </w:r>
      <w:r w:rsidR="00A362DC">
        <w:rPr>
          <w:rFonts w:ascii="Times New Roman" w:eastAsia="Arial Unicode MS" w:hAnsi="Times New Roman" w:cs="Times New Roman"/>
          <w:color w:val="auto"/>
          <w:sz w:val="24"/>
          <w:szCs w:val="24"/>
        </w:rPr>
        <w:t xml:space="preserve"> upon completion of</w:t>
      </w:r>
      <w:r w:rsidR="004F5034">
        <w:rPr>
          <w:rFonts w:ascii="Times New Roman" w:eastAsia="Arial Unicode MS" w:hAnsi="Times New Roman" w:cs="Times New Roman"/>
          <w:color w:val="auto"/>
          <w:sz w:val="24"/>
          <w:szCs w:val="24"/>
        </w:rPr>
        <w:t xml:space="preserve"> the Transaction, </w:t>
      </w:r>
      <w:r w:rsidR="00723811">
        <w:rPr>
          <w:rFonts w:ascii="Times New Roman" w:eastAsia="Arial Unicode MS" w:hAnsi="Times New Roman" w:cs="Times New Roman"/>
          <w:color w:val="auto"/>
          <w:sz w:val="24"/>
          <w:szCs w:val="24"/>
        </w:rPr>
        <w:t xml:space="preserve">both </w:t>
      </w:r>
      <w:r w:rsidR="00422BBC">
        <w:rPr>
          <w:rFonts w:ascii="Times New Roman" w:eastAsia="Arial Unicode MS" w:hAnsi="Times New Roman" w:cs="Times New Roman"/>
          <w:color w:val="auto"/>
          <w:sz w:val="24"/>
          <w:szCs w:val="24"/>
        </w:rPr>
        <w:t xml:space="preserve">before and after giving effect to </w:t>
      </w:r>
      <w:r w:rsidR="00422BBC" w:rsidRPr="00993B5B">
        <w:rPr>
          <w:rFonts w:ascii="Times New Roman" w:eastAsia="Arial Unicode MS" w:hAnsi="Times New Roman" w:cs="Times New Roman"/>
          <w:color w:val="auto"/>
          <w:sz w:val="24"/>
          <w:szCs w:val="24"/>
        </w:rPr>
        <w:t>the assumption by Non-</w:t>
      </w:r>
      <w:proofErr w:type="spellStart"/>
      <w:r w:rsidR="00422BBC" w:rsidRPr="00993B5B">
        <w:rPr>
          <w:rFonts w:ascii="Times New Roman" w:eastAsia="Arial Unicode MS" w:hAnsi="Times New Roman" w:cs="Times New Roman"/>
          <w:color w:val="auto"/>
          <w:sz w:val="24"/>
          <w:szCs w:val="24"/>
        </w:rPr>
        <w:t>USco</w:t>
      </w:r>
      <w:proofErr w:type="spellEnd"/>
      <w:r w:rsidR="00422BBC" w:rsidRPr="00993B5B">
        <w:rPr>
          <w:rFonts w:ascii="Times New Roman" w:eastAsia="Arial Unicode MS" w:hAnsi="Times New Roman" w:cs="Times New Roman"/>
          <w:color w:val="auto"/>
          <w:sz w:val="24"/>
          <w:szCs w:val="24"/>
        </w:rPr>
        <w:t xml:space="preserve"> of the Maximum Indebtedness</w:t>
      </w:r>
      <w:r w:rsidR="00723811">
        <w:rPr>
          <w:rFonts w:ascii="Times New Roman" w:eastAsia="Arial Unicode MS" w:hAnsi="Times New Roman" w:cs="Times New Roman"/>
          <w:color w:val="auto"/>
          <w:sz w:val="24"/>
          <w:szCs w:val="24"/>
        </w:rPr>
        <w:t xml:space="preserve">, but without </w:t>
      </w:r>
      <w:r w:rsidR="004F5034">
        <w:rPr>
          <w:rFonts w:ascii="Times New Roman" w:eastAsia="Arial Unicode MS" w:hAnsi="Times New Roman" w:cs="Times New Roman"/>
          <w:color w:val="auto"/>
          <w:sz w:val="24"/>
          <w:szCs w:val="24"/>
        </w:rPr>
        <w:t>giving effect to the Concurrent Private Placement</w:t>
      </w:r>
      <w:r w:rsidR="00D62256">
        <w:rPr>
          <w:rFonts w:ascii="Times New Roman" w:eastAsia="Arial Unicode MS" w:hAnsi="Times New Roman" w:cs="Times New Roman"/>
          <w:color w:val="auto"/>
          <w:sz w:val="24"/>
          <w:szCs w:val="24"/>
        </w:rPr>
        <w:t>. A Pivot Shareholder</w:t>
      </w:r>
      <w:r w:rsidR="00D62256" w:rsidRPr="00993B5B">
        <w:rPr>
          <w:rFonts w:ascii="Times New Roman" w:eastAsia="Arial Unicode MS" w:hAnsi="Times New Roman" w:cs="Times New Roman"/>
          <w:color w:val="auto"/>
          <w:sz w:val="24"/>
          <w:szCs w:val="24"/>
        </w:rPr>
        <w:t xml:space="preserve"> </w:t>
      </w:r>
      <w:r w:rsidR="00D62256">
        <w:rPr>
          <w:rFonts w:ascii="Times New Roman" w:eastAsia="Arial Unicode MS" w:hAnsi="Times New Roman" w:cs="Times New Roman"/>
          <w:color w:val="auto"/>
          <w:sz w:val="24"/>
          <w:szCs w:val="24"/>
        </w:rPr>
        <w:t>holding 10,000 common shares in the capital of Pivot pre-Transaction will continue to hold 10,000 common shares of Pivot post-Transaction.</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984"/>
        <w:gridCol w:w="2977"/>
      </w:tblGrid>
      <w:tr w:rsidR="00D62256" w:rsidTr="00D62256">
        <w:trPr>
          <w:trHeight w:val="466"/>
        </w:trPr>
        <w:tc>
          <w:tcPr>
            <w:tcW w:w="7763" w:type="dxa"/>
            <w:gridSpan w:val="3"/>
            <w:shd w:val="clear" w:color="auto" w:fill="auto"/>
          </w:tcPr>
          <w:p w:rsidR="00D62256" w:rsidRPr="00EC4357" w:rsidRDefault="00D62256" w:rsidP="00CB3641">
            <w:pPr>
              <w:pStyle w:val="BodyTextFirst5"/>
              <w:spacing w:after="120"/>
              <w:ind w:firstLine="0"/>
              <w:jc w:val="center"/>
              <w:rPr>
                <w:rFonts w:cs="Arial"/>
                <w:b/>
                <w:sz w:val="21"/>
                <w:szCs w:val="21"/>
              </w:rPr>
            </w:pPr>
            <w:r w:rsidRPr="00EC4357">
              <w:rPr>
                <w:rFonts w:cs="Arial"/>
                <w:b/>
                <w:i/>
                <w:sz w:val="21"/>
                <w:szCs w:val="21"/>
              </w:rPr>
              <w:t>Post-Transaction, Post-Consolidation, No Indebtedness Assumed</w:t>
            </w:r>
          </w:p>
        </w:tc>
      </w:tr>
      <w:tr w:rsidR="00D62256" w:rsidTr="00D62256">
        <w:tc>
          <w:tcPr>
            <w:tcW w:w="2802" w:type="dxa"/>
            <w:shd w:val="clear" w:color="auto" w:fill="auto"/>
          </w:tcPr>
          <w:p w:rsidR="00D62256" w:rsidRPr="00EC4357" w:rsidRDefault="00D62256" w:rsidP="00CB3641">
            <w:pPr>
              <w:pStyle w:val="BodyTextFirst5"/>
              <w:spacing w:after="120"/>
              <w:ind w:firstLine="0"/>
              <w:rPr>
                <w:rFonts w:cs="Arial"/>
                <w:sz w:val="20"/>
              </w:rPr>
            </w:pPr>
          </w:p>
        </w:tc>
        <w:tc>
          <w:tcPr>
            <w:tcW w:w="1984" w:type="dxa"/>
            <w:shd w:val="clear" w:color="auto" w:fill="auto"/>
          </w:tcPr>
          <w:p w:rsidR="00D62256" w:rsidRPr="00EC4357" w:rsidRDefault="00D62256" w:rsidP="00CB3641">
            <w:pPr>
              <w:pStyle w:val="BodyTextFirst5"/>
              <w:spacing w:after="120"/>
              <w:ind w:firstLine="0"/>
              <w:rPr>
                <w:rFonts w:cs="Arial"/>
                <w:b/>
                <w:i/>
                <w:sz w:val="20"/>
              </w:rPr>
            </w:pPr>
            <w:proofErr w:type="spellStart"/>
            <w:r w:rsidRPr="00EC4357">
              <w:rPr>
                <w:rFonts w:cs="Arial"/>
                <w:b/>
                <w:i/>
                <w:sz w:val="20"/>
              </w:rPr>
              <w:t>Knol</w:t>
            </w:r>
            <w:proofErr w:type="spellEnd"/>
            <w:r w:rsidRPr="00EC4357">
              <w:rPr>
                <w:rFonts w:cs="Arial"/>
                <w:b/>
                <w:i/>
                <w:sz w:val="20"/>
              </w:rPr>
              <w:t xml:space="preserve"> Shares</w:t>
            </w:r>
          </w:p>
        </w:tc>
        <w:tc>
          <w:tcPr>
            <w:tcW w:w="2977" w:type="dxa"/>
            <w:shd w:val="clear" w:color="auto" w:fill="auto"/>
          </w:tcPr>
          <w:p w:rsidR="00D62256" w:rsidRPr="00EC4357" w:rsidRDefault="00D62256" w:rsidP="00CB3641">
            <w:pPr>
              <w:pStyle w:val="BodyTextFirst5"/>
              <w:spacing w:after="120"/>
              <w:ind w:right="-391" w:firstLine="0"/>
              <w:rPr>
                <w:rFonts w:cs="Arial"/>
                <w:b/>
                <w:i/>
                <w:sz w:val="20"/>
              </w:rPr>
            </w:pPr>
            <w:proofErr w:type="spellStart"/>
            <w:r w:rsidRPr="00EC4357">
              <w:rPr>
                <w:rFonts w:cs="Arial"/>
                <w:b/>
                <w:i/>
                <w:sz w:val="20"/>
              </w:rPr>
              <w:t>Knol</w:t>
            </w:r>
            <w:proofErr w:type="spellEnd"/>
            <w:r w:rsidRPr="00EC4357">
              <w:rPr>
                <w:rFonts w:cs="Arial"/>
                <w:b/>
                <w:i/>
                <w:sz w:val="20"/>
              </w:rPr>
              <w:t xml:space="preserve"> Warrants</w:t>
            </w:r>
          </w:p>
        </w:tc>
      </w:tr>
      <w:tr w:rsidR="00D62256" w:rsidTr="00D62256">
        <w:tc>
          <w:tcPr>
            <w:tcW w:w="2802" w:type="dxa"/>
            <w:shd w:val="clear" w:color="auto" w:fill="auto"/>
          </w:tcPr>
          <w:p w:rsidR="00D62256" w:rsidRPr="00EC4357" w:rsidRDefault="00723811" w:rsidP="00D62256">
            <w:pPr>
              <w:pStyle w:val="BodyTextFirst5"/>
              <w:spacing w:after="120"/>
              <w:ind w:firstLine="0"/>
              <w:rPr>
                <w:rFonts w:cs="Arial"/>
                <w:b/>
                <w:sz w:val="20"/>
                <w:vertAlign w:val="superscript"/>
              </w:rPr>
            </w:pPr>
            <w:r>
              <w:rPr>
                <w:rFonts w:cs="Arial"/>
                <w:b/>
                <w:sz w:val="20"/>
              </w:rPr>
              <w:t>Pivot Shareholder</w:t>
            </w:r>
            <w:r w:rsidR="00D62256">
              <w:rPr>
                <w:rFonts w:cs="Arial"/>
                <w:b/>
                <w:sz w:val="20"/>
              </w:rPr>
              <w:t xml:space="preserve"> holding 10,000 common shares in the capital of Pivot</w:t>
            </w:r>
            <w:r w:rsidR="00D62256">
              <w:rPr>
                <w:rFonts w:cs="Arial"/>
                <w:b/>
                <w:sz w:val="20"/>
                <w:vertAlign w:val="superscript"/>
              </w:rPr>
              <w:t>3</w:t>
            </w:r>
          </w:p>
        </w:tc>
        <w:tc>
          <w:tcPr>
            <w:tcW w:w="1984" w:type="dxa"/>
            <w:shd w:val="clear" w:color="auto" w:fill="auto"/>
            <w:vAlign w:val="center"/>
          </w:tcPr>
          <w:p w:rsidR="00D62256" w:rsidRPr="00EC4357" w:rsidRDefault="00793659" w:rsidP="00793659">
            <w:pPr>
              <w:pStyle w:val="BodyTextFirst5"/>
              <w:spacing w:after="120"/>
              <w:ind w:firstLine="0"/>
              <w:rPr>
                <w:rFonts w:cs="Arial"/>
                <w:sz w:val="20"/>
              </w:rPr>
            </w:pPr>
            <w:r>
              <w:rPr>
                <w:rFonts w:cs="Arial"/>
                <w:sz w:val="20"/>
              </w:rPr>
              <w:t>3,946</w:t>
            </w:r>
          </w:p>
        </w:tc>
        <w:tc>
          <w:tcPr>
            <w:tcW w:w="2977" w:type="dxa"/>
            <w:shd w:val="clear" w:color="auto" w:fill="auto"/>
            <w:vAlign w:val="center"/>
          </w:tcPr>
          <w:p w:rsidR="00D62256" w:rsidRPr="00EC4357" w:rsidRDefault="00D62256" w:rsidP="00CB3641">
            <w:pPr>
              <w:pStyle w:val="BodyTextFirst5"/>
              <w:spacing w:after="120"/>
              <w:ind w:firstLine="0"/>
              <w:rPr>
                <w:rFonts w:cs="Arial"/>
                <w:sz w:val="20"/>
              </w:rPr>
            </w:pPr>
            <w:r>
              <w:rPr>
                <w:rFonts w:cs="Arial"/>
                <w:sz w:val="20"/>
              </w:rPr>
              <w:t>1,353</w:t>
            </w:r>
          </w:p>
        </w:tc>
      </w:tr>
      <w:tr w:rsidR="00D62256" w:rsidTr="00D62256">
        <w:tc>
          <w:tcPr>
            <w:tcW w:w="7763" w:type="dxa"/>
            <w:gridSpan w:val="3"/>
            <w:shd w:val="clear" w:color="auto" w:fill="auto"/>
          </w:tcPr>
          <w:p w:rsidR="00D62256" w:rsidRPr="00EC4357" w:rsidRDefault="00D62256" w:rsidP="00D62256">
            <w:pPr>
              <w:pStyle w:val="BodyTextFirst5"/>
              <w:spacing w:after="120"/>
              <w:ind w:firstLine="0"/>
              <w:rPr>
                <w:rFonts w:cs="Arial"/>
                <w:sz w:val="20"/>
              </w:rPr>
            </w:pPr>
            <w:r w:rsidRPr="00EC4357">
              <w:rPr>
                <w:rFonts w:cs="Arial"/>
                <w:b/>
                <w:i/>
                <w:sz w:val="18"/>
                <w:szCs w:val="18"/>
              </w:rPr>
              <w:t xml:space="preserve">Note </w:t>
            </w:r>
            <w:r>
              <w:rPr>
                <w:rFonts w:cs="Arial"/>
                <w:b/>
                <w:i/>
                <w:sz w:val="18"/>
                <w:szCs w:val="18"/>
              </w:rPr>
              <w:t>3</w:t>
            </w:r>
            <w:r w:rsidRPr="00EC4357">
              <w:rPr>
                <w:rFonts w:cs="Arial"/>
                <w:b/>
                <w:i/>
                <w:sz w:val="18"/>
                <w:szCs w:val="18"/>
              </w:rPr>
              <w:t xml:space="preserve">: </w:t>
            </w:r>
            <w:r w:rsidRPr="00B0788E">
              <w:rPr>
                <w:rFonts w:cs="Arial"/>
                <w:i/>
                <w:sz w:val="18"/>
                <w:szCs w:val="18"/>
              </w:rPr>
              <w:t xml:space="preserve">Appropriate adjustments will be made to the conversion terms of </w:t>
            </w:r>
            <w:r>
              <w:rPr>
                <w:rFonts w:cs="Arial"/>
                <w:i/>
                <w:sz w:val="18"/>
                <w:szCs w:val="18"/>
              </w:rPr>
              <w:t>Pivot’s</w:t>
            </w:r>
            <w:r w:rsidRPr="00B0788E">
              <w:rPr>
                <w:rFonts w:cs="Arial"/>
                <w:i/>
                <w:sz w:val="18"/>
                <w:szCs w:val="18"/>
              </w:rPr>
              <w:t xml:space="preserve"> outstanding convertible debentures</w:t>
            </w:r>
            <w:r w:rsidRPr="00EC4357">
              <w:rPr>
                <w:rFonts w:cs="Arial"/>
                <w:b/>
                <w:i/>
                <w:sz w:val="18"/>
                <w:szCs w:val="18"/>
              </w:rPr>
              <w:t>.</w:t>
            </w:r>
          </w:p>
        </w:tc>
      </w:tr>
    </w:tbl>
    <w:p w:rsidR="00422BBC" w:rsidRDefault="00422BBC" w:rsidP="00E80F9C">
      <w:pPr>
        <w:pStyle w:val="Corps"/>
        <w:shd w:val="clear" w:color="auto" w:fill="FFFFFF"/>
        <w:spacing w:after="150"/>
        <w:jc w:val="both"/>
        <w:rPr>
          <w:rFonts w:ascii="Times New Roman" w:eastAsia="Arial Unicode MS" w:hAnsi="Times New Roman" w:cs="Times New Roman"/>
          <w:color w:val="auto"/>
          <w:sz w:val="24"/>
          <w:szCs w:val="24"/>
        </w:rPr>
      </w:pPr>
    </w:p>
    <w:p w:rsidR="00723811" w:rsidRDefault="00723811" w:rsidP="00E80F9C">
      <w:pPr>
        <w:pStyle w:val="Corps"/>
        <w:shd w:val="clear" w:color="auto" w:fill="FFFFFF"/>
        <w:spacing w:after="150"/>
        <w:jc w:val="both"/>
        <w:rPr>
          <w:rFonts w:ascii="Times New Roman" w:eastAsia="Arial Unicode MS" w:hAnsi="Times New Roman" w:cs="Times New Roman"/>
          <w:color w:val="auto"/>
          <w:sz w:val="24"/>
          <w:szCs w:val="24"/>
        </w:rPr>
      </w:pPr>
    </w:p>
    <w:p w:rsidR="00723811" w:rsidRDefault="00723811" w:rsidP="00E80F9C">
      <w:pPr>
        <w:pStyle w:val="Corps"/>
        <w:shd w:val="clear" w:color="auto" w:fill="FFFFFF"/>
        <w:spacing w:after="150"/>
        <w:jc w:val="both"/>
        <w:rPr>
          <w:rFonts w:ascii="Times New Roman" w:eastAsia="Arial Unicode MS" w:hAnsi="Times New Roman" w:cs="Times New Roman"/>
          <w:color w:val="auto"/>
          <w:sz w:val="24"/>
          <w:szCs w:val="24"/>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984"/>
        <w:gridCol w:w="2977"/>
      </w:tblGrid>
      <w:tr w:rsidR="00D62256" w:rsidTr="00D62256">
        <w:tc>
          <w:tcPr>
            <w:tcW w:w="7763" w:type="dxa"/>
            <w:gridSpan w:val="3"/>
            <w:shd w:val="clear" w:color="auto" w:fill="auto"/>
          </w:tcPr>
          <w:p w:rsidR="00D62256" w:rsidRPr="003E4900" w:rsidRDefault="00D62256" w:rsidP="00D62256">
            <w:pPr>
              <w:pStyle w:val="BodyTextFirst5"/>
              <w:ind w:firstLine="0"/>
              <w:rPr>
                <w:rFonts w:cs="Arial"/>
                <w:b/>
                <w:sz w:val="21"/>
                <w:szCs w:val="21"/>
              </w:rPr>
            </w:pPr>
            <w:r w:rsidRPr="003E4900">
              <w:rPr>
                <w:rFonts w:cs="Arial"/>
                <w:b/>
                <w:i/>
                <w:sz w:val="21"/>
                <w:szCs w:val="21"/>
              </w:rPr>
              <w:t>Post-Transaction, Post-Consolidation, Maximum Indebtedness Assumed</w:t>
            </w:r>
          </w:p>
        </w:tc>
      </w:tr>
      <w:tr w:rsidR="00D62256" w:rsidTr="00D62256">
        <w:tc>
          <w:tcPr>
            <w:tcW w:w="2802" w:type="dxa"/>
            <w:shd w:val="clear" w:color="auto" w:fill="auto"/>
          </w:tcPr>
          <w:p w:rsidR="00D62256" w:rsidRPr="003E4900" w:rsidRDefault="00D62256" w:rsidP="00CB3641">
            <w:pPr>
              <w:pStyle w:val="BodyTextFirst5"/>
              <w:spacing w:after="0"/>
              <w:ind w:firstLine="0"/>
              <w:rPr>
                <w:rFonts w:cs="Arial"/>
                <w:sz w:val="20"/>
              </w:rPr>
            </w:pPr>
          </w:p>
        </w:tc>
        <w:tc>
          <w:tcPr>
            <w:tcW w:w="1984" w:type="dxa"/>
            <w:shd w:val="clear" w:color="auto" w:fill="auto"/>
          </w:tcPr>
          <w:p w:rsidR="00D62256" w:rsidRPr="003E4900" w:rsidRDefault="00D62256" w:rsidP="00CB3641">
            <w:pPr>
              <w:pStyle w:val="BodyTextFirst5"/>
              <w:spacing w:after="0"/>
              <w:ind w:firstLine="0"/>
              <w:rPr>
                <w:rFonts w:cs="Arial"/>
                <w:b/>
                <w:i/>
                <w:sz w:val="20"/>
              </w:rPr>
            </w:pPr>
            <w:proofErr w:type="spellStart"/>
            <w:r w:rsidRPr="003E4900">
              <w:rPr>
                <w:rFonts w:cs="Arial"/>
                <w:b/>
                <w:i/>
                <w:sz w:val="20"/>
              </w:rPr>
              <w:t>Knol</w:t>
            </w:r>
            <w:proofErr w:type="spellEnd"/>
            <w:r w:rsidRPr="003E4900">
              <w:rPr>
                <w:rFonts w:cs="Arial"/>
                <w:b/>
                <w:i/>
                <w:sz w:val="20"/>
              </w:rPr>
              <w:t xml:space="preserve"> Shares</w:t>
            </w:r>
          </w:p>
        </w:tc>
        <w:tc>
          <w:tcPr>
            <w:tcW w:w="2977" w:type="dxa"/>
            <w:shd w:val="clear" w:color="auto" w:fill="auto"/>
          </w:tcPr>
          <w:p w:rsidR="00D62256" w:rsidRPr="003E4900" w:rsidRDefault="00D62256" w:rsidP="00D62256">
            <w:pPr>
              <w:pStyle w:val="BodyTextFirst5"/>
              <w:spacing w:after="120"/>
              <w:ind w:right="-391" w:firstLine="0"/>
              <w:rPr>
                <w:rFonts w:cs="Arial"/>
                <w:b/>
                <w:i/>
                <w:sz w:val="20"/>
              </w:rPr>
            </w:pPr>
            <w:proofErr w:type="spellStart"/>
            <w:r w:rsidRPr="003E4900">
              <w:rPr>
                <w:rFonts w:cs="Arial"/>
                <w:b/>
                <w:i/>
                <w:sz w:val="20"/>
              </w:rPr>
              <w:t>Knol</w:t>
            </w:r>
            <w:proofErr w:type="spellEnd"/>
            <w:r w:rsidRPr="003E4900">
              <w:rPr>
                <w:rFonts w:cs="Arial"/>
                <w:b/>
                <w:i/>
                <w:sz w:val="20"/>
              </w:rPr>
              <w:t xml:space="preserve"> Warrants</w:t>
            </w:r>
          </w:p>
        </w:tc>
      </w:tr>
      <w:tr w:rsidR="00D62256" w:rsidTr="00D62256">
        <w:tc>
          <w:tcPr>
            <w:tcW w:w="2802" w:type="dxa"/>
            <w:shd w:val="clear" w:color="auto" w:fill="auto"/>
          </w:tcPr>
          <w:p w:rsidR="00D62256" w:rsidRPr="003E4900" w:rsidRDefault="00723811" w:rsidP="00D62256">
            <w:pPr>
              <w:pStyle w:val="BodyTextFirst5"/>
              <w:spacing w:after="0"/>
              <w:ind w:firstLine="0"/>
              <w:rPr>
                <w:rFonts w:cs="Arial"/>
                <w:b/>
                <w:sz w:val="20"/>
                <w:vertAlign w:val="superscript"/>
              </w:rPr>
            </w:pPr>
            <w:r>
              <w:rPr>
                <w:rFonts w:cs="Arial"/>
                <w:b/>
                <w:sz w:val="20"/>
              </w:rPr>
              <w:lastRenderedPageBreak/>
              <w:t>Pivot Shareholder</w:t>
            </w:r>
            <w:r w:rsidR="00D62256">
              <w:rPr>
                <w:rFonts w:cs="Arial"/>
                <w:b/>
                <w:sz w:val="20"/>
              </w:rPr>
              <w:t xml:space="preserve"> holding 10,000 common shares in the capital of Pivot</w:t>
            </w:r>
            <w:r w:rsidR="00D62256">
              <w:rPr>
                <w:rFonts w:cs="Arial"/>
                <w:b/>
                <w:sz w:val="20"/>
                <w:vertAlign w:val="superscript"/>
              </w:rPr>
              <w:t>4</w:t>
            </w:r>
          </w:p>
        </w:tc>
        <w:tc>
          <w:tcPr>
            <w:tcW w:w="1984" w:type="dxa"/>
            <w:shd w:val="clear" w:color="auto" w:fill="auto"/>
            <w:vAlign w:val="center"/>
          </w:tcPr>
          <w:p w:rsidR="00D62256" w:rsidRPr="003E4900" w:rsidRDefault="00793659" w:rsidP="00CB3641">
            <w:pPr>
              <w:pStyle w:val="BodyTextFirst5"/>
              <w:spacing w:after="0"/>
              <w:ind w:firstLine="0"/>
              <w:rPr>
                <w:rFonts w:cs="Arial"/>
                <w:sz w:val="20"/>
              </w:rPr>
            </w:pPr>
            <w:r>
              <w:rPr>
                <w:rFonts w:cs="Arial"/>
                <w:sz w:val="20"/>
              </w:rPr>
              <w:t>3,382</w:t>
            </w:r>
          </w:p>
        </w:tc>
        <w:tc>
          <w:tcPr>
            <w:tcW w:w="2977" w:type="dxa"/>
            <w:shd w:val="clear" w:color="auto" w:fill="auto"/>
            <w:vAlign w:val="center"/>
          </w:tcPr>
          <w:p w:rsidR="00D62256" w:rsidRPr="003E4900" w:rsidRDefault="00793659" w:rsidP="00D62256">
            <w:pPr>
              <w:pStyle w:val="BodyTextFirst5"/>
              <w:spacing w:after="120"/>
              <w:ind w:right="-295" w:firstLine="0"/>
              <w:rPr>
                <w:rFonts w:cs="Arial"/>
                <w:sz w:val="20"/>
              </w:rPr>
            </w:pPr>
            <w:r>
              <w:rPr>
                <w:rFonts w:cs="Arial"/>
                <w:sz w:val="20"/>
              </w:rPr>
              <w:t>1,220</w:t>
            </w:r>
          </w:p>
        </w:tc>
      </w:tr>
      <w:tr w:rsidR="00D62256" w:rsidTr="00D62256">
        <w:tc>
          <w:tcPr>
            <w:tcW w:w="7763" w:type="dxa"/>
            <w:gridSpan w:val="3"/>
            <w:shd w:val="clear" w:color="auto" w:fill="auto"/>
          </w:tcPr>
          <w:p w:rsidR="00D62256" w:rsidRPr="00367D6F" w:rsidRDefault="00D62256" w:rsidP="00D62256">
            <w:pPr>
              <w:pStyle w:val="BodyTextFirst5"/>
              <w:spacing w:after="0"/>
              <w:ind w:firstLine="0"/>
              <w:rPr>
                <w:rFonts w:cs="Arial"/>
                <w:sz w:val="20"/>
              </w:rPr>
            </w:pPr>
            <w:r w:rsidRPr="003E4900">
              <w:rPr>
                <w:rFonts w:cs="Arial"/>
                <w:b/>
                <w:i/>
                <w:sz w:val="18"/>
                <w:szCs w:val="18"/>
              </w:rPr>
              <w:t xml:space="preserve">Note </w:t>
            </w:r>
            <w:r>
              <w:rPr>
                <w:rFonts w:cs="Arial"/>
                <w:b/>
                <w:i/>
                <w:sz w:val="18"/>
                <w:szCs w:val="18"/>
              </w:rPr>
              <w:t>4</w:t>
            </w:r>
            <w:r w:rsidRPr="003E4900">
              <w:rPr>
                <w:rFonts w:cs="Arial"/>
                <w:b/>
                <w:i/>
                <w:sz w:val="18"/>
                <w:szCs w:val="18"/>
              </w:rPr>
              <w:t xml:space="preserve">: </w:t>
            </w:r>
            <w:r w:rsidRPr="00B0788E">
              <w:rPr>
                <w:rFonts w:cs="Arial"/>
                <w:i/>
                <w:sz w:val="18"/>
                <w:szCs w:val="18"/>
              </w:rPr>
              <w:t>Appropriate adjustments will be m</w:t>
            </w:r>
            <w:r>
              <w:rPr>
                <w:rFonts w:cs="Arial"/>
                <w:i/>
                <w:sz w:val="18"/>
                <w:szCs w:val="18"/>
              </w:rPr>
              <w:t xml:space="preserve">ade to the conversion terms of Pivot’s </w:t>
            </w:r>
            <w:r w:rsidRPr="00B0788E">
              <w:rPr>
                <w:rFonts w:cs="Arial"/>
                <w:i/>
                <w:sz w:val="18"/>
                <w:szCs w:val="18"/>
              </w:rPr>
              <w:t>outstanding convertible debentures.</w:t>
            </w:r>
          </w:p>
        </w:tc>
      </w:tr>
    </w:tbl>
    <w:p w:rsidR="004F5034" w:rsidRDefault="004F5034" w:rsidP="00D62256">
      <w:pPr>
        <w:pStyle w:val="Corps"/>
        <w:keepNext/>
        <w:shd w:val="clear" w:color="auto" w:fill="FFFFFF"/>
        <w:spacing w:after="150"/>
        <w:jc w:val="both"/>
        <w:rPr>
          <w:rFonts w:ascii="Times New Roman" w:eastAsia="Arial Unicode MS" w:hAnsi="Times New Roman" w:cs="Times New Roman"/>
          <w:b/>
          <w:color w:val="auto"/>
          <w:sz w:val="24"/>
          <w:szCs w:val="24"/>
          <w:u w:val="single"/>
        </w:rPr>
      </w:pPr>
    </w:p>
    <w:p w:rsidR="001D3E30" w:rsidRDefault="001D3E30" w:rsidP="00D62256">
      <w:pPr>
        <w:pStyle w:val="Corps"/>
        <w:keepNext/>
        <w:shd w:val="clear" w:color="auto" w:fill="FFFFFF"/>
        <w:spacing w:after="150"/>
        <w:jc w:val="both"/>
        <w:rPr>
          <w:rFonts w:ascii="Times New Roman" w:eastAsia="Arial Unicode MS" w:hAnsi="Times New Roman" w:cs="Times New Roman"/>
          <w:b/>
          <w:color w:val="auto"/>
          <w:sz w:val="24"/>
          <w:szCs w:val="24"/>
          <w:u w:val="single"/>
        </w:rPr>
      </w:pPr>
      <w:r>
        <w:rPr>
          <w:rFonts w:ascii="Times New Roman" w:eastAsia="Arial Unicode MS" w:hAnsi="Times New Roman" w:cs="Times New Roman"/>
          <w:b/>
          <w:color w:val="auto"/>
          <w:sz w:val="24"/>
          <w:szCs w:val="24"/>
          <w:u w:val="single"/>
        </w:rPr>
        <w:t>Concurrent Private Placement</w:t>
      </w:r>
    </w:p>
    <w:p w:rsidR="00C81A82" w:rsidRPr="00C81A82" w:rsidRDefault="00C81A82" w:rsidP="00C81A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u w:color="000000"/>
        </w:rPr>
      </w:pPr>
      <w:r>
        <w:rPr>
          <w:u w:color="000000"/>
        </w:rPr>
        <w:t xml:space="preserve">It is contemplated that the Concurrent Private Placement will close by </w:t>
      </w:r>
      <w:r w:rsidRPr="00C81A82">
        <w:t>no later than the closing of the Transaction</w:t>
      </w:r>
      <w:r>
        <w:t xml:space="preserve">, pursuant to which </w:t>
      </w:r>
      <w:proofErr w:type="spellStart"/>
      <w:r>
        <w:t>Knol</w:t>
      </w:r>
      <w:proofErr w:type="spellEnd"/>
      <w:r>
        <w:t xml:space="preserve"> </w:t>
      </w:r>
      <w:r>
        <w:rPr>
          <w:u w:color="000000"/>
        </w:rPr>
        <w:t xml:space="preserve">will raise </w:t>
      </w:r>
      <w:r w:rsidRPr="00C81A82">
        <w:rPr>
          <w:u w:color="000000"/>
        </w:rPr>
        <w:t xml:space="preserve">between $3.0 million and $6.0 million in gross proceeds.  The Concurrent Private Placement will dilute all of the shareholders of the </w:t>
      </w:r>
      <w:proofErr w:type="spellStart"/>
      <w:r w:rsidRPr="00C81A82">
        <w:rPr>
          <w:u w:color="000000"/>
        </w:rPr>
        <w:t>Knol</w:t>
      </w:r>
      <w:proofErr w:type="spellEnd"/>
      <w:r w:rsidRPr="00C81A82">
        <w:rPr>
          <w:u w:color="000000"/>
        </w:rPr>
        <w:t xml:space="preserve"> on a post-closing basis, and will not affect the exchange ratio for the Transaction. The Concurrent Private Placement is subject to certain conditions including, but not limited to, the receipt of all necessary regulatory and stock exchange approvals, including the approval of the TSXV. The Concurrent Private Placement will provide funding for the development of </w:t>
      </w:r>
      <w:proofErr w:type="spellStart"/>
      <w:r w:rsidRPr="00C81A82">
        <w:rPr>
          <w:u w:color="000000"/>
        </w:rPr>
        <w:t>Knol's</w:t>
      </w:r>
      <w:proofErr w:type="spellEnd"/>
      <w:r w:rsidRPr="00C81A82">
        <w:rPr>
          <w:u w:color="000000"/>
        </w:rPr>
        <w:t xml:space="preserve"> intended business post-Transaction and for general corporate purposes.</w:t>
      </w:r>
    </w:p>
    <w:p w:rsidR="00E80F9C" w:rsidRPr="007240A1" w:rsidRDefault="00E80F9C" w:rsidP="00D62256">
      <w:pPr>
        <w:pStyle w:val="Corps"/>
        <w:keepNext/>
        <w:shd w:val="clear" w:color="auto" w:fill="FFFFFF"/>
        <w:spacing w:after="150"/>
        <w:jc w:val="both"/>
        <w:rPr>
          <w:rFonts w:ascii="Times New Roman" w:eastAsia="Arial Unicode MS" w:hAnsi="Times New Roman" w:cs="Times New Roman"/>
          <w:b/>
          <w:color w:val="auto"/>
          <w:sz w:val="24"/>
          <w:szCs w:val="24"/>
          <w:u w:val="single"/>
        </w:rPr>
      </w:pPr>
      <w:r>
        <w:rPr>
          <w:rFonts w:ascii="Times New Roman" w:eastAsia="Arial Unicode MS" w:hAnsi="Times New Roman" w:cs="Times New Roman"/>
          <w:b/>
          <w:color w:val="auto"/>
          <w:sz w:val="24"/>
          <w:szCs w:val="24"/>
          <w:u w:val="single"/>
        </w:rPr>
        <w:t>Management of the Resulting Issuer</w:t>
      </w:r>
    </w:p>
    <w:p w:rsidR="00E80F9C" w:rsidRPr="00C81A82" w:rsidRDefault="00E80F9C" w:rsidP="00C81A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u w:color="000000"/>
        </w:rPr>
      </w:pPr>
      <w:r w:rsidRPr="00C81A82">
        <w:rPr>
          <w:u w:color="000000"/>
        </w:rPr>
        <w:t xml:space="preserve">Following completion of the Transaction and until the next annual meeting of the shareholders of the Resulting Issuer, </w:t>
      </w:r>
      <w:proofErr w:type="spellStart"/>
      <w:r w:rsidRPr="00C81A82">
        <w:rPr>
          <w:u w:color="000000"/>
        </w:rPr>
        <w:t>Knol</w:t>
      </w:r>
      <w:proofErr w:type="spellEnd"/>
      <w:r w:rsidRPr="00C81A82">
        <w:rPr>
          <w:u w:color="000000"/>
        </w:rPr>
        <w:t xml:space="preserve"> management will be entitled to nominate one of the five directors of the Resulting Issuer.  It is anticipated that the management team of the Re</w:t>
      </w:r>
      <w:r w:rsidR="00DC3167" w:rsidRPr="00C81A82">
        <w:rPr>
          <w:u w:color="000000"/>
        </w:rPr>
        <w:t>sulting</w:t>
      </w:r>
      <w:r w:rsidRPr="00C81A82">
        <w:rPr>
          <w:u w:color="000000"/>
        </w:rPr>
        <w:t xml:space="preserve"> Issuer will be comprised of certain members of the management team of Pivot inv</w:t>
      </w:r>
      <w:r w:rsidR="006C5DD2" w:rsidRPr="00C81A82">
        <w:rPr>
          <w:u w:color="000000"/>
        </w:rPr>
        <w:t xml:space="preserve">olved exclusively with Pivot’s </w:t>
      </w:r>
      <w:r w:rsidRPr="00C81A82">
        <w:rPr>
          <w:u w:color="000000"/>
        </w:rPr>
        <w:t>non-U.S. operations</w:t>
      </w:r>
      <w:r w:rsidR="00DC3167" w:rsidRPr="00C81A82">
        <w:rPr>
          <w:u w:color="000000"/>
        </w:rPr>
        <w:t>, who will transfer their employment from Pivot to the Resulting Issuer</w:t>
      </w:r>
      <w:r w:rsidRPr="00C81A82">
        <w:rPr>
          <w:u w:color="000000"/>
        </w:rPr>
        <w:t>.</w:t>
      </w:r>
    </w:p>
    <w:p w:rsidR="00E80F9C" w:rsidRPr="000A2CA7" w:rsidRDefault="00E80F9C" w:rsidP="00E80F9C">
      <w:pPr>
        <w:pStyle w:val="Corps"/>
        <w:shd w:val="clear" w:color="auto" w:fill="FFFFFF"/>
        <w:spacing w:after="150"/>
        <w:jc w:val="both"/>
        <w:rPr>
          <w:rFonts w:ascii="Times New Roman" w:eastAsia="Arial Unicode MS" w:hAnsi="Times New Roman" w:cs="Times New Roman"/>
          <w:b/>
          <w:color w:val="auto"/>
          <w:sz w:val="24"/>
          <w:szCs w:val="24"/>
          <w:u w:val="single"/>
        </w:rPr>
      </w:pPr>
      <w:r>
        <w:rPr>
          <w:rFonts w:ascii="Times New Roman" w:eastAsia="Arial Unicode MS" w:hAnsi="Times New Roman" w:cs="Times New Roman"/>
          <w:b/>
          <w:color w:val="auto"/>
          <w:sz w:val="24"/>
          <w:szCs w:val="24"/>
          <w:u w:val="single"/>
        </w:rPr>
        <w:t xml:space="preserve">Required </w:t>
      </w:r>
      <w:r w:rsidR="006C5DD2">
        <w:rPr>
          <w:rFonts w:ascii="Times New Roman" w:eastAsia="Arial Unicode MS" w:hAnsi="Times New Roman" w:cs="Times New Roman"/>
          <w:b/>
          <w:color w:val="auto"/>
          <w:sz w:val="24"/>
          <w:szCs w:val="24"/>
          <w:u w:val="single"/>
        </w:rPr>
        <w:t>Approvals</w:t>
      </w:r>
    </w:p>
    <w:p w:rsidR="00E80F9C" w:rsidRPr="001B79D3" w:rsidRDefault="00E80F9C" w:rsidP="001B79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u w:color="000000"/>
        </w:rPr>
      </w:pPr>
      <w:r w:rsidRPr="001B79D3">
        <w:rPr>
          <w:u w:color="000000"/>
        </w:rPr>
        <w:t xml:space="preserve">The execution of the Definitive Agreement and the closing of the Transaction will be subject to the receipt of all necessary approvals and consents required of third parties and of any regulatory or governmental authorities on terms and conditions satisfactory to </w:t>
      </w:r>
      <w:proofErr w:type="spellStart"/>
      <w:r w:rsidRPr="001B79D3">
        <w:rPr>
          <w:u w:color="000000"/>
        </w:rPr>
        <w:t>Knol</w:t>
      </w:r>
      <w:proofErr w:type="spellEnd"/>
      <w:r w:rsidRPr="001B79D3">
        <w:rPr>
          <w:u w:color="000000"/>
        </w:rPr>
        <w:t xml:space="preserve"> and Pivot, acting reasonably, including, without limitation:</w:t>
      </w:r>
    </w:p>
    <w:p w:rsidR="00E80F9C" w:rsidRPr="00993B5B" w:rsidRDefault="00E80F9C" w:rsidP="00E80F9C">
      <w:pPr>
        <w:pStyle w:val="Corps"/>
        <w:shd w:val="clear" w:color="auto" w:fill="FFFFFF"/>
        <w:spacing w:after="150" w:line="240" w:lineRule="auto"/>
        <w:ind w:left="720" w:hanging="720"/>
        <w:jc w:val="both"/>
        <w:rPr>
          <w:rFonts w:ascii="Times New Roman" w:eastAsia="Arial Unicode MS" w:hAnsi="Times New Roman" w:cs="Times New Roman"/>
          <w:color w:val="auto"/>
          <w:sz w:val="24"/>
          <w:szCs w:val="24"/>
        </w:rPr>
      </w:pPr>
      <w:r w:rsidRPr="00993B5B">
        <w:rPr>
          <w:rFonts w:ascii="Times New Roman" w:eastAsia="Arial Unicode MS" w:hAnsi="Times New Roman" w:cs="Times New Roman"/>
          <w:color w:val="auto"/>
          <w:sz w:val="24"/>
          <w:szCs w:val="24"/>
        </w:rPr>
        <w:t>(a)</w:t>
      </w:r>
      <w:r w:rsidRPr="00993B5B">
        <w:rPr>
          <w:rFonts w:ascii="Times New Roman" w:eastAsia="Arial Unicode MS" w:hAnsi="Times New Roman" w:cs="Times New Roman"/>
          <w:color w:val="auto"/>
          <w:sz w:val="24"/>
          <w:szCs w:val="24"/>
        </w:rPr>
        <w:tab/>
      </w:r>
      <w:proofErr w:type="gramStart"/>
      <w:r w:rsidRPr="00993B5B">
        <w:rPr>
          <w:rFonts w:ascii="Times New Roman" w:eastAsia="Arial Unicode MS" w:hAnsi="Times New Roman" w:cs="Times New Roman"/>
          <w:color w:val="auto"/>
          <w:sz w:val="24"/>
          <w:szCs w:val="24"/>
        </w:rPr>
        <w:t>approval</w:t>
      </w:r>
      <w:proofErr w:type="gramEnd"/>
      <w:r w:rsidRPr="00993B5B">
        <w:rPr>
          <w:rFonts w:ascii="Times New Roman" w:eastAsia="Arial Unicode MS" w:hAnsi="Times New Roman" w:cs="Times New Roman"/>
          <w:color w:val="auto"/>
          <w:sz w:val="24"/>
          <w:szCs w:val="24"/>
        </w:rPr>
        <w:t xml:space="preserve"> of the Transaction by the Board of Directors of </w:t>
      </w:r>
      <w:proofErr w:type="spellStart"/>
      <w:r w:rsidRPr="00993B5B">
        <w:rPr>
          <w:rFonts w:ascii="Times New Roman" w:eastAsia="Arial Unicode MS" w:hAnsi="Times New Roman" w:cs="Times New Roman"/>
          <w:color w:val="auto"/>
          <w:sz w:val="24"/>
          <w:szCs w:val="24"/>
        </w:rPr>
        <w:t>Knol</w:t>
      </w:r>
      <w:proofErr w:type="spellEnd"/>
      <w:r w:rsidRPr="00993B5B">
        <w:rPr>
          <w:rFonts w:ascii="Times New Roman" w:eastAsia="Arial Unicode MS" w:hAnsi="Times New Roman" w:cs="Times New Roman"/>
          <w:color w:val="auto"/>
          <w:sz w:val="24"/>
          <w:szCs w:val="24"/>
        </w:rPr>
        <w:t xml:space="preserve">, including confirmation of the satisfactory completion of </w:t>
      </w:r>
      <w:proofErr w:type="spellStart"/>
      <w:r w:rsidRPr="00993B5B">
        <w:rPr>
          <w:rFonts w:ascii="Times New Roman" w:eastAsia="Arial Unicode MS" w:hAnsi="Times New Roman" w:cs="Times New Roman"/>
          <w:color w:val="auto"/>
          <w:sz w:val="24"/>
          <w:szCs w:val="24"/>
        </w:rPr>
        <w:t>Knol’s</w:t>
      </w:r>
      <w:proofErr w:type="spellEnd"/>
      <w:r w:rsidRPr="00993B5B">
        <w:rPr>
          <w:rFonts w:ascii="Times New Roman" w:eastAsia="Arial Unicode MS" w:hAnsi="Times New Roman" w:cs="Times New Roman"/>
          <w:color w:val="auto"/>
          <w:sz w:val="24"/>
          <w:szCs w:val="24"/>
        </w:rPr>
        <w:t xml:space="preserve"> due diligence review of Pivot;</w:t>
      </w:r>
    </w:p>
    <w:p w:rsidR="00E80F9C" w:rsidRPr="00993B5B" w:rsidRDefault="00E80F9C" w:rsidP="00E80F9C">
      <w:pPr>
        <w:pStyle w:val="Corps"/>
        <w:shd w:val="clear" w:color="auto" w:fill="FFFFFF"/>
        <w:spacing w:after="150" w:line="240" w:lineRule="auto"/>
        <w:ind w:left="720" w:hanging="720"/>
        <w:jc w:val="both"/>
        <w:rPr>
          <w:rFonts w:ascii="Times New Roman" w:eastAsia="Arial Unicode MS" w:hAnsi="Times New Roman" w:cs="Times New Roman"/>
          <w:color w:val="auto"/>
          <w:sz w:val="24"/>
          <w:szCs w:val="24"/>
        </w:rPr>
      </w:pPr>
      <w:r w:rsidRPr="00993B5B">
        <w:rPr>
          <w:rFonts w:ascii="Times New Roman" w:eastAsia="Arial Unicode MS" w:hAnsi="Times New Roman" w:cs="Times New Roman"/>
          <w:color w:val="auto"/>
          <w:sz w:val="24"/>
          <w:szCs w:val="24"/>
        </w:rPr>
        <w:t>(b)</w:t>
      </w:r>
      <w:r w:rsidRPr="00993B5B">
        <w:rPr>
          <w:rFonts w:ascii="Times New Roman" w:eastAsia="Arial Unicode MS" w:hAnsi="Times New Roman" w:cs="Times New Roman"/>
          <w:color w:val="auto"/>
          <w:sz w:val="24"/>
          <w:szCs w:val="24"/>
        </w:rPr>
        <w:tab/>
      </w:r>
      <w:proofErr w:type="gramStart"/>
      <w:r w:rsidRPr="00993B5B">
        <w:rPr>
          <w:rFonts w:ascii="Times New Roman" w:eastAsia="Arial Unicode MS" w:hAnsi="Times New Roman" w:cs="Times New Roman"/>
          <w:color w:val="auto"/>
          <w:sz w:val="24"/>
          <w:szCs w:val="24"/>
        </w:rPr>
        <w:t>approval</w:t>
      </w:r>
      <w:proofErr w:type="gramEnd"/>
      <w:r w:rsidRPr="00993B5B">
        <w:rPr>
          <w:rFonts w:ascii="Times New Roman" w:eastAsia="Arial Unicode MS" w:hAnsi="Times New Roman" w:cs="Times New Roman"/>
          <w:color w:val="auto"/>
          <w:sz w:val="24"/>
          <w:szCs w:val="24"/>
        </w:rPr>
        <w:t xml:space="preserve"> of the Transaction by the Board of Directors of Pivot, including confirmation of the satisfactory completion of Pivot’s due diligence review of </w:t>
      </w:r>
      <w:proofErr w:type="spellStart"/>
      <w:r w:rsidRPr="00993B5B">
        <w:rPr>
          <w:rFonts w:ascii="Times New Roman" w:eastAsia="Arial Unicode MS" w:hAnsi="Times New Roman" w:cs="Times New Roman"/>
          <w:color w:val="auto"/>
          <w:sz w:val="24"/>
          <w:szCs w:val="24"/>
        </w:rPr>
        <w:t>Knol</w:t>
      </w:r>
      <w:proofErr w:type="spellEnd"/>
      <w:r w:rsidRPr="00993B5B">
        <w:rPr>
          <w:rFonts w:ascii="Times New Roman" w:eastAsia="Arial Unicode MS" w:hAnsi="Times New Roman" w:cs="Times New Roman"/>
          <w:color w:val="auto"/>
          <w:sz w:val="24"/>
          <w:szCs w:val="24"/>
        </w:rPr>
        <w:t>;</w:t>
      </w:r>
    </w:p>
    <w:p w:rsidR="00E80F9C" w:rsidRPr="00993B5B" w:rsidRDefault="00E80F9C" w:rsidP="00E80F9C">
      <w:pPr>
        <w:pStyle w:val="Corps"/>
        <w:shd w:val="clear" w:color="auto" w:fill="FFFFFF"/>
        <w:spacing w:after="150" w:line="240" w:lineRule="auto"/>
        <w:ind w:left="720" w:hanging="720"/>
        <w:jc w:val="both"/>
        <w:rPr>
          <w:rFonts w:ascii="Times New Roman" w:eastAsia="Arial Unicode MS" w:hAnsi="Times New Roman" w:cs="Times New Roman"/>
          <w:color w:val="auto"/>
          <w:sz w:val="24"/>
          <w:szCs w:val="24"/>
        </w:rPr>
      </w:pPr>
      <w:r w:rsidRPr="00993B5B">
        <w:rPr>
          <w:rFonts w:ascii="Times New Roman" w:eastAsia="Arial Unicode MS" w:hAnsi="Times New Roman" w:cs="Times New Roman"/>
          <w:color w:val="auto"/>
          <w:sz w:val="24"/>
          <w:szCs w:val="24"/>
        </w:rPr>
        <w:t>(c)</w:t>
      </w:r>
      <w:r w:rsidRPr="00993B5B">
        <w:rPr>
          <w:rFonts w:ascii="Times New Roman" w:eastAsia="Arial Unicode MS" w:hAnsi="Times New Roman" w:cs="Times New Roman"/>
          <w:color w:val="auto"/>
          <w:sz w:val="24"/>
          <w:szCs w:val="24"/>
        </w:rPr>
        <w:tab/>
      </w:r>
      <w:proofErr w:type="gramStart"/>
      <w:r w:rsidRPr="00993B5B">
        <w:rPr>
          <w:rFonts w:ascii="Times New Roman" w:eastAsia="Arial Unicode MS" w:hAnsi="Times New Roman" w:cs="Times New Roman"/>
          <w:color w:val="auto"/>
          <w:sz w:val="24"/>
          <w:szCs w:val="24"/>
        </w:rPr>
        <w:t>approval</w:t>
      </w:r>
      <w:proofErr w:type="gramEnd"/>
      <w:r w:rsidRPr="00993B5B">
        <w:rPr>
          <w:rFonts w:ascii="Times New Roman" w:eastAsia="Arial Unicode MS" w:hAnsi="Times New Roman" w:cs="Times New Roman"/>
          <w:color w:val="auto"/>
          <w:sz w:val="24"/>
          <w:szCs w:val="24"/>
        </w:rPr>
        <w:t xml:space="preserve"> of the Pivot Shareholders, to be obtained at a special meeting of shareholders, with respect to the Plan of Arrangement;</w:t>
      </w:r>
    </w:p>
    <w:p w:rsidR="00E80F9C" w:rsidRPr="00993B5B" w:rsidRDefault="00E80F9C" w:rsidP="00E80F9C">
      <w:pPr>
        <w:pStyle w:val="Corps"/>
        <w:shd w:val="clear" w:color="auto" w:fill="FFFFFF"/>
        <w:spacing w:after="150" w:line="240" w:lineRule="auto"/>
        <w:ind w:left="720" w:hanging="720"/>
        <w:jc w:val="both"/>
        <w:rPr>
          <w:rFonts w:ascii="Times New Roman" w:eastAsia="Arial Unicode MS" w:hAnsi="Times New Roman" w:cs="Times New Roman"/>
          <w:color w:val="auto"/>
          <w:sz w:val="24"/>
          <w:szCs w:val="24"/>
        </w:rPr>
      </w:pPr>
      <w:r w:rsidRPr="00993B5B">
        <w:rPr>
          <w:rFonts w:ascii="Times New Roman" w:eastAsia="Arial Unicode MS" w:hAnsi="Times New Roman" w:cs="Times New Roman"/>
          <w:color w:val="auto"/>
          <w:sz w:val="24"/>
          <w:szCs w:val="24"/>
        </w:rPr>
        <w:t>(d)</w:t>
      </w:r>
      <w:r w:rsidRPr="00993B5B">
        <w:rPr>
          <w:rFonts w:ascii="Times New Roman" w:eastAsia="Arial Unicode MS" w:hAnsi="Times New Roman" w:cs="Times New Roman"/>
          <w:color w:val="auto"/>
          <w:sz w:val="24"/>
          <w:szCs w:val="24"/>
        </w:rPr>
        <w:tab/>
        <w:t xml:space="preserve">approval of the </w:t>
      </w:r>
      <w:proofErr w:type="spellStart"/>
      <w:r w:rsidRPr="00993B5B">
        <w:rPr>
          <w:rFonts w:ascii="Times New Roman" w:eastAsia="Arial Unicode MS" w:hAnsi="Times New Roman" w:cs="Times New Roman"/>
          <w:color w:val="auto"/>
          <w:sz w:val="24"/>
          <w:szCs w:val="24"/>
        </w:rPr>
        <w:t>Knol</w:t>
      </w:r>
      <w:proofErr w:type="spellEnd"/>
      <w:r w:rsidRPr="00993B5B">
        <w:rPr>
          <w:rFonts w:ascii="Times New Roman" w:eastAsia="Arial Unicode MS" w:hAnsi="Times New Roman" w:cs="Times New Roman"/>
          <w:color w:val="auto"/>
          <w:sz w:val="24"/>
          <w:szCs w:val="24"/>
        </w:rPr>
        <w:t xml:space="preserve"> Shareholders, to be obtained at a special meeting of shareholders, with respect to the Consolidation, the Name Change, the creation of a new “Control Person” as defined in the policies of the TSXV and the co</w:t>
      </w:r>
      <w:r>
        <w:rPr>
          <w:rFonts w:ascii="Times New Roman" w:eastAsia="Arial Unicode MS" w:hAnsi="Times New Roman" w:cs="Times New Roman"/>
          <w:color w:val="auto"/>
          <w:sz w:val="24"/>
          <w:szCs w:val="24"/>
        </w:rPr>
        <w:t>mpletion</w:t>
      </w:r>
      <w:r w:rsidRPr="00993B5B">
        <w:rPr>
          <w:rFonts w:ascii="Times New Roman" w:eastAsia="Arial Unicode MS" w:hAnsi="Times New Roman" w:cs="Times New Roman"/>
          <w:color w:val="auto"/>
          <w:sz w:val="24"/>
          <w:szCs w:val="24"/>
        </w:rPr>
        <w:t xml:space="preserve"> of the reverse take-over under the policies of the TSXV;</w:t>
      </w:r>
    </w:p>
    <w:p w:rsidR="00E80F9C" w:rsidRPr="00993B5B" w:rsidRDefault="00E80F9C" w:rsidP="00E80F9C">
      <w:pPr>
        <w:pStyle w:val="Corps"/>
        <w:shd w:val="clear" w:color="auto" w:fill="FFFFFF"/>
        <w:spacing w:after="150" w:line="240" w:lineRule="auto"/>
        <w:jc w:val="both"/>
        <w:rPr>
          <w:rFonts w:ascii="Times New Roman" w:eastAsia="Arial Unicode MS" w:hAnsi="Times New Roman" w:cs="Times New Roman"/>
          <w:color w:val="auto"/>
          <w:sz w:val="24"/>
          <w:szCs w:val="24"/>
        </w:rPr>
      </w:pPr>
      <w:r w:rsidRPr="00993B5B">
        <w:rPr>
          <w:rFonts w:ascii="Times New Roman" w:eastAsia="Arial Unicode MS" w:hAnsi="Times New Roman" w:cs="Times New Roman"/>
          <w:color w:val="auto"/>
          <w:sz w:val="24"/>
          <w:szCs w:val="24"/>
        </w:rPr>
        <w:t>(e)</w:t>
      </w:r>
      <w:r w:rsidRPr="00993B5B">
        <w:rPr>
          <w:rFonts w:ascii="Times New Roman" w:eastAsia="Arial Unicode MS" w:hAnsi="Times New Roman" w:cs="Times New Roman"/>
          <w:color w:val="auto"/>
          <w:sz w:val="24"/>
          <w:szCs w:val="24"/>
        </w:rPr>
        <w:tab/>
      </w:r>
      <w:proofErr w:type="gramStart"/>
      <w:r w:rsidRPr="00993B5B">
        <w:rPr>
          <w:rFonts w:ascii="Times New Roman" w:eastAsia="Arial Unicode MS" w:hAnsi="Times New Roman" w:cs="Times New Roman"/>
          <w:color w:val="auto"/>
          <w:sz w:val="24"/>
          <w:szCs w:val="24"/>
        </w:rPr>
        <w:t>approval</w:t>
      </w:r>
      <w:proofErr w:type="gramEnd"/>
      <w:r w:rsidRPr="00993B5B">
        <w:rPr>
          <w:rFonts w:ascii="Times New Roman" w:eastAsia="Arial Unicode MS" w:hAnsi="Times New Roman" w:cs="Times New Roman"/>
          <w:color w:val="auto"/>
          <w:sz w:val="24"/>
          <w:szCs w:val="24"/>
        </w:rPr>
        <w:t xml:space="preserve"> of the TSXV;</w:t>
      </w:r>
    </w:p>
    <w:p w:rsidR="00E80F9C" w:rsidRPr="00993B5B" w:rsidRDefault="00E80F9C" w:rsidP="00E80F9C">
      <w:pPr>
        <w:pStyle w:val="Corps"/>
        <w:shd w:val="clear" w:color="auto" w:fill="FFFFFF"/>
        <w:spacing w:after="150" w:line="240" w:lineRule="auto"/>
        <w:jc w:val="both"/>
        <w:rPr>
          <w:rFonts w:ascii="Times New Roman" w:eastAsia="Arial Unicode MS" w:hAnsi="Times New Roman" w:cs="Times New Roman"/>
          <w:color w:val="auto"/>
          <w:sz w:val="24"/>
          <w:szCs w:val="24"/>
        </w:rPr>
      </w:pPr>
      <w:r w:rsidRPr="00993B5B">
        <w:rPr>
          <w:rFonts w:ascii="Times New Roman" w:eastAsia="Arial Unicode MS" w:hAnsi="Times New Roman" w:cs="Times New Roman"/>
          <w:color w:val="auto"/>
          <w:sz w:val="24"/>
          <w:szCs w:val="24"/>
        </w:rPr>
        <w:t>(g)</w:t>
      </w:r>
      <w:r w:rsidRPr="00993B5B">
        <w:rPr>
          <w:rFonts w:ascii="Times New Roman" w:eastAsia="Arial Unicode MS" w:hAnsi="Times New Roman" w:cs="Times New Roman"/>
          <w:color w:val="auto"/>
          <w:sz w:val="24"/>
          <w:szCs w:val="24"/>
        </w:rPr>
        <w:tab/>
      </w:r>
      <w:proofErr w:type="gramStart"/>
      <w:r w:rsidRPr="00993B5B">
        <w:rPr>
          <w:rFonts w:ascii="Times New Roman" w:eastAsia="Arial Unicode MS" w:hAnsi="Times New Roman" w:cs="Times New Roman"/>
          <w:color w:val="auto"/>
          <w:sz w:val="24"/>
          <w:szCs w:val="24"/>
        </w:rPr>
        <w:t>approval</w:t>
      </w:r>
      <w:proofErr w:type="gramEnd"/>
      <w:r w:rsidRPr="00993B5B">
        <w:rPr>
          <w:rFonts w:ascii="Times New Roman" w:eastAsia="Arial Unicode MS" w:hAnsi="Times New Roman" w:cs="Times New Roman"/>
          <w:color w:val="auto"/>
          <w:sz w:val="24"/>
          <w:szCs w:val="24"/>
        </w:rPr>
        <w:t xml:space="preserve"> of the British Columbia court with respect to the Plan of Arrangement; and</w:t>
      </w:r>
    </w:p>
    <w:p w:rsidR="00E80F9C" w:rsidRPr="00993B5B" w:rsidRDefault="00E80F9C" w:rsidP="00E80F9C">
      <w:pPr>
        <w:pStyle w:val="Corps"/>
        <w:shd w:val="clear" w:color="auto" w:fill="FFFFFF"/>
        <w:spacing w:after="150" w:line="240" w:lineRule="auto"/>
        <w:ind w:left="720" w:hanging="720"/>
        <w:jc w:val="both"/>
        <w:rPr>
          <w:rFonts w:ascii="Times New Roman" w:eastAsia="Arial Unicode MS" w:hAnsi="Times New Roman" w:cs="Times New Roman"/>
          <w:color w:val="auto"/>
          <w:sz w:val="24"/>
          <w:szCs w:val="24"/>
        </w:rPr>
      </w:pPr>
      <w:r w:rsidRPr="00993B5B">
        <w:rPr>
          <w:rFonts w:ascii="Times New Roman" w:eastAsia="Arial Unicode MS" w:hAnsi="Times New Roman" w:cs="Times New Roman"/>
          <w:color w:val="auto"/>
          <w:sz w:val="24"/>
          <w:szCs w:val="24"/>
        </w:rPr>
        <w:t>(h)</w:t>
      </w:r>
      <w:r w:rsidRPr="00993B5B">
        <w:rPr>
          <w:rFonts w:ascii="Times New Roman" w:eastAsia="Arial Unicode MS" w:hAnsi="Times New Roman" w:cs="Times New Roman"/>
          <w:color w:val="auto"/>
          <w:sz w:val="24"/>
          <w:szCs w:val="24"/>
        </w:rPr>
        <w:tab/>
      </w:r>
      <w:proofErr w:type="gramStart"/>
      <w:r w:rsidRPr="00993B5B">
        <w:rPr>
          <w:rFonts w:ascii="Times New Roman" w:eastAsia="Arial Unicode MS" w:hAnsi="Times New Roman" w:cs="Times New Roman"/>
          <w:color w:val="auto"/>
          <w:sz w:val="24"/>
          <w:szCs w:val="24"/>
        </w:rPr>
        <w:t>approval</w:t>
      </w:r>
      <w:proofErr w:type="gramEnd"/>
      <w:r w:rsidRPr="00993B5B">
        <w:rPr>
          <w:rFonts w:ascii="Times New Roman" w:eastAsia="Arial Unicode MS" w:hAnsi="Times New Roman" w:cs="Times New Roman"/>
          <w:color w:val="auto"/>
          <w:sz w:val="24"/>
          <w:szCs w:val="24"/>
        </w:rPr>
        <w:t xml:space="preserve"> of the holders of the outstanding convertible debentures of Pivot on terms and conditions satisfactory to </w:t>
      </w:r>
      <w:proofErr w:type="spellStart"/>
      <w:r w:rsidRPr="00993B5B">
        <w:rPr>
          <w:rFonts w:ascii="Times New Roman" w:eastAsia="Arial Unicode MS" w:hAnsi="Times New Roman" w:cs="Times New Roman"/>
          <w:color w:val="auto"/>
          <w:sz w:val="24"/>
          <w:szCs w:val="24"/>
        </w:rPr>
        <w:t>Knol</w:t>
      </w:r>
      <w:proofErr w:type="spellEnd"/>
      <w:r w:rsidRPr="00993B5B">
        <w:rPr>
          <w:rFonts w:ascii="Times New Roman" w:eastAsia="Arial Unicode MS" w:hAnsi="Times New Roman" w:cs="Times New Roman"/>
          <w:color w:val="auto"/>
          <w:sz w:val="24"/>
          <w:szCs w:val="24"/>
        </w:rPr>
        <w:t>.</w:t>
      </w:r>
    </w:p>
    <w:p w:rsidR="00E80F9C" w:rsidRPr="000A2CA7" w:rsidRDefault="006C5DD2" w:rsidP="00E80F9C">
      <w:pPr>
        <w:pStyle w:val="Corps"/>
        <w:shd w:val="clear" w:color="auto" w:fill="FFFFFF"/>
        <w:spacing w:after="150"/>
        <w:jc w:val="both"/>
        <w:rPr>
          <w:rFonts w:ascii="Times New Roman" w:eastAsia="Arial Unicode MS" w:hAnsi="Times New Roman" w:cs="Times New Roman"/>
          <w:b/>
          <w:color w:val="auto"/>
          <w:sz w:val="24"/>
          <w:szCs w:val="24"/>
          <w:u w:val="single"/>
        </w:rPr>
      </w:pPr>
      <w:r>
        <w:rPr>
          <w:rFonts w:ascii="Times New Roman" w:eastAsia="Arial Unicode MS" w:hAnsi="Times New Roman" w:cs="Times New Roman"/>
          <w:b/>
          <w:color w:val="auto"/>
          <w:sz w:val="24"/>
          <w:szCs w:val="24"/>
          <w:u w:val="single"/>
        </w:rPr>
        <w:lastRenderedPageBreak/>
        <w:t>Break Fee</w:t>
      </w:r>
    </w:p>
    <w:p w:rsidR="00E80F9C" w:rsidRPr="00993B5B" w:rsidRDefault="00E80F9C" w:rsidP="00E80F9C">
      <w:pPr>
        <w:pStyle w:val="Corps"/>
        <w:shd w:val="clear" w:color="auto" w:fill="FFFFFF"/>
        <w:spacing w:after="150" w:line="240" w:lineRule="auto"/>
        <w:jc w:val="both"/>
        <w:rPr>
          <w:rFonts w:ascii="Times New Roman" w:eastAsia="Arial Unicode MS" w:hAnsi="Times New Roman" w:cs="Times New Roman"/>
          <w:color w:val="auto"/>
          <w:sz w:val="24"/>
          <w:szCs w:val="24"/>
        </w:rPr>
      </w:pPr>
      <w:r w:rsidRPr="00993B5B">
        <w:rPr>
          <w:rFonts w:ascii="Times New Roman" w:eastAsia="Arial Unicode MS" w:hAnsi="Times New Roman" w:cs="Times New Roman"/>
          <w:color w:val="auto"/>
          <w:sz w:val="24"/>
          <w:szCs w:val="24"/>
        </w:rPr>
        <w:t xml:space="preserve">The Definitive Agreement will provide for a reciprocal break fee in the amount of $350,000 should the approval of the </w:t>
      </w:r>
      <w:proofErr w:type="spellStart"/>
      <w:r w:rsidRPr="00993B5B">
        <w:rPr>
          <w:rFonts w:ascii="Times New Roman" w:eastAsia="Arial Unicode MS" w:hAnsi="Times New Roman" w:cs="Times New Roman"/>
          <w:color w:val="auto"/>
          <w:sz w:val="24"/>
          <w:szCs w:val="24"/>
        </w:rPr>
        <w:t>Knol</w:t>
      </w:r>
      <w:proofErr w:type="spellEnd"/>
      <w:r w:rsidRPr="00993B5B">
        <w:rPr>
          <w:rFonts w:ascii="Times New Roman" w:eastAsia="Arial Unicode MS" w:hAnsi="Times New Roman" w:cs="Times New Roman"/>
          <w:color w:val="auto"/>
          <w:sz w:val="24"/>
          <w:szCs w:val="24"/>
        </w:rPr>
        <w:t xml:space="preserve"> Shareholders or of the Pivot Shareholders contemplated above not be obtained.</w:t>
      </w:r>
    </w:p>
    <w:p w:rsidR="00E80F9C" w:rsidRPr="000A2CA7" w:rsidRDefault="006C5DD2" w:rsidP="00E80F9C">
      <w:pPr>
        <w:pStyle w:val="Corps"/>
        <w:shd w:val="clear" w:color="auto" w:fill="FFFFFF"/>
        <w:spacing w:after="150"/>
        <w:jc w:val="both"/>
        <w:rPr>
          <w:rFonts w:ascii="Times New Roman" w:eastAsia="Arial Unicode MS" w:hAnsi="Times New Roman" w:cs="Times New Roman"/>
          <w:b/>
          <w:color w:val="auto"/>
          <w:sz w:val="24"/>
          <w:szCs w:val="24"/>
          <w:u w:val="single"/>
        </w:rPr>
      </w:pPr>
      <w:r>
        <w:rPr>
          <w:rFonts w:ascii="Times New Roman" w:eastAsia="Arial Unicode MS" w:hAnsi="Times New Roman" w:cs="Times New Roman"/>
          <w:b/>
          <w:color w:val="auto"/>
          <w:sz w:val="24"/>
          <w:szCs w:val="24"/>
          <w:u w:val="single"/>
        </w:rPr>
        <w:t>Exclusivity</w:t>
      </w:r>
    </w:p>
    <w:p w:rsidR="00E80F9C" w:rsidRPr="00993B5B" w:rsidRDefault="00E80F9C" w:rsidP="00E80F9C">
      <w:pPr>
        <w:pStyle w:val="Corps"/>
        <w:shd w:val="clear" w:color="auto" w:fill="FFFFFF"/>
        <w:spacing w:after="150" w:line="240" w:lineRule="auto"/>
        <w:jc w:val="both"/>
        <w:rPr>
          <w:rFonts w:ascii="Times New Roman" w:eastAsia="Arial Unicode MS" w:hAnsi="Times New Roman" w:cs="Times New Roman"/>
          <w:color w:val="auto"/>
          <w:sz w:val="24"/>
          <w:szCs w:val="24"/>
        </w:rPr>
      </w:pPr>
      <w:r w:rsidRPr="00993B5B">
        <w:rPr>
          <w:rFonts w:ascii="Times New Roman" w:eastAsia="Arial Unicode MS" w:hAnsi="Times New Roman" w:cs="Times New Roman"/>
          <w:color w:val="auto"/>
          <w:sz w:val="24"/>
          <w:szCs w:val="24"/>
        </w:rPr>
        <w:t xml:space="preserve">Pivot and </w:t>
      </w:r>
      <w:proofErr w:type="spellStart"/>
      <w:r w:rsidRPr="00993B5B">
        <w:rPr>
          <w:rFonts w:ascii="Times New Roman" w:eastAsia="Arial Unicode MS" w:hAnsi="Times New Roman" w:cs="Times New Roman"/>
          <w:color w:val="auto"/>
          <w:sz w:val="24"/>
          <w:szCs w:val="24"/>
        </w:rPr>
        <w:t>Knol</w:t>
      </w:r>
      <w:proofErr w:type="spellEnd"/>
      <w:r w:rsidRPr="00993B5B">
        <w:rPr>
          <w:rFonts w:ascii="Times New Roman" w:eastAsia="Arial Unicode MS" w:hAnsi="Times New Roman" w:cs="Times New Roman"/>
          <w:color w:val="auto"/>
          <w:sz w:val="24"/>
          <w:szCs w:val="24"/>
        </w:rPr>
        <w:t xml:space="preserve"> have agreed that during the period ending on November 30, 2018, being the outside date by which the parties have agreed to execute the Definitive Agreement, neither of them will, directly or indirectly, (</w:t>
      </w:r>
      <w:proofErr w:type="spellStart"/>
      <w:r w:rsidRPr="00993B5B">
        <w:rPr>
          <w:rFonts w:ascii="Times New Roman" w:eastAsia="Arial Unicode MS" w:hAnsi="Times New Roman" w:cs="Times New Roman"/>
          <w:color w:val="auto"/>
          <w:sz w:val="24"/>
          <w:szCs w:val="24"/>
        </w:rPr>
        <w:t>i</w:t>
      </w:r>
      <w:proofErr w:type="spellEnd"/>
      <w:r w:rsidRPr="00993B5B">
        <w:rPr>
          <w:rFonts w:ascii="Times New Roman" w:eastAsia="Arial Unicode MS" w:hAnsi="Times New Roman" w:cs="Times New Roman"/>
          <w:color w:val="auto"/>
          <w:sz w:val="24"/>
          <w:szCs w:val="24"/>
        </w:rPr>
        <w:t>) solicit, initiate or encourage submission of any proposal or offer from any person relating to any acquisition of its capital stock or business, or all or a material portion of its assets, or other similar transaction or business combination involving its business or any other transaction that would have the effect of preventing it from completing the Transaction; or (ii) participate in any negotiations or discussions regarding, furnish to any other person any information with respect to, or otherwise cooperate in any way with or assist or participate in, or facilitate or encourage any effort or attempt by any other person to do or seek, such acquisition or other transaction, and to inform the other of any such inquiry.</w:t>
      </w:r>
    </w:p>
    <w:p w:rsidR="00D62CDC" w:rsidRDefault="00D62CDC" w:rsidP="00D62CDC">
      <w:pPr>
        <w:pStyle w:val="Corps"/>
        <w:spacing w:line="240" w:lineRule="auto"/>
        <w:jc w:val="both"/>
        <w:rPr>
          <w:rFonts w:ascii="Times New Roman" w:hAnsi="Times New Roman" w:cs="Times New Roman"/>
          <w:b/>
          <w:sz w:val="24"/>
          <w:szCs w:val="24"/>
          <w:u w:val="single"/>
        </w:rPr>
      </w:pPr>
      <w:proofErr w:type="gramStart"/>
      <w:r w:rsidRPr="008D1B67">
        <w:rPr>
          <w:rFonts w:ascii="Times New Roman" w:hAnsi="Times New Roman" w:cs="Times New Roman"/>
          <w:b/>
          <w:sz w:val="24"/>
          <w:szCs w:val="24"/>
          <w:u w:val="single"/>
        </w:rPr>
        <w:t xml:space="preserve">About </w:t>
      </w:r>
      <w:proofErr w:type="spellStart"/>
      <w:r w:rsidRPr="008D1B67">
        <w:rPr>
          <w:rFonts w:ascii="Times New Roman" w:hAnsi="Times New Roman" w:cs="Times New Roman"/>
          <w:b/>
          <w:sz w:val="24"/>
          <w:szCs w:val="24"/>
          <w:u w:val="single"/>
        </w:rPr>
        <w:t>Knol</w:t>
      </w:r>
      <w:proofErr w:type="spellEnd"/>
      <w:r w:rsidRPr="008D1B67">
        <w:rPr>
          <w:rFonts w:ascii="Times New Roman" w:hAnsi="Times New Roman" w:cs="Times New Roman"/>
          <w:b/>
          <w:sz w:val="24"/>
          <w:szCs w:val="24"/>
          <w:u w:val="single"/>
        </w:rPr>
        <w:t xml:space="preserve"> Resources </w:t>
      </w:r>
      <w:r>
        <w:rPr>
          <w:rFonts w:ascii="Times New Roman" w:hAnsi="Times New Roman" w:cs="Times New Roman"/>
          <w:b/>
          <w:sz w:val="24"/>
          <w:szCs w:val="24"/>
          <w:u w:val="single"/>
        </w:rPr>
        <w:t>Corp</w:t>
      </w:r>
      <w:r w:rsidRPr="008D1B67">
        <w:rPr>
          <w:rFonts w:ascii="Times New Roman" w:hAnsi="Times New Roman" w:cs="Times New Roman"/>
          <w:b/>
          <w:sz w:val="24"/>
          <w:szCs w:val="24"/>
          <w:u w:val="single"/>
        </w:rPr>
        <w:t>.</w:t>
      </w:r>
      <w:proofErr w:type="gramEnd"/>
    </w:p>
    <w:p w:rsidR="00D62CDC" w:rsidRPr="008519AB" w:rsidRDefault="00D62CDC" w:rsidP="00D62CDC">
      <w:pPr>
        <w:pStyle w:val="Corps"/>
        <w:spacing w:line="240" w:lineRule="auto"/>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Knol</w:t>
      </w:r>
      <w:proofErr w:type="spellEnd"/>
      <w:r>
        <w:rPr>
          <w:rFonts w:ascii="Times New Roman" w:hAnsi="Times New Roman" w:cs="Times New Roman"/>
          <w:sz w:val="24"/>
          <w:szCs w:val="24"/>
        </w:rPr>
        <w:t xml:space="preserve"> Resources Inc. </w:t>
      </w:r>
      <w:r w:rsidRPr="008519AB">
        <w:rPr>
          <w:rFonts w:ascii="Times New Roman" w:hAnsi="Times New Roman" w:cs="Times New Roman"/>
          <w:sz w:val="24"/>
          <w:szCs w:val="24"/>
        </w:rPr>
        <w:t xml:space="preserve">is a publicly-traded junior company seeking investment opportunities. </w:t>
      </w:r>
      <w:proofErr w:type="spellStart"/>
      <w:r w:rsidRPr="008519AB">
        <w:rPr>
          <w:rFonts w:ascii="Times New Roman" w:hAnsi="Times New Roman" w:cs="Times New Roman"/>
          <w:sz w:val="24"/>
          <w:szCs w:val="24"/>
        </w:rPr>
        <w:t>Knol</w:t>
      </w:r>
      <w:proofErr w:type="spellEnd"/>
      <w:r w:rsidRPr="008519AB">
        <w:rPr>
          <w:rFonts w:ascii="Times New Roman" w:hAnsi="Times New Roman" w:cs="Times New Roman"/>
          <w:sz w:val="24"/>
          <w:szCs w:val="24"/>
        </w:rPr>
        <w:t xml:space="preserve"> Resources Corp.'s shares </w:t>
      </w:r>
      <w:r>
        <w:rPr>
          <w:rFonts w:ascii="Times New Roman" w:hAnsi="Times New Roman" w:cs="Times New Roman"/>
          <w:sz w:val="24"/>
          <w:szCs w:val="24"/>
        </w:rPr>
        <w:t xml:space="preserve">have </w:t>
      </w:r>
      <w:r w:rsidRPr="008519AB">
        <w:rPr>
          <w:rFonts w:ascii="Times New Roman" w:hAnsi="Times New Roman" w:cs="Times New Roman"/>
          <w:sz w:val="24"/>
          <w:szCs w:val="24"/>
        </w:rPr>
        <w:t>trade</w:t>
      </w:r>
      <w:r>
        <w:rPr>
          <w:rFonts w:ascii="Times New Roman" w:hAnsi="Times New Roman" w:cs="Times New Roman"/>
          <w:sz w:val="24"/>
          <w:szCs w:val="24"/>
        </w:rPr>
        <w:t>d</w:t>
      </w:r>
      <w:r w:rsidRPr="008519AB">
        <w:rPr>
          <w:rFonts w:ascii="Times New Roman" w:hAnsi="Times New Roman" w:cs="Times New Roman"/>
          <w:sz w:val="24"/>
          <w:szCs w:val="24"/>
        </w:rPr>
        <w:t xml:space="preserve"> on the NEX under the symbol "NOL.H" </w:t>
      </w:r>
      <w:r>
        <w:rPr>
          <w:rFonts w:ascii="Times New Roman" w:hAnsi="Times New Roman" w:cs="Times New Roman"/>
          <w:sz w:val="24"/>
          <w:szCs w:val="24"/>
        </w:rPr>
        <w:t>since</w:t>
      </w:r>
      <w:r w:rsidRPr="008519AB">
        <w:rPr>
          <w:rFonts w:ascii="Times New Roman" w:hAnsi="Times New Roman" w:cs="Times New Roman"/>
          <w:sz w:val="24"/>
          <w:szCs w:val="24"/>
        </w:rPr>
        <w:t xml:space="preserve"> April 17, 2014.</w:t>
      </w:r>
      <w:r>
        <w:rPr>
          <w:rFonts w:ascii="Times New Roman" w:hAnsi="Times New Roman" w:cs="Times New Roman"/>
          <w:sz w:val="24"/>
          <w:szCs w:val="24"/>
        </w:rPr>
        <w:t xml:space="preserve"> </w:t>
      </w:r>
    </w:p>
    <w:p w:rsidR="00E80F9C" w:rsidRPr="000A2CA7" w:rsidRDefault="00E80F9C" w:rsidP="00E80F9C">
      <w:pPr>
        <w:pStyle w:val="Corps"/>
        <w:spacing w:line="240" w:lineRule="auto"/>
        <w:jc w:val="both"/>
        <w:rPr>
          <w:rFonts w:ascii="Times New Roman" w:eastAsia="Times New Roman" w:hAnsi="Times New Roman" w:cs="Times New Roman"/>
          <w:b/>
          <w:sz w:val="24"/>
          <w:szCs w:val="24"/>
          <w:u w:val="single"/>
        </w:rPr>
      </w:pPr>
      <w:proofErr w:type="gramStart"/>
      <w:r w:rsidRPr="000A2CA7">
        <w:rPr>
          <w:rFonts w:ascii="Times New Roman" w:hAnsi="Times New Roman" w:cs="Times New Roman"/>
          <w:b/>
          <w:sz w:val="24"/>
          <w:szCs w:val="24"/>
          <w:u w:val="single"/>
        </w:rPr>
        <w:t>About Pivot Pharmaceuticals Inc.</w:t>
      </w:r>
      <w:proofErr w:type="gramEnd"/>
    </w:p>
    <w:p w:rsidR="00E80F9C" w:rsidRDefault="00E80F9C" w:rsidP="00E80F9C">
      <w:pPr>
        <w:pStyle w:val="Corps"/>
        <w:spacing w:line="240" w:lineRule="auto"/>
        <w:jc w:val="both"/>
        <w:rPr>
          <w:rFonts w:ascii="Times New Roman" w:hAnsi="Times New Roman" w:cs="Times New Roman"/>
          <w:sz w:val="24"/>
          <w:szCs w:val="24"/>
        </w:rPr>
      </w:pPr>
      <w:r w:rsidRPr="00BE3095">
        <w:rPr>
          <w:rFonts w:ascii="Times New Roman" w:hAnsi="Times New Roman" w:cs="Times New Roman"/>
          <w:sz w:val="24"/>
          <w:szCs w:val="24"/>
        </w:rPr>
        <w:t>Pivot Pharmaceuticals Inc. is a biopharmaceutical company engaged in the development and commercialization of therapeutic pharmaceuticals and nutraceuticals using innovative drug delivery platform technologies. Pivot’s wholly-owned medical cannabis products division, Pivot Green Stream Health Solutions Inc. (“</w:t>
      </w:r>
      <w:r w:rsidRPr="00BF68AA">
        <w:rPr>
          <w:rFonts w:ascii="Times New Roman" w:hAnsi="Times New Roman" w:cs="Times New Roman"/>
          <w:sz w:val="24"/>
          <w:szCs w:val="24"/>
          <w:lang w:val="en-CA"/>
        </w:rPr>
        <w:t>PGS</w:t>
      </w:r>
      <w:r w:rsidRPr="00BE3095">
        <w:rPr>
          <w:rFonts w:ascii="Times New Roman" w:hAnsi="Times New Roman" w:cs="Times New Roman"/>
          <w:sz w:val="24"/>
          <w:szCs w:val="24"/>
        </w:rPr>
        <w:t xml:space="preserve">” or “Pivot Green Stream”), conducts research, development and commercialization of cannabinoid-based nutraceuticals and pharmaceuticals. Pivot’s wholly-owned U.S. subsidiary, Pivot Naturals, LLC, based in Costa Mesa, California, will manufacture and supply finished </w:t>
      </w:r>
      <w:proofErr w:type="spellStart"/>
      <w:r w:rsidRPr="00BE3095">
        <w:rPr>
          <w:rFonts w:ascii="Times New Roman" w:hAnsi="Times New Roman" w:cs="Times New Roman"/>
          <w:sz w:val="24"/>
          <w:szCs w:val="24"/>
        </w:rPr>
        <w:t>powderized</w:t>
      </w:r>
      <w:proofErr w:type="spellEnd"/>
      <w:r w:rsidRPr="00BE3095">
        <w:rPr>
          <w:rFonts w:ascii="Times New Roman" w:hAnsi="Times New Roman" w:cs="Times New Roman"/>
          <w:sz w:val="24"/>
          <w:szCs w:val="24"/>
        </w:rPr>
        <w:t xml:space="preserve"> cannabis products such as food additives, capsules, bulk powder and stick packs to the California market. PGS has acquired “</w:t>
      </w:r>
      <w:r w:rsidRPr="00BE3095">
        <w:rPr>
          <w:rFonts w:ascii="Times New Roman" w:hAnsi="Times New Roman" w:cs="Times New Roman"/>
          <w:sz w:val="24"/>
          <w:szCs w:val="24"/>
          <w:lang w:val="de-DE"/>
        </w:rPr>
        <w:t>RTIC</w:t>
      </w:r>
      <w:r w:rsidRPr="00BE3095">
        <w:rPr>
          <w:rFonts w:ascii="Times New Roman" w:hAnsi="Times New Roman" w:cs="Times New Roman"/>
          <w:sz w:val="24"/>
          <w:szCs w:val="24"/>
        </w:rPr>
        <w:t xml:space="preserve">” Ready-To-Infuse Cannabis oil-to-powder technology and </w:t>
      </w:r>
      <w:proofErr w:type="spellStart"/>
      <w:r w:rsidRPr="00BE3095">
        <w:rPr>
          <w:rFonts w:ascii="Times New Roman" w:hAnsi="Times New Roman" w:cs="Times New Roman"/>
          <w:sz w:val="24"/>
          <w:szCs w:val="24"/>
        </w:rPr>
        <w:t>Thrudermic</w:t>
      </w:r>
      <w:proofErr w:type="spellEnd"/>
      <w:r w:rsidRPr="00BE3095">
        <w:rPr>
          <w:rFonts w:ascii="Times New Roman" w:hAnsi="Times New Roman" w:cs="Times New Roman"/>
          <w:sz w:val="24"/>
          <w:szCs w:val="24"/>
        </w:rPr>
        <w:t xml:space="preserve"> Transdermal Nanotechnology (transdermal); acquired worldwide rights to </w:t>
      </w:r>
      <w:proofErr w:type="spellStart"/>
      <w:r w:rsidRPr="00BE3095">
        <w:rPr>
          <w:rFonts w:ascii="Times New Roman" w:hAnsi="Times New Roman" w:cs="Times New Roman"/>
          <w:sz w:val="24"/>
          <w:szCs w:val="24"/>
        </w:rPr>
        <w:t>BiPhasix</w:t>
      </w:r>
      <w:proofErr w:type="spellEnd"/>
      <w:r w:rsidRPr="00BE3095">
        <w:rPr>
          <w:rFonts w:ascii="Times New Roman" w:hAnsi="Times New Roman" w:cs="Times New Roman"/>
          <w:sz w:val="24"/>
          <w:szCs w:val="24"/>
        </w:rPr>
        <w:t xml:space="preserve">™ Dermal Drug Delivery platform technology (topical), </w:t>
      </w:r>
      <w:proofErr w:type="spellStart"/>
      <w:r w:rsidRPr="00BE3095">
        <w:rPr>
          <w:rFonts w:ascii="Times New Roman" w:hAnsi="Times New Roman" w:cs="Times New Roman"/>
          <w:sz w:val="24"/>
          <w:szCs w:val="24"/>
        </w:rPr>
        <w:t>Solmic</w:t>
      </w:r>
      <w:proofErr w:type="spellEnd"/>
      <w:r w:rsidRPr="00BE3095">
        <w:rPr>
          <w:rFonts w:ascii="Times New Roman" w:hAnsi="Times New Roman" w:cs="Times New Roman"/>
          <w:sz w:val="24"/>
          <w:szCs w:val="24"/>
        </w:rPr>
        <w:t xml:space="preserve"> </w:t>
      </w:r>
      <w:proofErr w:type="spellStart"/>
      <w:r w:rsidRPr="00BE3095">
        <w:rPr>
          <w:rFonts w:ascii="Times New Roman" w:hAnsi="Times New Roman" w:cs="Times New Roman"/>
          <w:sz w:val="24"/>
          <w:szCs w:val="24"/>
        </w:rPr>
        <w:t>Solubilisation</w:t>
      </w:r>
      <w:proofErr w:type="spellEnd"/>
      <w:r w:rsidRPr="00BE3095">
        <w:rPr>
          <w:rFonts w:ascii="Times New Roman" w:hAnsi="Times New Roman" w:cs="Times New Roman"/>
          <w:sz w:val="24"/>
          <w:szCs w:val="24"/>
        </w:rPr>
        <w:t xml:space="preserve"> technology (oral), and </w:t>
      </w:r>
      <w:proofErr w:type="spellStart"/>
      <w:r w:rsidRPr="00BE3095">
        <w:rPr>
          <w:rFonts w:ascii="Times New Roman" w:hAnsi="Times New Roman" w:cs="Times New Roman"/>
          <w:sz w:val="24"/>
          <w:szCs w:val="24"/>
        </w:rPr>
        <w:t>Solumer</w:t>
      </w:r>
      <w:proofErr w:type="spellEnd"/>
      <w:r w:rsidRPr="00BE3095">
        <w:rPr>
          <w:rFonts w:ascii="Times New Roman" w:hAnsi="Times New Roman" w:cs="Times New Roman"/>
          <w:sz w:val="24"/>
          <w:szCs w:val="24"/>
        </w:rPr>
        <w:t xml:space="preserve">™ Oral Drug Delivery technology; and an option to acquire worldwide rights to </w:t>
      </w:r>
      <w:proofErr w:type="spellStart"/>
      <w:r w:rsidRPr="00BE3095">
        <w:rPr>
          <w:rFonts w:ascii="Times New Roman" w:hAnsi="Times New Roman" w:cs="Times New Roman"/>
          <w:sz w:val="24"/>
          <w:szCs w:val="24"/>
        </w:rPr>
        <w:t>TriVair</w:t>
      </w:r>
      <w:proofErr w:type="spellEnd"/>
      <w:r w:rsidRPr="00BE3095">
        <w:rPr>
          <w:rFonts w:ascii="Times New Roman" w:hAnsi="Times New Roman" w:cs="Times New Roman"/>
          <w:sz w:val="24"/>
          <w:szCs w:val="24"/>
        </w:rPr>
        <w:t xml:space="preserve">™ Nasal and Pulmonary Breath-Propelled Drug Delivery Systems™ for the delivery and commercialization of cannabinoid, </w:t>
      </w:r>
      <w:proofErr w:type="spellStart"/>
      <w:r w:rsidRPr="00BE3095">
        <w:rPr>
          <w:rFonts w:ascii="Times New Roman" w:hAnsi="Times New Roman" w:cs="Times New Roman"/>
          <w:sz w:val="24"/>
          <w:szCs w:val="24"/>
        </w:rPr>
        <w:t>cannabidiol</w:t>
      </w:r>
      <w:proofErr w:type="spellEnd"/>
      <w:r w:rsidRPr="00BE3095">
        <w:rPr>
          <w:rFonts w:ascii="Times New Roman" w:hAnsi="Times New Roman" w:cs="Times New Roman"/>
          <w:sz w:val="24"/>
          <w:szCs w:val="24"/>
        </w:rPr>
        <w:t xml:space="preserve"> (CBD), and tetrahydrocannabinol (THC)-based products. For more information please visit </w:t>
      </w:r>
      <w:hyperlink r:id="rId14" w:history="1">
        <w:r w:rsidRPr="00BE3095">
          <w:rPr>
            <w:rStyle w:val="Hyperlink0"/>
            <w:rFonts w:eastAsia="Calibri"/>
          </w:rPr>
          <w:t>www.PivotPharma.com</w:t>
        </w:r>
      </w:hyperlink>
      <w:r w:rsidRPr="00BE3095">
        <w:rPr>
          <w:rFonts w:ascii="Times New Roman" w:hAnsi="Times New Roman" w:cs="Times New Roman"/>
          <w:sz w:val="24"/>
          <w:szCs w:val="24"/>
        </w:rPr>
        <w:t xml:space="preserve"> </w:t>
      </w:r>
    </w:p>
    <w:p w:rsidR="00E80F9C" w:rsidRDefault="00E80F9C" w:rsidP="00E80F9C">
      <w:pPr>
        <w:pStyle w:val="Corps"/>
        <w:shd w:val="clear" w:color="auto" w:fill="FFFFFF"/>
        <w:spacing w:after="150" w:line="240" w:lineRule="auto"/>
        <w:jc w:val="both"/>
        <w:rPr>
          <w:rFonts w:ascii="Times New Roman" w:eastAsia="Arial Unicode MS" w:hAnsi="Times New Roman" w:cs="Times New Roman"/>
          <w:i/>
          <w:color w:val="auto"/>
          <w:sz w:val="24"/>
          <w:szCs w:val="24"/>
        </w:rPr>
      </w:pPr>
      <w:r w:rsidRPr="000A2CA7">
        <w:rPr>
          <w:rFonts w:ascii="Times New Roman" w:eastAsia="Arial Unicode MS" w:hAnsi="Times New Roman" w:cs="Times New Roman"/>
          <w:i/>
          <w:color w:val="auto"/>
          <w:sz w:val="24"/>
          <w:szCs w:val="24"/>
        </w:rPr>
        <w:t>Information set forth in this news release may involve forward-looking statements under applicable securities laws. Forward-looking statements are statements that relate to future, not past, events. In this context, forward-looking statements often address expected future business and financial performance, and often contain words such as "anticipate", "believe", "plan", "estimate", "expect", and "intend", statements that an action or event "may", "might", "could", "should", or "will" be taken or occur, or other similar expressions. All statements, other than statements of historical fact, included herein including, without limitation; statements about the terms and completion of the Transaction are forward-looking statements. By their nature, forward-looking statements involve known and unknown risks, uncertainties and other factors which may cause the actual results, performance or achievements, or other future events, to be materially different from any future results, performance or achievements expressed or implied by such forward-looking statements. Such factors include, among others, the following risks: failure to satisfy all conditions precedent to the Transaction,</w:t>
      </w:r>
      <w:r w:rsidR="00C137F9">
        <w:rPr>
          <w:rFonts w:ascii="Times New Roman" w:eastAsia="Arial Unicode MS" w:hAnsi="Times New Roman" w:cs="Times New Roman"/>
          <w:i/>
          <w:color w:val="auto"/>
          <w:sz w:val="24"/>
          <w:szCs w:val="24"/>
        </w:rPr>
        <w:t xml:space="preserve"> including</w:t>
      </w:r>
      <w:r w:rsidR="00E301F1">
        <w:rPr>
          <w:rFonts w:ascii="Times New Roman" w:eastAsia="Arial Unicode MS" w:hAnsi="Times New Roman" w:cs="Times New Roman"/>
          <w:i/>
          <w:color w:val="auto"/>
          <w:sz w:val="24"/>
          <w:szCs w:val="24"/>
        </w:rPr>
        <w:t xml:space="preserve"> </w:t>
      </w:r>
      <w:r w:rsidR="00C137F9">
        <w:rPr>
          <w:rFonts w:ascii="Times New Roman" w:eastAsia="Arial Unicode MS" w:hAnsi="Times New Roman" w:cs="Times New Roman"/>
          <w:i/>
          <w:color w:val="auto"/>
          <w:sz w:val="24"/>
          <w:szCs w:val="24"/>
        </w:rPr>
        <w:t>shareholder approval and the</w:t>
      </w:r>
      <w:r w:rsidRPr="000A2CA7">
        <w:rPr>
          <w:rFonts w:ascii="Times New Roman" w:eastAsia="Arial Unicode MS" w:hAnsi="Times New Roman" w:cs="Times New Roman"/>
          <w:i/>
          <w:color w:val="auto"/>
          <w:sz w:val="24"/>
          <w:szCs w:val="24"/>
        </w:rPr>
        <w:t xml:space="preserve"> approval of the TSX</w:t>
      </w:r>
      <w:r w:rsidR="00C137F9">
        <w:rPr>
          <w:rFonts w:ascii="Times New Roman" w:eastAsia="Arial Unicode MS" w:hAnsi="Times New Roman" w:cs="Times New Roman"/>
          <w:i/>
          <w:color w:val="auto"/>
          <w:sz w:val="24"/>
          <w:szCs w:val="24"/>
        </w:rPr>
        <w:t>V</w:t>
      </w:r>
      <w:r>
        <w:rPr>
          <w:rFonts w:ascii="Times New Roman" w:eastAsia="Arial Unicode MS" w:hAnsi="Times New Roman" w:cs="Times New Roman"/>
          <w:i/>
          <w:color w:val="auto"/>
          <w:sz w:val="24"/>
          <w:szCs w:val="24"/>
        </w:rPr>
        <w:t xml:space="preserve">, </w:t>
      </w:r>
      <w:r w:rsidR="005155C7">
        <w:rPr>
          <w:rFonts w:ascii="Times New Roman" w:eastAsia="Arial Unicode MS" w:hAnsi="Times New Roman" w:cs="Times New Roman"/>
          <w:i/>
          <w:color w:val="auto"/>
          <w:sz w:val="24"/>
          <w:szCs w:val="24"/>
        </w:rPr>
        <w:t xml:space="preserve">failure to complete the Concurrent Private Placement, </w:t>
      </w:r>
      <w:r>
        <w:rPr>
          <w:rFonts w:ascii="Times New Roman" w:eastAsia="Arial Unicode MS" w:hAnsi="Times New Roman" w:cs="Times New Roman"/>
          <w:i/>
          <w:color w:val="auto"/>
          <w:sz w:val="24"/>
          <w:szCs w:val="24"/>
        </w:rPr>
        <w:t xml:space="preserve">and </w:t>
      </w:r>
      <w:r>
        <w:rPr>
          <w:rFonts w:ascii="Times New Roman" w:eastAsia="Arial Unicode MS" w:hAnsi="Times New Roman" w:cs="Times New Roman"/>
          <w:i/>
          <w:color w:val="auto"/>
          <w:sz w:val="24"/>
          <w:szCs w:val="24"/>
        </w:rPr>
        <w:lastRenderedPageBreak/>
        <w:t>the risks associated with operating in the cannabis fields, including those related to the legality, efficacy and social acceptance of cannabis</w:t>
      </w:r>
      <w:r w:rsidRPr="000A2CA7">
        <w:rPr>
          <w:rFonts w:ascii="Times New Roman" w:eastAsia="Arial Unicode MS" w:hAnsi="Times New Roman" w:cs="Times New Roman"/>
          <w:i/>
          <w:color w:val="auto"/>
          <w:sz w:val="24"/>
          <w:szCs w:val="24"/>
        </w:rPr>
        <w:t>. Forward looking statements are made based on management's beliefs, estimates and opinions on the date that statements are made and the respective companies undertakes no obligation to update forward-looking statements if these beliefs, estimates and opinions or other circumstances should change, except as required by applicable securities laws. Investors are cautioned against attributing undue certainty to forward-looking statements.</w:t>
      </w:r>
    </w:p>
    <w:p w:rsidR="00D62CDC" w:rsidRPr="0025731E" w:rsidRDefault="00D62CDC" w:rsidP="00D62CDC">
      <w:pPr>
        <w:pStyle w:val="Corps"/>
        <w:shd w:val="clear" w:color="auto" w:fill="FFFFFF"/>
        <w:spacing w:after="150" w:line="240" w:lineRule="auto"/>
        <w:jc w:val="both"/>
        <w:rPr>
          <w:rFonts w:ascii="Times New Roman" w:eastAsia="Arial Unicode MS" w:hAnsi="Times New Roman" w:cs="Times New Roman"/>
          <w:b/>
          <w:i/>
          <w:color w:val="auto"/>
          <w:sz w:val="24"/>
          <w:szCs w:val="24"/>
          <w:u w:val="single"/>
        </w:rPr>
      </w:pPr>
      <w:r w:rsidRPr="0025731E">
        <w:rPr>
          <w:rFonts w:ascii="Times New Roman" w:eastAsia="Arial Unicode MS" w:hAnsi="Times New Roman" w:cs="Times New Roman"/>
          <w:b/>
          <w:i/>
          <w:color w:val="auto"/>
          <w:sz w:val="24"/>
          <w:szCs w:val="24"/>
        </w:rPr>
        <w:t>Completion of the transaction is subject to a number of conditions, including but not limited to, Exchange acceptance and if applicable, disinterested shareholder approval. Where applicable, the transaction cannot close until the required shareholder approval is obtained. There can be no assurance that the transaction will be completed as proposed or at all.</w:t>
      </w:r>
    </w:p>
    <w:p w:rsidR="00D62CDC" w:rsidRPr="0025731E" w:rsidRDefault="00D62CDC" w:rsidP="00D62CDC">
      <w:pPr>
        <w:pStyle w:val="Corps"/>
        <w:shd w:val="clear" w:color="auto" w:fill="FFFFFF"/>
        <w:spacing w:after="150" w:line="240" w:lineRule="auto"/>
        <w:jc w:val="both"/>
        <w:rPr>
          <w:rFonts w:ascii="Times New Roman" w:eastAsia="Arial Unicode MS" w:hAnsi="Times New Roman" w:cs="Times New Roman"/>
          <w:b/>
          <w:i/>
          <w:color w:val="auto"/>
          <w:sz w:val="24"/>
          <w:szCs w:val="24"/>
        </w:rPr>
      </w:pPr>
      <w:r w:rsidRPr="0025731E">
        <w:rPr>
          <w:rFonts w:ascii="Times New Roman" w:eastAsia="Arial Unicode MS" w:hAnsi="Times New Roman" w:cs="Times New Roman"/>
          <w:b/>
          <w:i/>
          <w:color w:val="auto"/>
          <w:sz w:val="24"/>
          <w:szCs w:val="24"/>
        </w:rPr>
        <w:t xml:space="preserve">Investors are cautioned that, except as disclosed in the management information circular or filing statement to be prepared in connection with the transaction, any information released or received with respect to the transaction may not be accurate or complete and should not be relied upon. Trading in the securities of </w:t>
      </w:r>
      <w:proofErr w:type="spellStart"/>
      <w:r w:rsidRPr="0025731E">
        <w:rPr>
          <w:rFonts w:ascii="Times New Roman" w:eastAsia="Arial Unicode MS" w:hAnsi="Times New Roman" w:cs="Times New Roman"/>
          <w:b/>
          <w:i/>
          <w:color w:val="auto"/>
          <w:sz w:val="24"/>
          <w:szCs w:val="24"/>
        </w:rPr>
        <w:t>Knol</w:t>
      </w:r>
      <w:proofErr w:type="spellEnd"/>
      <w:r w:rsidRPr="0025731E">
        <w:rPr>
          <w:rFonts w:ascii="Times New Roman" w:eastAsia="Arial Unicode MS" w:hAnsi="Times New Roman" w:cs="Times New Roman"/>
          <w:b/>
          <w:i/>
          <w:color w:val="auto"/>
          <w:sz w:val="24"/>
          <w:szCs w:val="24"/>
        </w:rPr>
        <w:t xml:space="preserve"> should be considered highly speculative.</w:t>
      </w:r>
    </w:p>
    <w:p w:rsidR="00D62CDC" w:rsidRPr="00F4657F" w:rsidRDefault="00D62CDC" w:rsidP="00D62CDC">
      <w:r w:rsidRPr="0025731E">
        <w:rPr>
          <w:b/>
          <w:i/>
        </w:rPr>
        <w:t>The TSX Venture Exchange Inc. has in no way passed upon the merits of the proposed transaction and has neither approved nor disapproved the contents of this news release. Neither the TSX Venture Exchange nor its regulation services provider (as that term is defined in the policies of the TSX Venture Exchange) accepts responsibility for the adequacy or accuracy of this press release.</w:t>
      </w:r>
    </w:p>
    <w:p w:rsidR="00D62CDC" w:rsidRPr="000A2CA7" w:rsidRDefault="00D62CDC" w:rsidP="00E80F9C">
      <w:pPr>
        <w:pStyle w:val="Corps"/>
        <w:shd w:val="clear" w:color="auto" w:fill="FFFFFF"/>
        <w:spacing w:after="150" w:line="240" w:lineRule="auto"/>
        <w:jc w:val="both"/>
        <w:rPr>
          <w:rFonts w:ascii="Times New Roman" w:eastAsia="Arial Unicode MS" w:hAnsi="Times New Roman" w:cs="Times New Roman"/>
          <w:i/>
          <w:color w:val="auto"/>
          <w:sz w:val="24"/>
          <w:szCs w:val="24"/>
        </w:rPr>
      </w:pPr>
    </w:p>
    <w:p w:rsidR="00E80F9C" w:rsidRPr="00BE3095" w:rsidRDefault="00E80F9C" w:rsidP="00E80F9C">
      <w:pPr>
        <w:pStyle w:val="NormalWeb"/>
        <w:jc w:val="both"/>
        <w:rPr>
          <w:rFonts w:cs="Times New Roman"/>
          <w:b/>
          <w:bCs/>
          <w:shd w:val="clear" w:color="auto" w:fill="FFFFFF"/>
        </w:rPr>
      </w:pPr>
      <w:r>
        <w:rPr>
          <w:rFonts w:cs="Times New Roman"/>
          <w:b/>
          <w:bCs/>
          <w:shd w:val="clear" w:color="auto" w:fill="FFFFFF"/>
        </w:rPr>
        <w:t xml:space="preserve">Pivot </w:t>
      </w:r>
      <w:r w:rsidR="006C5DD2">
        <w:rPr>
          <w:rFonts w:cs="Times New Roman"/>
          <w:b/>
          <w:bCs/>
          <w:shd w:val="clear" w:color="auto" w:fill="FFFFFF"/>
        </w:rPr>
        <w:t>Contact</w:t>
      </w:r>
      <w:r w:rsidR="00D62CDC">
        <w:rPr>
          <w:rFonts w:cs="Times New Roman"/>
          <w:b/>
          <w:bCs/>
          <w:shd w:val="clear" w:color="auto" w:fill="FFFFFF"/>
        </w:rPr>
        <w:t xml:space="preserve"> Information</w:t>
      </w: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Pivot Pharmaceuticals Inc.</w:t>
      </w: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 xml:space="preserve">Patrick </w:t>
      </w:r>
      <w:proofErr w:type="spellStart"/>
      <w:r w:rsidRPr="00BE3095">
        <w:rPr>
          <w:rFonts w:cs="Times New Roman"/>
          <w:shd w:val="clear" w:color="auto" w:fill="FFFFFF"/>
        </w:rPr>
        <w:t>Frankham</w:t>
      </w:r>
      <w:proofErr w:type="spellEnd"/>
      <w:r w:rsidRPr="00BE3095">
        <w:rPr>
          <w:rFonts w:cs="Times New Roman"/>
          <w:shd w:val="clear" w:color="auto" w:fill="FFFFFF"/>
        </w:rPr>
        <w:t>, PhD, MBA</w:t>
      </w: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Chief Executive Officer</w:t>
      </w: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5" w:history="1">
        <w:r w:rsidRPr="00BE3095">
          <w:rPr>
            <w:rFonts w:cs="Times New Roman"/>
          </w:rPr>
          <w:t>Info@PivotPharma.com</w:t>
        </w:r>
      </w:hyperlink>
      <w:r w:rsidRPr="00BE3095">
        <w:rPr>
          <w:rFonts w:cs="Times New Roman"/>
          <w:shd w:val="clear" w:color="auto" w:fill="FFFFFF"/>
        </w:rPr>
        <w:t xml:space="preserve"> </w:t>
      </w:r>
    </w:p>
    <w:p w:rsidR="00E80F9C" w:rsidRPr="00BE3095" w:rsidRDefault="00E80F9C" w:rsidP="00E80F9C">
      <w:pPr>
        <w:pStyle w:val="NormalWeb"/>
        <w:spacing w:after="0"/>
        <w:jc w:val="both"/>
        <w:rPr>
          <w:rFonts w:cs="Times New Roman"/>
          <w:shd w:val="clear" w:color="auto" w:fill="FFFFFF"/>
        </w:rPr>
      </w:pPr>
    </w:p>
    <w:p w:rsidR="00E80F9C" w:rsidRPr="00BE3095" w:rsidRDefault="00E80F9C" w:rsidP="00E80F9C">
      <w:pPr>
        <w:pStyle w:val="NormalWeb"/>
        <w:spacing w:after="0"/>
        <w:contextualSpacing/>
        <w:jc w:val="both"/>
        <w:rPr>
          <w:rFonts w:cs="Times New Roman"/>
          <w:shd w:val="clear" w:color="auto" w:fill="FFFFFF"/>
        </w:rPr>
      </w:pPr>
      <w:proofErr w:type="spellStart"/>
      <w:r w:rsidRPr="00BE3095">
        <w:rPr>
          <w:rFonts w:cs="Times New Roman"/>
          <w:shd w:val="clear" w:color="auto" w:fill="FFFFFF"/>
        </w:rPr>
        <w:t>Virtus</w:t>
      </w:r>
      <w:proofErr w:type="spellEnd"/>
      <w:r w:rsidRPr="00BE3095">
        <w:rPr>
          <w:rFonts w:cs="Times New Roman"/>
          <w:shd w:val="clear" w:color="auto" w:fill="FFFFFF"/>
        </w:rPr>
        <w:t xml:space="preserve"> Advisory Group</w:t>
      </w: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Shareholder Inquiries</w:t>
      </w: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6" w:history="1">
        <w:r w:rsidRPr="00BE3095">
          <w:rPr>
            <w:rStyle w:val="Lienhypertexte"/>
            <w:rFonts w:cs="Times New Roman"/>
            <w:shd w:val="clear" w:color="auto" w:fill="FFFFFF"/>
          </w:rPr>
          <w:t>Pivot@virtusadvisory.com</w:t>
        </w:r>
      </w:hyperlink>
    </w:p>
    <w:p w:rsidR="00E80F9C"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Phone: 416-644-5081</w:t>
      </w:r>
    </w:p>
    <w:p w:rsidR="00E80F9C" w:rsidRDefault="00E80F9C" w:rsidP="00E80F9C">
      <w:pPr>
        <w:pStyle w:val="NormalWeb"/>
        <w:spacing w:after="0"/>
        <w:contextualSpacing/>
        <w:jc w:val="both"/>
        <w:rPr>
          <w:rFonts w:cs="Times New Roman"/>
          <w:shd w:val="clear" w:color="auto" w:fill="FFFFFF"/>
        </w:rPr>
      </w:pPr>
    </w:p>
    <w:p w:rsidR="00E80F9C" w:rsidRPr="00BE3095" w:rsidRDefault="00E80F9C" w:rsidP="00E80F9C">
      <w:pPr>
        <w:pStyle w:val="NormalWeb"/>
        <w:jc w:val="both"/>
        <w:rPr>
          <w:rFonts w:cs="Times New Roman"/>
          <w:b/>
          <w:bCs/>
          <w:shd w:val="clear" w:color="auto" w:fill="FFFFFF"/>
        </w:rPr>
      </w:pPr>
      <w:proofErr w:type="spellStart"/>
      <w:r>
        <w:rPr>
          <w:rFonts w:cs="Times New Roman"/>
          <w:b/>
          <w:bCs/>
          <w:shd w:val="clear" w:color="auto" w:fill="FFFFFF"/>
        </w:rPr>
        <w:t>Knol</w:t>
      </w:r>
      <w:proofErr w:type="spellEnd"/>
      <w:r>
        <w:rPr>
          <w:rFonts w:cs="Times New Roman"/>
          <w:b/>
          <w:bCs/>
          <w:shd w:val="clear" w:color="auto" w:fill="FFFFFF"/>
        </w:rPr>
        <w:t xml:space="preserve"> </w:t>
      </w:r>
      <w:r w:rsidR="006C5DD2">
        <w:rPr>
          <w:rFonts w:cs="Times New Roman"/>
          <w:b/>
          <w:bCs/>
          <w:shd w:val="clear" w:color="auto" w:fill="FFFFFF"/>
        </w:rPr>
        <w:t>Contact</w:t>
      </w:r>
      <w:r w:rsidR="00D62CDC">
        <w:rPr>
          <w:rFonts w:cs="Times New Roman"/>
          <w:b/>
          <w:bCs/>
          <w:shd w:val="clear" w:color="auto" w:fill="FFFFFF"/>
        </w:rPr>
        <w:t xml:space="preserve"> Information</w:t>
      </w:r>
    </w:p>
    <w:p w:rsidR="00E80F9C" w:rsidRDefault="00E80F9C" w:rsidP="00E80F9C">
      <w:pPr>
        <w:pStyle w:val="NormalWeb"/>
        <w:spacing w:before="240"/>
        <w:contextualSpacing/>
        <w:jc w:val="both"/>
        <w:rPr>
          <w:rFonts w:cs="Times New Roman"/>
          <w:shd w:val="clear" w:color="auto" w:fill="FFFFFF"/>
        </w:rPr>
      </w:pPr>
      <w:proofErr w:type="spellStart"/>
      <w:r>
        <w:rPr>
          <w:rFonts w:cs="Times New Roman"/>
          <w:shd w:val="clear" w:color="auto" w:fill="FFFFFF"/>
        </w:rPr>
        <w:t>Knol</w:t>
      </w:r>
      <w:proofErr w:type="spellEnd"/>
      <w:r>
        <w:rPr>
          <w:rFonts w:cs="Times New Roman"/>
          <w:shd w:val="clear" w:color="auto" w:fill="FFFFFF"/>
        </w:rPr>
        <w:t xml:space="preserve"> Resources Corp.</w:t>
      </w:r>
    </w:p>
    <w:p w:rsidR="00E80F9C" w:rsidRDefault="00E80F9C" w:rsidP="00E80F9C">
      <w:pPr>
        <w:pStyle w:val="NormalWeb"/>
        <w:contextualSpacing/>
        <w:jc w:val="both"/>
        <w:rPr>
          <w:rFonts w:cs="Times New Roman"/>
          <w:shd w:val="clear" w:color="auto" w:fill="FFFFFF"/>
        </w:rPr>
      </w:pPr>
      <w:r w:rsidRPr="008519AB">
        <w:rPr>
          <w:rFonts w:cs="Times New Roman"/>
          <w:shd w:val="clear" w:color="auto" w:fill="FFFFFF"/>
        </w:rPr>
        <w:t xml:space="preserve">Michael Atkinson, </w:t>
      </w:r>
    </w:p>
    <w:p w:rsidR="00E80F9C" w:rsidRDefault="00E80F9C" w:rsidP="00E80F9C">
      <w:pPr>
        <w:pStyle w:val="NormalWeb"/>
        <w:contextualSpacing/>
        <w:jc w:val="both"/>
        <w:rPr>
          <w:rFonts w:cs="Times New Roman"/>
          <w:shd w:val="clear" w:color="auto" w:fill="FFFFFF"/>
        </w:rPr>
      </w:pPr>
      <w:r w:rsidRPr="008519AB">
        <w:rPr>
          <w:rFonts w:cs="Times New Roman"/>
          <w:shd w:val="clear" w:color="auto" w:fill="FFFFFF"/>
        </w:rPr>
        <w:t>President and Chief Executive Officer</w:t>
      </w:r>
    </w:p>
    <w:p w:rsidR="00E80F9C" w:rsidRPr="008519AB" w:rsidRDefault="00E80F9C" w:rsidP="00E80F9C">
      <w:pPr>
        <w:pStyle w:val="NormalWeb"/>
        <w:spacing w:before="240"/>
        <w:contextualSpacing/>
        <w:jc w:val="both"/>
        <w:rPr>
          <w:rFonts w:cs="Times New Roman"/>
          <w:shd w:val="clear" w:color="auto" w:fill="FFFFFF"/>
        </w:rPr>
      </w:pPr>
      <w:r w:rsidRPr="008519AB">
        <w:rPr>
          <w:rFonts w:cs="Times New Roman"/>
          <w:shd w:val="clear" w:color="auto" w:fill="FFFFFF"/>
        </w:rPr>
        <w:t>Email: atkinson@earlston.ca</w:t>
      </w:r>
    </w:p>
    <w:p w:rsidR="00E80F9C" w:rsidRDefault="00E80F9C" w:rsidP="00E80F9C">
      <w:pPr>
        <w:pStyle w:val="NormalWeb"/>
        <w:spacing w:after="0"/>
        <w:contextualSpacing/>
        <w:jc w:val="both"/>
        <w:rPr>
          <w:rFonts w:cs="Times New Roman"/>
          <w:shd w:val="clear" w:color="auto" w:fill="FFFFFF"/>
        </w:rPr>
      </w:pPr>
      <w:r w:rsidRPr="008519AB">
        <w:rPr>
          <w:rFonts w:cs="Times New Roman"/>
          <w:shd w:val="clear" w:color="auto" w:fill="FFFFFF"/>
        </w:rPr>
        <w:t>Phone: (604) 689-1428</w:t>
      </w:r>
    </w:p>
    <w:p w:rsidR="00E80F9C" w:rsidRPr="00BE3095" w:rsidRDefault="00E80F9C" w:rsidP="00E80F9C">
      <w:pPr>
        <w:pStyle w:val="NormalWeb"/>
        <w:spacing w:after="0"/>
        <w:contextualSpacing/>
        <w:jc w:val="both"/>
        <w:rPr>
          <w:rFonts w:cs="Times New Roman"/>
          <w:shd w:val="clear" w:color="auto" w:fill="FFFFFF"/>
        </w:rPr>
      </w:pPr>
    </w:p>
    <w:p w:rsidR="00F42A9A" w:rsidRPr="00E80F9C" w:rsidRDefault="00F42A9A" w:rsidP="00E80F9C"/>
    <w:sectPr w:rsidR="00F42A9A" w:rsidRPr="00E80F9C">
      <w:headerReference w:type="even" r:id="rId17"/>
      <w:headerReference w:type="default" r:id="rId18"/>
      <w:footerReference w:type="even" r:id="rId19"/>
      <w:footerReference w:type="default" r:id="rId20"/>
      <w:headerReference w:type="first" r:id="rId21"/>
      <w:footerReference w:type="first" r:id="rId22"/>
      <w:pgSz w:w="12240" w:h="15840"/>
      <w:pgMar w:top="1701" w:right="737" w:bottom="1021" w:left="737" w:header="0"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D2" w:rsidRDefault="00916FD2">
      <w:r>
        <w:separator/>
      </w:r>
    </w:p>
  </w:endnote>
  <w:endnote w:type="continuationSeparator" w:id="0">
    <w:p w:rsidR="00916FD2" w:rsidRDefault="0091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Pro">
    <w:altName w:val="Calibri"/>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7A" w:rsidRPr="00A001AA" w:rsidRDefault="002A5C7A" w:rsidP="00A00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9A" w:rsidRDefault="00F42A9A">
    <w:pPr>
      <w:pStyle w:val="p1"/>
      <w:rPr>
        <w:rFonts w:ascii="Gotham Pro" w:eastAsia="Gotham Pro" w:hAnsi="Gotham Pro" w:cs="Gotham Pro"/>
        <w:caps/>
        <w:color w:val="000000"/>
        <w:u w:color="000000"/>
        <w:shd w:val="clear" w:color="auto" w:fill="FCFCFC"/>
      </w:rPr>
    </w:pPr>
  </w:p>
  <w:p w:rsidR="00F42A9A" w:rsidRDefault="00F42A9A">
    <w:pPr>
      <w:pStyle w:val="p1"/>
      <w:rPr>
        <w:rFonts w:ascii="Gotham Pro" w:eastAsia="Gotham Pro" w:hAnsi="Gotham Pro" w:cs="Gotham Pro"/>
        <w:caps/>
        <w:color w:val="000000"/>
        <w:u w:color="000000"/>
        <w:shd w:val="clear" w:color="auto" w:fill="FCFCFC"/>
      </w:rPr>
    </w:pPr>
  </w:p>
  <w:p w:rsidR="00F42A9A" w:rsidRDefault="001563EB">
    <w:pPr>
      <w:pStyle w:val="p1"/>
      <w:rPr>
        <w:rFonts w:ascii="Gotham Pro" w:eastAsia="Gotham Pro" w:hAnsi="Gotham Pro" w:cs="Gotham Pro"/>
        <w:caps/>
        <w:color w:val="000000"/>
        <w:u w:color="000000"/>
        <w:shd w:val="clear" w:color="auto" w:fill="FCFCFC"/>
      </w:rPr>
    </w:pPr>
    <w:r>
      <w:rPr>
        <w:rFonts w:ascii="Gotham Pro" w:eastAsia="Gotham Pro" w:hAnsi="Gotham Pro" w:cs="Gotham Pro"/>
        <w:caps/>
        <w:color w:val="000000"/>
        <w:u w:color="000000"/>
        <w:shd w:val="clear" w:color="auto" w:fill="FCFCFC"/>
      </w:rPr>
      <w:t xml:space="preserve">                                                                                                                    </w:t>
    </w:r>
  </w:p>
  <w:p w:rsidR="00F42A9A" w:rsidRDefault="001563EB">
    <w:pPr>
      <w:pStyle w:val="p1"/>
      <w:rPr>
        <w:rFonts w:ascii="Gotham Pro" w:eastAsia="Gotham Pro" w:hAnsi="Gotham Pro" w:cs="Gotham Pro"/>
        <w:caps/>
        <w:shd w:val="clear" w:color="auto" w:fill="FCFCFC"/>
      </w:rPr>
    </w:pPr>
    <w:r>
      <w:rPr>
        <w:rFonts w:ascii="Gotham Pro" w:eastAsia="Gotham Pro" w:hAnsi="Gotham Pro" w:cs="Gotham Pro"/>
        <w:caps/>
        <w:shd w:val="clear" w:color="auto" w:fill="FCFCFC"/>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7A" w:rsidRPr="00A001AA" w:rsidRDefault="002A5C7A" w:rsidP="00A00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D2" w:rsidRDefault="00916FD2">
      <w:r>
        <w:separator/>
      </w:r>
    </w:p>
  </w:footnote>
  <w:footnote w:type="continuationSeparator" w:id="0">
    <w:p w:rsidR="00916FD2" w:rsidRDefault="00916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14" w:rsidRDefault="00874C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14" w:rsidRDefault="00874C1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9A" w:rsidRPr="00DB5F8E" w:rsidRDefault="001563EB">
    <w:pPr>
      <w:pStyle w:val="En-tte"/>
      <w:jc w:val="center"/>
      <w:rPr>
        <w:b/>
        <w:sz w:val="24"/>
        <w:szCs w:val="24"/>
      </w:rPr>
    </w:pPr>
    <w:r>
      <w:rPr>
        <w:noProof/>
      </w:rPr>
      <w:drawing>
        <wp:inline distT="0" distB="0" distL="0" distR="0" wp14:anchorId="74433243" wp14:editId="50EC3691">
          <wp:extent cx="1943100" cy="145732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943100" cy="1457325"/>
                  </a:xfrm>
                  <a:prstGeom prst="rect">
                    <a:avLst/>
                  </a:prstGeom>
                  <a:ln w="12700" cap="flat">
                    <a:noFill/>
                    <a:miter lim="400000"/>
                  </a:ln>
                  <a:effectLst/>
                </pic:spPr>
              </pic:pic>
            </a:graphicData>
          </a:graphic>
        </wp:inline>
      </w:drawing>
    </w:r>
    <w:r w:rsidR="0072101D">
      <w:rPr>
        <w:b/>
        <w:sz w:val="24"/>
        <w:szCs w:val="24"/>
      </w:rPr>
      <w:t xml:space="preserve"> </w:t>
    </w:r>
    <w:r w:rsidR="0072101D">
      <w:rPr>
        <w:b/>
        <w:sz w:val="24"/>
        <w:szCs w:val="24"/>
      </w:rPr>
      <w:tab/>
    </w:r>
    <w:r w:rsidR="0072101D">
      <w:rPr>
        <w:b/>
        <w:sz w:val="24"/>
        <w:szCs w:val="24"/>
      </w:rPr>
      <w:tab/>
    </w:r>
    <w:r w:rsidR="0072101D">
      <w:rPr>
        <w:noProof/>
      </w:rPr>
      <w:drawing>
        <wp:inline distT="0" distB="0" distL="0" distR="0" wp14:anchorId="6346239E" wp14:editId="14D14C8D">
          <wp:extent cx="2185122" cy="1131122"/>
          <wp:effectExtent l="0" t="0" r="5715" b="0"/>
          <wp:docPr id="4" name="Picture 4" descr="K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464050" name="Picture 4" descr="Knol"/>
                  <pic:cNvPicPr>
                    <a:picLocks noChangeAspect="1" noChangeArrowheads="1"/>
                  </pic:cNvPicPr>
                </pic:nvPicPr>
                <pic:blipFill>
                  <a:blip r:embed="rId2"/>
                  <a:stretch>
                    <a:fillRect/>
                  </a:stretch>
                </pic:blipFill>
                <pic:spPr bwMode="auto">
                  <a:xfrm>
                    <a:off x="0" y="0"/>
                    <a:ext cx="2185122" cy="113112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919"/>
    <w:multiLevelType w:val="hybridMultilevel"/>
    <w:tmpl w:val="D80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54F4E"/>
    <w:multiLevelType w:val="hybridMultilevel"/>
    <w:tmpl w:val="04CE9BFC"/>
    <w:numStyleLink w:val="Style2import"/>
  </w:abstractNum>
  <w:abstractNum w:abstractNumId="2">
    <w:nsid w:val="2E397388"/>
    <w:multiLevelType w:val="hybridMultilevel"/>
    <w:tmpl w:val="04CE9BFC"/>
    <w:styleLink w:val="Style2import"/>
    <w:lvl w:ilvl="0" w:tplc="BB6A7E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C012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E06C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3CDD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182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44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042D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06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F81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0C54CF5"/>
    <w:multiLevelType w:val="hybridMultilevel"/>
    <w:tmpl w:val="F98E7E5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F62F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B879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2A77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7C8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9C07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839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A02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845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6425E46"/>
    <w:multiLevelType w:val="hybridMultilevel"/>
    <w:tmpl w:val="EB04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9A"/>
    <w:rsid w:val="00000BF5"/>
    <w:rsid w:val="00006283"/>
    <w:rsid w:val="00010335"/>
    <w:rsid w:val="000259AE"/>
    <w:rsid w:val="00031D8A"/>
    <w:rsid w:val="000365DE"/>
    <w:rsid w:val="00036C76"/>
    <w:rsid w:val="0003778B"/>
    <w:rsid w:val="00041FAD"/>
    <w:rsid w:val="000523EA"/>
    <w:rsid w:val="000613ED"/>
    <w:rsid w:val="000769E9"/>
    <w:rsid w:val="00086DC1"/>
    <w:rsid w:val="00087D3D"/>
    <w:rsid w:val="00090DA0"/>
    <w:rsid w:val="000A2CA7"/>
    <w:rsid w:val="000A6C18"/>
    <w:rsid w:val="000B1CB2"/>
    <w:rsid w:val="000B2381"/>
    <w:rsid w:val="000C2C56"/>
    <w:rsid w:val="000D4469"/>
    <w:rsid w:val="000D5808"/>
    <w:rsid w:val="000E3E9C"/>
    <w:rsid w:val="000E6313"/>
    <w:rsid w:val="000F3F4E"/>
    <w:rsid w:val="0010275A"/>
    <w:rsid w:val="00107CCD"/>
    <w:rsid w:val="00130469"/>
    <w:rsid w:val="00130EC5"/>
    <w:rsid w:val="00134F23"/>
    <w:rsid w:val="00137F95"/>
    <w:rsid w:val="001409C6"/>
    <w:rsid w:val="00142577"/>
    <w:rsid w:val="001445DE"/>
    <w:rsid w:val="001563EB"/>
    <w:rsid w:val="0016289F"/>
    <w:rsid w:val="00162B4E"/>
    <w:rsid w:val="00186C0D"/>
    <w:rsid w:val="001A6020"/>
    <w:rsid w:val="001B2AC7"/>
    <w:rsid w:val="001B79D3"/>
    <w:rsid w:val="001D3E30"/>
    <w:rsid w:val="001E2BFB"/>
    <w:rsid w:val="002000D6"/>
    <w:rsid w:val="00222D7A"/>
    <w:rsid w:val="00235B4D"/>
    <w:rsid w:val="002432D2"/>
    <w:rsid w:val="0024419B"/>
    <w:rsid w:val="0025731E"/>
    <w:rsid w:val="00272EF2"/>
    <w:rsid w:val="00297813"/>
    <w:rsid w:val="002A3B7E"/>
    <w:rsid w:val="002A5641"/>
    <w:rsid w:val="002A5C7A"/>
    <w:rsid w:val="002A6861"/>
    <w:rsid w:val="002B0469"/>
    <w:rsid w:val="002B3797"/>
    <w:rsid w:val="002C7341"/>
    <w:rsid w:val="002D0E63"/>
    <w:rsid w:val="002D7D35"/>
    <w:rsid w:val="002F0CCD"/>
    <w:rsid w:val="0030644F"/>
    <w:rsid w:val="00313D7E"/>
    <w:rsid w:val="00323AB9"/>
    <w:rsid w:val="00324E14"/>
    <w:rsid w:val="00337CCE"/>
    <w:rsid w:val="00340439"/>
    <w:rsid w:val="00346B11"/>
    <w:rsid w:val="00350905"/>
    <w:rsid w:val="003513FF"/>
    <w:rsid w:val="0035756D"/>
    <w:rsid w:val="00361281"/>
    <w:rsid w:val="00365C5C"/>
    <w:rsid w:val="00372421"/>
    <w:rsid w:val="0037712C"/>
    <w:rsid w:val="003B5311"/>
    <w:rsid w:val="003C2412"/>
    <w:rsid w:val="003C6432"/>
    <w:rsid w:val="003D51AD"/>
    <w:rsid w:val="003E0351"/>
    <w:rsid w:val="003E6982"/>
    <w:rsid w:val="003E7510"/>
    <w:rsid w:val="00403F4B"/>
    <w:rsid w:val="004075C1"/>
    <w:rsid w:val="0041726F"/>
    <w:rsid w:val="0042141F"/>
    <w:rsid w:val="00422BBC"/>
    <w:rsid w:val="00436D0E"/>
    <w:rsid w:val="004376B9"/>
    <w:rsid w:val="00444E5F"/>
    <w:rsid w:val="00450B94"/>
    <w:rsid w:val="00455136"/>
    <w:rsid w:val="004611DA"/>
    <w:rsid w:val="00463C4F"/>
    <w:rsid w:val="0046619D"/>
    <w:rsid w:val="00474E7B"/>
    <w:rsid w:val="004762BF"/>
    <w:rsid w:val="004765AD"/>
    <w:rsid w:val="0049226D"/>
    <w:rsid w:val="004A3174"/>
    <w:rsid w:val="004C3382"/>
    <w:rsid w:val="004D0FCC"/>
    <w:rsid w:val="004D25E3"/>
    <w:rsid w:val="004D641D"/>
    <w:rsid w:val="004E508D"/>
    <w:rsid w:val="004F5034"/>
    <w:rsid w:val="005007B7"/>
    <w:rsid w:val="005008AC"/>
    <w:rsid w:val="00500952"/>
    <w:rsid w:val="00502BB7"/>
    <w:rsid w:val="00513D38"/>
    <w:rsid w:val="00514057"/>
    <w:rsid w:val="005145CD"/>
    <w:rsid w:val="005155C7"/>
    <w:rsid w:val="00520021"/>
    <w:rsid w:val="00544596"/>
    <w:rsid w:val="00547694"/>
    <w:rsid w:val="00551462"/>
    <w:rsid w:val="00562D2D"/>
    <w:rsid w:val="0056701D"/>
    <w:rsid w:val="00572304"/>
    <w:rsid w:val="00577914"/>
    <w:rsid w:val="00596E63"/>
    <w:rsid w:val="005B0D7F"/>
    <w:rsid w:val="005B5FB0"/>
    <w:rsid w:val="005C1960"/>
    <w:rsid w:val="005E1BB5"/>
    <w:rsid w:val="005E1F98"/>
    <w:rsid w:val="005E2F20"/>
    <w:rsid w:val="005F1180"/>
    <w:rsid w:val="005F121D"/>
    <w:rsid w:val="005F152B"/>
    <w:rsid w:val="005F4CD1"/>
    <w:rsid w:val="00625766"/>
    <w:rsid w:val="00631D70"/>
    <w:rsid w:val="00641902"/>
    <w:rsid w:val="00646654"/>
    <w:rsid w:val="006543BA"/>
    <w:rsid w:val="00655254"/>
    <w:rsid w:val="00655CA9"/>
    <w:rsid w:val="00672884"/>
    <w:rsid w:val="00672DD7"/>
    <w:rsid w:val="00682D9E"/>
    <w:rsid w:val="00692CC9"/>
    <w:rsid w:val="00693C20"/>
    <w:rsid w:val="006B0CC9"/>
    <w:rsid w:val="006C5DD2"/>
    <w:rsid w:val="006D210C"/>
    <w:rsid w:val="006D41F0"/>
    <w:rsid w:val="006E02FE"/>
    <w:rsid w:val="006E5A1C"/>
    <w:rsid w:val="006F3D09"/>
    <w:rsid w:val="00701490"/>
    <w:rsid w:val="00704751"/>
    <w:rsid w:val="00715F56"/>
    <w:rsid w:val="0072101D"/>
    <w:rsid w:val="00723811"/>
    <w:rsid w:val="007240A1"/>
    <w:rsid w:val="00727970"/>
    <w:rsid w:val="00733AB0"/>
    <w:rsid w:val="00755042"/>
    <w:rsid w:val="00764ABB"/>
    <w:rsid w:val="00771F21"/>
    <w:rsid w:val="00793659"/>
    <w:rsid w:val="00797375"/>
    <w:rsid w:val="007A4F2A"/>
    <w:rsid w:val="007A66B7"/>
    <w:rsid w:val="007A72BB"/>
    <w:rsid w:val="007B0273"/>
    <w:rsid w:val="007B53B9"/>
    <w:rsid w:val="007B674F"/>
    <w:rsid w:val="007B6E09"/>
    <w:rsid w:val="007C069B"/>
    <w:rsid w:val="007C0D2D"/>
    <w:rsid w:val="007F1EC4"/>
    <w:rsid w:val="007F20C5"/>
    <w:rsid w:val="007F307C"/>
    <w:rsid w:val="008000F4"/>
    <w:rsid w:val="00800FF7"/>
    <w:rsid w:val="00804EC5"/>
    <w:rsid w:val="00824E42"/>
    <w:rsid w:val="00827A32"/>
    <w:rsid w:val="00836796"/>
    <w:rsid w:val="00853B5D"/>
    <w:rsid w:val="00866767"/>
    <w:rsid w:val="00867142"/>
    <w:rsid w:val="00867D2B"/>
    <w:rsid w:val="00874558"/>
    <w:rsid w:val="00874C14"/>
    <w:rsid w:val="00881E64"/>
    <w:rsid w:val="00890920"/>
    <w:rsid w:val="008A6251"/>
    <w:rsid w:val="008C0AB3"/>
    <w:rsid w:val="008C3D87"/>
    <w:rsid w:val="008C5B3A"/>
    <w:rsid w:val="008C6B54"/>
    <w:rsid w:val="008D7848"/>
    <w:rsid w:val="008E1DE5"/>
    <w:rsid w:val="008E2AB1"/>
    <w:rsid w:val="008E4A7A"/>
    <w:rsid w:val="008E6549"/>
    <w:rsid w:val="009043F7"/>
    <w:rsid w:val="00916FD2"/>
    <w:rsid w:val="009259DA"/>
    <w:rsid w:val="00933489"/>
    <w:rsid w:val="0093797A"/>
    <w:rsid w:val="009566CB"/>
    <w:rsid w:val="009604B1"/>
    <w:rsid w:val="00984589"/>
    <w:rsid w:val="009861AC"/>
    <w:rsid w:val="00990114"/>
    <w:rsid w:val="00992330"/>
    <w:rsid w:val="00993B5B"/>
    <w:rsid w:val="00996E9F"/>
    <w:rsid w:val="009A3003"/>
    <w:rsid w:val="009C2B32"/>
    <w:rsid w:val="009D02D0"/>
    <w:rsid w:val="009D4766"/>
    <w:rsid w:val="009E11D5"/>
    <w:rsid w:val="009E190C"/>
    <w:rsid w:val="009E5772"/>
    <w:rsid w:val="009F28C5"/>
    <w:rsid w:val="00A001AA"/>
    <w:rsid w:val="00A064D4"/>
    <w:rsid w:val="00A10DCB"/>
    <w:rsid w:val="00A12A99"/>
    <w:rsid w:val="00A23BB8"/>
    <w:rsid w:val="00A362DC"/>
    <w:rsid w:val="00A37DED"/>
    <w:rsid w:val="00A562D4"/>
    <w:rsid w:val="00A56AF6"/>
    <w:rsid w:val="00A70EFC"/>
    <w:rsid w:val="00A75213"/>
    <w:rsid w:val="00A86AE4"/>
    <w:rsid w:val="00A86F61"/>
    <w:rsid w:val="00A977A2"/>
    <w:rsid w:val="00AB5705"/>
    <w:rsid w:val="00AD7C4B"/>
    <w:rsid w:val="00AF12E3"/>
    <w:rsid w:val="00B00F9F"/>
    <w:rsid w:val="00B13A8B"/>
    <w:rsid w:val="00B16842"/>
    <w:rsid w:val="00B37EBB"/>
    <w:rsid w:val="00B545AD"/>
    <w:rsid w:val="00B60B38"/>
    <w:rsid w:val="00B61145"/>
    <w:rsid w:val="00B825A6"/>
    <w:rsid w:val="00B90A06"/>
    <w:rsid w:val="00B93615"/>
    <w:rsid w:val="00B9512B"/>
    <w:rsid w:val="00BA69E0"/>
    <w:rsid w:val="00BC0757"/>
    <w:rsid w:val="00BD42AC"/>
    <w:rsid w:val="00BE3095"/>
    <w:rsid w:val="00BF68AA"/>
    <w:rsid w:val="00C011AB"/>
    <w:rsid w:val="00C05DE2"/>
    <w:rsid w:val="00C137F9"/>
    <w:rsid w:val="00C2162C"/>
    <w:rsid w:val="00C234A1"/>
    <w:rsid w:val="00C27068"/>
    <w:rsid w:val="00C3559A"/>
    <w:rsid w:val="00C41158"/>
    <w:rsid w:val="00C44554"/>
    <w:rsid w:val="00C50636"/>
    <w:rsid w:val="00C55E30"/>
    <w:rsid w:val="00C562FF"/>
    <w:rsid w:val="00C5711B"/>
    <w:rsid w:val="00C62391"/>
    <w:rsid w:val="00C6263F"/>
    <w:rsid w:val="00C663E0"/>
    <w:rsid w:val="00C712F8"/>
    <w:rsid w:val="00C71A4F"/>
    <w:rsid w:val="00C81A82"/>
    <w:rsid w:val="00C92CA6"/>
    <w:rsid w:val="00C9323A"/>
    <w:rsid w:val="00C94BCB"/>
    <w:rsid w:val="00C95313"/>
    <w:rsid w:val="00CB7746"/>
    <w:rsid w:val="00CB7796"/>
    <w:rsid w:val="00CC6D28"/>
    <w:rsid w:val="00CC74C8"/>
    <w:rsid w:val="00CE2198"/>
    <w:rsid w:val="00CE2947"/>
    <w:rsid w:val="00CF3B91"/>
    <w:rsid w:val="00D03B4D"/>
    <w:rsid w:val="00D3072B"/>
    <w:rsid w:val="00D3734B"/>
    <w:rsid w:val="00D40D89"/>
    <w:rsid w:val="00D41A2C"/>
    <w:rsid w:val="00D478A3"/>
    <w:rsid w:val="00D505A6"/>
    <w:rsid w:val="00D54804"/>
    <w:rsid w:val="00D62256"/>
    <w:rsid w:val="00D62CDC"/>
    <w:rsid w:val="00D646CD"/>
    <w:rsid w:val="00D76030"/>
    <w:rsid w:val="00D7618F"/>
    <w:rsid w:val="00D92148"/>
    <w:rsid w:val="00DA6813"/>
    <w:rsid w:val="00DB146F"/>
    <w:rsid w:val="00DB5F8E"/>
    <w:rsid w:val="00DC3167"/>
    <w:rsid w:val="00DD209F"/>
    <w:rsid w:val="00DD4D19"/>
    <w:rsid w:val="00DE747C"/>
    <w:rsid w:val="00DE7BD2"/>
    <w:rsid w:val="00DF10B4"/>
    <w:rsid w:val="00DF4C17"/>
    <w:rsid w:val="00DF563C"/>
    <w:rsid w:val="00E301F1"/>
    <w:rsid w:val="00E31931"/>
    <w:rsid w:val="00E44CCD"/>
    <w:rsid w:val="00E51490"/>
    <w:rsid w:val="00E673CA"/>
    <w:rsid w:val="00E70B8B"/>
    <w:rsid w:val="00E80F9C"/>
    <w:rsid w:val="00E940BF"/>
    <w:rsid w:val="00EA2873"/>
    <w:rsid w:val="00EA7F26"/>
    <w:rsid w:val="00EB1838"/>
    <w:rsid w:val="00EC0C31"/>
    <w:rsid w:val="00ED5D01"/>
    <w:rsid w:val="00EF61FC"/>
    <w:rsid w:val="00EF74E0"/>
    <w:rsid w:val="00F00D10"/>
    <w:rsid w:val="00F07F75"/>
    <w:rsid w:val="00F11235"/>
    <w:rsid w:val="00F176A0"/>
    <w:rsid w:val="00F201A8"/>
    <w:rsid w:val="00F24870"/>
    <w:rsid w:val="00F42A9A"/>
    <w:rsid w:val="00F442BF"/>
    <w:rsid w:val="00F4657F"/>
    <w:rsid w:val="00F7799F"/>
    <w:rsid w:val="00F93541"/>
    <w:rsid w:val="00F946EF"/>
    <w:rsid w:val="00F95F58"/>
    <w:rsid w:val="00FA310F"/>
    <w:rsid w:val="00FB1747"/>
    <w:rsid w:val="00FB5FA2"/>
    <w:rsid w:val="00FC1A3B"/>
    <w:rsid w:val="00FC2B40"/>
    <w:rsid w:val="00FC418C"/>
    <w:rsid w:val="00FC5826"/>
    <w:rsid w:val="00FC60F6"/>
    <w:rsid w:val="00FD0B3A"/>
    <w:rsid w:val="00FD1DF8"/>
    <w:rsid w:val="00FF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En-tte1">
    <w:name w:val="En-tête1"/>
    <w:pPr>
      <w:tabs>
        <w:tab w:val="right" w:pos="9020"/>
      </w:tabs>
    </w:pPr>
    <w:rPr>
      <w:rFonts w:ascii="Helvetica" w:hAnsi="Helvetica" w:cs="Arial Unicode MS"/>
      <w:color w:val="000000"/>
      <w:sz w:val="24"/>
      <w:szCs w:val="24"/>
    </w:rPr>
  </w:style>
  <w:style w:type="paragraph" w:customStyle="1" w:styleId="p1">
    <w:name w:val="p1"/>
    <w:rPr>
      <w:rFonts w:ascii="Helvetica Neue" w:hAnsi="Helvetica Neue" w:cs="Arial Unicode MS"/>
      <w:color w:val="454545"/>
      <w:sz w:val="18"/>
      <w:szCs w:val="18"/>
      <w:u w:color="454545"/>
    </w:rPr>
  </w:style>
  <w:style w:type="paragraph" w:styleId="En-tte">
    <w:name w:val="header"/>
    <w:pPr>
      <w:tabs>
        <w:tab w:val="center" w:pos="4513"/>
        <w:tab w:val="right" w:pos="9026"/>
      </w:tabs>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sz w:val="24"/>
      <w:szCs w:val="24"/>
      <w:u w:val="single" w:color="0000FF"/>
    </w:rPr>
  </w:style>
  <w:style w:type="paragraph" w:styleId="Paragraphedeliste">
    <w:name w:val="List Paragraph"/>
    <w:pPr>
      <w:ind w:left="720"/>
    </w:pPr>
    <w:rPr>
      <w:rFonts w:ascii="Calibri" w:eastAsia="Calibri" w:hAnsi="Calibri" w:cs="Calibri"/>
      <w:color w:val="000000"/>
      <w:sz w:val="24"/>
      <w:szCs w:val="24"/>
      <w:u w:color="000000"/>
    </w:rPr>
  </w:style>
  <w:style w:type="numbering" w:customStyle="1" w:styleId="Style2import">
    <w:name w:val="Style 2 importé"/>
    <w:pPr>
      <w:numPr>
        <w:numId w:val="1"/>
      </w:numPr>
    </w:pPr>
  </w:style>
  <w:style w:type="character" w:customStyle="1" w:styleId="Hyperlink1">
    <w:name w:val="Hyperlink.1"/>
    <w:basedOn w:val="Lien"/>
    <w:rPr>
      <w:rFonts w:ascii="Times New Roman" w:eastAsia="Times New Roman" w:hAnsi="Times New Roman" w:cs="Times New Roman"/>
      <w:color w:val="0000FF"/>
      <w:sz w:val="24"/>
      <w:szCs w:val="24"/>
      <w:u w:val="single" w:color="0000FF"/>
      <w:shd w:val="clear" w:color="auto" w:fill="FFFF00"/>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Hyperlink2">
    <w:name w:val="Hyperlink.2"/>
    <w:basedOn w:val="Lien"/>
    <w:rPr>
      <w:color w:val="0000FF"/>
      <w:u w:val="single" w:color="0000FF"/>
      <w:shd w:val="clear" w:color="auto" w:fill="FFFFFF"/>
    </w:rPr>
  </w:style>
  <w:style w:type="paragraph" w:styleId="Textedebulles">
    <w:name w:val="Balloon Text"/>
    <w:basedOn w:val="Normal"/>
    <w:link w:val="TextedebullesCar"/>
    <w:uiPriority w:val="99"/>
    <w:semiHidden/>
    <w:unhideWhenUsed/>
    <w:rsid w:val="00577914"/>
    <w:rPr>
      <w:sz w:val="18"/>
      <w:szCs w:val="18"/>
    </w:rPr>
  </w:style>
  <w:style w:type="character" w:customStyle="1" w:styleId="TextedebullesCar">
    <w:name w:val="Texte de bulles Car"/>
    <w:basedOn w:val="Policepardfaut"/>
    <w:link w:val="Textedebulles"/>
    <w:uiPriority w:val="99"/>
    <w:semiHidden/>
    <w:rsid w:val="00577914"/>
    <w:rPr>
      <w:sz w:val="18"/>
      <w:szCs w:val="18"/>
    </w:rPr>
  </w:style>
  <w:style w:type="character" w:styleId="Lienhypertextesuivivisit">
    <w:name w:val="FollowedHyperlink"/>
    <w:basedOn w:val="Policepardfaut"/>
    <w:uiPriority w:val="99"/>
    <w:semiHidden/>
    <w:unhideWhenUsed/>
    <w:rsid w:val="00B9512B"/>
    <w:rPr>
      <w:color w:val="FF00FF" w:themeColor="followedHyperlink"/>
      <w:u w:val="single"/>
    </w:rPr>
  </w:style>
  <w:style w:type="paragraph" w:styleId="Pieddepage">
    <w:name w:val="footer"/>
    <w:basedOn w:val="Normal"/>
    <w:link w:val="PieddepageCar"/>
    <w:uiPriority w:val="99"/>
    <w:unhideWhenUsed/>
    <w:rsid w:val="00551462"/>
    <w:pPr>
      <w:tabs>
        <w:tab w:val="center" w:pos="4680"/>
        <w:tab w:val="right" w:pos="9360"/>
      </w:tabs>
    </w:pPr>
  </w:style>
  <w:style w:type="character" w:customStyle="1" w:styleId="PieddepageCar">
    <w:name w:val="Pied de page Car"/>
    <w:basedOn w:val="Policepardfaut"/>
    <w:link w:val="Pieddepage"/>
    <w:uiPriority w:val="99"/>
    <w:rsid w:val="00551462"/>
    <w:rPr>
      <w:sz w:val="24"/>
      <w:szCs w:val="24"/>
    </w:rPr>
  </w:style>
  <w:style w:type="table" w:styleId="Grilledutableau">
    <w:name w:val="Table Grid"/>
    <w:basedOn w:val="TableauNormal"/>
    <w:uiPriority w:val="39"/>
    <w:rsid w:val="009F2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First5">
    <w:name w:val="Body Text First .5"/>
    <w:basedOn w:val="Normal"/>
    <w:link w:val="BodyTextFirst5Car"/>
    <w:rsid w:val="007240A1"/>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pPr>
    <w:rPr>
      <w:rFonts w:ascii="Arial" w:eastAsia="Times New Roman" w:hAnsi="Arial"/>
      <w:sz w:val="22"/>
      <w:szCs w:val="20"/>
      <w:bdr w:val="none" w:sz="0" w:space="0" w:color="auto"/>
    </w:rPr>
  </w:style>
  <w:style w:type="character" w:customStyle="1" w:styleId="BodyTextFirst5Car">
    <w:name w:val="Body Text First .5 Car"/>
    <w:link w:val="BodyTextFirst5"/>
    <w:rsid w:val="007240A1"/>
    <w:rPr>
      <w:rFonts w:ascii="Arial" w:eastAsia="Times New Roman" w:hAnsi="Arial"/>
      <w:sz w:val="22"/>
      <w:bdr w:val="none" w:sz="0" w:space="0" w:color="auto"/>
    </w:rPr>
  </w:style>
  <w:style w:type="character" w:styleId="Marquedecommentaire">
    <w:name w:val="annotation reference"/>
    <w:basedOn w:val="Policepardfaut"/>
    <w:uiPriority w:val="99"/>
    <w:semiHidden/>
    <w:unhideWhenUsed/>
    <w:rsid w:val="00F4657F"/>
    <w:rPr>
      <w:sz w:val="16"/>
      <w:szCs w:val="16"/>
    </w:rPr>
  </w:style>
  <w:style w:type="paragraph" w:styleId="Commentaire">
    <w:name w:val="annotation text"/>
    <w:basedOn w:val="Normal"/>
    <w:link w:val="CommentaireCar"/>
    <w:uiPriority w:val="99"/>
    <w:semiHidden/>
    <w:unhideWhenUsed/>
    <w:rsid w:val="00F4657F"/>
    <w:rPr>
      <w:sz w:val="20"/>
      <w:szCs w:val="20"/>
    </w:rPr>
  </w:style>
  <w:style w:type="character" w:customStyle="1" w:styleId="CommentaireCar">
    <w:name w:val="Commentaire Car"/>
    <w:basedOn w:val="Policepardfaut"/>
    <w:link w:val="Commentaire"/>
    <w:uiPriority w:val="99"/>
    <w:semiHidden/>
    <w:rsid w:val="00F46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En-tte1">
    <w:name w:val="En-tête1"/>
    <w:pPr>
      <w:tabs>
        <w:tab w:val="right" w:pos="9020"/>
      </w:tabs>
    </w:pPr>
    <w:rPr>
      <w:rFonts w:ascii="Helvetica" w:hAnsi="Helvetica" w:cs="Arial Unicode MS"/>
      <w:color w:val="000000"/>
      <w:sz w:val="24"/>
      <w:szCs w:val="24"/>
    </w:rPr>
  </w:style>
  <w:style w:type="paragraph" w:customStyle="1" w:styleId="p1">
    <w:name w:val="p1"/>
    <w:rPr>
      <w:rFonts w:ascii="Helvetica Neue" w:hAnsi="Helvetica Neue" w:cs="Arial Unicode MS"/>
      <w:color w:val="454545"/>
      <w:sz w:val="18"/>
      <w:szCs w:val="18"/>
      <w:u w:color="454545"/>
    </w:rPr>
  </w:style>
  <w:style w:type="paragraph" w:styleId="En-tte">
    <w:name w:val="header"/>
    <w:pPr>
      <w:tabs>
        <w:tab w:val="center" w:pos="4513"/>
        <w:tab w:val="right" w:pos="9026"/>
      </w:tabs>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sz w:val="24"/>
      <w:szCs w:val="24"/>
      <w:u w:val="single" w:color="0000FF"/>
    </w:rPr>
  </w:style>
  <w:style w:type="paragraph" w:styleId="Paragraphedeliste">
    <w:name w:val="List Paragraph"/>
    <w:pPr>
      <w:ind w:left="720"/>
    </w:pPr>
    <w:rPr>
      <w:rFonts w:ascii="Calibri" w:eastAsia="Calibri" w:hAnsi="Calibri" w:cs="Calibri"/>
      <w:color w:val="000000"/>
      <w:sz w:val="24"/>
      <w:szCs w:val="24"/>
      <w:u w:color="000000"/>
    </w:rPr>
  </w:style>
  <w:style w:type="numbering" w:customStyle="1" w:styleId="Style2import">
    <w:name w:val="Style 2 importé"/>
    <w:pPr>
      <w:numPr>
        <w:numId w:val="1"/>
      </w:numPr>
    </w:pPr>
  </w:style>
  <w:style w:type="character" w:customStyle="1" w:styleId="Hyperlink1">
    <w:name w:val="Hyperlink.1"/>
    <w:basedOn w:val="Lien"/>
    <w:rPr>
      <w:rFonts w:ascii="Times New Roman" w:eastAsia="Times New Roman" w:hAnsi="Times New Roman" w:cs="Times New Roman"/>
      <w:color w:val="0000FF"/>
      <w:sz w:val="24"/>
      <w:szCs w:val="24"/>
      <w:u w:val="single" w:color="0000FF"/>
      <w:shd w:val="clear" w:color="auto" w:fill="FFFF00"/>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Hyperlink2">
    <w:name w:val="Hyperlink.2"/>
    <w:basedOn w:val="Lien"/>
    <w:rPr>
      <w:color w:val="0000FF"/>
      <w:u w:val="single" w:color="0000FF"/>
      <w:shd w:val="clear" w:color="auto" w:fill="FFFFFF"/>
    </w:rPr>
  </w:style>
  <w:style w:type="paragraph" w:styleId="Textedebulles">
    <w:name w:val="Balloon Text"/>
    <w:basedOn w:val="Normal"/>
    <w:link w:val="TextedebullesCar"/>
    <w:uiPriority w:val="99"/>
    <w:semiHidden/>
    <w:unhideWhenUsed/>
    <w:rsid w:val="00577914"/>
    <w:rPr>
      <w:sz w:val="18"/>
      <w:szCs w:val="18"/>
    </w:rPr>
  </w:style>
  <w:style w:type="character" w:customStyle="1" w:styleId="TextedebullesCar">
    <w:name w:val="Texte de bulles Car"/>
    <w:basedOn w:val="Policepardfaut"/>
    <w:link w:val="Textedebulles"/>
    <w:uiPriority w:val="99"/>
    <w:semiHidden/>
    <w:rsid w:val="00577914"/>
    <w:rPr>
      <w:sz w:val="18"/>
      <w:szCs w:val="18"/>
    </w:rPr>
  </w:style>
  <w:style w:type="character" w:styleId="Lienhypertextesuivivisit">
    <w:name w:val="FollowedHyperlink"/>
    <w:basedOn w:val="Policepardfaut"/>
    <w:uiPriority w:val="99"/>
    <w:semiHidden/>
    <w:unhideWhenUsed/>
    <w:rsid w:val="00B9512B"/>
    <w:rPr>
      <w:color w:val="FF00FF" w:themeColor="followedHyperlink"/>
      <w:u w:val="single"/>
    </w:rPr>
  </w:style>
  <w:style w:type="paragraph" w:styleId="Pieddepage">
    <w:name w:val="footer"/>
    <w:basedOn w:val="Normal"/>
    <w:link w:val="PieddepageCar"/>
    <w:uiPriority w:val="99"/>
    <w:unhideWhenUsed/>
    <w:rsid w:val="00551462"/>
    <w:pPr>
      <w:tabs>
        <w:tab w:val="center" w:pos="4680"/>
        <w:tab w:val="right" w:pos="9360"/>
      </w:tabs>
    </w:pPr>
  </w:style>
  <w:style w:type="character" w:customStyle="1" w:styleId="PieddepageCar">
    <w:name w:val="Pied de page Car"/>
    <w:basedOn w:val="Policepardfaut"/>
    <w:link w:val="Pieddepage"/>
    <w:uiPriority w:val="99"/>
    <w:rsid w:val="00551462"/>
    <w:rPr>
      <w:sz w:val="24"/>
      <w:szCs w:val="24"/>
    </w:rPr>
  </w:style>
  <w:style w:type="table" w:styleId="Grilledutableau">
    <w:name w:val="Table Grid"/>
    <w:basedOn w:val="TableauNormal"/>
    <w:uiPriority w:val="39"/>
    <w:rsid w:val="009F2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First5">
    <w:name w:val="Body Text First .5"/>
    <w:basedOn w:val="Normal"/>
    <w:link w:val="BodyTextFirst5Car"/>
    <w:rsid w:val="007240A1"/>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pPr>
    <w:rPr>
      <w:rFonts w:ascii="Arial" w:eastAsia="Times New Roman" w:hAnsi="Arial"/>
      <w:sz w:val="22"/>
      <w:szCs w:val="20"/>
      <w:bdr w:val="none" w:sz="0" w:space="0" w:color="auto"/>
    </w:rPr>
  </w:style>
  <w:style w:type="character" w:customStyle="1" w:styleId="BodyTextFirst5Car">
    <w:name w:val="Body Text First .5 Car"/>
    <w:link w:val="BodyTextFirst5"/>
    <w:rsid w:val="007240A1"/>
    <w:rPr>
      <w:rFonts w:ascii="Arial" w:eastAsia="Times New Roman" w:hAnsi="Arial"/>
      <w:sz w:val="22"/>
      <w:bdr w:val="none" w:sz="0" w:space="0" w:color="auto"/>
    </w:rPr>
  </w:style>
  <w:style w:type="character" w:styleId="Marquedecommentaire">
    <w:name w:val="annotation reference"/>
    <w:basedOn w:val="Policepardfaut"/>
    <w:uiPriority w:val="99"/>
    <w:semiHidden/>
    <w:unhideWhenUsed/>
    <w:rsid w:val="00F4657F"/>
    <w:rPr>
      <w:sz w:val="16"/>
      <w:szCs w:val="16"/>
    </w:rPr>
  </w:style>
  <w:style w:type="paragraph" w:styleId="Commentaire">
    <w:name w:val="annotation text"/>
    <w:basedOn w:val="Normal"/>
    <w:link w:val="CommentaireCar"/>
    <w:uiPriority w:val="99"/>
    <w:semiHidden/>
    <w:unhideWhenUsed/>
    <w:rsid w:val="00F4657F"/>
    <w:rPr>
      <w:sz w:val="20"/>
      <w:szCs w:val="20"/>
    </w:rPr>
  </w:style>
  <w:style w:type="character" w:customStyle="1" w:styleId="CommentaireCar">
    <w:name w:val="Commentaire Car"/>
    <w:basedOn w:val="Policepardfaut"/>
    <w:link w:val="Commentaire"/>
    <w:uiPriority w:val="99"/>
    <w:semiHidden/>
    <w:rsid w:val="00F4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45157">
      <w:bodyDiv w:val="1"/>
      <w:marLeft w:val="0"/>
      <w:marRight w:val="0"/>
      <w:marTop w:val="0"/>
      <w:marBottom w:val="0"/>
      <w:divBdr>
        <w:top w:val="none" w:sz="0" w:space="0" w:color="auto"/>
        <w:left w:val="none" w:sz="0" w:space="0" w:color="auto"/>
        <w:bottom w:val="none" w:sz="0" w:space="0" w:color="auto"/>
        <w:right w:val="none" w:sz="0" w:space="0" w:color="auto"/>
      </w:divBdr>
    </w:div>
    <w:div w:id="474296545">
      <w:bodyDiv w:val="1"/>
      <w:marLeft w:val="0"/>
      <w:marRight w:val="0"/>
      <w:marTop w:val="0"/>
      <w:marBottom w:val="0"/>
      <w:divBdr>
        <w:top w:val="none" w:sz="0" w:space="0" w:color="auto"/>
        <w:left w:val="none" w:sz="0" w:space="0" w:color="auto"/>
        <w:bottom w:val="none" w:sz="0" w:space="0" w:color="auto"/>
        <w:right w:val="none" w:sz="0" w:space="0" w:color="auto"/>
      </w:divBdr>
    </w:div>
    <w:div w:id="864320065">
      <w:bodyDiv w:val="1"/>
      <w:marLeft w:val="0"/>
      <w:marRight w:val="0"/>
      <w:marTop w:val="0"/>
      <w:marBottom w:val="0"/>
      <w:divBdr>
        <w:top w:val="none" w:sz="0" w:space="0" w:color="auto"/>
        <w:left w:val="none" w:sz="0" w:space="0" w:color="auto"/>
        <w:bottom w:val="none" w:sz="0" w:space="0" w:color="auto"/>
        <w:right w:val="none" w:sz="0" w:space="0" w:color="auto"/>
      </w:divBdr>
    </w:div>
    <w:div w:id="1231386763">
      <w:bodyDiv w:val="1"/>
      <w:marLeft w:val="0"/>
      <w:marRight w:val="0"/>
      <w:marTop w:val="0"/>
      <w:marBottom w:val="0"/>
      <w:divBdr>
        <w:top w:val="none" w:sz="0" w:space="0" w:color="auto"/>
        <w:left w:val="none" w:sz="0" w:space="0" w:color="auto"/>
        <w:bottom w:val="none" w:sz="0" w:space="0" w:color="auto"/>
        <w:right w:val="none" w:sz="0" w:space="0" w:color="auto"/>
      </w:divBdr>
    </w:div>
    <w:div w:id="1623225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tmxmoney.com/quote.php?qm_symbol=NOL.H&amp;locale=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markets.ft.com/data/equities/tearsheet/summary?s=NPAT:FR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ivot@virtusadvisory.com?subject=Pivot%20Pharm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tcmarkets.com/stock/PVOTF/quot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PivotPharma.com" TargetMode="External"/><Relationship Id="rId23" Type="http://schemas.openxmlformats.org/officeDocument/2006/relationships/fontTable" Target="fontTable.xml"/><Relationship Id="rId10" Type="http://schemas.openxmlformats.org/officeDocument/2006/relationships/hyperlink" Target="http://thecse.com/en/listings/life-sciences/pivot-pharmaceuticals-in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ivotpharma.com/" TargetMode="External"/><Relationship Id="rId14" Type="http://schemas.openxmlformats.org/officeDocument/2006/relationships/hyperlink" Target="http://www.PivotPharma.co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236E-2E05-4034-A19A-3D2E4BE8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3020</Words>
  <Characters>17217</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frankham</dc:creator>
  <cp:lastModifiedBy>TESSIER, JEAN</cp:lastModifiedBy>
  <cp:revision>3</cp:revision>
  <cp:lastPrinted>2018-09-07T14:17:00Z</cp:lastPrinted>
  <dcterms:created xsi:type="dcterms:W3CDTF">2018-10-15T12:34:00Z</dcterms:created>
  <dcterms:modified xsi:type="dcterms:W3CDTF">2018-10-15T12:40:00Z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