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DA9B5" w14:textId="77777777" w:rsidR="00717FC5" w:rsidRDefault="002512C9">
      <w:pPr>
        <w:pStyle w:val="Title"/>
        <w:spacing w:before="0"/>
        <w:rPr>
          <w:sz w:val="28"/>
          <w:lang w:val="en-CA"/>
        </w:rPr>
      </w:pPr>
      <w:r>
        <w:rPr>
          <w:sz w:val="28"/>
          <w:lang w:val="en-CA"/>
        </w:rPr>
        <w:t>FORM 9</w:t>
      </w:r>
    </w:p>
    <w:p w14:paraId="17645B4D" w14:textId="77777777" w:rsidR="00717FC5" w:rsidRDefault="002512C9">
      <w:pPr>
        <w:pStyle w:val="Title"/>
        <w:spacing w:before="0" w:after="0"/>
        <w:rPr>
          <w:sz w:val="28"/>
          <w:u w:val="single"/>
          <w:lang w:val="en-CA"/>
        </w:rPr>
      </w:pPr>
      <w:r>
        <w:rPr>
          <w:sz w:val="28"/>
          <w:u w:val="single"/>
          <w:lang w:val="en-CA"/>
        </w:rPr>
        <w:t xml:space="preserve">NOTICE OF PROPOSED ISSUANCE OF LISTED SECURITIES </w:t>
      </w:r>
    </w:p>
    <w:p w14:paraId="000F4496" w14:textId="77777777" w:rsidR="00717FC5" w:rsidRDefault="002512C9">
      <w:pPr>
        <w:pStyle w:val="Title"/>
        <w:spacing w:before="0" w:after="0"/>
        <w:rPr>
          <w:sz w:val="28"/>
          <w:u w:val="single"/>
          <w:lang w:val="en-CA"/>
        </w:rPr>
      </w:pPr>
      <w:r>
        <w:rPr>
          <w:sz w:val="28"/>
          <w:u w:val="single"/>
          <w:lang w:val="en-CA"/>
        </w:rPr>
        <w:t>(or securities convertible or exchangeable into listed securities</w:t>
      </w:r>
      <w:r>
        <w:rPr>
          <w:rStyle w:val="FootnoteReference"/>
        </w:rPr>
        <w:footnoteRef/>
      </w:r>
      <w:r>
        <w:rPr>
          <w:sz w:val="28"/>
          <w:u w:val="single"/>
          <w:lang w:val="en-CA"/>
        </w:rPr>
        <w:t>)</w:t>
      </w:r>
    </w:p>
    <w:p w14:paraId="64C6D707" w14:textId="77777777" w:rsidR="00717FC5" w:rsidRDefault="002512C9">
      <w:pPr>
        <w:pStyle w:val="BodyText"/>
        <w:rPr>
          <w:rFonts w:ascii="Arial" w:hAnsi="Arial"/>
          <w:lang w:val="en-CA"/>
        </w:rPr>
      </w:pPr>
      <w:r>
        <w:rPr>
          <w:rFonts w:ascii="Arial" w:hAnsi="Arial"/>
          <w:lang w:val="en-CA"/>
        </w:rPr>
        <w:t>Please complete the following:</w:t>
      </w:r>
    </w:p>
    <w:p w14:paraId="3B340BA6" w14:textId="77777777" w:rsidR="00717FC5" w:rsidRDefault="002512C9">
      <w:pPr>
        <w:pStyle w:val="BodyText"/>
        <w:rPr>
          <w:rFonts w:ascii="Arial" w:hAnsi="Arial"/>
          <w:lang w:val="en-CA"/>
        </w:rPr>
      </w:pPr>
      <w:r>
        <w:rPr>
          <w:rFonts w:ascii="Arial" w:hAnsi="Arial"/>
          <w:lang w:val="en-CA"/>
        </w:rPr>
        <w:t>Name of Listed Issuer</w:t>
      </w:r>
      <w:r>
        <w:rPr>
          <w:rFonts w:ascii="Arial" w:hAnsi="Arial"/>
          <w:b/>
          <w:lang w:val="en-CA"/>
        </w:rPr>
        <w:t xml:space="preserve">:  </w:t>
      </w:r>
      <w:r>
        <w:rPr>
          <w:rFonts w:ascii="Arial" w:hAnsi="Arial"/>
          <w:b/>
          <w:u w:val="single"/>
          <w:lang w:val="en-CA"/>
        </w:rPr>
        <w:t>Imagination Park Entertainment Inc. (the “Issuer”)</w:t>
      </w:r>
      <w:r>
        <w:rPr>
          <w:rFonts w:ascii="Arial" w:hAnsi="Arial"/>
          <w:b/>
          <w:lang w:val="en-CA"/>
        </w:rPr>
        <w:t>.</w:t>
      </w:r>
      <w:r>
        <w:rPr>
          <w:rFonts w:ascii="Arial" w:hAnsi="Arial"/>
          <w:lang w:val="en-CA"/>
        </w:rPr>
        <w:t xml:space="preserve">  </w:t>
      </w:r>
    </w:p>
    <w:p w14:paraId="56AFBA31" w14:textId="77777777" w:rsidR="00717FC5" w:rsidRDefault="002512C9">
      <w:pPr>
        <w:pStyle w:val="BodyText"/>
        <w:rPr>
          <w:rFonts w:ascii="Arial" w:hAnsi="Arial"/>
          <w:lang w:val="en-CA"/>
        </w:rPr>
      </w:pPr>
      <w:r>
        <w:rPr>
          <w:rFonts w:ascii="Arial" w:hAnsi="Arial"/>
          <w:lang w:val="en-CA"/>
        </w:rPr>
        <w:t xml:space="preserve">Trading Symbol:  </w:t>
      </w:r>
      <w:r>
        <w:rPr>
          <w:rFonts w:ascii="Arial" w:hAnsi="Arial"/>
          <w:b/>
          <w:u w:val="single"/>
          <w:lang w:val="en-CA"/>
        </w:rPr>
        <w:t>IP</w:t>
      </w:r>
      <w:r>
        <w:rPr>
          <w:rFonts w:ascii="Arial" w:hAnsi="Arial"/>
          <w:lang w:val="en-CA"/>
        </w:rPr>
        <w:t>.</w:t>
      </w:r>
    </w:p>
    <w:p w14:paraId="2E86D04E" w14:textId="45D4E949" w:rsidR="00717FC5" w:rsidRDefault="002512C9">
      <w:pPr>
        <w:pStyle w:val="BodyText"/>
        <w:spacing w:after="240"/>
        <w:rPr>
          <w:rFonts w:ascii="Arial" w:hAnsi="Arial"/>
          <w:lang w:val="en-CA"/>
        </w:rPr>
      </w:pPr>
      <w:r>
        <w:rPr>
          <w:rFonts w:ascii="Arial" w:hAnsi="Arial"/>
          <w:lang w:val="en-CA"/>
        </w:rPr>
        <w:t xml:space="preserve">Date:  </w:t>
      </w:r>
      <w:r>
        <w:rPr>
          <w:rFonts w:ascii="Arial" w:hAnsi="Arial"/>
          <w:u w:val="single"/>
          <w:lang w:val="en-CA"/>
        </w:rPr>
        <w:tab/>
      </w:r>
      <w:r w:rsidR="004C22A5">
        <w:rPr>
          <w:rFonts w:ascii="Arial" w:hAnsi="Arial"/>
          <w:b/>
          <w:u w:val="single"/>
          <w:lang w:val="en-CA"/>
        </w:rPr>
        <w:t>November 13</w:t>
      </w:r>
      <w:r>
        <w:rPr>
          <w:rFonts w:ascii="Arial" w:hAnsi="Arial"/>
          <w:b/>
          <w:u w:val="single"/>
          <w:lang w:val="en-CA"/>
        </w:rPr>
        <w:t>, 2017</w:t>
      </w:r>
    </w:p>
    <w:p w14:paraId="04F20666" w14:textId="0458C4FF" w:rsidR="00717FC5" w:rsidRDefault="002512C9">
      <w:pPr>
        <w:pStyle w:val="BodyText"/>
        <w:tabs>
          <w:tab w:val="left" w:pos="2160"/>
        </w:tabs>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sidR="00BE0024">
        <w:rPr>
          <w:rFonts w:ascii="Lucida Grande" w:hAnsi="Lucida Grande" w:cs="Lucida Grande"/>
          <w:color w:val="000000" w:themeColor="text1"/>
          <w:lang w:val="en-CA"/>
        </w:rPr>
        <w:t>☐</w:t>
      </w:r>
      <w:r>
        <w:rPr>
          <w:rFonts w:ascii="Arial" w:hAnsi="Arial"/>
          <w:lang w:val="en-CA"/>
        </w:rPr>
        <w:t>Yes</w:t>
      </w:r>
      <w:r>
        <w:rPr>
          <w:rFonts w:ascii="Arial" w:hAnsi="Arial"/>
          <w:lang w:val="en-CA"/>
        </w:rPr>
        <w:tab/>
      </w:r>
      <w:r>
        <w:rPr>
          <w:rFonts w:ascii="Arial" w:hAnsi="Arial"/>
          <w:lang w:val="en-CA"/>
        </w:rPr>
        <w:tab/>
      </w:r>
      <w:proofErr w:type="gramStart"/>
      <w:r w:rsidR="00BE0024">
        <w:rPr>
          <w:rFonts w:ascii="Wingdings" w:eastAsia="ＭＳ ゴシック" w:hAnsi="Wingdings"/>
          <w:b/>
          <w:lang w:val="en-CA"/>
        </w:rPr>
        <w:t></w:t>
      </w:r>
      <w:r>
        <w:rPr>
          <w:rFonts w:ascii="Arial" w:hAnsi="Arial"/>
          <w:b/>
          <w:lang w:val="en-CA"/>
        </w:rPr>
        <w:t xml:space="preserve">  No</w:t>
      </w:r>
      <w:proofErr w:type="gramEnd"/>
      <w:r>
        <w:rPr>
          <w:rFonts w:ascii="Arial" w:hAnsi="Arial"/>
          <w:sz w:val="32"/>
          <w:lang w:val="en-CA"/>
        </w:rPr>
        <w:tab/>
      </w:r>
    </w:p>
    <w:p w14:paraId="53EC2429" w14:textId="3872FE90" w:rsidR="00717FC5" w:rsidRDefault="002512C9">
      <w:pPr>
        <w:pStyle w:val="BodyText"/>
        <w:tabs>
          <w:tab w:val="left" w:pos="9180"/>
        </w:tabs>
        <w:spacing w:before="0" w:after="240"/>
        <w:rPr>
          <w:rFonts w:ascii="Arial" w:hAnsi="Arial"/>
          <w:lang w:val="en-CA"/>
        </w:rPr>
      </w:pPr>
      <w:r>
        <w:rPr>
          <w:rFonts w:ascii="Arial" w:hAnsi="Arial"/>
          <w:lang w:val="en-CA"/>
        </w:rPr>
        <w:t xml:space="preserve">If yes provide date(s) of prior Notices:  </w:t>
      </w:r>
      <w:r w:rsidR="00BE0024">
        <w:rPr>
          <w:rFonts w:ascii="Arial" w:hAnsi="Arial"/>
          <w:b/>
          <w:u w:val="single"/>
          <w:lang w:val="en-CA"/>
        </w:rPr>
        <w:t>n/a</w:t>
      </w:r>
    </w:p>
    <w:p w14:paraId="25342013" w14:textId="25CB17EE" w:rsidR="00717FC5" w:rsidRDefault="002512C9">
      <w:pPr>
        <w:pStyle w:val="BodyText"/>
        <w:tabs>
          <w:tab w:val="left" w:pos="9180"/>
        </w:tabs>
        <w:spacing w:before="0" w:after="240"/>
        <w:rPr>
          <w:rFonts w:ascii="Arial" w:hAnsi="Arial"/>
          <w:lang w:val="en-CA"/>
        </w:rPr>
      </w:pPr>
      <w:r>
        <w:rPr>
          <w:rFonts w:ascii="Arial" w:hAnsi="Arial"/>
          <w:lang w:val="en-CA"/>
        </w:rPr>
        <w:t xml:space="preserve">Issued and Outstanding Securities of Issuer Prior to Issuance:  </w:t>
      </w:r>
      <w:r w:rsidR="004C22A5">
        <w:rPr>
          <w:rFonts w:ascii="Arial" w:hAnsi="Arial"/>
          <w:b/>
          <w:u w:val="single"/>
          <w:lang w:val="en-CA"/>
        </w:rPr>
        <w:t>62,449,503</w:t>
      </w:r>
    </w:p>
    <w:p w14:paraId="5BBF30F3" w14:textId="4C36B3A9" w:rsidR="00717FC5" w:rsidRDefault="002512C9">
      <w:pPr>
        <w:pStyle w:val="BodyText"/>
        <w:tabs>
          <w:tab w:val="left" w:pos="9180"/>
        </w:tabs>
        <w:spacing w:before="0" w:after="240"/>
        <w:rPr>
          <w:rFonts w:ascii="Arial" w:hAnsi="Arial"/>
          <w:lang w:val="en-CA"/>
        </w:rPr>
      </w:pPr>
      <w:r>
        <w:rPr>
          <w:rFonts w:ascii="Arial" w:hAnsi="Arial"/>
          <w:lang w:val="en-CA"/>
        </w:rPr>
        <w:t xml:space="preserve">Date of News Release Announcing Private Placement: </w:t>
      </w:r>
      <w:r w:rsidR="00BE0024">
        <w:rPr>
          <w:rFonts w:ascii="Arial" w:hAnsi="Arial"/>
          <w:b/>
          <w:u w:val="single"/>
          <w:lang w:val="en-CA"/>
        </w:rPr>
        <w:t>n/a</w:t>
      </w:r>
    </w:p>
    <w:p w14:paraId="50C5AF05" w14:textId="67B61F3C" w:rsidR="00717FC5" w:rsidRDefault="002512C9">
      <w:pPr>
        <w:pStyle w:val="BodyText"/>
        <w:tabs>
          <w:tab w:val="left" w:pos="9180"/>
        </w:tabs>
        <w:spacing w:before="0" w:after="240"/>
        <w:rPr>
          <w:rFonts w:ascii="Arial" w:hAnsi="Arial"/>
          <w:lang w:val="en-CA"/>
        </w:rPr>
      </w:pPr>
      <w:r>
        <w:rPr>
          <w:rFonts w:ascii="Arial" w:hAnsi="Arial"/>
          <w:lang w:val="en-CA"/>
        </w:rPr>
        <w:t xml:space="preserve">Closing Market Price on Day Preceding the Issuance of the News Release: </w:t>
      </w:r>
      <w:r w:rsidR="00BE0024">
        <w:rPr>
          <w:rFonts w:ascii="Arial" w:hAnsi="Arial"/>
          <w:b/>
          <w:u w:val="single"/>
          <w:lang w:val="en-CA"/>
        </w:rPr>
        <w:t>n/a</w:t>
      </w:r>
    </w:p>
    <w:p w14:paraId="4AD83D5D" w14:textId="77777777" w:rsidR="00717FC5" w:rsidRDefault="002512C9">
      <w:pPr>
        <w:pStyle w:val="BodyText"/>
        <w:spacing w:before="0" w:after="240"/>
        <w:rPr>
          <w:rFonts w:ascii="Arial" w:hAnsi="Arial"/>
          <w:b/>
          <w:lang w:val="en-CA"/>
        </w:rPr>
      </w:pPr>
      <w:r>
        <w:rPr>
          <w:rFonts w:ascii="Arial" w:hAnsi="Arial"/>
          <w:b/>
          <w:lang w:val="en-CA"/>
        </w:rPr>
        <w:t>1.</w:t>
      </w:r>
      <w:r>
        <w:rPr>
          <w:rFonts w:ascii="Arial" w:hAnsi="Arial"/>
          <w:b/>
          <w:lang w:val="en-CA"/>
        </w:rPr>
        <w:tab/>
        <w:t>Private Placement (if shares are being issued in connection with an acquisition (either as consideration or to raise funds for a cash acquisition), proceed to Part 2 of this form)</w:t>
      </w: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717FC5" w14:paraId="3938F5F4" w14:textId="77777777" w:rsidTr="004C22A5">
        <w:trPr>
          <w:trHeight w:val="1990"/>
        </w:trPr>
        <w:tc>
          <w:tcPr>
            <w:tcW w:w="1394" w:type="dxa"/>
          </w:tcPr>
          <w:p w14:paraId="64B6FDDD" w14:textId="77777777" w:rsidR="00717FC5" w:rsidRDefault="00717FC5">
            <w:pPr>
              <w:pStyle w:val="BodyText"/>
              <w:spacing w:before="0" w:line="280" w:lineRule="exact"/>
              <w:jc w:val="center"/>
              <w:rPr>
                <w:rFonts w:ascii="Arial" w:hAnsi="Arial"/>
                <w:b/>
                <w:sz w:val="20"/>
                <w:lang w:val="en-CA"/>
              </w:rPr>
            </w:pPr>
          </w:p>
          <w:p w14:paraId="5B35E266" w14:textId="77777777" w:rsidR="00717FC5" w:rsidRDefault="002512C9">
            <w:pPr>
              <w:pStyle w:val="BodyText"/>
              <w:spacing w:before="0" w:line="280" w:lineRule="exact"/>
              <w:jc w:val="center"/>
              <w:rPr>
                <w:rFonts w:ascii="Arial" w:hAnsi="Arial"/>
                <w:b/>
                <w:sz w:val="20"/>
                <w:lang w:val="en-CA"/>
              </w:rPr>
            </w:pPr>
            <w:r>
              <w:rPr>
                <w:rFonts w:ascii="Arial" w:hAnsi="Arial"/>
                <w:b/>
                <w:sz w:val="20"/>
                <w:lang w:val="en-CA"/>
              </w:rPr>
              <w:t xml:space="preserve">Full Name &amp; Residential Address of </w:t>
            </w:r>
            <w:proofErr w:type="spellStart"/>
            <w:r>
              <w:rPr>
                <w:rFonts w:ascii="Arial" w:hAnsi="Arial"/>
                <w:b/>
                <w:sz w:val="20"/>
                <w:lang w:val="en-CA"/>
              </w:rPr>
              <w:t>Placee</w:t>
            </w:r>
            <w:proofErr w:type="spellEnd"/>
          </w:p>
        </w:tc>
        <w:tc>
          <w:tcPr>
            <w:tcW w:w="1376" w:type="dxa"/>
          </w:tcPr>
          <w:p w14:paraId="3D3B3819" w14:textId="77777777" w:rsidR="00717FC5" w:rsidRDefault="00717FC5">
            <w:pPr>
              <w:pStyle w:val="BodyText"/>
              <w:spacing w:before="0" w:line="280" w:lineRule="exact"/>
              <w:jc w:val="center"/>
              <w:rPr>
                <w:rFonts w:ascii="Arial" w:hAnsi="Arial"/>
                <w:b/>
                <w:sz w:val="20"/>
                <w:lang w:val="en-CA"/>
              </w:rPr>
            </w:pPr>
          </w:p>
          <w:p w14:paraId="23E3F724" w14:textId="77777777" w:rsidR="00717FC5" w:rsidRDefault="002512C9">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14:paraId="7B8CF4AB" w14:textId="77777777" w:rsidR="00717FC5" w:rsidRDefault="00717FC5">
            <w:pPr>
              <w:pStyle w:val="BodyText"/>
              <w:spacing w:before="0" w:line="280" w:lineRule="exact"/>
              <w:jc w:val="center"/>
              <w:rPr>
                <w:rFonts w:ascii="Arial" w:hAnsi="Arial"/>
                <w:b/>
                <w:sz w:val="20"/>
                <w:lang w:val="en-CA"/>
              </w:rPr>
            </w:pPr>
          </w:p>
          <w:p w14:paraId="69934718" w14:textId="77777777" w:rsidR="00717FC5" w:rsidRDefault="002512C9">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14:paraId="521B510A" w14:textId="77777777" w:rsidR="00717FC5" w:rsidRDefault="00717FC5">
            <w:pPr>
              <w:pStyle w:val="BodyText"/>
              <w:spacing w:before="0" w:line="280" w:lineRule="exact"/>
              <w:jc w:val="center"/>
              <w:rPr>
                <w:rFonts w:ascii="Arial" w:hAnsi="Arial"/>
                <w:b/>
                <w:sz w:val="20"/>
                <w:lang w:val="en-CA"/>
              </w:rPr>
            </w:pPr>
          </w:p>
          <w:p w14:paraId="7D00C6FE" w14:textId="77777777" w:rsidR="00717FC5" w:rsidRDefault="002512C9">
            <w:pPr>
              <w:pStyle w:val="BodyText"/>
              <w:spacing w:before="0" w:line="280" w:lineRule="exact"/>
              <w:jc w:val="center"/>
              <w:rPr>
                <w:rFonts w:ascii="Arial" w:hAnsi="Arial"/>
                <w:b/>
                <w:sz w:val="20"/>
                <w:lang w:val="en-CA"/>
              </w:rPr>
            </w:pPr>
            <w:r>
              <w:rPr>
                <w:rFonts w:ascii="Arial" w:hAnsi="Arial"/>
                <w:b/>
                <w:sz w:val="20"/>
                <w:lang w:val="en-CA"/>
              </w:rPr>
              <w:t>Conversion</w:t>
            </w:r>
          </w:p>
          <w:p w14:paraId="21DF00BA" w14:textId="77777777" w:rsidR="00717FC5" w:rsidRDefault="002512C9">
            <w:pPr>
              <w:pStyle w:val="BodyText"/>
              <w:spacing w:before="0" w:line="280" w:lineRule="exact"/>
              <w:jc w:val="center"/>
              <w:rPr>
                <w:rFonts w:ascii="Arial" w:hAnsi="Arial"/>
                <w:b/>
                <w:sz w:val="20"/>
                <w:lang w:val="en-CA"/>
              </w:rPr>
            </w:pPr>
            <w:r>
              <w:rPr>
                <w:rFonts w:ascii="Arial" w:hAnsi="Arial"/>
                <w:b/>
                <w:sz w:val="20"/>
                <w:lang w:val="en-CA"/>
              </w:rPr>
              <w:t>Price (if</w:t>
            </w:r>
          </w:p>
          <w:p w14:paraId="032B9C31" w14:textId="77777777" w:rsidR="00717FC5" w:rsidRDefault="002512C9">
            <w:pPr>
              <w:pStyle w:val="BodyText"/>
              <w:spacing w:before="0" w:line="280" w:lineRule="exact"/>
              <w:jc w:val="center"/>
              <w:rPr>
                <w:rFonts w:ascii="Arial" w:hAnsi="Arial"/>
                <w:b/>
                <w:sz w:val="20"/>
                <w:lang w:val="en-CA"/>
              </w:rPr>
            </w:pPr>
            <w:r>
              <w:rPr>
                <w:rFonts w:ascii="Arial" w:hAnsi="Arial"/>
                <w:b/>
                <w:sz w:val="20"/>
                <w:lang w:val="en-CA"/>
              </w:rPr>
              <w:t>Applicable)</w:t>
            </w:r>
          </w:p>
        </w:tc>
        <w:tc>
          <w:tcPr>
            <w:tcW w:w="1376" w:type="dxa"/>
          </w:tcPr>
          <w:p w14:paraId="3B13B541" w14:textId="77777777" w:rsidR="00717FC5" w:rsidRDefault="00717FC5">
            <w:pPr>
              <w:pStyle w:val="BodyText"/>
              <w:spacing w:before="0" w:line="280" w:lineRule="exact"/>
              <w:jc w:val="center"/>
              <w:rPr>
                <w:rFonts w:ascii="Arial" w:hAnsi="Arial"/>
                <w:b/>
                <w:sz w:val="20"/>
                <w:lang w:val="en-CA"/>
              </w:rPr>
            </w:pPr>
          </w:p>
          <w:p w14:paraId="7E1D53F5" w14:textId="77777777" w:rsidR="00717FC5" w:rsidRDefault="002512C9">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14:paraId="462ACA93" w14:textId="77777777" w:rsidR="00717FC5" w:rsidRDefault="002512C9">
            <w:pPr>
              <w:pStyle w:val="BodyText"/>
              <w:spacing w:before="0" w:line="280" w:lineRule="exact"/>
              <w:jc w:val="center"/>
              <w:rPr>
                <w:rFonts w:ascii="Arial" w:hAnsi="Arial"/>
                <w:b/>
                <w:sz w:val="20"/>
                <w:lang w:val="en-CA"/>
              </w:rPr>
            </w:pPr>
            <w:r>
              <w:rPr>
                <w:rFonts w:ascii="Arial" w:hAnsi="Arial"/>
                <w:b/>
                <w:sz w:val="20"/>
              </w:rPr>
              <w:t>No. of Securities, directly or indirectly, Owned, Controlled or Directed</w:t>
            </w:r>
          </w:p>
        </w:tc>
        <w:tc>
          <w:tcPr>
            <w:tcW w:w="1100" w:type="dxa"/>
          </w:tcPr>
          <w:p w14:paraId="72AA4AE2" w14:textId="77777777" w:rsidR="00717FC5" w:rsidRDefault="00717FC5">
            <w:pPr>
              <w:pStyle w:val="BodyText"/>
              <w:spacing w:before="0" w:line="280" w:lineRule="exact"/>
              <w:jc w:val="center"/>
              <w:rPr>
                <w:rFonts w:ascii="Arial" w:hAnsi="Arial"/>
                <w:b/>
                <w:sz w:val="20"/>
                <w:lang w:val="en-CA"/>
              </w:rPr>
            </w:pPr>
          </w:p>
          <w:p w14:paraId="0A07A602" w14:textId="77777777" w:rsidR="00717FC5" w:rsidRDefault="002512C9">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100" w:type="dxa"/>
          </w:tcPr>
          <w:p w14:paraId="62784F66" w14:textId="77777777" w:rsidR="00717FC5" w:rsidRDefault="00717FC5">
            <w:pPr>
              <w:pStyle w:val="BodyText"/>
              <w:spacing w:before="0" w:line="280" w:lineRule="exact"/>
              <w:jc w:val="center"/>
              <w:rPr>
                <w:rFonts w:ascii="Arial" w:hAnsi="Arial"/>
                <w:b/>
                <w:color w:val="000000"/>
                <w:sz w:val="20"/>
                <w:lang w:val="en-CA"/>
              </w:rPr>
            </w:pPr>
          </w:p>
          <w:p w14:paraId="3C8AF07E" w14:textId="77777777" w:rsidR="00717FC5" w:rsidRDefault="002512C9">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to Issuer </w:t>
            </w:r>
            <w:r>
              <w:rPr>
                <w:rFonts w:ascii="Arial" w:hAnsi="Arial"/>
                <w:b/>
                <w:color w:val="000000"/>
                <w:sz w:val="16"/>
                <w:lang w:val="en-CA"/>
              </w:rPr>
              <w:t>(2)</w:t>
            </w:r>
          </w:p>
        </w:tc>
      </w:tr>
      <w:tr w:rsidR="009A2501" w14:paraId="1E87F015" w14:textId="77777777">
        <w:trPr>
          <w:trHeight w:val="864"/>
        </w:trPr>
        <w:tc>
          <w:tcPr>
            <w:tcW w:w="1394" w:type="dxa"/>
          </w:tcPr>
          <w:p w14:paraId="7413E667" w14:textId="3A7AE80B" w:rsidR="009A2501" w:rsidRDefault="004C22A5" w:rsidP="009A2501">
            <w:pPr>
              <w:pStyle w:val="BodyText"/>
              <w:rPr>
                <w:rFonts w:ascii="Arial" w:hAnsi="Arial" w:cs="Arial"/>
                <w:b/>
                <w:sz w:val="20"/>
                <w:lang w:val="en-CA"/>
              </w:rPr>
            </w:pPr>
            <w:r>
              <w:rPr>
                <w:rFonts w:ascii="Arial" w:hAnsi="Arial" w:cs="Arial"/>
                <w:b/>
                <w:sz w:val="20"/>
                <w:lang w:val="en-CA"/>
              </w:rPr>
              <w:t xml:space="preserve">LMC Communications Inc., </w:t>
            </w:r>
          </w:p>
          <w:p w14:paraId="1690890F" w14:textId="1824B3C2" w:rsidR="004C22A5" w:rsidRPr="00A96B51" w:rsidRDefault="004C22A5" w:rsidP="009A2501">
            <w:pPr>
              <w:pStyle w:val="BodyText"/>
              <w:rPr>
                <w:rFonts w:ascii="Arial" w:hAnsi="Arial" w:cs="Arial"/>
                <w:b/>
                <w:sz w:val="20"/>
                <w:lang w:val="en-CA"/>
              </w:rPr>
            </w:pPr>
            <w:r>
              <w:rPr>
                <w:rFonts w:ascii="Arial" w:hAnsi="Arial" w:cs="Arial"/>
                <w:b/>
                <w:sz w:val="20"/>
                <w:lang w:val="en-CA"/>
              </w:rPr>
              <w:t>Carignan, QC</w:t>
            </w:r>
          </w:p>
        </w:tc>
        <w:tc>
          <w:tcPr>
            <w:tcW w:w="1376" w:type="dxa"/>
          </w:tcPr>
          <w:p w14:paraId="41E6B9A6" w14:textId="47319733" w:rsidR="009A2501" w:rsidRPr="00824B97" w:rsidRDefault="004C22A5" w:rsidP="00443C1B">
            <w:pPr>
              <w:pStyle w:val="BodyText"/>
              <w:spacing w:before="0" w:line="280" w:lineRule="exact"/>
              <w:jc w:val="center"/>
              <w:rPr>
                <w:rFonts w:ascii="Arial" w:hAnsi="Arial"/>
                <w:sz w:val="20"/>
                <w:lang w:val="en-CA"/>
              </w:rPr>
            </w:pPr>
            <w:r>
              <w:rPr>
                <w:rFonts w:ascii="Arial" w:hAnsi="Arial"/>
                <w:sz w:val="20"/>
                <w:lang w:val="en-CA"/>
              </w:rPr>
              <w:t>187,500</w:t>
            </w:r>
            <w:r w:rsidR="009A2501" w:rsidRPr="00824B97">
              <w:rPr>
                <w:rFonts w:ascii="Arial" w:hAnsi="Arial"/>
                <w:sz w:val="20"/>
                <w:lang w:val="en-CA"/>
              </w:rPr>
              <w:t xml:space="preserve"> </w:t>
            </w:r>
            <w:proofErr w:type="gramStart"/>
            <w:r w:rsidR="009A2501" w:rsidRPr="00824B97">
              <w:rPr>
                <w:rFonts w:ascii="Arial" w:hAnsi="Arial"/>
                <w:sz w:val="20"/>
                <w:lang w:val="en-CA"/>
              </w:rPr>
              <w:t>Units</w:t>
            </w:r>
            <w:r w:rsidR="009A2501" w:rsidRPr="00824B97">
              <w:rPr>
                <w:rFonts w:ascii="Arial" w:hAnsi="Arial"/>
                <w:sz w:val="20"/>
                <w:vertAlign w:val="superscript"/>
                <w:lang w:val="en-CA"/>
              </w:rPr>
              <w:t>(</w:t>
            </w:r>
            <w:proofErr w:type="gramEnd"/>
            <w:r w:rsidR="009A2501" w:rsidRPr="00824B97">
              <w:rPr>
                <w:rFonts w:ascii="Arial" w:hAnsi="Arial"/>
                <w:sz w:val="20"/>
                <w:vertAlign w:val="superscript"/>
                <w:lang w:val="en-CA"/>
              </w:rPr>
              <w:t>3)</w:t>
            </w:r>
          </w:p>
        </w:tc>
        <w:tc>
          <w:tcPr>
            <w:tcW w:w="1192" w:type="dxa"/>
          </w:tcPr>
          <w:p w14:paraId="4B6CEDCB" w14:textId="18901333" w:rsidR="009A2501" w:rsidRPr="00824B97" w:rsidRDefault="009A2501" w:rsidP="00443C1B">
            <w:pPr>
              <w:pStyle w:val="BodyText"/>
              <w:spacing w:before="0" w:line="280" w:lineRule="exact"/>
              <w:jc w:val="center"/>
              <w:rPr>
                <w:rFonts w:ascii="Arial" w:hAnsi="Arial"/>
                <w:sz w:val="20"/>
                <w:lang w:val="en-CA"/>
              </w:rPr>
            </w:pPr>
            <w:r>
              <w:rPr>
                <w:rFonts w:ascii="Arial" w:hAnsi="Arial"/>
                <w:sz w:val="20"/>
                <w:lang w:val="en-CA"/>
              </w:rPr>
              <w:t>$0.</w:t>
            </w:r>
            <w:r w:rsidR="004C22A5">
              <w:rPr>
                <w:rFonts w:ascii="Arial" w:hAnsi="Arial"/>
                <w:sz w:val="20"/>
                <w:lang w:val="en-CA"/>
              </w:rPr>
              <w:t>32</w:t>
            </w:r>
          </w:p>
        </w:tc>
        <w:tc>
          <w:tcPr>
            <w:tcW w:w="1376" w:type="dxa"/>
          </w:tcPr>
          <w:p w14:paraId="2CEB7271" w14:textId="4B369492" w:rsidR="009A2501" w:rsidRPr="00824B97" w:rsidRDefault="00D337E3" w:rsidP="00443C1B">
            <w:pPr>
              <w:pStyle w:val="BodyText"/>
              <w:spacing w:before="0" w:line="280" w:lineRule="exact"/>
              <w:jc w:val="center"/>
              <w:rPr>
                <w:rFonts w:ascii="Arial" w:hAnsi="Arial"/>
                <w:sz w:val="20"/>
                <w:lang w:val="en-CA"/>
              </w:rPr>
            </w:pPr>
            <w:r>
              <w:rPr>
                <w:rFonts w:ascii="Arial" w:hAnsi="Arial"/>
                <w:sz w:val="20"/>
                <w:lang w:val="en-CA"/>
              </w:rPr>
              <w:t>$0.3</w:t>
            </w:r>
            <w:r w:rsidR="004C22A5">
              <w:rPr>
                <w:rFonts w:ascii="Arial" w:hAnsi="Arial"/>
                <w:sz w:val="20"/>
                <w:lang w:val="en-CA"/>
              </w:rPr>
              <w:t>7</w:t>
            </w:r>
          </w:p>
        </w:tc>
        <w:tc>
          <w:tcPr>
            <w:tcW w:w="1376" w:type="dxa"/>
          </w:tcPr>
          <w:p w14:paraId="5F922FE4" w14:textId="6152E8C2" w:rsidR="009A2501" w:rsidRPr="00824B97" w:rsidRDefault="004C22A5" w:rsidP="00443C1B">
            <w:pPr>
              <w:pStyle w:val="BodyText"/>
              <w:spacing w:before="0" w:line="280" w:lineRule="exact"/>
              <w:jc w:val="center"/>
              <w:rPr>
                <w:rFonts w:ascii="Arial" w:hAnsi="Arial"/>
                <w:sz w:val="20"/>
                <w:lang w:val="en-CA"/>
              </w:rPr>
            </w:pPr>
            <w:r>
              <w:rPr>
                <w:rFonts w:ascii="Arial" w:hAnsi="Arial"/>
                <w:sz w:val="20"/>
                <w:lang w:val="en-CA"/>
              </w:rPr>
              <w:t>2.5</w:t>
            </w:r>
            <w:r w:rsidR="009A2501" w:rsidRPr="00824B97">
              <w:rPr>
                <w:rFonts w:ascii="Arial" w:hAnsi="Arial"/>
                <w:sz w:val="20"/>
                <w:lang w:val="en-CA"/>
              </w:rPr>
              <w:t xml:space="preserve"> of NI 45-106</w:t>
            </w:r>
          </w:p>
        </w:tc>
        <w:tc>
          <w:tcPr>
            <w:tcW w:w="1742" w:type="dxa"/>
          </w:tcPr>
          <w:p w14:paraId="06442BAD" w14:textId="69FB1640" w:rsidR="009A2501" w:rsidRPr="00824B97" w:rsidRDefault="004C22A5" w:rsidP="00443C1B">
            <w:pPr>
              <w:pStyle w:val="BodyText"/>
              <w:spacing w:before="0" w:line="280" w:lineRule="exact"/>
              <w:jc w:val="center"/>
              <w:rPr>
                <w:rFonts w:ascii="Arial" w:hAnsi="Arial"/>
                <w:sz w:val="20"/>
              </w:rPr>
            </w:pPr>
            <w:r>
              <w:rPr>
                <w:rFonts w:ascii="Arial" w:hAnsi="Arial"/>
                <w:sz w:val="20"/>
              </w:rPr>
              <w:t>2,300,000</w:t>
            </w:r>
          </w:p>
        </w:tc>
        <w:tc>
          <w:tcPr>
            <w:tcW w:w="1100" w:type="dxa"/>
          </w:tcPr>
          <w:p w14:paraId="004C4A44" w14:textId="49F76DA5" w:rsidR="009A2501" w:rsidRPr="00824B97" w:rsidRDefault="004C22A5" w:rsidP="00443C1B">
            <w:pPr>
              <w:pStyle w:val="BodyText"/>
              <w:spacing w:before="0" w:line="280" w:lineRule="exact"/>
              <w:jc w:val="center"/>
              <w:rPr>
                <w:rFonts w:ascii="Arial" w:hAnsi="Arial"/>
                <w:sz w:val="20"/>
                <w:lang w:val="en-CA"/>
              </w:rPr>
            </w:pPr>
            <w:r>
              <w:rPr>
                <w:rFonts w:ascii="Arial" w:hAnsi="Arial"/>
                <w:sz w:val="20"/>
                <w:lang w:val="en-CA"/>
              </w:rPr>
              <w:t>Nov 14</w:t>
            </w:r>
            <w:r w:rsidR="00D337E3">
              <w:rPr>
                <w:rFonts w:ascii="Arial" w:hAnsi="Arial"/>
                <w:sz w:val="20"/>
                <w:lang w:val="en-CA"/>
              </w:rPr>
              <w:t>, 2017</w:t>
            </w:r>
          </w:p>
        </w:tc>
        <w:tc>
          <w:tcPr>
            <w:tcW w:w="1100" w:type="dxa"/>
          </w:tcPr>
          <w:p w14:paraId="09C9D1F2" w14:textId="77777777" w:rsidR="009A2501" w:rsidRPr="00824B97" w:rsidRDefault="009A2501" w:rsidP="00443C1B">
            <w:pPr>
              <w:pStyle w:val="BodyText"/>
              <w:spacing w:before="0" w:line="280" w:lineRule="exact"/>
              <w:jc w:val="center"/>
              <w:rPr>
                <w:rFonts w:ascii="Arial" w:hAnsi="Arial"/>
                <w:color w:val="000000"/>
                <w:sz w:val="20"/>
                <w:lang w:val="en-CA"/>
              </w:rPr>
            </w:pPr>
            <w:r w:rsidRPr="00824B97">
              <w:rPr>
                <w:rFonts w:ascii="Arial" w:hAnsi="Arial"/>
                <w:color w:val="000000"/>
                <w:sz w:val="20"/>
                <w:lang w:val="en-CA"/>
              </w:rPr>
              <w:t>Non-related</w:t>
            </w:r>
          </w:p>
        </w:tc>
      </w:tr>
    </w:tbl>
    <w:p w14:paraId="6D18D4C6" w14:textId="77777777" w:rsidR="00717FC5" w:rsidRDefault="002512C9">
      <w:pPr>
        <w:pStyle w:val="BodyText"/>
        <w:numPr>
          <w:ilvl w:val="0"/>
          <w:numId w:val="8"/>
        </w:numPr>
        <w:jc w:val="both"/>
        <w:rPr>
          <w:rFonts w:ascii="Arial" w:hAnsi="Arial" w:cs="Arial"/>
          <w:sz w:val="20"/>
        </w:rPr>
      </w:pPr>
      <w:r>
        <w:rPr>
          <w:rFonts w:ascii="Arial" w:hAnsi="Arial" w:cs="Arial"/>
          <w:sz w:val="20"/>
        </w:rPr>
        <w:t xml:space="preserve">Indicate date each </w:t>
      </w:r>
      <w:proofErr w:type="spellStart"/>
      <w:r>
        <w:rPr>
          <w:rFonts w:ascii="Arial" w:hAnsi="Arial" w:cs="Arial"/>
          <w:sz w:val="20"/>
        </w:rPr>
        <w:t>placee</w:t>
      </w:r>
      <w:proofErr w:type="spellEnd"/>
      <w:r>
        <w:rPr>
          <w:rFonts w:ascii="Arial" w:hAnsi="Arial" w:cs="Arial"/>
          <w:sz w:val="20"/>
        </w:rPr>
        <w:t xml:space="preserve"> advanced or is expected to advance payment for securities.  Provide details of expected payment date, conditions to release of funds etc.  Indicate if the placement funds been placed in trust pending receipt of all necessary approvals.</w:t>
      </w:r>
    </w:p>
    <w:p w14:paraId="6CA790BC" w14:textId="77777777" w:rsidR="00717FC5" w:rsidRDefault="002512C9">
      <w:pPr>
        <w:pStyle w:val="BodyText"/>
        <w:numPr>
          <w:ilvl w:val="0"/>
          <w:numId w:val="8"/>
        </w:numPr>
        <w:rPr>
          <w:rFonts w:ascii="Arial" w:hAnsi="Arial" w:cs="Arial"/>
          <w:sz w:val="20"/>
        </w:rPr>
      </w:pPr>
      <w:r>
        <w:rPr>
          <w:rFonts w:ascii="Arial" w:hAnsi="Arial" w:cs="Arial"/>
          <w:sz w:val="20"/>
        </w:rPr>
        <w:t>Indicate if Related Person.</w:t>
      </w:r>
    </w:p>
    <w:p w14:paraId="08A5A176" w14:textId="2D873F70" w:rsidR="00443C1B" w:rsidRPr="004C22A5" w:rsidRDefault="004C22A5" w:rsidP="00443C1B">
      <w:pPr>
        <w:pStyle w:val="BodyText"/>
        <w:numPr>
          <w:ilvl w:val="0"/>
          <w:numId w:val="8"/>
        </w:numPr>
        <w:rPr>
          <w:rFonts w:ascii="Arial" w:hAnsi="Arial" w:cs="Arial"/>
          <w:sz w:val="20"/>
        </w:rPr>
      </w:pPr>
      <w:r>
        <w:rPr>
          <w:rFonts w:ascii="Arial" w:hAnsi="Arial" w:cs="Arial"/>
          <w:i/>
          <w:sz w:val="20"/>
          <w:lang w:val="en-CA"/>
        </w:rPr>
        <w:lastRenderedPageBreak/>
        <w:t>Each Unit at $0.32</w:t>
      </w:r>
      <w:r w:rsidR="00443C1B" w:rsidRPr="00025BA9">
        <w:rPr>
          <w:rFonts w:ascii="Arial" w:hAnsi="Arial" w:cs="Arial"/>
          <w:i/>
          <w:sz w:val="20"/>
          <w:lang w:val="en-CA"/>
        </w:rPr>
        <w:t xml:space="preserve"> per Unit consisting of one common share and one</w:t>
      </w:r>
      <w:r w:rsidR="00443C1B">
        <w:rPr>
          <w:rFonts w:ascii="Arial" w:hAnsi="Arial" w:cs="Arial"/>
          <w:i/>
          <w:sz w:val="20"/>
          <w:lang w:val="en-CA"/>
        </w:rPr>
        <w:t>-half of one</w:t>
      </w:r>
      <w:r w:rsidR="00443C1B" w:rsidRPr="00025BA9">
        <w:rPr>
          <w:rFonts w:ascii="Arial" w:hAnsi="Arial" w:cs="Arial"/>
          <w:i/>
          <w:sz w:val="20"/>
          <w:lang w:val="en-CA"/>
        </w:rPr>
        <w:t xml:space="preserve"> </w:t>
      </w:r>
      <w:r w:rsidR="00443C1B">
        <w:rPr>
          <w:rFonts w:ascii="Arial" w:hAnsi="Arial" w:cs="Arial"/>
          <w:i/>
          <w:sz w:val="20"/>
          <w:lang w:val="en-CA"/>
        </w:rPr>
        <w:t xml:space="preserve">non-transferable </w:t>
      </w:r>
      <w:r w:rsidR="00443C1B" w:rsidRPr="00025BA9">
        <w:rPr>
          <w:rFonts w:ascii="Arial" w:hAnsi="Arial" w:cs="Arial"/>
          <w:i/>
          <w:sz w:val="20"/>
          <w:lang w:val="en-CA"/>
        </w:rPr>
        <w:t xml:space="preserve">share purchase warrant entitling the holder to purchase one </w:t>
      </w:r>
      <w:r w:rsidR="00443C1B">
        <w:rPr>
          <w:rFonts w:ascii="Arial" w:hAnsi="Arial" w:cs="Arial"/>
          <w:i/>
          <w:sz w:val="20"/>
          <w:lang w:val="en-CA"/>
        </w:rPr>
        <w:t>common share for a period of two yea</w:t>
      </w:r>
      <w:r>
        <w:rPr>
          <w:rFonts w:ascii="Arial" w:hAnsi="Arial" w:cs="Arial"/>
          <w:i/>
          <w:sz w:val="20"/>
          <w:lang w:val="en-CA"/>
        </w:rPr>
        <w:t>rs at an exercise price of $0.37</w:t>
      </w:r>
      <w:r w:rsidR="00443C1B" w:rsidRPr="00025BA9">
        <w:rPr>
          <w:rFonts w:ascii="Arial" w:hAnsi="Arial" w:cs="Arial"/>
          <w:i/>
          <w:sz w:val="20"/>
          <w:lang w:val="en-CA"/>
        </w:rPr>
        <w:t xml:space="preserve"> per warrant share </w:t>
      </w:r>
      <w:r w:rsidR="00FA2339">
        <w:rPr>
          <w:rFonts w:ascii="Arial" w:hAnsi="Arial" w:cs="Arial"/>
          <w:i/>
          <w:sz w:val="20"/>
          <w:lang w:val="en-CA"/>
        </w:rPr>
        <w:t xml:space="preserve">until </w:t>
      </w:r>
      <w:r>
        <w:rPr>
          <w:rFonts w:ascii="Arial" w:hAnsi="Arial" w:cs="Arial"/>
          <w:i/>
          <w:sz w:val="20"/>
          <w:lang w:val="en-CA"/>
        </w:rPr>
        <w:t>November 14</w:t>
      </w:r>
      <w:r w:rsidR="00443C1B" w:rsidRPr="00B5640E">
        <w:rPr>
          <w:rFonts w:ascii="Arial" w:hAnsi="Arial" w:cs="Arial"/>
          <w:i/>
          <w:sz w:val="20"/>
          <w:lang w:val="en-CA"/>
        </w:rPr>
        <w:t>, 2019</w:t>
      </w:r>
      <w:r w:rsidR="00443C1B">
        <w:rPr>
          <w:rFonts w:ascii="Arial" w:hAnsi="Arial" w:cs="Arial"/>
          <w:i/>
          <w:sz w:val="20"/>
          <w:lang w:val="en-CA"/>
        </w:rPr>
        <w:t>, subject to accelerated expiry.</w:t>
      </w:r>
    </w:p>
    <w:p w14:paraId="552FD740" w14:textId="77777777" w:rsidR="00717FC5" w:rsidRDefault="00717FC5">
      <w:pPr>
        <w:pStyle w:val="BodyText"/>
        <w:rPr>
          <w:rFonts w:ascii="Arial" w:hAnsi="Arial" w:cs="Arial"/>
          <w:sz w:val="20"/>
        </w:rPr>
      </w:pPr>
    </w:p>
    <w:p w14:paraId="2761929C" w14:textId="77777777" w:rsidR="00717FC5" w:rsidRDefault="002512C9">
      <w:pPr>
        <w:pStyle w:val="FootnoteText"/>
        <w:rPr>
          <w:rFonts w:ascii="Arial" w:hAnsi="Arial" w:cs="Arial"/>
          <w:sz w:val="24"/>
          <w:szCs w:val="24"/>
        </w:rPr>
      </w:pPr>
      <w:r>
        <w:rPr>
          <w:rFonts w:ascii="Arial" w:hAnsi="Arial" w:cs="Arial"/>
          <w:vertAlign w:val="superscript"/>
        </w:rPr>
        <w:t>1</w:t>
      </w:r>
      <w:r>
        <w:rPr>
          <w:rFonts w:ascii="Arial" w:hAnsi="Arial" w:cs="Arial"/>
        </w:rPr>
        <w:t>An issuance of non-convertible debt does not have to be reported unless it is a significant transaction as defined in Policy 7, in which case it is to be reported on Form 10</w:t>
      </w:r>
      <w:r>
        <w:rPr>
          <w:rFonts w:ascii="Arial" w:hAnsi="Arial" w:cs="Arial"/>
          <w:sz w:val="24"/>
          <w:szCs w:val="24"/>
        </w:rPr>
        <w:t>.</w:t>
      </w:r>
    </w:p>
    <w:p w14:paraId="654234C6" w14:textId="7517588A" w:rsidR="00717FC5" w:rsidRDefault="002512C9">
      <w:pPr>
        <w:pStyle w:val="List"/>
        <w:tabs>
          <w:tab w:val="left" w:pos="9162"/>
        </w:tabs>
        <w:jc w:val="both"/>
        <w:rPr>
          <w:rFonts w:ascii="Arial" w:hAnsi="Arial"/>
          <w:b/>
        </w:rPr>
      </w:pPr>
      <w:r>
        <w:rPr>
          <w:rFonts w:ascii="Arial" w:hAnsi="Arial"/>
        </w:rPr>
        <w:t>1.</w:t>
      </w:r>
      <w:r>
        <w:rPr>
          <w:rFonts w:ascii="Arial" w:hAnsi="Arial"/>
        </w:rPr>
        <w:tab/>
        <w:t xml:space="preserve">Total amount of funds to be raised: </w:t>
      </w:r>
      <w:r w:rsidR="00BB6618">
        <w:rPr>
          <w:rFonts w:ascii="Arial" w:hAnsi="Arial"/>
          <w:b/>
          <w:u w:val="single"/>
        </w:rPr>
        <w:t>$</w:t>
      </w:r>
      <w:r w:rsidR="004C22A5">
        <w:rPr>
          <w:rFonts w:ascii="Arial" w:hAnsi="Arial"/>
          <w:b/>
          <w:u w:val="single"/>
        </w:rPr>
        <w:t>60</w:t>
      </w:r>
      <w:r w:rsidR="00D337E3">
        <w:rPr>
          <w:rFonts w:ascii="Arial" w:hAnsi="Arial"/>
          <w:b/>
          <w:u w:val="single"/>
        </w:rPr>
        <w:t>,000</w:t>
      </w:r>
    </w:p>
    <w:p w14:paraId="37EF826C" w14:textId="77777777" w:rsidR="00B012C6" w:rsidRPr="00B012C6" w:rsidRDefault="002512C9" w:rsidP="00BB6618">
      <w:pPr>
        <w:pStyle w:val="BodyText"/>
        <w:tabs>
          <w:tab w:val="left" w:pos="1080"/>
          <w:tab w:val="left" w:pos="9180"/>
        </w:tabs>
        <w:ind w:left="1080" w:hanging="1080"/>
        <w:jc w:val="both"/>
        <w:rPr>
          <w:rFonts w:ascii="Arial" w:hAnsi="Arial"/>
          <w:b/>
          <w:i/>
          <w:iCs/>
          <w:u w:val="single"/>
          <w:lang w:val="en-CA"/>
        </w:rPr>
      </w:pPr>
      <w:r>
        <w:rPr>
          <w:rFonts w:ascii="Arial" w:hAnsi="Arial"/>
        </w:rPr>
        <w:t>2.</w:t>
      </w:r>
      <w:r>
        <w:rPr>
          <w:rFonts w:ascii="Arial" w:hAnsi="Arial"/>
        </w:rPr>
        <w:tab/>
        <w:t>Provide full details of the use of the proceeds.  The disclosure should be sufficiently complete to enable a reader to appreciate the significance of the transaction without reference to any other material.</w:t>
      </w:r>
      <w:r w:rsidR="00B012C6">
        <w:rPr>
          <w:rFonts w:ascii="Arial" w:hAnsi="Arial"/>
        </w:rPr>
        <w:t xml:space="preserve"> </w:t>
      </w:r>
      <w:r w:rsidR="00B012C6" w:rsidRPr="00B012C6">
        <w:rPr>
          <w:rFonts w:ascii="Arial" w:hAnsi="Arial"/>
          <w:b/>
          <w:i/>
          <w:iCs/>
          <w:u w:val="single"/>
          <w:lang w:val="en-CA"/>
        </w:rPr>
        <w:t xml:space="preserve">The net proceeds of the Offering will be used to aid in the </w:t>
      </w:r>
      <w:r w:rsidR="00B012C6">
        <w:rPr>
          <w:rFonts w:ascii="Arial" w:hAnsi="Arial"/>
          <w:b/>
          <w:i/>
          <w:iCs/>
          <w:u w:val="single"/>
          <w:lang w:val="en-CA"/>
        </w:rPr>
        <w:t>Issuer</w:t>
      </w:r>
      <w:r w:rsidR="00B012C6" w:rsidRPr="00B012C6">
        <w:rPr>
          <w:rFonts w:ascii="Arial" w:hAnsi="Arial"/>
          <w:b/>
          <w:i/>
          <w:iCs/>
          <w:u w:val="single"/>
          <w:lang w:val="en-CA"/>
        </w:rPr>
        <w:t>’s ongoing efforts to create and deliver transformational experiences through the production and distribution of intellectual property for film and virtual reality and for general corporate purposes.</w:t>
      </w:r>
    </w:p>
    <w:p w14:paraId="7A6B31B0" w14:textId="6A532F90" w:rsidR="00717FC5" w:rsidRDefault="00B012C6" w:rsidP="00B012C6">
      <w:pPr>
        <w:pStyle w:val="BodyText"/>
        <w:tabs>
          <w:tab w:val="left" w:pos="1080"/>
          <w:tab w:val="left" w:pos="9180"/>
        </w:tabs>
        <w:ind w:left="1080" w:hanging="1080"/>
        <w:jc w:val="both"/>
        <w:rPr>
          <w:rFonts w:ascii="Arial" w:hAnsi="Arial"/>
        </w:rPr>
      </w:pPr>
      <w:r>
        <w:rPr>
          <w:rFonts w:ascii="Arial" w:hAnsi="Arial"/>
        </w:rPr>
        <w:tab/>
      </w:r>
      <w:r w:rsidR="002512C9">
        <w:rPr>
          <w:rFonts w:ascii="Arial" w:hAnsi="Arial"/>
        </w:rPr>
        <w:t xml:space="preserve">Provide particulars of any proceeds which are to be paid to Related Persons of the Issuer: </w:t>
      </w:r>
      <w:r w:rsidR="004C22A5">
        <w:rPr>
          <w:rFonts w:ascii="Arial" w:hAnsi="Arial"/>
          <w:b/>
          <w:u w:val="single"/>
        </w:rPr>
        <w:t>N/A.</w:t>
      </w:r>
    </w:p>
    <w:p w14:paraId="7D5E1F93" w14:textId="0EB25428" w:rsidR="00717FC5" w:rsidRDefault="002512C9">
      <w:pPr>
        <w:pStyle w:val="BodyText"/>
        <w:numPr>
          <w:ilvl w:val="0"/>
          <w:numId w:val="10"/>
        </w:numPr>
        <w:tabs>
          <w:tab w:val="left" w:pos="9180"/>
        </w:tabs>
        <w:rPr>
          <w:rFonts w:ascii="Arial" w:hAnsi="Arial"/>
        </w:rPr>
      </w:pPr>
      <w:r>
        <w:rPr>
          <w:rFonts w:ascii="Arial" w:hAnsi="Arial"/>
        </w:rPr>
        <w:t>If securities are issued in forgiveness of indebtedness, provide details and attach the debt agreement(s) or other documentation evidencing the debt and the agreement to exchange the debt for securities.</w:t>
      </w:r>
      <w:r w:rsidR="00B012C6">
        <w:rPr>
          <w:rFonts w:ascii="Arial" w:hAnsi="Arial"/>
        </w:rPr>
        <w:t xml:space="preserve"> </w:t>
      </w:r>
      <w:r w:rsidR="00B012C6" w:rsidRPr="00DC6A0C">
        <w:rPr>
          <w:rFonts w:ascii="Arial" w:hAnsi="Arial"/>
          <w:b/>
          <w:u w:val="single"/>
        </w:rPr>
        <w:t>N/A</w:t>
      </w:r>
      <w:r w:rsidR="004C22A5">
        <w:rPr>
          <w:rFonts w:ascii="Arial" w:hAnsi="Arial"/>
          <w:b/>
          <w:u w:val="single"/>
        </w:rPr>
        <w:t>.</w:t>
      </w:r>
    </w:p>
    <w:p w14:paraId="1EEE474F" w14:textId="77777777" w:rsidR="00717FC5" w:rsidRDefault="002512C9">
      <w:pPr>
        <w:pStyle w:val="BodyText"/>
        <w:numPr>
          <w:ilvl w:val="0"/>
          <w:numId w:val="10"/>
        </w:numPr>
        <w:tabs>
          <w:tab w:val="left" w:pos="9180"/>
        </w:tabs>
        <w:rPr>
          <w:rFonts w:ascii="Arial" w:hAnsi="Arial"/>
        </w:rPr>
      </w:pPr>
      <w:r>
        <w:rPr>
          <w:rFonts w:ascii="Arial" w:hAnsi="Arial"/>
        </w:rPr>
        <w:t>Description of securities to be issued:</w:t>
      </w:r>
    </w:p>
    <w:p w14:paraId="363273BF" w14:textId="77777777" w:rsidR="00717FC5" w:rsidRDefault="002512C9">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 xml:space="preserve">Class  </w:t>
      </w:r>
      <w:r>
        <w:rPr>
          <w:rFonts w:ascii="Arial" w:hAnsi="Arial"/>
          <w:b/>
          <w:u w:val="single"/>
        </w:rPr>
        <w:t>Common</w:t>
      </w:r>
      <w:proofErr w:type="gramEnd"/>
      <w:r>
        <w:rPr>
          <w:rFonts w:ascii="Arial" w:hAnsi="Arial"/>
          <w:b/>
          <w:u w:val="single"/>
        </w:rPr>
        <w:t xml:space="preserve"> Shares</w:t>
      </w:r>
    </w:p>
    <w:p w14:paraId="488F3C41" w14:textId="20FC18D0" w:rsidR="00717FC5" w:rsidRDefault="002512C9">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4C22A5">
        <w:rPr>
          <w:rFonts w:ascii="Arial" w:hAnsi="Arial"/>
          <w:b/>
          <w:u w:val="single"/>
        </w:rPr>
        <w:t>187,500</w:t>
      </w:r>
    </w:p>
    <w:p w14:paraId="3A076999" w14:textId="7ED662C3" w:rsidR="00717FC5" w:rsidRDefault="002512C9">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Price per security</w:t>
      </w:r>
      <w:r w:rsidR="0042438D">
        <w:rPr>
          <w:rFonts w:ascii="Arial" w:hAnsi="Arial"/>
        </w:rPr>
        <w:t xml:space="preserve"> </w:t>
      </w:r>
      <w:r w:rsidR="00B012C6">
        <w:rPr>
          <w:rFonts w:ascii="Arial" w:hAnsi="Arial"/>
          <w:b/>
          <w:u w:val="single"/>
        </w:rPr>
        <w:t>$0.</w:t>
      </w:r>
      <w:r w:rsidR="004C22A5">
        <w:rPr>
          <w:rFonts w:ascii="Arial" w:hAnsi="Arial"/>
          <w:b/>
          <w:u w:val="single"/>
        </w:rPr>
        <w:t>32</w:t>
      </w:r>
    </w:p>
    <w:p w14:paraId="496AE035" w14:textId="77777777" w:rsidR="00717FC5" w:rsidRDefault="002512C9">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Voting rights</w:t>
      </w:r>
      <w:r w:rsidR="0042438D">
        <w:rPr>
          <w:rFonts w:ascii="Arial" w:hAnsi="Arial"/>
        </w:rPr>
        <w:t xml:space="preserve"> </w:t>
      </w:r>
      <w:r w:rsidR="0042438D" w:rsidRPr="0042438D">
        <w:rPr>
          <w:rFonts w:ascii="Arial" w:hAnsi="Arial"/>
          <w:b/>
          <w:u w:val="single"/>
        </w:rPr>
        <w:t>1 vote per common share</w:t>
      </w:r>
      <w:r w:rsidR="0042438D">
        <w:rPr>
          <w:rFonts w:ascii="Arial" w:hAnsi="Arial"/>
          <w:b/>
          <w:u w:val="single"/>
        </w:rPr>
        <w:t>.</w:t>
      </w:r>
      <w:r>
        <w:rPr>
          <w:rFonts w:ascii="Arial" w:hAnsi="Arial"/>
        </w:rPr>
        <w:t xml:space="preserve"> </w:t>
      </w:r>
    </w:p>
    <w:p w14:paraId="242831FD" w14:textId="77777777" w:rsidR="00717FC5" w:rsidRDefault="002512C9">
      <w:pPr>
        <w:pStyle w:val="BodyText"/>
        <w:numPr>
          <w:ilvl w:val="0"/>
          <w:numId w:val="10"/>
        </w:numPr>
        <w:tabs>
          <w:tab w:val="left" w:pos="1440"/>
          <w:tab w:val="left" w:pos="2160"/>
          <w:tab w:val="left" w:pos="9180"/>
        </w:tabs>
        <w:rPr>
          <w:rFonts w:ascii="Arial" w:hAnsi="Arial"/>
        </w:rPr>
      </w:pPr>
      <w:r>
        <w:rPr>
          <w:rFonts w:ascii="Arial" w:hAnsi="Arial"/>
        </w:rPr>
        <w:t>Provide the following information if Warrants, (options) or other convertible securities are to be issued:</w:t>
      </w:r>
    </w:p>
    <w:p w14:paraId="35127D7E" w14:textId="3A87C7B9" w:rsidR="00717FC5" w:rsidRDefault="002512C9">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4C22A5">
        <w:rPr>
          <w:rFonts w:ascii="Arial" w:hAnsi="Arial"/>
          <w:b/>
          <w:u w:val="single"/>
        </w:rPr>
        <w:t>93,750</w:t>
      </w:r>
    </w:p>
    <w:p w14:paraId="216528A9" w14:textId="2A6C2C44" w:rsidR="00717FC5" w:rsidRDefault="002512C9">
      <w:pPr>
        <w:pStyle w:val="List"/>
        <w:numPr>
          <w:ilvl w:val="0"/>
          <w:numId w:val="11"/>
        </w:numPr>
        <w:tabs>
          <w:tab w:val="left" w:pos="1080"/>
          <w:tab w:val="left" w:pos="1440"/>
          <w:tab w:val="left" w:pos="9180"/>
        </w:tabs>
        <w:rPr>
          <w:rFonts w:ascii="Arial" w:hAnsi="Arial"/>
        </w:rPr>
      </w:pPr>
      <w:r>
        <w:rPr>
          <w:rFonts w:ascii="Arial" w:hAnsi="Arial"/>
        </w:rPr>
        <w:tab/>
        <w:t>Number of securities eligible to be purchased on exercise of Warrants (or options</w:t>
      </w:r>
      <w:proofErr w:type="gramStart"/>
      <w:r>
        <w:rPr>
          <w:rFonts w:ascii="Arial" w:hAnsi="Arial"/>
        </w:rPr>
        <w:t xml:space="preserve">)  </w:t>
      </w:r>
      <w:r w:rsidR="004C22A5">
        <w:rPr>
          <w:rFonts w:ascii="Arial" w:hAnsi="Arial"/>
          <w:b/>
          <w:u w:val="single"/>
        </w:rPr>
        <w:t>93,750</w:t>
      </w:r>
      <w:proofErr w:type="gramEnd"/>
    </w:p>
    <w:p w14:paraId="40D5A5B9" w14:textId="5831102D" w:rsidR="00717FC5" w:rsidRDefault="002512C9">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Exercise price </w:t>
      </w:r>
      <w:r w:rsidR="00B012C6">
        <w:rPr>
          <w:rFonts w:ascii="Arial" w:hAnsi="Arial"/>
          <w:b/>
          <w:u w:val="single"/>
        </w:rPr>
        <w:t>$0.</w:t>
      </w:r>
      <w:r w:rsidR="00BB6618">
        <w:rPr>
          <w:rFonts w:ascii="Arial" w:hAnsi="Arial"/>
          <w:b/>
          <w:u w:val="single"/>
        </w:rPr>
        <w:t>3</w:t>
      </w:r>
      <w:r w:rsidR="004C22A5">
        <w:rPr>
          <w:rFonts w:ascii="Arial" w:hAnsi="Arial"/>
          <w:b/>
          <w:u w:val="single"/>
        </w:rPr>
        <w:t>7</w:t>
      </w:r>
    </w:p>
    <w:p w14:paraId="5F438B3D" w14:textId="77777777" w:rsidR="00717FC5" w:rsidRDefault="002512C9">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sidR="00B012C6">
        <w:rPr>
          <w:rFonts w:ascii="Arial" w:hAnsi="Arial"/>
          <w:b/>
          <w:u w:val="single"/>
        </w:rPr>
        <w:t>2 years from closing</w:t>
      </w:r>
      <w:r w:rsidR="000245CE">
        <w:rPr>
          <w:rFonts w:ascii="Arial" w:hAnsi="Arial"/>
          <w:b/>
          <w:u w:val="single"/>
        </w:rPr>
        <w:t>.</w:t>
      </w:r>
    </w:p>
    <w:p w14:paraId="3D41859E" w14:textId="77777777" w:rsidR="00717FC5" w:rsidRDefault="002512C9">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lastRenderedPageBreak/>
        <w:t>Provide the following information if debt securities are to be issued:</w:t>
      </w:r>
      <w:bookmarkEnd w:id="0"/>
      <w:bookmarkEnd w:id="1"/>
      <w:bookmarkEnd w:id="2"/>
      <w:bookmarkEnd w:id="3"/>
    </w:p>
    <w:p w14:paraId="15AFCBCD" w14:textId="77777777" w:rsidR="00717FC5" w:rsidRDefault="002512C9">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Pr>
          <w:rFonts w:ascii="Arial" w:hAnsi="Arial"/>
          <w:b/>
          <w:u w:val="single"/>
        </w:rPr>
        <w:t>N/A</w:t>
      </w:r>
      <w:r>
        <w:rPr>
          <w:rFonts w:ascii="Arial" w:hAnsi="Arial"/>
        </w:rPr>
        <w:t>.</w:t>
      </w:r>
    </w:p>
    <w:p w14:paraId="142A434E" w14:textId="77777777" w:rsidR="00717FC5" w:rsidRDefault="002512C9">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b/>
          <w:u w:val="single"/>
        </w:rPr>
        <w:t>N/A</w:t>
      </w:r>
      <w:r>
        <w:rPr>
          <w:rFonts w:ascii="Arial" w:hAnsi="Arial"/>
        </w:rPr>
        <w:t>.</w:t>
      </w:r>
    </w:p>
    <w:p w14:paraId="3464B3EB" w14:textId="77777777" w:rsidR="00717FC5" w:rsidRDefault="002512C9">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b/>
          <w:u w:val="single"/>
        </w:rPr>
        <w:t>N/A</w:t>
      </w:r>
      <w:r>
        <w:rPr>
          <w:rFonts w:ascii="Arial" w:hAnsi="Arial"/>
        </w:rPr>
        <w:t>.</w:t>
      </w:r>
    </w:p>
    <w:p w14:paraId="16571B23" w14:textId="77777777" w:rsidR="00717FC5" w:rsidRDefault="002512C9">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b/>
          <w:u w:val="single"/>
        </w:rPr>
        <w:t>N/A</w:t>
      </w:r>
      <w:r>
        <w:rPr>
          <w:rFonts w:ascii="Arial" w:hAnsi="Arial"/>
        </w:rPr>
        <w:t>.</w:t>
      </w:r>
    </w:p>
    <w:p w14:paraId="26B8BC3F" w14:textId="77777777" w:rsidR="00717FC5" w:rsidRDefault="002512C9">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b/>
          <w:u w:val="single"/>
        </w:rPr>
        <w:t>N/A</w:t>
      </w:r>
      <w:r>
        <w:rPr>
          <w:rFonts w:ascii="Arial" w:hAnsi="Arial"/>
        </w:rPr>
        <w:t>.</w:t>
      </w:r>
    </w:p>
    <w:p w14:paraId="181A8F03" w14:textId="77777777" w:rsidR="00717FC5" w:rsidRDefault="002512C9">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4DED1C90" w14:textId="77777777" w:rsidR="006B57BE" w:rsidRDefault="002512C9">
      <w:pPr>
        <w:pStyle w:val="List"/>
        <w:tabs>
          <w:tab w:val="left" w:pos="2160"/>
          <w:tab w:val="left" w:pos="9180"/>
        </w:tabs>
        <w:ind w:left="2160"/>
        <w:jc w:val="both"/>
        <w:rPr>
          <w:rFonts w:ascii="Arial" w:hAnsi="Arial"/>
        </w:rPr>
      </w:pPr>
      <w:r>
        <w:rPr>
          <w:rFonts w:ascii="Arial" w:hAnsi="Arial"/>
        </w:rPr>
        <w:t>(a)</w:t>
      </w:r>
      <w:r>
        <w:rPr>
          <w:rFonts w:ascii="Arial" w:hAnsi="Arial"/>
        </w:rPr>
        <w:tab/>
        <w:t xml:space="preserve">Details of any dealer, agent, broker or other person receiving compensation in connection with the placement (name, address. If a corporation, identify persons owning or exercising voting control over 20% or more of the voting shares if known to the Issuer): </w:t>
      </w:r>
    </w:p>
    <w:p w14:paraId="4036B0E3" w14:textId="7DDFD319" w:rsidR="00B9716D" w:rsidRPr="004C22A5" w:rsidRDefault="006B57BE" w:rsidP="00F746C5">
      <w:pPr>
        <w:pStyle w:val="List"/>
        <w:tabs>
          <w:tab w:val="left" w:pos="2160"/>
          <w:tab w:val="left" w:pos="9180"/>
        </w:tabs>
        <w:ind w:left="2160"/>
        <w:jc w:val="both"/>
        <w:rPr>
          <w:rFonts w:ascii="Arial" w:hAnsi="Arial"/>
          <w:b/>
          <w:u w:val="single"/>
        </w:rPr>
      </w:pPr>
      <w:r>
        <w:rPr>
          <w:rFonts w:ascii="Arial" w:hAnsi="Arial"/>
        </w:rPr>
        <w:tab/>
      </w:r>
      <w:r w:rsidR="004C22A5" w:rsidRPr="004C22A5">
        <w:rPr>
          <w:rFonts w:ascii="Arial" w:hAnsi="Arial"/>
          <w:b/>
          <w:u w:val="single"/>
        </w:rPr>
        <w:t>N/A</w:t>
      </w:r>
      <w:r w:rsidR="004C22A5">
        <w:rPr>
          <w:rFonts w:ascii="Arial" w:hAnsi="Arial"/>
          <w:b/>
          <w:u w:val="single"/>
        </w:rPr>
        <w:t>.</w:t>
      </w:r>
    </w:p>
    <w:p w14:paraId="7A378B8A" w14:textId="355E31FD" w:rsidR="00717FC5" w:rsidRDefault="002512C9">
      <w:pPr>
        <w:pStyle w:val="List"/>
        <w:tabs>
          <w:tab w:val="left" w:pos="2160"/>
          <w:tab w:val="left" w:pos="9180"/>
        </w:tabs>
        <w:ind w:left="2160"/>
        <w:rPr>
          <w:rFonts w:ascii="Arial" w:hAnsi="Arial"/>
        </w:rPr>
      </w:pPr>
      <w:r>
        <w:rPr>
          <w:rFonts w:ascii="Arial" w:hAnsi="Arial"/>
        </w:rPr>
        <w:t>(b)</w:t>
      </w:r>
      <w:r>
        <w:rPr>
          <w:rFonts w:ascii="Arial" w:hAnsi="Arial"/>
        </w:rPr>
        <w:tab/>
        <w:t>Cash</w:t>
      </w:r>
      <w:r w:rsidR="001A508B">
        <w:rPr>
          <w:rFonts w:ascii="Arial" w:hAnsi="Arial"/>
        </w:rPr>
        <w:t xml:space="preserve"> </w:t>
      </w:r>
      <w:r w:rsidR="001A508B" w:rsidRPr="001A508B">
        <w:rPr>
          <w:rFonts w:ascii="Arial" w:hAnsi="Arial"/>
          <w:b/>
          <w:u w:val="single"/>
        </w:rPr>
        <w:t>N/A.</w:t>
      </w:r>
    </w:p>
    <w:p w14:paraId="3FF12BD6" w14:textId="03A59ED5" w:rsidR="00717FC5" w:rsidRDefault="002512C9">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1A508B" w:rsidRPr="001A508B">
        <w:rPr>
          <w:rFonts w:ascii="Arial" w:hAnsi="Arial"/>
          <w:b/>
          <w:u w:val="single"/>
        </w:rPr>
        <w:t>N/A.</w:t>
      </w:r>
    </w:p>
    <w:p w14:paraId="222B9094" w14:textId="03CB157E" w:rsidR="00717FC5" w:rsidRDefault="002512C9">
      <w:pPr>
        <w:pStyle w:val="List"/>
        <w:tabs>
          <w:tab w:val="left" w:pos="2160"/>
          <w:tab w:val="left" w:pos="9180"/>
        </w:tabs>
        <w:ind w:left="2160"/>
        <w:rPr>
          <w:rFonts w:ascii="Arial" w:hAnsi="Arial"/>
        </w:rPr>
      </w:pPr>
      <w:r>
        <w:rPr>
          <w:rFonts w:ascii="Arial" w:hAnsi="Arial"/>
        </w:rPr>
        <w:t>(d)</w:t>
      </w:r>
      <w:r>
        <w:rPr>
          <w:rFonts w:ascii="Arial" w:hAnsi="Arial"/>
        </w:rPr>
        <w:tab/>
      </w:r>
      <w:proofErr w:type="gramStart"/>
      <w:r>
        <w:rPr>
          <w:rFonts w:ascii="Arial" w:hAnsi="Arial"/>
        </w:rPr>
        <w:t>Other</w:t>
      </w:r>
      <w:proofErr w:type="gramEnd"/>
      <w:r>
        <w:rPr>
          <w:rFonts w:ascii="Arial" w:hAnsi="Arial"/>
        </w:rPr>
        <w:t xml:space="preserve"> </w:t>
      </w:r>
      <w:r w:rsidR="001A508B" w:rsidRPr="001A508B">
        <w:rPr>
          <w:rFonts w:ascii="Arial" w:hAnsi="Arial"/>
          <w:b/>
          <w:u w:val="single"/>
        </w:rPr>
        <w:t>N/A.</w:t>
      </w:r>
    </w:p>
    <w:p w14:paraId="7C563D74" w14:textId="21043A86" w:rsidR="00717FC5" w:rsidRDefault="002512C9">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w:t>
      </w:r>
      <w:proofErr w:type="spellStart"/>
      <w:r>
        <w:rPr>
          <w:rFonts w:ascii="Arial" w:hAnsi="Arial"/>
        </w:rPr>
        <w:t>etc</w:t>
      </w:r>
      <w:proofErr w:type="spellEnd"/>
      <w:r w:rsidR="001A508B">
        <w:rPr>
          <w:rFonts w:ascii="Arial" w:hAnsi="Arial"/>
        </w:rPr>
        <w:t xml:space="preserve"> </w:t>
      </w:r>
      <w:r w:rsidR="001A508B" w:rsidRPr="001A508B">
        <w:rPr>
          <w:rFonts w:ascii="Arial" w:hAnsi="Arial"/>
          <w:b/>
          <w:u w:val="single"/>
        </w:rPr>
        <w:t>N/A.</w:t>
      </w:r>
    </w:p>
    <w:p w14:paraId="1380741E" w14:textId="3A45DF8D" w:rsidR="00717FC5" w:rsidRDefault="002512C9">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1A508B" w:rsidRPr="001A508B">
        <w:rPr>
          <w:rFonts w:ascii="Arial" w:hAnsi="Arial"/>
          <w:b/>
          <w:u w:val="single"/>
        </w:rPr>
        <w:t>N/A.</w:t>
      </w:r>
    </w:p>
    <w:p w14:paraId="41F368CF" w14:textId="77777777" w:rsidR="00717FC5" w:rsidRDefault="002512C9">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b/>
          <w:u w:val="single"/>
        </w:rPr>
        <w:t>N/A</w:t>
      </w:r>
      <w:r>
        <w:rPr>
          <w:rFonts w:ascii="Arial" w:hAnsi="Arial"/>
        </w:rPr>
        <w:t>.</w:t>
      </w:r>
    </w:p>
    <w:p w14:paraId="320892BC" w14:textId="77777777" w:rsidR="00717FC5" w:rsidRDefault="002512C9">
      <w:pPr>
        <w:pStyle w:val="List"/>
        <w:numPr>
          <w:ilvl w:val="0"/>
          <w:numId w:val="10"/>
        </w:numPr>
        <w:rPr>
          <w:rFonts w:ascii="Arial" w:hAnsi="Arial"/>
        </w:rPr>
      </w:pPr>
      <w:r>
        <w:rPr>
          <w:rFonts w:ascii="Arial" w:hAnsi="Arial"/>
        </w:rPr>
        <w:t>Describe any unusual particulars of the transaction (i.e. tax “flow through” shares, etc.).</w:t>
      </w:r>
    </w:p>
    <w:p w14:paraId="0DF1FF5B" w14:textId="77777777" w:rsidR="00BB6618" w:rsidRDefault="00BB6618" w:rsidP="00BB6618">
      <w:pPr>
        <w:pStyle w:val="HeadingsL4"/>
        <w:keepNext/>
        <w:keepLines/>
        <w:numPr>
          <w:ilvl w:val="0"/>
          <w:numId w:val="0"/>
        </w:numPr>
        <w:tabs>
          <w:tab w:val="left" w:pos="1440"/>
        </w:tabs>
        <w:spacing w:before="0" w:after="120"/>
        <w:ind w:left="720"/>
        <w:rPr>
          <w:sz w:val="18"/>
          <w:szCs w:val="18"/>
        </w:rPr>
      </w:pPr>
    </w:p>
    <w:p w14:paraId="17DDFD5C" w14:textId="77777777" w:rsidR="00BB6618" w:rsidRPr="00BB6618" w:rsidRDefault="00BB6618" w:rsidP="00BB6618">
      <w:pPr>
        <w:pStyle w:val="HeadingsL4"/>
        <w:keepNext/>
        <w:keepLines/>
        <w:numPr>
          <w:ilvl w:val="0"/>
          <w:numId w:val="0"/>
        </w:numPr>
        <w:tabs>
          <w:tab w:val="left" w:pos="1440"/>
        </w:tabs>
        <w:spacing w:before="0" w:after="120"/>
        <w:ind w:left="1134"/>
        <w:rPr>
          <w:rFonts w:ascii="Arial" w:hAnsi="Arial" w:cs="Arial"/>
          <w:b/>
          <w:sz w:val="24"/>
          <w:szCs w:val="24"/>
          <w:u w:val="single"/>
        </w:rPr>
      </w:pPr>
      <w:r w:rsidRPr="00BB6618">
        <w:rPr>
          <w:rFonts w:ascii="Arial" w:hAnsi="Arial" w:cs="Arial"/>
          <w:b/>
          <w:sz w:val="24"/>
          <w:szCs w:val="24"/>
          <w:u w:val="single"/>
        </w:rPr>
        <w:t>In the event that the closing price of the Shares is at or above $0.50 per Share for ten consecutive days, the Issuer may provide notice (the “Acceleration Notice”) to the holders of the Warrants</w:t>
      </w:r>
      <w:r w:rsidR="00CB1EA4">
        <w:rPr>
          <w:rFonts w:ascii="Arial" w:hAnsi="Arial" w:cs="Arial"/>
          <w:b/>
          <w:sz w:val="24"/>
          <w:szCs w:val="24"/>
          <w:u w:val="single"/>
        </w:rPr>
        <w:t xml:space="preserve"> and Finder’s Warrants</w:t>
      </w:r>
      <w:r w:rsidRPr="00BB6618">
        <w:rPr>
          <w:rFonts w:ascii="Arial" w:hAnsi="Arial" w:cs="Arial"/>
          <w:b/>
          <w:sz w:val="24"/>
          <w:szCs w:val="24"/>
          <w:u w:val="single"/>
        </w:rPr>
        <w:t xml:space="preserve"> that the expiry date of the Warrants has been accelerated and that Warrants not exercised within 30 days of the date of the Acceleration Notice will expire 30 days from the date of the Acceleration Notice.</w:t>
      </w:r>
    </w:p>
    <w:p w14:paraId="3A4D67D9" w14:textId="77777777" w:rsidR="00717FC5" w:rsidRDefault="002512C9">
      <w:pPr>
        <w:pStyle w:val="List"/>
        <w:numPr>
          <w:ilvl w:val="0"/>
          <w:numId w:val="10"/>
        </w:numPr>
        <w:rPr>
          <w:rFonts w:ascii="Arial" w:hAnsi="Arial"/>
        </w:rPr>
      </w:pPr>
      <w:r>
        <w:rPr>
          <w:rFonts w:ascii="Arial" w:hAnsi="Arial"/>
        </w:rPr>
        <w:t>State whether the private placement will result in a change of control.</w:t>
      </w:r>
    </w:p>
    <w:p w14:paraId="4695B6DD" w14:textId="77777777" w:rsidR="00717FC5" w:rsidRDefault="000245CE" w:rsidP="007E0530">
      <w:pPr>
        <w:pStyle w:val="List"/>
        <w:tabs>
          <w:tab w:val="left" w:pos="1080"/>
          <w:tab w:val="left" w:pos="9180"/>
        </w:tabs>
        <w:ind w:firstLine="0"/>
        <w:jc w:val="both"/>
        <w:rPr>
          <w:rFonts w:ascii="Arial" w:hAnsi="Arial"/>
        </w:rPr>
      </w:pPr>
      <w:r>
        <w:rPr>
          <w:rFonts w:ascii="Arial" w:hAnsi="Arial"/>
          <w:b/>
          <w:u w:val="single"/>
        </w:rPr>
        <w:t>N/A.</w:t>
      </w:r>
    </w:p>
    <w:p w14:paraId="78951D9D" w14:textId="77777777" w:rsidR="00717FC5" w:rsidRDefault="00717FC5">
      <w:pPr>
        <w:pStyle w:val="List"/>
        <w:tabs>
          <w:tab w:val="left" w:pos="9180"/>
        </w:tabs>
        <w:spacing w:before="0"/>
        <w:jc w:val="both"/>
        <w:rPr>
          <w:rFonts w:ascii="Arial" w:hAnsi="Arial"/>
        </w:rPr>
      </w:pPr>
    </w:p>
    <w:p w14:paraId="0B9E0E5E" w14:textId="77777777" w:rsidR="00717FC5" w:rsidRDefault="002512C9">
      <w:pPr>
        <w:pStyle w:val="List"/>
        <w:numPr>
          <w:ilvl w:val="0"/>
          <w:numId w:val="10"/>
        </w:numPr>
        <w:tabs>
          <w:tab w:val="left" w:pos="9180"/>
        </w:tabs>
        <w:spacing w:before="0"/>
        <w:jc w:val="both"/>
        <w:rPr>
          <w:rFonts w:ascii="Arial" w:hAnsi="Arial"/>
        </w:rPr>
      </w:pPr>
      <w:r>
        <w:rPr>
          <w:rFonts w:ascii="Arial" w:hAnsi="Arial"/>
        </w:rPr>
        <w:t xml:space="preserve">Where there is a change in the control of the Issuer resulting from the issuance of the private placement shares, indicate the names of the new controlling shareholders.  </w:t>
      </w:r>
      <w:r>
        <w:rPr>
          <w:rFonts w:ascii="Arial" w:hAnsi="Arial"/>
          <w:b/>
          <w:u w:val="single"/>
        </w:rPr>
        <w:t>N/A</w:t>
      </w:r>
      <w:r>
        <w:rPr>
          <w:rFonts w:ascii="Arial" w:hAnsi="Arial"/>
        </w:rPr>
        <w:t>.</w:t>
      </w:r>
    </w:p>
    <w:p w14:paraId="4999E937" w14:textId="77777777" w:rsidR="00717FC5" w:rsidRDefault="002512C9">
      <w:pPr>
        <w:pStyle w:val="List"/>
        <w:tabs>
          <w:tab w:val="left" w:pos="1080"/>
          <w:tab w:val="left" w:pos="9180"/>
        </w:tabs>
        <w:spacing w:before="0"/>
        <w:ind w:left="0" w:firstLine="0"/>
        <w:jc w:val="both"/>
        <w:rPr>
          <w:rFonts w:ascii="Arial" w:hAnsi="Arial"/>
        </w:rPr>
      </w:pPr>
      <w:r>
        <w:rPr>
          <w:rFonts w:ascii="Arial" w:hAnsi="Arial"/>
        </w:rPr>
        <w:tab/>
      </w:r>
    </w:p>
    <w:p w14:paraId="3094BE3F" w14:textId="77777777" w:rsidR="00717FC5" w:rsidRDefault="002512C9">
      <w:pPr>
        <w:pStyle w:val="List"/>
        <w:numPr>
          <w:ilvl w:val="0"/>
          <w:numId w:val="10"/>
        </w:numPr>
        <w:jc w:val="both"/>
        <w:rPr>
          <w:rFonts w:ascii="Arial" w:hAnsi="Arial"/>
        </w:rPr>
      </w:pPr>
      <w:r>
        <w:rPr>
          <w:rFonts w:ascii="Arial" w:hAnsi="Arial"/>
        </w:rPr>
        <w:t>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National Instrument 45-102.</w:t>
      </w:r>
    </w:p>
    <w:p w14:paraId="55533381" w14:textId="77777777" w:rsidR="00717FC5" w:rsidRDefault="002512C9">
      <w:pPr>
        <w:pStyle w:val="BodyText"/>
        <w:tabs>
          <w:tab w:val="left" w:pos="1080"/>
          <w:tab w:val="left" w:pos="4230"/>
        </w:tabs>
        <w:rPr>
          <w:rFonts w:ascii="Arial" w:hAnsi="Arial"/>
          <w:color w:val="000000"/>
        </w:rPr>
      </w:pPr>
      <w:r>
        <w:rPr>
          <w:rFonts w:ascii="Arial" w:hAnsi="Arial"/>
          <w:b/>
          <w:color w:val="000000"/>
        </w:rPr>
        <w:t>2.</w:t>
      </w:r>
      <w:r>
        <w:rPr>
          <w:rFonts w:ascii="Arial" w:hAnsi="Arial"/>
          <w:b/>
          <w:color w:val="000000"/>
        </w:rPr>
        <w:tab/>
        <w:t>Acquisition</w:t>
      </w:r>
    </w:p>
    <w:p w14:paraId="73EBB3AD" w14:textId="77777777" w:rsidR="00717FC5" w:rsidRDefault="00717FC5">
      <w:pPr>
        <w:pStyle w:val="List"/>
        <w:tabs>
          <w:tab w:val="left" w:pos="9180"/>
        </w:tabs>
        <w:spacing w:before="0"/>
        <w:ind w:left="0" w:firstLine="0"/>
        <w:jc w:val="both"/>
        <w:rPr>
          <w:rFonts w:ascii="Arial" w:hAnsi="Arial"/>
          <w:color w:val="000000"/>
        </w:rPr>
      </w:pPr>
    </w:p>
    <w:p w14:paraId="452A4C3E" w14:textId="329E650C" w:rsidR="004C22A5" w:rsidRPr="004C22A5" w:rsidRDefault="002512C9">
      <w:pPr>
        <w:pStyle w:val="List"/>
        <w:numPr>
          <w:ilvl w:val="0"/>
          <w:numId w:val="14"/>
        </w:numPr>
        <w:tabs>
          <w:tab w:val="clear" w:pos="360"/>
          <w:tab w:val="num" w:pos="1080"/>
          <w:tab w:val="left" w:pos="9180"/>
        </w:tabs>
        <w:spacing w:before="0"/>
        <w:ind w:left="1080" w:hanging="1080"/>
        <w:jc w:val="both"/>
        <w:rPr>
          <w:rFonts w:ascii="Arial" w:hAnsi="Arial"/>
          <w:b/>
          <w:color w:val="000000"/>
          <w:u w:val="single"/>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004C22A5" w:rsidRPr="004C22A5">
        <w:rPr>
          <w:rFonts w:ascii="Arial" w:hAnsi="Arial" w:cs="Arial"/>
          <w:b/>
          <w:color w:val="222222"/>
          <w:u w:val="single"/>
        </w:rPr>
        <w:t>T</w:t>
      </w:r>
      <w:r w:rsidR="004C22A5" w:rsidRPr="004C22A5">
        <w:rPr>
          <w:rFonts w:ascii="Arial" w:hAnsi="Arial" w:cs="Arial"/>
          <w:b/>
          <w:color w:val="222222"/>
          <w:u w:val="single"/>
        </w:rPr>
        <w:t xml:space="preserve">he </w:t>
      </w:r>
      <w:r w:rsidR="006C05A4">
        <w:rPr>
          <w:rFonts w:ascii="Arial" w:hAnsi="Arial" w:cs="Arial"/>
          <w:b/>
          <w:color w:val="222222"/>
          <w:u w:val="single"/>
        </w:rPr>
        <w:t>Issuer</w:t>
      </w:r>
      <w:r w:rsidR="004C22A5" w:rsidRPr="004C22A5">
        <w:rPr>
          <w:rFonts w:ascii="Arial" w:hAnsi="Arial" w:cs="Arial"/>
          <w:b/>
          <w:color w:val="222222"/>
          <w:u w:val="single"/>
        </w:rPr>
        <w:t xml:space="preserve"> </w:t>
      </w:r>
      <w:r w:rsidR="004C22A5">
        <w:rPr>
          <w:rFonts w:ascii="Arial" w:hAnsi="Arial" w:cs="Arial"/>
          <w:b/>
          <w:color w:val="222222"/>
          <w:u w:val="single"/>
        </w:rPr>
        <w:t>has entered into</w:t>
      </w:r>
      <w:r w:rsidR="004C22A5" w:rsidRPr="004C22A5">
        <w:rPr>
          <w:rFonts w:ascii="Arial" w:hAnsi="Arial" w:cs="Arial"/>
          <w:b/>
          <w:color w:val="222222"/>
          <w:u w:val="single"/>
        </w:rPr>
        <w:t xml:space="preserve"> a short term, no interest, C$500,000 bridge loan convertible into 2,500,000 common share purchase warrants of the </w:t>
      </w:r>
      <w:r w:rsidR="006C05A4">
        <w:rPr>
          <w:rFonts w:ascii="Arial" w:hAnsi="Arial" w:cs="Arial"/>
          <w:b/>
          <w:color w:val="222222"/>
          <w:u w:val="single"/>
        </w:rPr>
        <w:t>Issuer</w:t>
      </w:r>
      <w:r w:rsidR="004C22A5" w:rsidRPr="004C22A5">
        <w:rPr>
          <w:rFonts w:ascii="Arial" w:hAnsi="Arial" w:cs="Arial"/>
          <w:b/>
          <w:color w:val="222222"/>
          <w:u w:val="single"/>
        </w:rPr>
        <w:t>, each warrant convertible into one common share at a price of C$0.32 per share for up to two years from the date of issue.</w:t>
      </w:r>
    </w:p>
    <w:p w14:paraId="790E9319" w14:textId="77777777" w:rsidR="004C22A5" w:rsidRPr="004C22A5" w:rsidRDefault="004C22A5" w:rsidP="004C22A5">
      <w:pPr>
        <w:pStyle w:val="List"/>
        <w:tabs>
          <w:tab w:val="left" w:pos="9180"/>
        </w:tabs>
        <w:spacing w:before="0"/>
        <w:ind w:left="0" w:firstLine="0"/>
        <w:jc w:val="both"/>
        <w:rPr>
          <w:rFonts w:ascii="Arial" w:hAnsi="Arial"/>
          <w:b/>
          <w:color w:val="000000"/>
          <w:u w:val="single"/>
        </w:rPr>
      </w:pPr>
    </w:p>
    <w:p w14:paraId="52EAF03A" w14:textId="77777777" w:rsidR="00717FC5" w:rsidRDefault="002512C9">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xml:space="preserve">: sale, option, license etc.) and relationship to the Issuer. The disclosure should be sufficiently complete to enable a reader to appreciate the significance of the acquisition without reference to any other material: </w:t>
      </w:r>
    </w:p>
    <w:p w14:paraId="1A0ED284" w14:textId="01973E8D" w:rsidR="00717FC5" w:rsidRDefault="006C05A4" w:rsidP="006C05A4">
      <w:pPr>
        <w:pStyle w:val="List"/>
        <w:tabs>
          <w:tab w:val="left" w:pos="1080"/>
          <w:tab w:val="left" w:pos="9180"/>
        </w:tabs>
        <w:spacing w:before="0"/>
        <w:ind w:firstLine="0"/>
        <w:jc w:val="both"/>
        <w:rPr>
          <w:rFonts w:ascii="Arial" w:hAnsi="Arial"/>
          <w:color w:val="000000"/>
        </w:rPr>
      </w:pPr>
      <w:r>
        <w:rPr>
          <w:rFonts w:ascii="Arial" w:hAnsi="Arial"/>
          <w:b/>
          <w:u w:val="single"/>
          <w:lang w:val="en-CA"/>
        </w:rPr>
        <w:t>The loan agreement, dated November 13, 2017, is between the Issuer and a Director of the Issuer.</w:t>
      </w:r>
    </w:p>
    <w:p w14:paraId="45AEC594" w14:textId="77777777" w:rsidR="00717FC5" w:rsidRDefault="002512C9">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5CDE9E5F" w14:textId="77777777" w:rsidR="00717FC5" w:rsidRDefault="002512C9">
      <w:pPr>
        <w:pStyle w:val="List"/>
        <w:numPr>
          <w:ilvl w:val="0"/>
          <w:numId w:val="13"/>
        </w:numPr>
        <w:tabs>
          <w:tab w:val="left" w:pos="9180"/>
        </w:tabs>
        <w:rPr>
          <w:rFonts w:ascii="Arial" w:hAnsi="Arial"/>
          <w:color w:val="000000"/>
        </w:rPr>
      </w:pPr>
      <w:r>
        <w:rPr>
          <w:rFonts w:ascii="Arial" w:hAnsi="Arial"/>
          <w:color w:val="000000"/>
        </w:rPr>
        <w:lastRenderedPageBreak/>
        <w:t xml:space="preserve">Total aggregate consideration in Canadian dollars: </w:t>
      </w:r>
      <w:r>
        <w:rPr>
          <w:rFonts w:ascii="Arial" w:hAnsi="Arial"/>
          <w:b/>
          <w:u w:val="single"/>
          <w:lang w:val="en-CA"/>
        </w:rPr>
        <w:t>N/A</w:t>
      </w:r>
      <w:r>
        <w:rPr>
          <w:rFonts w:ascii="Arial" w:hAnsi="Arial"/>
          <w:color w:val="000000"/>
        </w:rPr>
        <w:t xml:space="preserve">. </w:t>
      </w:r>
    </w:p>
    <w:p w14:paraId="636E9A05" w14:textId="77777777" w:rsidR="00717FC5" w:rsidRDefault="002512C9">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Pr>
          <w:rFonts w:ascii="Arial" w:hAnsi="Arial"/>
          <w:b/>
          <w:u w:val="single"/>
          <w:lang w:val="en-CA"/>
        </w:rPr>
        <w:t>N/A</w:t>
      </w:r>
      <w:r>
        <w:rPr>
          <w:rFonts w:ascii="Arial" w:hAnsi="Arial"/>
          <w:lang w:val="en-CA"/>
        </w:rPr>
        <w:t>.</w:t>
      </w:r>
    </w:p>
    <w:p w14:paraId="2517A728" w14:textId="269794E4" w:rsidR="00717FC5" w:rsidRDefault="002512C9">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sidR="006C05A4">
        <w:rPr>
          <w:rFonts w:ascii="Arial" w:hAnsi="Arial"/>
          <w:b/>
          <w:u w:val="single"/>
          <w:lang w:val="en-CA"/>
        </w:rPr>
        <w:t>2,500,000 common share purchase warrants.</w:t>
      </w:r>
    </w:p>
    <w:p w14:paraId="17746E3E" w14:textId="77777777" w:rsidR="00717FC5" w:rsidRDefault="002512C9">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Pr>
          <w:rFonts w:ascii="Arial" w:hAnsi="Arial"/>
          <w:b/>
          <w:u w:val="single"/>
          <w:lang w:val="en-CA"/>
        </w:rPr>
        <w:t>N/A</w:t>
      </w:r>
      <w:r>
        <w:rPr>
          <w:rFonts w:ascii="Arial" w:hAnsi="Arial"/>
          <w:color w:val="000000"/>
        </w:rPr>
        <w:t>.</w:t>
      </w:r>
    </w:p>
    <w:p w14:paraId="68B609A7" w14:textId="15DC7816" w:rsidR="00717FC5" w:rsidRDefault="002512C9">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6C05A4">
        <w:rPr>
          <w:rFonts w:ascii="Arial" w:hAnsi="Arial"/>
          <w:b/>
          <w:u w:val="single"/>
          <w:lang w:val="en-CA"/>
        </w:rPr>
        <w:t>2 years from closing.</w:t>
      </w:r>
    </w:p>
    <w:p w14:paraId="2A9D304C" w14:textId="488A2089" w:rsidR="00717FC5" w:rsidRDefault="002512C9">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6C05A4">
        <w:rPr>
          <w:rFonts w:ascii="Arial" w:hAnsi="Arial"/>
          <w:b/>
          <w:u w:val="single"/>
          <w:lang w:val="en-CA"/>
        </w:rPr>
        <w:t>$0.32.</w:t>
      </w:r>
    </w:p>
    <w:p w14:paraId="6B52AB46" w14:textId="77777777" w:rsidR="00717FC5" w:rsidRDefault="002512C9">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Pr>
          <w:rFonts w:ascii="Arial" w:hAnsi="Arial"/>
          <w:b/>
          <w:u w:val="single"/>
          <w:lang w:val="en-CA"/>
        </w:rPr>
        <w:t>N/A</w:t>
      </w:r>
      <w:r>
        <w:rPr>
          <w:rFonts w:ascii="Arial" w:hAnsi="Arial"/>
          <w:lang w:val="en-CA"/>
        </w:rPr>
        <w:t>.</w:t>
      </w:r>
    </w:p>
    <w:p w14:paraId="5D818A33" w14:textId="31C8044F" w:rsidR="00717FC5" w:rsidRDefault="002512C9">
      <w:pPr>
        <w:pStyle w:val="List"/>
        <w:numPr>
          <w:ilvl w:val="0"/>
          <w:numId w:val="16"/>
        </w:numPr>
        <w:tabs>
          <w:tab w:val="left" w:pos="9180"/>
        </w:tabs>
        <w:rPr>
          <w:rFonts w:ascii="Arial" w:hAnsi="Arial"/>
          <w:color w:val="000000"/>
        </w:rPr>
      </w:pPr>
      <w:r>
        <w:rPr>
          <w:rFonts w:ascii="Arial" w:hAnsi="Arial"/>
          <w:color w:val="000000"/>
        </w:rPr>
        <w:t xml:space="preserve">State how the purchase or sale price was determined (e.g. arm’s-length negotiation, independent committee of the Board, third party valuation </w:t>
      </w:r>
      <w:proofErr w:type="spellStart"/>
      <w:r>
        <w:rPr>
          <w:rFonts w:ascii="Arial" w:hAnsi="Arial"/>
          <w:color w:val="000000"/>
        </w:rPr>
        <w:t>etc</w:t>
      </w:r>
      <w:proofErr w:type="spellEnd"/>
      <w:r>
        <w:rPr>
          <w:rFonts w:ascii="Arial" w:hAnsi="Arial"/>
          <w:color w:val="000000"/>
        </w:rPr>
        <w:t>).</w:t>
      </w:r>
      <w:r w:rsidR="00ED3810">
        <w:rPr>
          <w:rFonts w:ascii="Arial" w:hAnsi="Arial"/>
          <w:color w:val="000000"/>
        </w:rPr>
        <w:t xml:space="preserve"> </w:t>
      </w:r>
      <w:r w:rsidR="00ED3810" w:rsidRPr="00ED3810">
        <w:rPr>
          <w:rFonts w:ascii="Arial" w:hAnsi="Arial"/>
          <w:b/>
          <w:color w:val="000000"/>
          <w:u w:val="single"/>
        </w:rPr>
        <w:t>N/A.</w:t>
      </w:r>
    </w:p>
    <w:p w14:paraId="4D9FA469" w14:textId="77777777" w:rsidR="00717FC5" w:rsidRDefault="002512C9">
      <w:pPr>
        <w:pStyle w:val="List"/>
        <w:numPr>
          <w:ilvl w:val="0"/>
          <w:numId w:val="16"/>
        </w:numPr>
        <w:tabs>
          <w:tab w:val="left" w:pos="9180"/>
        </w:tabs>
        <w:rPr>
          <w:rFonts w:ascii="Arial" w:hAnsi="Arial"/>
          <w:color w:val="000000"/>
        </w:rPr>
      </w:pPr>
      <w:r>
        <w:rPr>
          <w:rFonts w:ascii="Arial" w:hAnsi="Arial"/>
          <w:color w:val="000000"/>
        </w:rPr>
        <w:t xml:space="preserve">Provide details of any appraisal or valuation of the subject of the acquisition known to management of the Issuer: </w:t>
      </w:r>
      <w:r>
        <w:rPr>
          <w:rFonts w:ascii="Arial" w:hAnsi="Arial"/>
          <w:b/>
          <w:u w:val="single"/>
          <w:lang w:val="en-CA"/>
        </w:rPr>
        <w:t>N/A</w:t>
      </w:r>
      <w:r>
        <w:rPr>
          <w:rFonts w:ascii="Arial" w:hAnsi="Arial"/>
          <w:lang w:val="en-CA"/>
        </w:rPr>
        <w:t>.</w:t>
      </w:r>
    </w:p>
    <w:p w14:paraId="007340D7" w14:textId="77777777" w:rsidR="00717FC5" w:rsidRDefault="002512C9">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90"/>
        <w:gridCol w:w="1410"/>
        <w:gridCol w:w="1260"/>
        <w:gridCol w:w="1440"/>
        <w:gridCol w:w="1440"/>
        <w:gridCol w:w="1620"/>
        <w:gridCol w:w="1530"/>
      </w:tblGrid>
      <w:tr w:rsidR="00717FC5" w14:paraId="2393BCB0" w14:textId="77777777" w:rsidTr="00ED3810">
        <w:tc>
          <w:tcPr>
            <w:tcW w:w="1290" w:type="dxa"/>
          </w:tcPr>
          <w:p w14:paraId="608B32C6" w14:textId="77777777" w:rsidR="00717FC5" w:rsidRDefault="00717FC5">
            <w:pPr>
              <w:pStyle w:val="BodyText"/>
              <w:keepNext/>
              <w:keepLines/>
              <w:spacing w:before="0" w:line="280" w:lineRule="exact"/>
              <w:jc w:val="center"/>
              <w:rPr>
                <w:rFonts w:ascii="Arial" w:hAnsi="Arial"/>
                <w:b/>
                <w:sz w:val="20"/>
                <w:lang w:val="en-CA"/>
              </w:rPr>
            </w:pPr>
          </w:p>
          <w:p w14:paraId="5727B863" w14:textId="77777777" w:rsidR="00717FC5" w:rsidRDefault="002512C9">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410" w:type="dxa"/>
          </w:tcPr>
          <w:p w14:paraId="29D986D5" w14:textId="77777777" w:rsidR="00717FC5" w:rsidRDefault="00717FC5">
            <w:pPr>
              <w:pStyle w:val="BodyText"/>
              <w:keepNext/>
              <w:keepLines/>
              <w:spacing w:before="0" w:line="280" w:lineRule="exact"/>
              <w:jc w:val="center"/>
              <w:rPr>
                <w:rFonts w:ascii="Arial" w:hAnsi="Arial"/>
                <w:b/>
                <w:sz w:val="20"/>
                <w:lang w:val="en-CA"/>
              </w:rPr>
            </w:pPr>
          </w:p>
          <w:p w14:paraId="19165D31" w14:textId="77777777" w:rsidR="00717FC5" w:rsidRDefault="002512C9">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0A01E30A" w14:textId="77777777" w:rsidR="00717FC5" w:rsidRDefault="00717FC5">
            <w:pPr>
              <w:pStyle w:val="BodyText"/>
              <w:keepNext/>
              <w:keepLines/>
              <w:spacing w:before="0" w:line="280" w:lineRule="exact"/>
              <w:jc w:val="center"/>
              <w:rPr>
                <w:rFonts w:ascii="Arial" w:hAnsi="Arial"/>
                <w:b/>
                <w:sz w:val="20"/>
                <w:lang w:val="en-CA"/>
              </w:rPr>
            </w:pPr>
          </w:p>
          <w:p w14:paraId="056FBFFE" w14:textId="77777777" w:rsidR="00717FC5" w:rsidRDefault="002512C9">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2B252015" w14:textId="77777777" w:rsidR="00717FC5" w:rsidRDefault="00717FC5">
            <w:pPr>
              <w:pStyle w:val="BodyText"/>
              <w:keepNext/>
              <w:keepLines/>
              <w:spacing w:before="0" w:line="280" w:lineRule="exact"/>
              <w:jc w:val="center"/>
              <w:rPr>
                <w:rFonts w:ascii="Arial" w:hAnsi="Arial"/>
                <w:b/>
                <w:sz w:val="20"/>
                <w:lang w:val="en-CA"/>
              </w:rPr>
            </w:pPr>
          </w:p>
          <w:p w14:paraId="4A4C90EE" w14:textId="77777777" w:rsidR="00717FC5" w:rsidRDefault="002512C9">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7660E95A" w14:textId="77777777" w:rsidR="00717FC5" w:rsidRDefault="00717FC5">
            <w:pPr>
              <w:pStyle w:val="BodyText"/>
              <w:keepNext/>
              <w:keepLines/>
              <w:spacing w:before="0" w:line="280" w:lineRule="exact"/>
              <w:jc w:val="center"/>
              <w:rPr>
                <w:rFonts w:ascii="Arial" w:hAnsi="Arial"/>
                <w:b/>
                <w:sz w:val="20"/>
                <w:lang w:val="en-CA"/>
              </w:rPr>
            </w:pPr>
          </w:p>
          <w:p w14:paraId="7EE51B4D" w14:textId="77777777" w:rsidR="00717FC5" w:rsidRDefault="002512C9">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365551AF" w14:textId="77777777" w:rsidR="00717FC5" w:rsidRDefault="00717FC5">
            <w:pPr>
              <w:pStyle w:val="BodyText"/>
              <w:keepNext/>
              <w:keepLines/>
              <w:spacing w:before="0" w:line="280" w:lineRule="exact"/>
              <w:jc w:val="center"/>
              <w:rPr>
                <w:rFonts w:ascii="Arial" w:hAnsi="Arial"/>
                <w:b/>
                <w:sz w:val="20"/>
              </w:rPr>
            </w:pPr>
          </w:p>
          <w:p w14:paraId="022B7208" w14:textId="77777777" w:rsidR="00717FC5" w:rsidRDefault="002512C9">
            <w:pPr>
              <w:pStyle w:val="BodyText"/>
              <w:keepNext/>
              <w:keepLines/>
              <w:spacing w:before="0" w:line="280" w:lineRule="exact"/>
              <w:jc w:val="center"/>
              <w:rPr>
                <w:rFonts w:ascii="Arial" w:hAnsi="Arial"/>
                <w:b/>
                <w:sz w:val="20"/>
                <w:lang w:val="en-CA"/>
              </w:rPr>
            </w:pPr>
            <w:r>
              <w:rPr>
                <w:rFonts w:ascii="Arial" w:hAnsi="Arial"/>
                <w:b/>
                <w:sz w:val="20"/>
              </w:rPr>
              <w:t>No. of Securities, directly or indirectly, Owned, Controlled or Directed by Party</w:t>
            </w:r>
          </w:p>
        </w:tc>
        <w:tc>
          <w:tcPr>
            <w:tcW w:w="1530" w:type="dxa"/>
          </w:tcPr>
          <w:p w14:paraId="57C24D02" w14:textId="77777777" w:rsidR="00717FC5" w:rsidRDefault="00717FC5">
            <w:pPr>
              <w:pStyle w:val="BodyText"/>
              <w:keepNext/>
              <w:keepLines/>
              <w:spacing w:before="0" w:line="280" w:lineRule="exact"/>
              <w:jc w:val="center"/>
              <w:rPr>
                <w:rFonts w:ascii="Arial" w:hAnsi="Arial"/>
                <w:b/>
                <w:color w:val="000000"/>
                <w:sz w:val="20"/>
                <w:lang w:val="en-CA"/>
              </w:rPr>
            </w:pPr>
          </w:p>
          <w:p w14:paraId="54113718" w14:textId="77777777" w:rsidR="00717FC5" w:rsidRDefault="002512C9">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337B7DBE" w14:textId="77777777" w:rsidR="00717FC5" w:rsidRDefault="002512C9">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20"/>
                <w:vertAlign w:val="superscript"/>
                <w:lang w:val="en-CA"/>
              </w:rPr>
              <w:t xml:space="preserve"> </w:t>
            </w:r>
            <w:r>
              <w:rPr>
                <w:rFonts w:ascii="Arial" w:hAnsi="Arial"/>
                <w:b/>
                <w:color w:val="000000"/>
                <w:sz w:val="16"/>
                <w:vertAlign w:val="superscript"/>
                <w:lang w:val="en-CA"/>
              </w:rPr>
              <w:t>(1)</w:t>
            </w:r>
          </w:p>
        </w:tc>
      </w:tr>
      <w:tr w:rsidR="00717FC5" w14:paraId="13494231" w14:textId="77777777" w:rsidTr="00301316">
        <w:trPr>
          <w:trHeight w:hRule="exact" w:val="1262"/>
        </w:trPr>
        <w:tc>
          <w:tcPr>
            <w:tcW w:w="1290" w:type="dxa"/>
          </w:tcPr>
          <w:p w14:paraId="75BA7D88" w14:textId="55A3C892" w:rsidR="00717FC5" w:rsidRPr="00ED3810" w:rsidRDefault="00ED3810">
            <w:pPr>
              <w:pStyle w:val="BodyText"/>
              <w:keepNext/>
              <w:keepLines/>
              <w:rPr>
                <w:rFonts w:ascii="Arial" w:hAnsi="Arial"/>
                <w:lang w:val="en-CA"/>
              </w:rPr>
            </w:pPr>
            <w:proofErr w:type="spellStart"/>
            <w:r w:rsidRPr="00ED3810">
              <w:rPr>
                <w:rFonts w:ascii="Arial" w:hAnsi="Arial"/>
                <w:lang w:val="en-CA"/>
              </w:rPr>
              <w:t>Tristram</w:t>
            </w:r>
            <w:proofErr w:type="spellEnd"/>
            <w:r w:rsidRPr="00ED3810">
              <w:rPr>
                <w:rFonts w:ascii="Arial" w:hAnsi="Arial"/>
                <w:lang w:val="en-CA"/>
              </w:rPr>
              <w:t xml:space="preserve"> Coffin</w:t>
            </w:r>
          </w:p>
        </w:tc>
        <w:tc>
          <w:tcPr>
            <w:tcW w:w="1410" w:type="dxa"/>
          </w:tcPr>
          <w:p w14:paraId="0E6EC332" w14:textId="08B3BC1B" w:rsidR="00717FC5" w:rsidRPr="00ED3810" w:rsidRDefault="00ED3810">
            <w:pPr>
              <w:pStyle w:val="BodyText"/>
              <w:keepNext/>
              <w:keepLines/>
              <w:jc w:val="center"/>
              <w:rPr>
                <w:rFonts w:ascii="Arial" w:hAnsi="Arial"/>
                <w:lang w:val="en-CA"/>
              </w:rPr>
            </w:pPr>
            <w:r w:rsidRPr="00ED3810">
              <w:rPr>
                <w:rFonts w:ascii="Arial" w:hAnsi="Arial"/>
                <w:lang w:val="en-CA"/>
              </w:rPr>
              <w:t xml:space="preserve">2,500,000 </w:t>
            </w:r>
            <w:proofErr w:type="gramStart"/>
            <w:r w:rsidRPr="00ED3810">
              <w:rPr>
                <w:rFonts w:ascii="Arial" w:hAnsi="Arial"/>
                <w:lang w:val="en-CA"/>
              </w:rPr>
              <w:t>warrants</w:t>
            </w:r>
            <w:r w:rsidR="00301316" w:rsidRPr="00301316">
              <w:rPr>
                <w:rFonts w:ascii="Arial" w:hAnsi="Arial"/>
                <w:vertAlign w:val="superscript"/>
                <w:lang w:val="en-CA"/>
              </w:rPr>
              <w:t>(</w:t>
            </w:r>
            <w:proofErr w:type="gramEnd"/>
            <w:r w:rsidR="00301316" w:rsidRPr="00301316">
              <w:rPr>
                <w:rFonts w:ascii="Arial" w:hAnsi="Arial"/>
                <w:vertAlign w:val="superscript"/>
                <w:lang w:val="en-CA"/>
              </w:rPr>
              <w:t>2)</w:t>
            </w:r>
          </w:p>
        </w:tc>
        <w:tc>
          <w:tcPr>
            <w:tcW w:w="1260" w:type="dxa"/>
          </w:tcPr>
          <w:p w14:paraId="4A430126" w14:textId="2D767F03" w:rsidR="00717FC5" w:rsidRPr="00ED3810" w:rsidRDefault="00ED3810">
            <w:pPr>
              <w:pStyle w:val="BodyText"/>
              <w:keepNext/>
              <w:keepLines/>
              <w:jc w:val="center"/>
              <w:rPr>
                <w:rFonts w:ascii="Arial" w:hAnsi="Arial"/>
                <w:lang w:val="en-CA"/>
              </w:rPr>
            </w:pPr>
            <w:r w:rsidRPr="00ED3810">
              <w:rPr>
                <w:rFonts w:ascii="Arial" w:hAnsi="Arial"/>
                <w:lang w:val="en-CA"/>
              </w:rPr>
              <w:t>$0.00</w:t>
            </w:r>
          </w:p>
        </w:tc>
        <w:tc>
          <w:tcPr>
            <w:tcW w:w="1440" w:type="dxa"/>
          </w:tcPr>
          <w:p w14:paraId="078FDA30" w14:textId="53E693FD" w:rsidR="00717FC5" w:rsidRPr="00ED3810" w:rsidRDefault="00ED3810">
            <w:pPr>
              <w:pStyle w:val="BodyText"/>
              <w:keepNext/>
              <w:keepLines/>
              <w:jc w:val="center"/>
              <w:rPr>
                <w:rFonts w:ascii="Arial" w:hAnsi="Arial"/>
                <w:lang w:val="en-CA"/>
              </w:rPr>
            </w:pPr>
            <w:r>
              <w:rPr>
                <w:rFonts w:ascii="Arial" w:hAnsi="Arial"/>
                <w:lang w:val="en-CA"/>
              </w:rPr>
              <w:t>$0.32</w:t>
            </w:r>
          </w:p>
        </w:tc>
        <w:tc>
          <w:tcPr>
            <w:tcW w:w="1440" w:type="dxa"/>
          </w:tcPr>
          <w:p w14:paraId="34B20C93" w14:textId="3847B0AC" w:rsidR="00717FC5" w:rsidRPr="00ED3810" w:rsidRDefault="009C15BF">
            <w:pPr>
              <w:pStyle w:val="BodyText"/>
              <w:keepNext/>
              <w:keepLines/>
              <w:jc w:val="center"/>
              <w:rPr>
                <w:rFonts w:ascii="Arial" w:hAnsi="Arial"/>
                <w:lang w:val="en-CA"/>
              </w:rPr>
            </w:pPr>
            <w:r>
              <w:rPr>
                <w:rFonts w:ascii="Arial" w:hAnsi="Arial"/>
                <w:lang w:val="en-CA"/>
              </w:rPr>
              <w:t>2.35 of NI 45-106</w:t>
            </w:r>
            <w:bookmarkStart w:id="4" w:name="_GoBack"/>
            <w:bookmarkEnd w:id="4"/>
          </w:p>
        </w:tc>
        <w:tc>
          <w:tcPr>
            <w:tcW w:w="1620" w:type="dxa"/>
          </w:tcPr>
          <w:p w14:paraId="2D993287" w14:textId="2B68037F" w:rsidR="00717FC5" w:rsidRPr="00ED3810" w:rsidRDefault="00640DF1">
            <w:pPr>
              <w:pStyle w:val="BodyText"/>
              <w:keepNext/>
              <w:keepLines/>
              <w:jc w:val="center"/>
              <w:rPr>
                <w:rFonts w:ascii="Arial" w:hAnsi="Arial"/>
                <w:lang w:val="en-CA"/>
              </w:rPr>
            </w:pPr>
            <w:r>
              <w:rPr>
                <w:rFonts w:ascii="Arial" w:hAnsi="Arial"/>
                <w:lang w:val="en-CA"/>
              </w:rPr>
              <w:t>811,500</w:t>
            </w:r>
          </w:p>
        </w:tc>
        <w:tc>
          <w:tcPr>
            <w:tcW w:w="1530" w:type="dxa"/>
          </w:tcPr>
          <w:p w14:paraId="693437B0" w14:textId="01CBADD8" w:rsidR="00717FC5" w:rsidRPr="00ED3810" w:rsidRDefault="00ED3810" w:rsidP="00ED3810">
            <w:pPr>
              <w:pStyle w:val="BodyText"/>
              <w:keepNext/>
              <w:keepLines/>
              <w:jc w:val="center"/>
              <w:rPr>
                <w:rFonts w:ascii="Arial" w:hAnsi="Arial"/>
                <w:lang w:val="en-CA"/>
              </w:rPr>
            </w:pPr>
            <w:r>
              <w:rPr>
                <w:rFonts w:ascii="Arial" w:hAnsi="Arial"/>
                <w:lang w:val="en-CA"/>
              </w:rPr>
              <w:t xml:space="preserve">Related </w:t>
            </w:r>
          </w:p>
        </w:tc>
      </w:tr>
    </w:tbl>
    <w:p w14:paraId="7C7D10D0" w14:textId="77777777" w:rsidR="00717FC5" w:rsidRDefault="002512C9">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72441446" w14:textId="27FDAC5C" w:rsidR="00301316" w:rsidRDefault="00301316">
      <w:pPr>
        <w:pStyle w:val="BodyText"/>
        <w:numPr>
          <w:ilvl w:val="0"/>
          <w:numId w:val="17"/>
        </w:numPr>
        <w:tabs>
          <w:tab w:val="clear" w:pos="720"/>
          <w:tab w:val="num" w:pos="450"/>
        </w:tabs>
        <w:ind w:left="360" w:hanging="180"/>
        <w:rPr>
          <w:rFonts w:ascii="Arial" w:hAnsi="Arial"/>
          <w:sz w:val="20"/>
        </w:rPr>
      </w:pPr>
      <w:r>
        <w:rPr>
          <w:rFonts w:ascii="Arial" w:hAnsi="Arial" w:cs="Arial"/>
          <w:i/>
          <w:sz w:val="20"/>
          <w:lang w:val="en-CA"/>
        </w:rPr>
        <w:t xml:space="preserve"> Each </w:t>
      </w:r>
      <w:r w:rsidRPr="00025BA9">
        <w:rPr>
          <w:rFonts w:ascii="Arial" w:hAnsi="Arial" w:cs="Arial"/>
          <w:i/>
          <w:sz w:val="20"/>
          <w:lang w:val="en-CA"/>
        </w:rPr>
        <w:t xml:space="preserve">share purchase warrant entitling the holder to purchase one </w:t>
      </w:r>
      <w:r>
        <w:rPr>
          <w:rFonts w:ascii="Arial" w:hAnsi="Arial" w:cs="Arial"/>
          <w:i/>
          <w:sz w:val="20"/>
          <w:lang w:val="en-CA"/>
        </w:rPr>
        <w:t>common share for a period of two yea</w:t>
      </w:r>
      <w:r>
        <w:rPr>
          <w:rFonts w:ascii="Arial" w:hAnsi="Arial" w:cs="Arial"/>
          <w:i/>
          <w:sz w:val="20"/>
          <w:lang w:val="en-CA"/>
        </w:rPr>
        <w:t>rs at an exercise price of $0.32</w:t>
      </w:r>
      <w:r w:rsidRPr="00025BA9">
        <w:rPr>
          <w:rFonts w:ascii="Arial" w:hAnsi="Arial" w:cs="Arial"/>
          <w:i/>
          <w:sz w:val="20"/>
          <w:lang w:val="en-CA"/>
        </w:rPr>
        <w:t xml:space="preserve"> per warrant share </w:t>
      </w:r>
      <w:r>
        <w:rPr>
          <w:rFonts w:ascii="Arial" w:hAnsi="Arial" w:cs="Arial"/>
          <w:i/>
          <w:sz w:val="20"/>
          <w:lang w:val="en-CA"/>
        </w:rPr>
        <w:t>until November 14</w:t>
      </w:r>
      <w:r w:rsidRPr="00B5640E">
        <w:rPr>
          <w:rFonts w:ascii="Arial" w:hAnsi="Arial" w:cs="Arial"/>
          <w:i/>
          <w:sz w:val="20"/>
          <w:lang w:val="en-CA"/>
        </w:rPr>
        <w:t>, 2019</w:t>
      </w:r>
      <w:r>
        <w:rPr>
          <w:rFonts w:ascii="Arial" w:hAnsi="Arial" w:cs="Arial"/>
          <w:i/>
          <w:sz w:val="20"/>
          <w:lang w:val="en-CA"/>
        </w:rPr>
        <w:t>,</w:t>
      </w:r>
    </w:p>
    <w:p w14:paraId="64FAF28C" w14:textId="77777777" w:rsidR="00717FC5" w:rsidRDefault="002512C9">
      <w:pPr>
        <w:pStyle w:val="List"/>
        <w:numPr>
          <w:ilvl w:val="0"/>
          <w:numId w:val="16"/>
        </w:numPr>
        <w:tabs>
          <w:tab w:val="left" w:pos="9180"/>
        </w:tabs>
        <w:jc w:val="both"/>
        <w:rPr>
          <w:rFonts w:ascii="Arial" w:hAnsi="Arial"/>
          <w:color w:val="000000"/>
        </w:rPr>
      </w:pPr>
      <w:r>
        <w:rPr>
          <w:rFonts w:ascii="Arial" w:hAnsi="Arial"/>
          <w:color w:val="000000"/>
        </w:rPr>
        <w:t xml:space="preserve">Details of the steps taken by the Issuer to ensure that the vendor has good title to the assets being acquired: </w:t>
      </w:r>
      <w:r>
        <w:rPr>
          <w:rFonts w:ascii="Arial" w:hAnsi="Arial"/>
          <w:b/>
          <w:u w:val="single"/>
          <w:lang w:val="en-CA"/>
        </w:rPr>
        <w:t>N/A</w:t>
      </w:r>
      <w:r>
        <w:rPr>
          <w:rFonts w:ascii="Arial" w:hAnsi="Arial"/>
          <w:lang w:val="en-CA"/>
        </w:rPr>
        <w:t>.</w:t>
      </w:r>
    </w:p>
    <w:p w14:paraId="0A37CFC9" w14:textId="77777777" w:rsidR="00717FC5" w:rsidRDefault="002512C9">
      <w:pPr>
        <w:pStyle w:val="List"/>
        <w:numPr>
          <w:ilvl w:val="0"/>
          <w:numId w:val="16"/>
        </w:numPr>
        <w:jc w:val="both"/>
        <w:rPr>
          <w:rFonts w:ascii="Arial" w:hAnsi="Arial"/>
        </w:rPr>
      </w:pPr>
      <w:r>
        <w:rPr>
          <w:rFonts w:ascii="Arial" w:hAnsi="Arial"/>
        </w:rPr>
        <w:lastRenderedPageBreak/>
        <w:t>Provide the following information for any agent’s fee, commission, bonus or finder’s fee, or other compensation paid or to be paid in connection with the acquisition (including warrants, options, etc.):</w:t>
      </w:r>
    </w:p>
    <w:p w14:paraId="1A2B0D37" w14:textId="77777777" w:rsidR="00717FC5" w:rsidRDefault="002512C9">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address. If a corporation, identify persons owning or exercising voting control over 20% or more of the voting shares if known to the Issuer): </w:t>
      </w:r>
      <w:r>
        <w:rPr>
          <w:rFonts w:ascii="Arial" w:hAnsi="Arial"/>
          <w:b/>
          <w:u w:val="single"/>
          <w:lang w:val="en-CA"/>
        </w:rPr>
        <w:t>N/A</w:t>
      </w:r>
      <w:r>
        <w:rPr>
          <w:rFonts w:ascii="Arial" w:hAnsi="Arial"/>
          <w:lang w:val="en-CA"/>
        </w:rPr>
        <w:t>.</w:t>
      </w:r>
    </w:p>
    <w:p w14:paraId="00A6BD7E" w14:textId="77777777" w:rsidR="00717FC5" w:rsidRDefault="002512C9">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b/>
          <w:u w:val="single"/>
          <w:lang w:val="en-CA"/>
        </w:rPr>
        <w:t>N/A</w:t>
      </w:r>
      <w:r>
        <w:rPr>
          <w:rFonts w:ascii="Arial" w:hAnsi="Arial"/>
          <w:lang w:val="en-CA"/>
        </w:rPr>
        <w:t>.</w:t>
      </w:r>
    </w:p>
    <w:p w14:paraId="17C03B54" w14:textId="77777777" w:rsidR="00717FC5" w:rsidRDefault="002512C9">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b/>
          <w:u w:val="single"/>
          <w:lang w:val="en-CA"/>
        </w:rPr>
        <w:t>N/A</w:t>
      </w:r>
      <w:r>
        <w:rPr>
          <w:rFonts w:ascii="Arial" w:hAnsi="Arial"/>
          <w:lang w:val="en-CA"/>
        </w:rPr>
        <w:t>.</w:t>
      </w:r>
    </w:p>
    <w:p w14:paraId="44B0D3F7" w14:textId="77777777" w:rsidR="00717FC5" w:rsidRDefault="002512C9">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b/>
          <w:u w:val="single"/>
          <w:lang w:val="en-CA"/>
        </w:rPr>
        <w:t>N/A</w:t>
      </w:r>
      <w:r>
        <w:rPr>
          <w:rFonts w:ascii="Arial" w:hAnsi="Arial"/>
        </w:rPr>
        <w:t>.</w:t>
      </w:r>
    </w:p>
    <w:p w14:paraId="4EC096E4" w14:textId="77777777" w:rsidR="00717FC5" w:rsidRDefault="002512C9">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b/>
          <w:u w:val="single"/>
          <w:lang w:val="en-CA"/>
        </w:rPr>
        <w:t>N/A</w:t>
      </w:r>
      <w:r>
        <w:rPr>
          <w:rFonts w:ascii="Arial" w:hAnsi="Arial"/>
          <w:lang w:val="en-CA"/>
        </w:rPr>
        <w:t>.</w:t>
      </w:r>
    </w:p>
    <w:p w14:paraId="4D69770E" w14:textId="77777777" w:rsidR="00717FC5" w:rsidRDefault="002512C9">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b/>
          <w:u w:val="single"/>
          <w:lang w:val="en-CA"/>
        </w:rPr>
        <w:t>N/A</w:t>
      </w:r>
      <w:r>
        <w:rPr>
          <w:rFonts w:ascii="Arial" w:hAnsi="Arial"/>
          <w:lang w:val="en-CA"/>
        </w:rPr>
        <w:t>.</w:t>
      </w:r>
    </w:p>
    <w:p w14:paraId="62091FD6" w14:textId="77777777" w:rsidR="00717FC5" w:rsidRDefault="002512C9">
      <w:pPr>
        <w:pStyle w:val="List"/>
        <w:numPr>
          <w:ilvl w:val="0"/>
          <w:numId w:val="16"/>
        </w:numPr>
        <w:tabs>
          <w:tab w:val="left" w:pos="9180"/>
        </w:tabs>
        <w:jc w:val="both"/>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b/>
          <w:u w:val="single"/>
          <w:lang w:val="en-CA"/>
        </w:rPr>
        <w:t>N/A</w:t>
      </w:r>
      <w:r>
        <w:rPr>
          <w:rFonts w:ascii="Arial" w:hAnsi="Arial"/>
          <w:lang w:val="en-CA"/>
        </w:rPr>
        <w:t>.</w:t>
      </w:r>
    </w:p>
    <w:p w14:paraId="13174716" w14:textId="77777777" w:rsidR="00717FC5" w:rsidRDefault="002512C9">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b/>
          <w:u w:val="single"/>
          <w:lang w:val="en-CA"/>
        </w:rPr>
        <w:t>N/A</w:t>
      </w:r>
      <w:r>
        <w:rPr>
          <w:rFonts w:ascii="Arial" w:hAnsi="Arial"/>
          <w:lang w:val="en-CA"/>
        </w:rPr>
        <w:t>.</w:t>
      </w:r>
    </w:p>
    <w:p w14:paraId="7F0ED182" w14:textId="77777777" w:rsidR="0042438D" w:rsidRDefault="0042438D">
      <w:pPr>
        <w:pStyle w:val="List"/>
        <w:tabs>
          <w:tab w:val="left" w:pos="1080"/>
        </w:tabs>
        <w:ind w:left="0" w:firstLine="0"/>
        <w:rPr>
          <w:rFonts w:ascii="Arial" w:hAnsi="Arial"/>
          <w:b/>
        </w:rPr>
      </w:pPr>
    </w:p>
    <w:p w14:paraId="7688631B" w14:textId="77777777" w:rsidR="00B012C6" w:rsidRDefault="00B012C6">
      <w:pPr>
        <w:pStyle w:val="List"/>
        <w:tabs>
          <w:tab w:val="left" w:pos="1080"/>
        </w:tabs>
        <w:ind w:left="0" w:firstLine="0"/>
        <w:rPr>
          <w:rFonts w:ascii="Arial" w:hAnsi="Arial"/>
          <w:b/>
        </w:rPr>
      </w:pPr>
    </w:p>
    <w:p w14:paraId="694EFED0" w14:textId="77777777" w:rsidR="00BB6618" w:rsidRDefault="00BB6618">
      <w:pPr>
        <w:pStyle w:val="List"/>
        <w:tabs>
          <w:tab w:val="left" w:pos="1080"/>
        </w:tabs>
        <w:ind w:left="0" w:firstLine="0"/>
        <w:rPr>
          <w:rFonts w:ascii="Arial" w:hAnsi="Arial"/>
          <w:b/>
        </w:rPr>
      </w:pPr>
    </w:p>
    <w:p w14:paraId="07B1B529" w14:textId="77777777" w:rsidR="00B9716D" w:rsidRDefault="00B9716D">
      <w:pPr>
        <w:pStyle w:val="List"/>
        <w:tabs>
          <w:tab w:val="left" w:pos="1080"/>
        </w:tabs>
        <w:ind w:left="0" w:firstLine="0"/>
        <w:rPr>
          <w:rFonts w:ascii="Arial" w:hAnsi="Arial"/>
          <w:b/>
        </w:rPr>
      </w:pPr>
    </w:p>
    <w:p w14:paraId="477F8AD6" w14:textId="77777777" w:rsidR="00B9716D" w:rsidRDefault="00B9716D">
      <w:pPr>
        <w:pStyle w:val="List"/>
        <w:tabs>
          <w:tab w:val="left" w:pos="1080"/>
        </w:tabs>
        <w:ind w:left="0" w:firstLine="0"/>
        <w:rPr>
          <w:rFonts w:ascii="Arial" w:hAnsi="Arial"/>
          <w:b/>
        </w:rPr>
      </w:pPr>
    </w:p>
    <w:p w14:paraId="02FDFC47" w14:textId="77777777" w:rsidR="00B9716D" w:rsidRDefault="00B9716D">
      <w:pPr>
        <w:pStyle w:val="List"/>
        <w:tabs>
          <w:tab w:val="left" w:pos="1080"/>
        </w:tabs>
        <w:ind w:left="0" w:firstLine="0"/>
        <w:rPr>
          <w:rFonts w:ascii="Arial" w:hAnsi="Arial"/>
          <w:b/>
        </w:rPr>
      </w:pPr>
    </w:p>
    <w:p w14:paraId="64C3DCAC" w14:textId="77777777" w:rsidR="00B9716D" w:rsidRDefault="00B9716D">
      <w:pPr>
        <w:pStyle w:val="List"/>
        <w:tabs>
          <w:tab w:val="left" w:pos="1080"/>
        </w:tabs>
        <w:ind w:left="0" w:firstLine="0"/>
        <w:rPr>
          <w:rFonts w:ascii="Arial" w:hAnsi="Arial"/>
          <w:b/>
        </w:rPr>
      </w:pPr>
    </w:p>
    <w:p w14:paraId="48F5AB1F" w14:textId="77777777" w:rsidR="00B9716D" w:rsidRDefault="00B9716D">
      <w:pPr>
        <w:pStyle w:val="List"/>
        <w:tabs>
          <w:tab w:val="left" w:pos="1080"/>
        </w:tabs>
        <w:ind w:left="0" w:firstLine="0"/>
        <w:rPr>
          <w:rFonts w:ascii="Arial" w:hAnsi="Arial"/>
          <w:b/>
        </w:rPr>
      </w:pPr>
    </w:p>
    <w:p w14:paraId="13B29FAD" w14:textId="77777777" w:rsidR="00B9716D" w:rsidRDefault="00B9716D">
      <w:pPr>
        <w:pStyle w:val="List"/>
        <w:tabs>
          <w:tab w:val="left" w:pos="1080"/>
        </w:tabs>
        <w:ind w:left="0" w:firstLine="0"/>
        <w:rPr>
          <w:rFonts w:ascii="Arial" w:hAnsi="Arial"/>
          <w:b/>
        </w:rPr>
      </w:pPr>
    </w:p>
    <w:p w14:paraId="46A47A67" w14:textId="77777777" w:rsidR="00B9716D" w:rsidRDefault="00B9716D">
      <w:pPr>
        <w:pStyle w:val="List"/>
        <w:tabs>
          <w:tab w:val="left" w:pos="1080"/>
        </w:tabs>
        <w:ind w:left="0" w:firstLine="0"/>
        <w:rPr>
          <w:rFonts w:ascii="Arial" w:hAnsi="Arial"/>
          <w:b/>
        </w:rPr>
      </w:pPr>
    </w:p>
    <w:p w14:paraId="57508F23" w14:textId="77777777" w:rsidR="00564C8C" w:rsidRDefault="00564C8C">
      <w:pPr>
        <w:pStyle w:val="List"/>
        <w:tabs>
          <w:tab w:val="left" w:pos="1080"/>
        </w:tabs>
        <w:ind w:left="0" w:firstLine="0"/>
        <w:rPr>
          <w:rFonts w:ascii="Arial" w:hAnsi="Arial"/>
          <w:b/>
        </w:rPr>
      </w:pPr>
    </w:p>
    <w:p w14:paraId="7C51E66F" w14:textId="77777777" w:rsidR="00564C8C" w:rsidRDefault="00564C8C">
      <w:pPr>
        <w:pStyle w:val="List"/>
        <w:tabs>
          <w:tab w:val="left" w:pos="1080"/>
        </w:tabs>
        <w:ind w:left="0" w:firstLine="0"/>
        <w:rPr>
          <w:rFonts w:ascii="Arial" w:hAnsi="Arial"/>
          <w:b/>
        </w:rPr>
      </w:pPr>
    </w:p>
    <w:p w14:paraId="16926315" w14:textId="2D16F913" w:rsidR="00717FC5" w:rsidRDefault="00FD400A">
      <w:pPr>
        <w:pStyle w:val="List"/>
        <w:tabs>
          <w:tab w:val="left" w:pos="1080"/>
        </w:tabs>
        <w:ind w:left="0" w:firstLine="0"/>
        <w:rPr>
          <w:rFonts w:ascii="Arial" w:hAnsi="Arial"/>
        </w:rPr>
      </w:pPr>
      <w:r>
        <w:rPr>
          <w:rFonts w:ascii="Arial" w:hAnsi="Arial"/>
          <w:b/>
        </w:rPr>
        <w:t>Certificate o</w:t>
      </w:r>
      <w:r w:rsidR="002512C9">
        <w:rPr>
          <w:rFonts w:ascii="Arial" w:hAnsi="Arial"/>
          <w:b/>
        </w:rPr>
        <w:t>f Compliance</w:t>
      </w:r>
    </w:p>
    <w:p w14:paraId="08EFD73A" w14:textId="77777777" w:rsidR="00717FC5" w:rsidRDefault="002512C9">
      <w:pPr>
        <w:pStyle w:val="BodyText"/>
        <w:rPr>
          <w:rFonts w:ascii="Arial" w:hAnsi="Arial"/>
        </w:rPr>
      </w:pPr>
      <w:r>
        <w:rPr>
          <w:rFonts w:ascii="Arial" w:hAnsi="Arial"/>
        </w:rPr>
        <w:t>The undersigned hereby certifies that:</w:t>
      </w:r>
    </w:p>
    <w:p w14:paraId="74208131" w14:textId="77777777" w:rsidR="00717FC5" w:rsidRDefault="002512C9">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1E092CB0" w14:textId="77777777" w:rsidR="00717FC5" w:rsidRDefault="002512C9">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61042763" w14:textId="77777777" w:rsidR="00717FC5" w:rsidRDefault="002512C9">
      <w:pPr>
        <w:pStyle w:val="List"/>
        <w:numPr>
          <w:ilvl w:val="0"/>
          <w:numId w:val="7"/>
        </w:numPr>
        <w:jc w:val="both"/>
        <w:rPr>
          <w:rFonts w:ascii="Arial" w:hAnsi="Arial"/>
        </w:rPr>
      </w:pPr>
      <w:r>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CSE Policy 1).</w:t>
      </w:r>
    </w:p>
    <w:p w14:paraId="7767FDCB" w14:textId="77777777" w:rsidR="00717FC5" w:rsidRDefault="002512C9">
      <w:pPr>
        <w:pStyle w:val="List"/>
        <w:numPr>
          <w:ilvl w:val="0"/>
          <w:numId w:val="7"/>
        </w:numPr>
        <w:jc w:val="both"/>
        <w:rPr>
          <w:rFonts w:ascii="Arial" w:hAnsi="Arial"/>
        </w:rPr>
      </w:pPr>
      <w:r>
        <w:rPr>
          <w:rFonts w:ascii="Arial" w:hAnsi="Arial"/>
        </w:rPr>
        <w:t>All of the information in this Form 9 Notice of Issuance of Securities is true.</w:t>
      </w:r>
    </w:p>
    <w:p w14:paraId="6B80461C" w14:textId="517D74BA" w:rsidR="00717FC5" w:rsidRDefault="002512C9">
      <w:pPr>
        <w:pStyle w:val="BodyText"/>
        <w:tabs>
          <w:tab w:val="left" w:pos="4680"/>
          <w:tab w:val="left" w:pos="7200"/>
        </w:tabs>
        <w:spacing w:before="480"/>
        <w:jc w:val="both"/>
        <w:rPr>
          <w:rFonts w:ascii="Arial" w:hAnsi="Arial"/>
          <w:b/>
        </w:rPr>
      </w:pPr>
      <w:r>
        <w:rPr>
          <w:rFonts w:ascii="Arial" w:hAnsi="Arial"/>
          <w:b/>
        </w:rPr>
        <w:t xml:space="preserve">Dated </w:t>
      </w:r>
      <w:r w:rsidR="00FD400A">
        <w:rPr>
          <w:rFonts w:ascii="Arial" w:hAnsi="Arial"/>
          <w:b/>
          <w:u w:val="single"/>
        </w:rPr>
        <w:t>November 13</w:t>
      </w:r>
      <w:r>
        <w:rPr>
          <w:rFonts w:ascii="Arial" w:hAnsi="Arial"/>
          <w:b/>
          <w:u w:val="single"/>
        </w:rPr>
        <w:t>, 2017</w:t>
      </w:r>
    </w:p>
    <w:p w14:paraId="330E99A2" w14:textId="45E2E81C" w:rsidR="00717FC5" w:rsidRDefault="002512C9">
      <w:pPr>
        <w:pStyle w:val="List"/>
        <w:tabs>
          <w:tab w:val="left" w:pos="9180"/>
        </w:tabs>
        <w:ind w:left="5760" w:hanging="5760"/>
        <w:rPr>
          <w:rFonts w:ascii="Arial" w:hAnsi="Arial"/>
        </w:rPr>
      </w:pPr>
      <w:r>
        <w:rPr>
          <w:rFonts w:ascii="Arial" w:hAnsi="Arial"/>
        </w:rPr>
        <w:t xml:space="preserve"> </w:t>
      </w:r>
      <w:r>
        <w:rPr>
          <w:rFonts w:ascii="Arial" w:hAnsi="Arial"/>
        </w:rPr>
        <w:tab/>
      </w:r>
      <w:proofErr w:type="spellStart"/>
      <w:r w:rsidR="00B9716D">
        <w:rPr>
          <w:rFonts w:ascii="Arial" w:hAnsi="Arial"/>
          <w:b/>
          <w:u w:val="single"/>
        </w:rPr>
        <w:t>Alen</w:t>
      </w:r>
      <w:proofErr w:type="spellEnd"/>
      <w:r w:rsidR="00B9716D">
        <w:rPr>
          <w:rFonts w:ascii="Arial" w:hAnsi="Arial"/>
          <w:b/>
          <w:u w:val="single"/>
        </w:rPr>
        <w:t xml:space="preserve"> Paul </w:t>
      </w:r>
      <w:proofErr w:type="spellStart"/>
      <w:r w:rsidR="00B9716D">
        <w:rPr>
          <w:rFonts w:ascii="Arial" w:hAnsi="Arial"/>
          <w:b/>
          <w:u w:val="single"/>
        </w:rPr>
        <w:t>Silverrstieen</w:t>
      </w:r>
      <w:proofErr w:type="spellEnd"/>
      <w:r>
        <w:rPr>
          <w:rFonts w:ascii="Arial" w:hAnsi="Arial"/>
          <w:b/>
          <w:u w:val="single"/>
        </w:rPr>
        <w:tab/>
      </w:r>
      <w:r>
        <w:rPr>
          <w:rFonts w:ascii="Arial" w:hAnsi="Arial"/>
          <w:b/>
          <w:u w:val="single"/>
        </w:rPr>
        <w:br/>
      </w:r>
      <w:r>
        <w:rPr>
          <w:rFonts w:ascii="Arial" w:hAnsi="Arial"/>
        </w:rPr>
        <w:t>Name of Director or Senior Officer</w:t>
      </w:r>
    </w:p>
    <w:p w14:paraId="5228A043" w14:textId="75AA5AEC" w:rsidR="00717FC5" w:rsidRDefault="002512C9">
      <w:pPr>
        <w:pStyle w:val="List"/>
        <w:tabs>
          <w:tab w:val="left" w:pos="9180"/>
          <w:tab w:val="left" w:pos="9360"/>
        </w:tabs>
        <w:ind w:left="5760" w:hanging="5760"/>
        <w:rPr>
          <w:rFonts w:ascii="Arial" w:hAnsi="Arial"/>
        </w:rPr>
      </w:pPr>
      <w:r>
        <w:rPr>
          <w:rFonts w:ascii="Arial" w:hAnsi="Arial"/>
        </w:rPr>
        <w:tab/>
      </w:r>
      <w:r w:rsidR="0042438D" w:rsidRPr="0042438D">
        <w:rPr>
          <w:rFonts w:ascii="Arial" w:hAnsi="Arial"/>
          <w:b/>
          <w:u w:val="single"/>
        </w:rPr>
        <w:t>“</w:t>
      </w:r>
      <w:proofErr w:type="spellStart"/>
      <w:r w:rsidR="00B9716D">
        <w:rPr>
          <w:rFonts w:ascii="Arial" w:hAnsi="Arial"/>
          <w:b/>
          <w:u w:val="single"/>
        </w:rPr>
        <w:t>Alen</w:t>
      </w:r>
      <w:proofErr w:type="spellEnd"/>
      <w:r w:rsidR="00B9716D">
        <w:rPr>
          <w:rFonts w:ascii="Arial" w:hAnsi="Arial"/>
          <w:b/>
          <w:u w:val="single"/>
        </w:rPr>
        <w:t xml:space="preserve"> Paul </w:t>
      </w:r>
      <w:proofErr w:type="spellStart"/>
      <w:r w:rsidR="00B9716D">
        <w:rPr>
          <w:rFonts w:ascii="Arial" w:hAnsi="Arial"/>
          <w:b/>
          <w:u w:val="single"/>
        </w:rPr>
        <w:t>Silverrstieen</w:t>
      </w:r>
      <w:proofErr w:type="spellEnd"/>
      <w:r w:rsidR="0042438D" w:rsidRPr="0042438D">
        <w:rPr>
          <w:rFonts w:ascii="Arial" w:hAnsi="Arial"/>
          <w:b/>
          <w:u w:val="single"/>
        </w:rPr>
        <w:t>”</w:t>
      </w:r>
      <w:r>
        <w:rPr>
          <w:rFonts w:ascii="Arial" w:hAnsi="Arial"/>
          <w:u w:val="single"/>
        </w:rPr>
        <w:tab/>
      </w:r>
      <w:r>
        <w:rPr>
          <w:rFonts w:ascii="Arial" w:hAnsi="Arial"/>
        </w:rPr>
        <w:br/>
        <w:t>Signature</w:t>
      </w:r>
    </w:p>
    <w:p w14:paraId="7B98FDF5" w14:textId="73DABD5A" w:rsidR="00717FC5" w:rsidRDefault="002512C9">
      <w:pPr>
        <w:pStyle w:val="List"/>
        <w:tabs>
          <w:tab w:val="left" w:pos="9180"/>
          <w:tab w:val="left" w:pos="9360"/>
        </w:tabs>
        <w:ind w:left="5760" w:hanging="5760"/>
        <w:rPr>
          <w:rFonts w:ascii="Arial" w:hAnsi="Arial"/>
        </w:rPr>
      </w:pPr>
      <w:r>
        <w:rPr>
          <w:rFonts w:ascii="Arial" w:hAnsi="Arial"/>
        </w:rPr>
        <w:tab/>
      </w:r>
      <w:r w:rsidR="00B9716D">
        <w:rPr>
          <w:rFonts w:ascii="Arial" w:hAnsi="Arial"/>
          <w:b/>
          <w:u w:val="single"/>
        </w:rPr>
        <w:t>President &amp; CEO</w:t>
      </w:r>
      <w:r>
        <w:rPr>
          <w:rFonts w:ascii="Arial" w:hAnsi="Arial"/>
          <w:b/>
          <w:u w:val="single"/>
        </w:rPr>
        <w:tab/>
      </w:r>
      <w:r>
        <w:rPr>
          <w:rFonts w:ascii="Arial" w:hAnsi="Arial"/>
          <w:b/>
        </w:rPr>
        <w:br/>
      </w:r>
      <w:r>
        <w:rPr>
          <w:rFonts w:ascii="Arial" w:hAnsi="Arial"/>
        </w:rPr>
        <w:t>Official Capacity</w:t>
      </w:r>
    </w:p>
    <w:sectPr w:rsidR="00717FC5" w:rsidSect="0046755F">
      <w:footerReference w:type="default" r:id="rId7"/>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80DC3" w14:textId="77777777" w:rsidR="00F87DA1" w:rsidRDefault="00F87DA1">
      <w:r>
        <w:separator/>
      </w:r>
    </w:p>
  </w:endnote>
  <w:endnote w:type="continuationSeparator" w:id="0">
    <w:p w14:paraId="175D3B47" w14:textId="77777777" w:rsidR="00F87DA1" w:rsidRDefault="00F87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7109A" w14:textId="77777777" w:rsidR="00A24CAE" w:rsidRDefault="00A24CAE">
    <w:pPr>
      <w:tabs>
        <w:tab w:val="center" w:pos="4674"/>
        <w:tab w:val="left" w:pos="8460"/>
      </w:tabs>
      <w:jc w:val="center"/>
      <w:rPr>
        <w:rStyle w:val="PageNumber"/>
      </w:rPr>
    </w:pPr>
    <w:r>
      <w:rPr>
        <w:b/>
        <w:noProof/>
      </w:rPr>
      <mc:AlternateContent>
        <mc:Choice Requires="wps">
          <w:drawing>
            <wp:anchor distT="4294967295" distB="4294967295" distL="114300" distR="114300" simplePos="0" relativeHeight="251657728" behindDoc="0" locked="0" layoutInCell="1" allowOverlap="1" wp14:anchorId="0B6E8AE8" wp14:editId="2AD3AD77">
              <wp:simplePos x="0" y="0"/>
              <wp:positionH relativeFrom="column">
                <wp:posOffset>51435</wp:posOffset>
              </wp:positionH>
              <wp:positionV relativeFrom="paragraph">
                <wp:posOffset>-20321</wp:posOffset>
              </wp:positionV>
              <wp:extent cx="5863590" cy="0"/>
              <wp:effectExtent l="0" t="0" r="29210" b="254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77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4.05pt,-1.55pt" to="465.75pt,-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"/>
          </w:pict>
        </mc:Fallback>
      </mc:AlternateContent>
    </w:r>
    <w:r>
      <w:rPr>
        <w:rFonts w:ascii="Arial" w:hAnsi="Arial" w:cs="Arial"/>
        <w:b/>
      </w:rPr>
      <w:t>FORM 9 – NOTICE OF PROPOSED ISSUANCE OF</w:t>
    </w:r>
  </w:p>
  <w:p w14:paraId="0D64B5FF" w14:textId="77777777" w:rsidR="00A24CAE" w:rsidRDefault="00A24CAE">
    <w:pPr>
      <w:tabs>
        <w:tab w:val="center" w:pos="4674"/>
        <w:tab w:val="left" w:pos="8460"/>
      </w:tabs>
      <w:jc w:val="center"/>
      <w:rPr>
        <w:rStyle w:val="PageNumber"/>
      </w:rPr>
    </w:pPr>
    <w:r>
      <w:rPr>
        <w:rFonts w:ascii="Arial" w:hAnsi="Arial" w:cs="Arial"/>
        <w:b/>
      </w:rPr>
      <w:t>LISTED SECURITIES</w:t>
    </w:r>
  </w:p>
  <w:p w14:paraId="6BA6A724" w14:textId="77777777" w:rsidR="00A24CAE" w:rsidRDefault="00A24CAE">
    <w:pPr>
      <w:pStyle w:val="Footer"/>
      <w:tabs>
        <w:tab w:val="clear" w:pos="4320"/>
        <w:tab w:val="clear" w:pos="8640"/>
        <w:tab w:val="center" w:pos="4860"/>
        <w:tab w:val="right" w:pos="9360"/>
      </w:tabs>
      <w:jc w:val="center"/>
      <w:rPr>
        <w:rStyle w:val="PageNumber"/>
      </w:rPr>
    </w:pPr>
    <w:r>
      <w:rPr>
        <w:rStyle w:val="PageNumber"/>
        <w:rFonts w:ascii="Arial" w:hAnsi="Arial" w:cs="Arial"/>
        <w:sz w:val="16"/>
        <w:szCs w:val="16"/>
      </w:rPr>
      <w:t>January 2015</w:t>
    </w:r>
  </w:p>
  <w:p w14:paraId="7366F00F" w14:textId="77777777" w:rsidR="00A24CAE" w:rsidRDefault="00A24CAE">
    <w:pPr>
      <w:pStyle w:val="Footer"/>
      <w:jc w:val="center"/>
      <w:rPr>
        <w:rStyle w:val="PageNumber"/>
      </w:rPr>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463611">
      <w:rPr>
        <w:rStyle w:val="PageNumber"/>
        <w:rFonts w:ascii="Arial" w:hAnsi="Arial" w:cs="Arial"/>
        <w:noProof/>
        <w:sz w:val="16"/>
        <w:szCs w:val="16"/>
      </w:rPr>
      <w:t>3</w:t>
    </w:r>
    <w:r>
      <w:rPr>
        <w:rStyle w:val="PageNumber"/>
        <w:rFonts w:ascii="Arial" w:hAnsi="Arial" w:cs="Arial"/>
        <w:sz w:val="16"/>
        <w:szCs w:val="16"/>
      </w:rPr>
      <w:fldChar w:fldCharType="end"/>
    </w:r>
  </w:p>
  <w:p w14:paraId="4F146383" w14:textId="77777777" w:rsidR="00A24CAE" w:rsidRDefault="00F87DA1">
    <w:pPr>
      <w:pStyle w:val="Footer"/>
    </w:pPr>
    <w:r>
      <w:fldChar w:fldCharType="begin"/>
    </w:r>
    <w:r>
      <w:instrText xml:space="preserve"> DOCPROPERTY "DocID" \* MERGEFORMAT </w:instrText>
    </w:r>
    <w:r>
      <w:fldChar w:fldCharType="separate"/>
    </w:r>
    <w:r w:rsidR="00A24CAE">
      <w:rPr>
        <w:rStyle w:val="DocID"/>
      </w:rPr>
      <w:t>CAN: 23747476.1</w:t>
    </w:r>
    <w:r>
      <w:rPr>
        <w:rStyle w:val="DocID"/>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142C4" w14:textId="77777777" w:rsidR="00F87DA1" w:rsidRDefault="00F87DA1">
      <w:r>
        <w:separator/>
      </w:r>
    </w:p>
  </w:footnote>
  <w:footnote w:type="continuationSeparator" w:id="0">
    <w:p w14:paraId="4F6958E7" w14:textId="77777777" w:rsidR="00F87DA1" w:rsidRDefault="00F87D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nsid w:val="2743661E"/>
    <w:multiLevelType w:val="multilevel"/>
    <w:tmpl w:val="01D4A29E"/>
    <w:lvl w:ilvl="0">
      <w:start w:val="10"/>
      <w:numFmt w:val="decimal"/>
      <w:pStyle w:val="HeadingsL4"/>
      <w:lvlText w:val="%1."/>
      <w:lvlJc w:val="left"/>
      <w:pPr>
        <w:tabs>
          <w:tab w:val="num" w:pos="720"/>
        </w:tabs>
        <w:ind w:left="720" w:hanging="720"/>
      </w:pPr>
      <w:rPr>
        <w:rFonts w:ascii="Times New Roman" w:hAnsi="Times New Roman" w:hint="default"/>
        <w:b w:val="0"/>
        <w:i w:val="0"/>
        <w:sz w:val="18"/>
        <w:szCs w:val="18"/>
      </w:rPr>
    </w:lvl>
    <w:lvl w:ilvl="1">
      <w:start w:val="1"/>
      <w:numFmt w:val="lowerLetter"/>
      <w:pStyle w:val="HeadingsL2"/>
      <w:lvlText w:val="(%2)"/>
      <w:lvlJc w:val="left"/>
      <w:pPr>
        <w:tabs>
          <w:tab w:val="num" w:pos="1350"/>
        </w:tabs>
        <w:ind w:left="1350" w:hanging="720"/>
      </w:pPr>
      <w:rPr>
        <w:rFonts w:hint="default"/>
      </w:rPr>
    </w:lvl>
    <w:lvl w:ilvl="2">
      <w:start w:val="1"/>
      <w:numFmt w:val="lowerRoman"/>
      <w:pStyle w:val="HeadingsL3"/>
      <w:lvlText w:val="(%3)"/>
      <w:lvlJc w:val="left"/>
      <w:pPr>
        <w:tabs>
          <w:tab w:val="num" w:pos="2160"/>
        </w:tabs>
        <w:ind w:left="2160" w:hanging="720"/>
      </w:pPr>
      <w:rPr>
        <w:rFonts w:hint="default"/>
        <w:b w:val="0"/>
        <w:sz w:val="18"/>
      </w:rPr>
    </w:lvl>
    <w:lvl w:ilvl="3">
      <w:start w:val="1"/>
      <w:numFmt w:val="lowerLetter"/>
      <w:pStyle w:val="HeadingsL4"/>
      <w:lvlText w:val="%4)"/>
      <w:lvlJc w:val="left"/>
      <w:pPr>
        <w:tabs>
          <w:tab w:val="num" w:pos="2880"/>
        </w:tabs>
        <w:ind w:left="2880" w:hanging="720"/>
      </w:pPr>
      <w:rPr>
        <w:rFonts w:ascii="Times New Roman" w:eastAsia="Times New Roman" w:hAnsi="Times New Roman" w:cs="Times New Roman" w:hint="default"/>
      </w:rPr>
    </w:lvl>
    <w:lvl w:ilvl="4">
      <w:start w:val="1"/>
      <w:numFmt w:val="decimal"/>
      <w:pStyle w:val="HeadingsL5"/>
      <w:lvlText w:val="%5)"/>
      <w:lvlJc w:val="left"/>
      <w:pPr>
        <w:tabs>
          <w:tab w:val="num" w:pos="3600"/>
        </w:tabs>
        <w:ind w:left="3600" w:hanging="720"/>
      </w:pPr>
      <w:rPr>
        <w:rFonts w:hint="default"/>
      </w:rPr>
    </w:lvl>
    <w:lvl w:ilvl="5">
      <w:start w:val="1"/>
      <w:numFmt w:val="lowerLetter"/>
      <w:pStyle w:val="HeadingsL6"/>
      <w:lvlText w:val="%6)"/>
      <w:lvlJc w:val="left"/>
      <w:pPr>
        <w:tabs>
          <w:tab w:val="num" w:pos="4320"/>
        </w:tabs>
        <w:ind w:left="4320" w:hanging="720"/>
      </w:pPr>
      <w:rPr>
        <w:rFonts w:hint="default"/>
      </w:rPr>
    </w:lvl>
    <w:lvl w:ilvl="6">
      <w:start w:val="1"/>
      <w:numFmt w:val="lowerRoman"/>
      <w:pStyle w:val="HeadingsL7"/>
      <w:lvlText w:val="%7)"/>
      <w:lvlJc w:val="left"/>
      <w:pPr>
        <w:tabs>
          <w:tab w:val="num" w:pos="5040"/>
        </w:tabs>
        <w:ind w:left="5040" w:hanging="720"/>
      </w:pPr>
      <w:rPr>
        <w:rFonts w:hint="default"/>
      </w:rPr>
    </w:lvl>
    <w:lvl w:ilvl="7">
      <w:start w:val="1"/>
      <w:numFmt w:val="decimal"/>
      <w:pStyle w:val="HeadingsL8"/>
      <w:lvlText w:val="%8)"/>
      <w:lvlJc w:val="left"/>
      <w:pPr>
        <w:tabs>
          <w:tab w:val="num" w:pos="5760"/>
        </w:tabs>
        <w:ind w:left="5760" w:hanging="720"/>
      </w:pPr>
      <w:rPr>
        <w:rFonts w:hint="default"/>
      </w:rPr>
    </w:lvl>
    <w:lvl w:ilvl="8">
      <w:start w:val="1"/>
      <w:numFmt w:val="lowerLetter"/>
      <w:pStyle w:val="HeadingsL9"/>
      <w:lvlText w:val="(%9)"/>
      <w:lvlJc w:val="left"/>
      <w:pPr>
        <w:tabs>
          <w:tab w:val="num" w:pos="6480"/>
        </w:tabs>
        <w:ind w:left="6480" w:hanging="720"/>
      </w:pPr>
      <w:rPr>
        <w:rFonts w:hint="default"/>
      </w:rPr>
    </w:lvl>
  </w:abstractNum>
  <w:abstractNum w:abstractNumId="4">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5">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6">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7">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9">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1">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2">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3">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4">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5">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6">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3"/>
  </w:num>
  <w:num w:numId="3">
    <w:abstractNumId w:val="10"/>
  </w:num>
  <w:num w:numId="4">
    <w:abstractNumId w:val="14"/>
  </w:num>
  <w:num w:numId="5">
    <w:abstractNumId w:val="12"/>
  </w:num>
  <w:num w:numId="6">
    <w:abstractNumId w:val="0"/>
  </w:num>
  <w:num w:numId="7">
    <w:abstractNumId w:val="11"/>
  </w:num>
  <w:num w:numId="8">
    <w:abstractNumId w:val="6"/>
  </w:num>
  <w:num w:numId="9">
    <w:abstractNumId w:val="8"/>
  </w:num>
  <w:num w:numId="10">
    <w:abstractNumId w:val="5"/>
  </w:num>
  <w:num w:numId="11">
    <w:abstractNumId w:val="15"/>
  </w:num>
  <w:num w:numId="12">
    <w:abstractNumId w:val="17"/>
  </w:num>
  <w:num w:numId="13">
    <w:abstractNumId w:val="4"/>
  </w:num>
  <w:num w:numId="14">
    <w:abstractNumId w:val="9"/>
  </w:num>
  <w:num w:numId="15">
    <w:abstractNumId w:val="1"/>
  </w:num>
  <w:num w:numId="16">
    <w:abstractNumId w:val="16"/>
  </w:num>
  <w:num w:numId="17">
    <w:abstractNumId w:val="7"/>
  </w:num>
  <w:num w:numId="18">
    <w:abstractNumId w:val="3"/>
    <w:lvlOverride w:ilvl="0">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Author" w:val="False"/>
    <w:docVar w:name="DocIDClientMatter" w:val="False"/>
    <w:docVar w:name="DocIDDate" w:val="False"/>
    <w:docVar w:name="DocIDDateText" w:val="False"/>
    <w:docVar w:name="DocIDDraft" w:val="False"/>
    <w:docVar w:name="DocIDFileName" w:val="False"/>
    <w:docVar w:name="DocIDFooter" w:val="True"/>
    <w:docVar w:name="DocIDLibrary" w:val="False"/>
    <w:docVar w:name="DocIDLongDate" w:val="False"/>
    <w:docVar w:name="DocIDTime" w:val="False"/>
    <w:docVar w:name="DocIDType" w:val="AllPages"/>
    <w:docVar w:name="DocIDTypist" w:val="False"/>
    <w:docVar w:name="DocIDVersion" w:val="True"/>
    <w:docVar w:name="LegacyDocIDRemoved" w:val="True"/>
  </w:docVars>
  <w:rsids>
    <w:rsidRoot w:val="00717FC5"/>
    <w:rsid w:val="000245CE"/>
    <w:rsid w:val="000658A3"/>
    <w:rsid w:val="00164AA2"/>
    <w:rsid w:val="001A508B"/>
    <w:rsid w:val="002512C9"/>
    <w:rsid w:val="002A6090"/>
    <w:rsid w:val="00301316"/>
    <w:rsid w:val="00343425"/>
    <w:rsid w:val="0039220A"/>
    <w:rsid w:val="003939B0"/>
    <w:rsid w:val="003B1118"/>
    <w:rsid w:val="003E0E6E"/>
    <w:rsid w:val="003E0FDA"/>
    <w:rsid w:val="0042438D"/>
    <w:rsid w:val="00443C1B"/>
    <w:rsid w:val="00463611"/>
    <w:rsid w:val="0046755F"/>
    <w:rsid w:val="004A2D18"/>
    <w:rsid w:val="004C22A5"/>
    <w:rsid w:val="005021A4"/>
    <w:rsid w:val="00527A27"/>
    <w:rsid w:val="00564C8C"/>
    <w:rsid w:val="00581DC2"/>
    <w:rsid w:val="005B65C7"/>
    <w:rsid w:val="00640DF1"/>
    <w:rsid w:val="00651AAF"/>
    <w:rsid w:val="00651D75"/>
    <w:rsid w:val="006B57BE"/>
    <w:rsid w:val="006C05A4"/>
    <w:rsid w:val="00717FC5"/>
    <w:rsid w:val="0073299C"/>
    <w:rsid w:val="00760D4B"/>
    <w:rsid w:val="007E0530"/>
    <w:rsid w:val="0090710A"/>
    <w:rsid w:val="00921298"/>
    <w:rsid w:val="0094083B"/>
    <w:rsid w:val="00997C34"/>
    <w:rsid w:val="009A2501"/>
    <w:rsid w:val="009C15BF"/>
    <w:rsid w:val="009E064C"/>
    <w:rsid w:val="00A24CAE"/>
    <w:rsid w:val="00A96B51"/>
    <w:rsid w:val="00AE7C6C"/>
    <w:rsid w:val="00B012C6"/>
    <w:rsid w:val="00B9716D"/>
    <w:rsid w:val="00BB2F29"/>
    <w:rsid w:val="00BB6618"/>
    <w:rsid w:val="00BE0024"/>
    <w:rsid w:val="00C22D31"/>
    <w:rsid w:val="00CA3826"/>
    <w:rsid w:val="00CB1EA4"/>
    <w:rsid w:val="00D337E3"/>
    <w:rsid w:val="00DC6A0C"/>
    <w:rsid w:val="00DD2445"/>
    <w:rsid w:val="00ED3810"/>
    <w:rsid w:val="00F746C5"/>
    <w:rsid w:val="00F87DA1"/>
    <w:rsid w:val="00FA2339"/>
    <w:rsid w:val="00FB4ED7"/>
    <w:rsid w:val="00FD400A"/>
  </w:rsids>
  <m:mathPr>
    <m:mathFont m:val="Cambria Math"/>
    <m:brkBin m:val="before"/>
    <m:brkBinSub m:val="--"/>
    <m:smallFrac/>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9149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755F"/>
  </w:style>
  <w:style w:type="paragraph" w:styleId="Heading1">
    <w:name w:val="heading 1"/>
    <w:basedOn w:val="Normal"/>
    <w:next w:val="Normal"/>
    <w:link w:val="Heading1Char"/>
    <w:uiPriority w:val="9"/>
    <w:qFormat/>
    <w:rsid w:val="004675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
    <w:qFormat/>
    <w:rsid w:val="0046755F"/>
    <w:pPr>
      <w:keepNext/>
      <w:ind w:left="1080" w:hanging="1080"/>
      <w:outlineLvl w:val="1"/>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6755F"/>
    <w:pPr>
      <w:spacing w:before="240"/>
    </w:pPr>
    <w:rPr>
      <w:sz w:val="24"/>
      <w:lang w:val="en-GB"/>
    </w:rPr>
  </w:style>
  <w:style w:type="paragraph" w:styleId="List">
    <w:name w:val="List"/>
    <w:basedOn w:val="BodyText"/>
    <w:rsid w:val="0046755F"/>
    <w:pPr>
      <w:ind w:left="1080" w:hanging="1080"/>
    </w:pPr>
  </w:style>
  <w:style w:type="paragraph" w:styleId="List2">
    <w:name w:val="List 2"/>
    <w:basedOn w:val="List"/>
    <w:rsid w:val="0046755F"/>
    <w:pPr>
      <w:ind w:left="1800" w:hanging="720"/>
    </w:pPr>
  </w:style>
  <w:style w:type="paragraph" w:styleId="Title">
    <w:name w:val="Title"/>
    <w:basedOn w:val="BodyText"/>
    <w:qFormat/>
    <w:rsid w:val="0046755F"/>
    <w:pPr>
      <w:spacing w:after="240"/>
      <w:jc w:val="center"/>
    </w:pPr>
    <w:rPr>
      <w:rFonts w:ascii="Arial" w:hAnsi="Arial"/>
      <w:b/>
      <w:sz w:val="40"/>
    </w:rPr>
  </w:style>
  <w:style w:type="paragraph" w:customStyle="1" w:styleId="amend">
    <w:name w:val="amend"/>
    <w:basedOn w:val="Normal"/>
    <w:rsid w:val="0046755F"/>
    <w:pPr>
      <w:tabs>
        <w:tab w:val="left" w:pos="1080"/>
      </w:tabs>
      <w:spacing w:before="40" w:after="40"/>
      <w:jc w:val="right"/>
    </w:pPr>
    <w:rPr>
      <w:rFonts w:ascii="Arial" w:hAnsi="Arial"/>
      <w:b/>
      <w:sz w:val="24"/>
      <w:vertAlign w:val="superscript"/>
      <w:lang w:val="en-GB"/>
    </w:rPr>
  </w:style>
  <w:style w:type="paragraph" w:styleId="Header">
    <w:name w:val="header"/>
    <w:basedOn w:val="Normal"/>
    <w:rsid w:val="0046755F"/>
    <w:pPr>
      <w:tabs>
        <w:tab w:val="center" w:pos="4320"/>
        <w:tab w:val="right" w:pos="8640"/>
      </w:tabs>
    </w:pPr>
  </w:style>
  <w:style w:type="paragraph" w:styleId="Footer">
    <w:name w:val="footer"/>
    <w:basedOn w:val="Normal"/>
    <w:rsid w:val="0046755F"/>
    <w:pPr>
      <w:tabs>
        <w:tab w:val="center" w:pos="4320"/>
        <w:tab w:val="right" w:pos="8640"/>
      </w:tabs>
    </w:pPr>
  </w:style>
  <w:style w:type="character" w:styleId="PageNumber">
    <w:name w:val="page number"/>
    <w:basedOn w:val="DefaultParagraphFont"/>
    <w:rsid w:val="0046755F"/>
  </w:style>
  <w:style w:type="paragraph" w:styleId="EndnoteText">
    <w:name w:val="endnote text"/>
    <w:basedOn w:val="Normal"/>
    <w:semiHidden/>
    <w:rsid w:val="0046755F"/>
    <w:pPr>
      <w:widowControl w:val="0"/>
    </w:pPr>
    <w:rPr>
      <w:rFonts w:ascii="Helv 12pt" w:hAnsi="Helv 12pt"/>
      <w:sz w:val="24"/>
    </w:rPr>
  </w:style>
  <w:style w:type="paragraph" w:styleId="BalloonText">
    <w:name w:val="Balloon Text"/>
    <w:basedOn w:val="Normal"/>
    <w:semiHidden/>
    <w:rsid w:val="0046755F"/>
    <w:rPr>
      <w:rFonts w:ascii="Tahoma" w:hAnsi="Tahoma" w:cs="Tahoma"/>
      <w:sz w:val="16"/>
      <w:szCs w:val="16"/>
    </w:rPr>
  </w:style>
  <w:style w:type="paragraph" w:styleId="FootnoteText">
    <w:name w:val="footnote text"/>
    <w:basedOn w:val="Normal"/>
    <w:semiHidden/>
    <w:rsid w:val="0046755F"/>
  </w:style>
  <w:style w:type="character" w:styleId="FootnoteReference">
    <w:name w:val="footnote reference"/>
    <w:semiHidden/>
    <w:rsid w:val="0046755F"/>
    <w:rPr>
      <w:vertAlign w:val="superscript"/>
    </w:rPr>
  </w:style>
  <w:style w:type="character" w:customStyle="1" w:styleId="Heading1Char">
    <w:name w:val="Heading 1 Char"/>
    <w:basedOn w:val="DefaultParagraphFont"/>
    <w:link w:val="Heading1"/>
    <w:uiPriority w:val="9"/>
    <w:rsid w:val="0046755F"/>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sid w:val="0046755F"/>
    <w:rPr>
      <w:rFonts w:ascii="Arial" w:hAnsi="Arial" w:cs="Arial"/>
      <w:b w:val="0"/>
      <w:i w:val="0"/>
      <w:caps w:val="0"/>
      <w:vanish w:val="0"/>
      <w:color w:val="000000"/>
      <w:sz w:val="14"/>
      <w:u w:val="none"/>
    </w:rPr>
  </w:style>
  <w:style w:type="paragraph" w:customStyle="1" w:styleId="HeadingsL2">
    <w:name w:val="Headings_L2"/>
    <w:basedOn w:val="Normal"/>
    <w:rsid w:val="00BB6618"/>
    <w:pPr>
      <w:numPr>
        <w:ilvl w:val="1"/>
        <w:numId w:val="18"/>
      </w:numPr>
      <w:spacing w:before="240"/>
      <w:jc w:val="both"/>
    </w:pPr>
    <w:rPr>
      <w:sz w:val="22"/>
    </w:rPr>
  </w:style>
  <w:style w:type="paragraph" w:customStyle="1" w:styleId="HeadingsL3">
    <w:name w:val="Headings_L3"/>
    <w:basedOn w:val="Normal"/>
    <w:rsid w:val="00BB6618"/>
    <w:pPr>
      <w:numPr>
        <w:ilvl w:val="2"/>
        <w:numId w:val="18"/>
      </w:numPr>
      <w:spacing w:before="240"/>
      <w:jc w:val="both"/>
    </w:pPr>
    <w:rPr>
      <w:sz w:val="22"/>
    </w:rPr>
  </w:style>
  <w:style w:type="paragraph" w:customStyle="1" w:styleId="HeadingsL4">
    <w:name w:val="Headings_L4"/>
    <w:basedOn w:val="Normal"/>
    <w:rsid w:val="00BB6618"/>
    <w:pPr>
      <w:numPr>
        <w:ilvl w:val="3"/>
        <w:numId w:val="18"/>
      </w:numPr>
      <w:spacing w:before="240"/>
      <w:jc w:val="both"/>
    </w:pPr>
    <w:rPr>
      <w:sz w:val="22"/>
    </w:rPr>
  </w:style>
  <w:style w:type="paragraph" w:customStyle="1" w:styleId="HeadingsL5">
    <w:name w:val="Headings_L5"/>
    <w:basedOn w:val="Normal"/>
    <w:rsid w:val="00BB6618"/>
    <w:pPr>
      <w:numPr>
        <w:ilvl w:val="4"/>
        <w:numId w:val="18"/>
      </w:numPr>
      <w:spacing w:before="240"/>
      <w:jc w:val="both"/>
    </w:pPr>
    <w:rPr>
      <w:sz w:val="22"/>
    </w:rPr>
  </w:style>
  <w:style w:type="paragraph" w:customStyle="1" w:styleId="HeadingsL6">
    <w:name w:val="Headings_L6"/>
    <w:basedOn w:val="Normal"/>
    <w:rsid w:val="00BB6618"/>
    <w:pPr>
      <w:numPr>
        <w:ilvl w:val="5"/>
        <w:numId w:val="18"/>
      </w:numPr>
      <w:spacing w:before="240"/>
      <w:jc w:val="both"/>
    </w:pPr>
  </w:style>
  <w:style w:type="paragraph" w:customStyle="1" w:styleId="HeadingsL7">
    <w:name w:val="Headings_L7"/>
    <w:basedOn w:val="Normal"/>
    <w:rsid w:val="00BB6618"/>
    <w:pPr>
      <w:numPr>
        <w:ilvl w:val="6"/>
        <w:numId w:val="18"/>
      </w:numPr>
      <w:spacing w:before="240"/>
      <w:jc w:val="both"/>
    </w:pPr>
  </w:style>
  <w:style w:type="paragraph" w:customStyle="1" w:styleId="HeadingsL8">
    <w:name w:val="Headings_L8"/>
    <w:basedOn w:val="Normal"/>
    <w:rsid w:val="00BB6618"/>
    <w:pPr>
      <w:numPr>
        <w:ilvl w:val="7"/>
        <w:numId w:val="18"/>
      </w:numPr>
      <w:spacing w:before="240"/>
      <w:jc w:val="both"/>
    </w:pPr>
  </w:style>
  <w:style w:type="paragraph" w:customStyle="1" w:styleId="HeadingsL9">
    <w:name w:val="Headings_L9"/>
    <w:basedOn w:val="Normal"/>
    <w:rsid w:val="00BB6618"/>
    <w:pPr>
      <w:numPr>
        <w:ilvl w:val="8"/>
        <w:numId w:val="18"/>
      </w:numPr>
      <w:spacing w:before="2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1494</Words>
  <Characters>8518</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9993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Kelly Pladson</cp:lastModifiedBy>
  <cp:revision>4</cp:revision>
  <cp:lastPrinted>2017-02-06T21:10:00Z</cp:lastPrinted>
  <dcterms:created xsi:type="dcterms:W3CDTF">2017-11-13T22:50:00Z</dcterms:created>
  <dcterms:modified xsi:type="dcterms:W3CDTF">2017-11-13T23:01:00Z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-1234525863</vt:i4>
  </property>
  <property fmtid="{D5CDD505-2E9C-101B-9397-08002B2CF9AE}" pid="3" name="DocID">
    <vt:lpwstr>CAN: 23747476.1</vt:lpwstr>
  </property>
  <property fmtid="{D5CDD505-2E9C-101B-9397-08002B2CF9AE}" pid="4" name="WS_TRACKING_ID">
    <vt:lpwstr>1c921f25-22b2-42da-9646-732ede830b06</vt:lpwstr>
  </property>
</Properties>
</file>