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2E47" w14:textId="77777777" w:rsidR="00EA4133" w:rsidRPr="0001060A" w:rsidRDefault="00EA4133">
      <w:pPr>
        <w:pStyle w:val="Title"/>
        <w:spacing w:before="0"/>
        <w:rPr>
          <w:sz w:val="28"/>
          <w:lang w:val="en-CA"/>
        </w:rPr>
      </w:pPr>
      <w:r w:rsidRPr="0001060A">
        <w:rPr>
          <w:sz w:val="28"/>
          <w:lang w:val="en-CA"/>
        </w:rPr>
        <w:t>FORM 9</w:t>
      </w:r>
    </w:p>
    <w:p w14:paraId="52371C54"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2746A7BF"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5C9E0D12" w14:textId="77777777" w:rsidR="00EA4133" w:rsidRDefault="00EA4133">
      <w:pPr>
        <w:pStyle w:val="BodyText"/>
        <w:rPr>
          <w:rFonts w:ascii="Arial" w:hAnsi="Arial"/>
          <w:lang w:val="en-CA"/>
        </w:rPr>
      </w:pPr>
      <w:r>
        <w:rPr>
          <w:rFonts w:ascii="Arial" w:hAnsi="Arial"/>
          <w:lang w:val="en-CA"/>
        </w:rPr>
        <w:t>Please complete the following:</w:t>
      </w:r>
    </w:p>
    <w:p w14:paraId="36685EB4" w14:textId="0A7FA334"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AE7519">
        <w:rPr>
          <w:rFonts w:ascii="Arial" w:hAnsi="Arial"/>
          <w:u w:val="single"/>
          <w:lang w:val="en-CA"/>
        </w:rPr>
        <w:t>Liberty Leaf Holdings Ltd.</w:t>
      </w:r>
      <w:r w:rsidR="001F219B">
        <w:rPr>
          <w:rFonts w:ascii="Arial" w:hAnsi="Arial"/>
          <w:u w:val="single"/>
          <w:lang w:val="en-CA"/>
        </w:rPr>
        <w:t xml:space="preserve"> </w:t>
      </w:r>
      <w:r w:rsidR="001F219B">
        <w:rPr>
          <w:rFonts w:ascii="Arial" w:hAnsi="Arial"/>
          <w:lang w:val="en-CA"/>
        </w:rPr>
        <w:t>(the “Issuer”)</w:t>
      </w:r>
    </w:p>
    <w:p w14:paraId="5D060032" w14:textId="14445803" w:rsidR="00EA4133" w:rsidRDefault="00EA4133">
      <w:pPr>
        <w:pStyle w:val="BodyText"/>
        <w:rPr>
          <w:rFonts w:ascii="Arial" w:hAnsi="Arial"/>
          <w:lang w:val="en-CA"/>
        </w:rPr>
      </w:pPr>
      <w:r>
        <w:rPr>
          <w:rFonts w:ascii="Arial" w:hAnsi="Arial"/>
          <w:lang w:val="en-CA"/>
        </w:rPr>
        <w:t xml:space="preserve">Trading Symbol:  </w:t>
      </w:r>
      <w:r w:rsidR="00AE7519">
        <w:rPr>
          <w:rFonts w:ascii="Arial" w:hAnsi="Arial"/>
          <w:u w:val="single"/>
          <w:lang w:val="en-CA"/>
        </w:rPr>
        <w:t>LIB</w:t>
      </w:r>
    </w:p>
    <w:p w14:paraId="4A427214" w14:textId="6950F0CB"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AE7519">
        <w:rPr>
          <w:rFonts w:ascii="Arial" w:hAnsi="Arial"/>
          <w:u w:val="single"/>
          <w:lang w:val="en-CA"/>
        </w:rPr>
        <w:t>May 23, 2017</w:t>
      </w:r>
      <w:r w:rsidR="001F219B">
        <w:rPr>
          <w:rFonts w:ascii="Arial" w:hAnsi="Arial"/>
          <w:lang w:val="en-CA"/>
        </w:rPr>
        <w:t xml:space="preserve"> </w:t>
      </w:r>
    </w:p>
    <w:p w14:paraId="721F4307" w14:textId="3760E032"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AE7519">
        <w:rPr>
          <w:rFonts w:ascii="Lucida Grande" w:hAnsi="Lucida Grande" w:cs="Lucida Grande"/>
          <w:lang w:val="en-CA"/>
        </w:rPr>
        <w:t>☐</w:t>
      </w:r>
      <w:r>
        <w:rPr>
          <w:rFonts w:ascii="Arial" w:hAnsi="Arial"/>
          <w:lang w:val="en-CA"/>
        </w:rPr>
        <w:t>Yes</w:t>
      </w:r>
      <w:r>
        <w:rPr>
          <w:rFonts w:ascii="Arial" w:hAnsi="Arial"/>
          <w:lang w:val="en-CA"/>
        </w:rPr>
        <w:tab/>
      </w:r>
      <w:r>
        <w:rPr>
          <w:rFonts w:ascii="Arial" w:hAnsi="Arial"/>
          <w:lang w:val="en-CA"/>
        </w:rPr>
        <w:tab/>
      </w:r>
      <w:r w:rsidR="00AE7519">
        <w:rPr>
          <w:rFonts w:ascii="Wingdings" w:eastAsia="ＭＳ ゴシック" w:hAnsi="Wingdings"/>
          <w:lang w:val="en-CA"/>
        </w:rPr>
        <w:t></w:t>
      </w:r>
      <w:r w:rsidR="001F219B">
        <w:rPr>
          <w:rFonts w:ascii="Arial" w:hAnsi="Arial"/>
          <w:lang w:val="en-CA"/>
        </w:rPr>
        <w:t>No</w:t>
      </w:r>
    </w:p>
    <w:p w14:paraId="345B549C" w14:textId="77777777"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2EC9C242" w14:textId="16A8F345"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001F219B">
        <w:rPr>
          <w:rFonts w:ascii="Arial" w:hAnsi="Arial"/>
          <w:lang w:val="en-CA"/>
        </w:rPr>
        <w:t xml:space="preserve">:  </w:t>
      </w:r>
      <w:r w:rsidR="00AE7519">
        <w:rPr>
          <w:rFonts w:ascii="Arial" w:hAnsi="Arial"/>
          <w:u w:val="single"/>
          <w:lang w:val="en-CA"/>
        </w:rPr>
        <w:t>85,648,605</w:t>
      </w:r>
    </w:p>
    <w:p w14:paraId="0D2E32CC" w14:textId="34E9C68D"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proofErr w:type="gramStart"/>
      <w:r w:rsidR="00AE7519">
        <w:rPr>
          <w:rFonts w:ascii="Arial" w:hAnsi="Arial"/>
          <w:u w:val="single"/>
          <w:lang w:val="en-CA"/>
        </w:rPr>
        <w:t>n/a</w:t>
      </w:r>
      <w:proofErr w:type="gramEnd"/>
    </w:p>
    <w:p w14:paraId="405F8743" w14:textId="5DF98145"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proofErr w:type="gramStart"/>
      <w:r w:rsidR="00AE7519">
        <w:rPr>
          <w:rFonts w:ascii="Arial" w:hAnsi="Arial"/>
          <w:u w:val="single"/>
          <w:lang w:val="en-CA"/>
        </w:rPr>
        <w:t>n/a</w:t>
      </w:r>
      <w:proofErr w:type="gramEnd"/>
    </w:p>
    <w:p w14:paraId="2BD4F64C" w14:textId="1A0AC283"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r w:rsidR="001F219B">
        <w:rPr>
          <w:rFonts w:ascii="Arial" w:hAnsi="Arial"/>
          <w:b/>
          <w:lang w:val="en-CA"/>
        </w:rPr>
        <w:t xml:space="preserve"> </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BDF239A" w14:textId="77777777" w:rsidTr="000A673B">
        <w:trPr>
          <w:trHeight w:val="1965"/>
        </w:trPr>
        <w:tc>
          <w:tcPr>
            <w:tcW w:w="1394" w:type="dxa"/>
          </w:tcPr>
          <w:p w14:paraId="23F99D19" w14:textId="77777777" w:rsidR="00EA4133" w:rsidRDefault="00EA4133">
            <w:pPr>
              <w:pStyle w:val="BodyText"/>
              <w:spacing w:before="0" w:line="280" w:lineRule="exact"/>
              <w:jc w:val="center"/>
              <w:rPr>
                <w:rFonts w:ascii="Arial" w:hAnsi="Arial"/>
                <w:b/>
                <w:sz w:val="20"/>
                <w:lang w:val="en-CA"/>
              </w:rPr>
            </w:pPr>
          </w:p>
          <w:p w14:paraId="3A0C99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14:paraId="106D9AC4" w14:textId="77777777" w:rsidR="00EA4133" w:rsidRDefault="00EA4133">
            <w:pPr>
              <w:pStyle w:val="BodyText"/>
              <w:spacing w:before="0" w:line="280" w:lineRule="exact"/>
              <w:jc w:val="center"/>
              <w:rPr>
                <w:rFonts w:ascii="Arial" w:hAnsi="Arial"/>
                <w:b/>
                <w:sz w:val="20"/>
                <w:lang w:val="en-CA"/>
              </w:rPr>
            </w:pPr>
          </w:p>
          <w:p w14:paraId="57D7014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E59FEB3" w14:textId="77777777" w:rsidR="00EA4133" w:rsidRDefault="00EA4133">
            <w:pPr>
              <w:pStyle w:val="BodyText"/>
              <w:spacing w:before="0" w:line="280" w:lineRule="exact"/>
              <w:jc w:val="center"/>
              <w:rPr>
                <w:rFonts w:ascii="Arial" w:hAnsi="Arial"/>
                <w:b/>
                <w:sz w:val="20"/>
                <w:lang w:val="en-CA"/>
              </w:rPr>
            </w:pPr>
          </w:p>
          <w:p w14:paraId="0D8D126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80829DF" w14:textId="77777777" w:rsidR="00EA4133" w:rsidRDefault="00EA4133">
            <w:pPr>
              <w:pStyle w:val="BodyText"/>
              <w:spacing w:before="0" w:line="280" w:lineRule="exact"/>
              <w:jc w:val="center"/>
              <w:rPr>
                <w:rFonts w:ascii="Arial" w:hAnsi="Arial"/>
                <w:b/>
                <w:sz w:val="20"/>
                <w:lang w:val="en-CA"/>
              </w:rPr>
            </w:pPr>
          </w:p>
          <w:p w14:paraId="6C3B472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9254F7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765D61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48D38FCB" w14:textId="77777777" w:rsidR="00EA4133" w:rsidRDefault="00EA4133">
            <w:pPr>
              <w:pStyle w:val="BodyText"/>
              <w:spacing w:before="0" w:line="280" w:lineRule="exact"/>
              <w:jc w:val="center"/>
              <w:rPr>
                <w:rFonts w:ascii="Arial" w:hAnsi="Arial"/>
                <w:b/>
                <w:sz w:val="20"/>
                <w:lang w:val="en-CA"/>
              </w:rPr>
            </w:pPr>
          </w:p>
          <w:p w14:paraId="77402B3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73C7FB2E" w14:textId="77777777" w:rsidR="00EA4133" w:rsidRDefault="00EA4133">
            <w:pPr>
              <w:pStyle w:val="BodyText"/>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w:t>
            </w:r>
          </w:p>
        </w:tc>
        <w:tc>
          <w:tcPr>
            <w:tcW w:w="1100" w:type="dxa"/>
          </w:tcPr>
          <w:p w14:paraId="59FC181C" w14:textId="77777777" w:rsidR="00EA4133" w:rsidRDefault="00EA4133">
            <w:pPr>
              <w:pStyle w:val="BodyText"/>
              <w:spacing w:before="0" w:line="280" w:lineRule="exact"/>
              <w:jc w:val="center"/>
              <w:rPr>
                <w:rFonts w:ascii="Arial" w:hAnsi="Arial"/>
                <w:b/>
                <w:sz w:val="20"/>
                <w:lang w:val="en-CA"/>
              </w:rPr>
            </w:pPr>
          </w:p>
          <w:p w14:paraId="3735C28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2473FB5A" w14:textId="77777777" w:rsidR="00EA4133" w:rsidRDefault="00EA4133">
            <w:pPr>
              <w:pStyle w:val="BodyText"/>
              <w:spacing w:before="0" w:line="280" w:lineRule="exact"/>
              <w:jc w:val="center"/>
              <w:rPr>
                <w:rFonts w:ascii="Arial" w:hAnsi="Arial"/>
                <w:b/>
                <w:color w:val="000000"/>
                <w:sz w:val="20"/>
                <w:lang w:val="en-CA"/>
              </w:rPr>
            </w:pPr>
          </w:p>
          <w:p w14:paraId="107E646B"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824B97" w14:paraId="42F96E51" w14:textId="77777777" w:rsidTr="000A673B">
        <w:trPr>
          <w:trHeight w:val="864"/>
        </w:trPr>
        <w:tc>
          <w:tcPr>
            <w:tcW w:w="1394" w:type="dxa"/>
          </w:tcPr>
          <w:p w14:paraId="3D9E18FD" w14:textId="27FDCD48" w:rsidR="000A673B" w:rsidRPr="000A673B" w:rsidRDefault="00E01FA8" w:rsidP="000A673B">
            <w:pPr>
              <w:rPr>
                <w:rFonts w:ascii="Calibri" w:hAnsi="Calibri"/>
                <w:sz w:val="22"/>
                <w:szCs w:val="22"/>
                <w:lang w:val="en-CA"/>
              </w:rPr>
            </w:pPr>
            <w:r>
              <w:rPr>
                <w:rFonts w:ascii="Calibri" w:hAnsi="Calibri"/>
                <w:sz w:val="22"/>
                <w:szCs w:val="22"/>
                <w:lang w:val="en-CA"/>
              </w:rPr>
              <w:t>Peter Marshall, Tilbury, ON</w:t>
            </w:r>
          </w:p>
          <w:p w14:paraId="1A65B6C5" w14:textId="77777777" w:rsidR="00A90670" w:rsidRPr="00A90670" w:rsidRDefault="00A90670" w:rsidP="000A673B">
            <w:pPr>
              <w:pStyle w:val="BodyText"/>
              <w:spacing w:before="0" w:line="280" w:lineRule="exact"/>
              <w:rPr>
                <w:rFonts w:ascii="Arial" w:hAnsi="Arial"/>
                <w:sz w:val="20"/>
                <w:lang w:val="en-CA"/>
              </w:rPr>
            </w:pPr>
          </w:p>
        </w:tc>
        <w:tc>
          <w:tcPr>
            <w:tcW w:w="1376" w:type="dxa"/>
          </w:tcPr>
          <w:p w14:paraId="4B2165A7" w14:textId="170D52D3" w:rsidR="00A90670" w:rsidRPr="00824B97" w:rsidRDefault="00B5640E">
            <w:pPr>
              <w:pStyle w:val="BodyText"/>
              <w:spacing w:before="0" w:line="280" w:lineRule="exact"/>
              <w:jc w:val="center"/>
              <w:rPr>
                <w:rFonts w:ascii="Arial" w:hAnsi="Arial"/>
                <w:sz w:val="20"/>
                <w:lang w:val="en-CA"/>
              </w:rPr>
            </w:pPr>
            <w:r>
              <w:rPr>
                <w:rFonts w:ascii="Arial" w:hAnsi="Arial"/>
                <w:sz w:val="20"/>
                <w:lang w:val="en-CA"/>
              </w:rPr>
              <w:t>18</w:t>
            </w:r>
            <w:r w:rsidR="00824B97" w:rsidRPr="00824B97">
              <w:rPr>
                <w:rFonts w:ascii="Arial" w:hAnsi="Arial"/>
                <w:sz w:val="20"/>
                <w:lang w:val="en-CA"/>
              </w:rPr>
              <w:t xml:space="preserve">0,000 </w:t>
            </w:r>
            <w:proofErr w:type="gramStart"/>
            <w:r w:rsidR="00824B97" w:rsidRPr="00824B97">
              <w:rPr>
                <w:rFonts w:ascii="Arial" w:hAnsi="Arial"/>
                <w:sz w:val="20"/>
                <w:lang w:val="en-CA"/>
              </w:rPr>
              <w:t>Units</w:t>
            </w:r>
            <w:r w:rsidR="00824B97" w:rsidRPr="00824B97">
              <w:rPr>
                <w:rFonts w:ascii="Arial" w:hAnsi="Arial"/>
                <w:sz w:val="20"/>
                <w:vertAlign w:val="superscript"/>
                <w:lang w:val="en-CA"/>
              </w:rPr>
              <w:t>(</w:t>
            </w:r>
            <w:proofErr w:type="gramEnd"/>
            <w:r w:rsidR="00824B97" w:rsidRPr="00824B97">
              <w:rPr>
                <w:rFonts w:ascii="Arial" w:hAnsi="Arial"/>
                <w:sz w:val="20"/>
                <w:vertAlign w:val="superscript"/>
                <w:lang w:val="en-CA"/>
              </w:rPr>
              <w:t>3)</w:t>
            </w:r>
          </w:p>
        </w:tc>
        <w:tc>
          <w:tcPr>
            <w:tcW w:w="1192" w:type="dxa"/>
          </w:tcPr>
          <w:p w14:paraId="5B459973" w14:textId="4F01B0CF" w:rsidR="00A90670" w:rsidRPr="00824B97" w:rsidRDefault="00B5640E">
            <w:pPr>
              <w:pStyle w:val="BodyText"/>
              <w:spacing w:before="0" w:line="280" w:lineRule="exact"/>
              <w:jc w:val="center"/>
              <w:rPr>
                <w:rFonts w:ascii="Arial" w:hAnsi="Arial"/>
                <w:sz w:val="20"/>
                <w:lang w:val="en-CA"/>
              </w:rPr>
            </w:pPr>
            <w:r>
              <w:rPr>
                <w:rFonts w:ascii="Arial" w:hAnsi="Arial"/>
                <w:sz w:val="20"/>
                <w:lang w:val="en-CA"/>
              </w:rPr>
              <w:t>$0.125</w:t>
            </w:r>
          </w:p>
        </w:tc>
        <w:tc>
          <w:tcPr>
            <w:tcW w:w="1376" w:type="dxa"/>
          </w:tcPr>
          <w:p w14:paraId="181CAC31" w14:textId="74758E8F" w:rsidR="00A90670" w:rsidRPr="00824B97" w:rsidRDefault="00824B97">
            <w:pPr>
              <w:pStyle w:val="BodyText"/>
              <w:spacing w:before="0" w:line="280" w:lineRule="exact"/>
              <w:jc w:val="center"/>
              <w:rPr>
                <w:rFonts w:ascii="Arial" w:hAnsi="Arial"/>
                <w:sz w:val="20"/>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1F069E5B" w14:textId="6BDC79CE" w:rsidR="00A90670" w:rsidRPr="00824B97" w:rsidRDefault="00824B97">
            <w:pPr>
              <w:pStyle w:val="BodyText"/>
              <w:spacing w:before="0" w:line="280" w:lineRule="exact"/>
              <w:jc w:val="center"/>
              <w:rPr>
                <w:rFonts w:ascii="Arial" w:hAnsi="Arial"/>
                <w:sz w:val="20"/>
                <w:lang w:val="en-CA"/>
              </w:rPr>
            </w:pPr>
            <w:r w:rsidRPr="00824B97">
              <w:rPr>
                <w:rFonts w:ascii="Arial" w:hAnsi="Arial"/>
                <w:sz w:val="20"/>
                <w:lang w:val="en-CA"/>
              </w:rPr>
              <w:t>2.3 of NI 45-106</w:t>
            </w:r>
          </w:p>
        </w:tc>
        <w:tc>
          <w:tcPr>
            <w:tcW w:w="1742" w:type="dxa"/>
          </w:tcPr>
          <w:p w14:paraId="5BF5D8A2" w14:textId="6D3370FC" w:rsidR="00A90670" w:rsidRPr="00824B97" w:rsidRDefault="00B6490E">
            <w:pPr>
              <w:pStyle w:val="BodyText"/>
              <w:spacing w:before="0" w:line="280" w:lineRule="exact"/>
              <w:jc w:val="center"/>
              <w:rPr>
                <w:rFonts w:ascii="Arial" w:hAnsi="Arial"/>
                <w:sz w:val="20"/>
              </w:rPr>
            </w:pPr>
            <w:r>
              <w:rPr>
                <w:rFonts w:ascii="Arial" w:hAnsi="Arial"/>
                <w:sz w:val="20"/>
              </w:rPr>
              <w:t>Nil</w:t>
            </w:r>
          </w:p>
        </w:tc>
        <w:tc>
          <w:tcPr>
            <w:tcW w:w="1100" w:type="dxa"/>
          </w:tcPr>
          <w:p w14:paraId="018494F3" w14:textId="7AC920B4" w:rsidR="00A90670" w:rsidRPr="00824B97" w:rsidRDefault="00B6490E">
            <w:pPr>
              <w:pStyle w:val="BodyText"/>
              <w:spacing w:before="0" w:line="280" w:lineRule="exact"/>
              <w:jc w:val="center"/>
              <w:rPr>
                <w:rFonts w:ascii="Arial" w:hAnsi="Arial"/>
                <w:sz w:val="20"/>
                <w:lang w:val="en-CA"/>
              </w:rPr>
            </w:pPr>
            <w:r>
              <w:rPr>
                <w:rFonts w:ascii="Arial" w:hAnsi="Arial"/>
                <w:sz w:val="20"/>
                <w:lang w:val="en-CA"/>
              </w:rPr>
              <w:t>May 23, 2017</w:t>
            </w:r>
          </w:p>
        </w:tc>
        <w:tc>
          <w:tcPr>
            <w:tcW w:w="1100" w:type="dxa"/>
          </w:tcPr>
          <w:p w14:paraId="5652D670" w14:textId="28162426" w:rsidR="00A90670" w:rsidRPr="00824B97" w:rsidRDefault="00824B97">
            <w:pPr>
              <w:pStyle w:val="BodyText"/>
              <w:spacing w:before="0" w:line="280" w:lineRule="exact"/>
              <w:jc w:val="center"/>
              <w:rPr>
                <w:rFonts w:ascii="Arial" w:hAnsi="Arial"/>
                <w:color w:val="000000"/>
                <w:sz w:val="20"/>
                <w:lang w:val="en-CA"/>
              </w:rPr>
            </w:pPr>
            <w:r w:rsidRPr="00824B97">
              <w:rPr>
                <w:rFonts w:ascii="Arial" w:hAnsi="Arial"/>
                <w:color w:val="000000"/>
                <w:sz w:val="20"/>
                <w:lang w:val="en-CA"/>
              </w:rPr>
              <w:t>Non-related</w:t>
            </w:r>
          </w:p>
        </w:tc>
      </w:tr>
      <w:tr w:rsidR="00B6490E" w14:paraId="092D4F14" w14:textId="77777777" w:rsidTr="000A673B">
        <w:trPr>
          <w:trHeight w:val="864"/>
        </w:trPr>
        <w:tc>
          <w:tcPr>
            <w:tcW w:w="1394" w:type="dxa"/>
          </w:tcPr>
          <w:p w14:paraId="5D607556" w14:textId="2B053D91" w:rsidR="00B6490E" w:rsidRPr="000A673B" w:rsidRDefault="00B6490E" w:rsidP="000A673B">
            <w:pPr>
              <w:rPr>
                <w:rFonts w:ascii="Calibri" w:hAnsi="Calibri"/>
                <w:sz w:val="22"/>
                <w:szCs w:val="22"/>
                <w:lang w:val="en-CA"/>
              </w:rPr>
            </w:pPr>
            <w:r>
              <w:rPr>
                <w:rFonts w:ascii="Calibri" w:hAnsi="Calibri"/>
                <w:sz w:val="22"/>
                <w:szCs w:val="22"/>
                <w:lang w:val="en-CA"/>
              </w:rPr>
              <w:t>Dale Foote, Gander, NL</w:t>
            </w:r>
          </w:p>
          <w:p w14:paraId="73F1E9F6" w14:textId="77777777" w:rsidR="00B6490E" w:rsidRDefault="00B6490E" w:rsidP="000A673B">
            <w:pPr>
              <w:pStyle w:val="BodyText"/>
              <w:rPr>
                <w:rFonts w:ascii="Arial" w:hAnsi="Arial"/>
                <w:lang w:val="en-CA"/>
              </w:rPr>
            </w:pPr>
          </w:p>
        </w:tc>
        <w:tc>
          <w:tcPr>
            <w:tcW w:w="1376" w:type="dxa"/>
          </w:tcPr>
          <w:p w14:paraId="22A984F8" w14:textId="418A2F0E" w:rsidR="00B6490E" w:rsidRDefault="00B6490E" w:rsidP="00B5640E">
            <w:pPr>
              <w:pStyle w:val="BodyText"/>
              <w:jc w:val="center"/>
              <w:rPr>
                <w:rFonts w:ascii="Arial" w:hAnsi="Arial"/>
                <w:lang w:val="en-CA"/>
              </w:rPr>
            </w:pPr>
            <w:r>
              <w:rPr>
                <w:rFonts w:ascii="Arial" w:hAnsi="Arial"/>
                <w:sz w:val="20"/>
                <w:lang w:val="en-CA"/>
              </w:rPr>
              <w:t>18</w:t>
            </w:r>
            <w:r w:rsidRPr="00824B97">
              <w:rPr>
                <w:rFonts w:ascii="Arial" w:hAnsi="Arial"/>
                <w:sz w:val="20"/>
                <w:lang w:val="en-CA"/>
              </w:rPr>
              <w:t xml:space="preserve">,000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5C5EE8A5" w14:textId="50CC521E"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400FF7E1" w14:textId="16074168"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3FA548D5" w14:textId="2F64F6D1" w:rsidR="00B6490E" w:rsidRDefault="00B6490E" w:rsidP="00B5640E">
            <w:pPr>
              <w:pStyle w:val="BodyText"/>
              <w:jc w:val="center"/>
              <w:rPr>
                <w:rFonts w:ascii="Arial" w:hAnsi="Arial"/>
                <w:lang w:val="en-CA"/>
              </w:rPr>
            </w:pPr>
            <w:r w:rsidRPr="00824B97">
              <w:rPr>
                <w:rFonts w:ascii="Arial" w:hAnsi="Arial"/>
                <w:sz w:val="20"/>
                <w:lang w:val="en-CA"/>
              </w:rPr>
              <w:t>2.3 of NI 45-106</w:t>
            </w:r>
          </w:p>
        </w:tc>
        <w:tc>
          <w:tcPr>
            <w:tcW w:w="1742" w:type="dxa"/>
          </w:tcPr>
          <w:p w14:paraId="42E7E1E7" w14:textId="40DB37BA" w:rsidR="00B6490E" w:rsidRDefault="00B6490E" w:rsidP="00B5640E">
            <w:pPr>
              <w:pStyle w:val="BodyText"/>
              <w:jc w:val="center"/>
              <w:rPr>
                <w:rFonts w:ascii="Arial" w:hAnsi="Arial"/>
                <w:lang w:val="en-CA"/>
              </w:rPr>
            </w:pPr>
            <w:r>
              <w:rPr>
                <w:rFonts w:ascii="Arial" w:hAnsi="Arial"/>
                <w:sz w:val="20"/>
              </w:rPr>
              <w:t>Nil</w:t>
            </w:r>
          </w:p>
        </w:tc>
        <w:tc>
          <w:tcPr>
            <w:tcW w:w="1100" w:type="dxa"/>
          </w:tcPr>
          <w:p w14:paraId="54D2428B" w14:textId="47CFFA0E"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214FB05B" w14:textId="505087B3"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72A4EB81" w14:textId="77777777" w:rsidTr="000A673B">
        <w:trPr>
          <w:trHeight w:val="864"/>
        </w:trPr>
        <w:tc>
          <w:tcPr>
            <w:tcW w:w="1394" w:type="dxa"/>
          </w:tcPr>
          <w:p w14:paraId="77EEB181" w14:textId="3C8713E6" w:rsidR="00B6490E" w:rsidRPr="000A673B" w:rsidRDefault="00B6490E" w:rsidP="000A673B">
            <w:pPr>
              <w:rPr>
                <w:rFonts w:ascii="Calibri" w:hAnsi="Calibri"/>
                <w:sz w:val="22"/>
                <w:szCs w:val="22"/>
                <w:lang w:val="en-CA"/>
              </w:rPr>
            </w:pPr>
            <w:r>
              <w:rPr>
                <w:rFonts w:ascii="Calibri" w:hAnsi="Calibri"/>
                <w:sz w:val="22"/>
                <w:szCs w:val="22"/>
                <w:lang w:val="en-CA"/>
              </w:rPr>
              <w:t>Steve Elms, Gander, NL</w:t>
            </w:r>
          </w:p>
          <w:p w14:paraId="2A3F78B3" w14:textId="77777777" w:rsidR="00B6490E" w:rsidRDefault="00B6490E" w:rsidP="000A673B">
            <w:pPr>
              <w:pStyle w:val="BodyText"/>
              <w:rPr>
                <w:rFonts w:ascii="Arial" w:hAnsi="Arial"/>
                <w:lang w:val="en-CA"/>
              </w:rPr>
            </w:pPr>
          </w:p>
        </w:tc>
        <w:tc>
          <w:tcPr>
            <w:tcW w:w="1376" w:type="dxa"/>
          </w:tcPr>
          <w:p w14:paraId="60063AF9" w14:textId="76E9F2BD" w:rsidR="00B6490E" w:rsidRDefault="00B6490E" w:rsidP="00B5640E">
            <w:pPr>
              <w:pStyle w:val="BodyText"/>
              <w:jc w:val="center"/>
              <w:rPr>
                <w:rFonts w:ascii="Arial" w:hAnsi="Arial"/>
                <w:lang w:val="en-CA"/>
              </w:rPr>
            </w:pPr>
            <w:r>
              <w:rPr>
                <w:rFonts w:ascii="Arial" w:hAnsi="Arial"/>
                <w:sz w:val="20"/>
                <w:lang w:val="en-CA"/>
              </w:rPr>
              <w:t>24</w:t>
            </w:r>
            <w:r w:rsidRPr="00824B97">
              <w:rPr>
                <w:rFonts w:ascii="Arial" w:hAnsi="Arial"/>
                <w:sz w:val="20"/>
                <w:lang w:val="en-CA"/>
              </w:rPr>
              <w:t xml:space="preserve">,000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6A115B64" w14:textId="7937ACF1"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36EBEB9D" w14:textId="70F492E6"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13BAA92D" w14:textId="352FCDE4" w:rsidR="00B6490E" w:rsidRDefault="00B6490E" w:rsidP="00B5640E">
            <w:pPr>
              <w:pStyle w:val="BodyText"/>
              <w:jc w:val="center"/>
              <w:rPr>
                <w:rFonts w:ascii="Arial" w:hAnsi="Arial"/>
                <w:lang w:val="en-CA"/>
              </w:rPr>
            </w:pPr>
            <w:r>
              <w:rPr>
                <w:rFonts w:ascii="Arial" w:hAnsi="Arial"/>
                <w:sz w:val="20"/>
                <w:lang w:val="en-CA"/>
              </w:rPr>
              <w:t>2.3</w:t>
            </w:r>
            <w:r w:rsidRPr="00824B97">
              <w:rPr>
                <w:rFonts w:ascii="Arial" w:hAnsi="Arial"/>
                <w:sz w:val="20"/>
                <w:lang w:val="en-CA"/>
              </w:rPr>
              <w:t xml:space="preserve"> of NI 45-106</w:t>
            </w:r>
          </w:p>
        </w:tc>
        <w:tc>
          <w:tcPr>
            <w:tcW w:w="1742" w:type="dxa"/>
          </w:tcPr>
          <w:p w14:paraId="7AF8CD3B" w14:textId="5078D8EE" w:rsidR="00B6490E" w:rsidRDefault="00B6490E" w:rsidP="00B5640E">
            <w:pPr>
              <w:pStyle w:val="BodyText"/>
              <w:jc w:val="center"/>
              <w:rPr>
                <w:rFonts w:ascii="Arial" w:hAnsi="Arial"/>
                <w:lang w:val="en-CA"/>
              </w:rPr>
            </w:pPr>
            <w:r>
              <w:rPr>
                <w:rFonts w:ascii="Arial" w:hAnsi="Arial"/>
                <w:sz w:val="20"/>
              </w:rPr>
              <w:t>Nil</w:t>
            </w:r>
          </w:p>
        </w:tc>
        <w:tc>
          <w:tcPr>
            <w:tcW w:w="1100" w:type="dxa"/>
          </w:tcPr>
          <w:p w14:paraId="35E63EE1" w14:textId="1DAC2FA6"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5D070DAF" w14:textId="708A758F"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510B8F65" w14:textId="77777777" w:rsidTr="000A673B">
        <w:trPr>
          <w:trHeight w:val="864"/>
        </w:trPr>
        <w:tc>
          <w:tcPr>
            <w:tcW w:w="1394" w:type="dxa"/>
          </w:tcPr>
          <w:p w14:paraId="397F1179" w14:textId="77777777" w:rsidR="00B6490E" w:rsidRDefault="00B6490E" w:rsidP="007160C1">
            <w:pPr>
              <w:rPr>
                <w:rFonts w:ascii="Calibri" w:hAnsi="Calibri"/>
                <w:sz w:val="22"/>
                <w:szCs w:val="22"/>
                <w:lang w:val="en-CA"/>
              </w:rPr>
            </w:pPr>
            <w:r>
              <w:rPr>
                <w:rFonts w:ascii="Calibri" w:hAnsi="Calibri"/>
                <w:sz w:val="22"/>
                <w:szCs w:val="22"/>
                <w:lang w:val="en-CA"/>
              </w:rPr>
              <w:lastRenderedPageBreak/>
              <w:t>John Kenney, Gander, NL</w:t>
            </w:r>
          </w:p>
          <w:p w14:paraId="58DA5275" w14:textId="25BC07AC" w:rsidR="007160C1" w:rsidRPr="007160C1" w:rsidRDefault="007160C1" w:rsidP="007160C1">
            <w:pPr>
              <w:rPr>
                <w:rFonts w:ascii="Calibri" w:hAnsi="Calibri"/>
                <w:sz w:val="22"/>
                <w:szCs w:val="22"/>
                <w:lang w:val="en-CA"/>
              </w:rPr>
            </w:pPr>
          </w:p>
        </w:tc>
        <w:tc>
          <w:tcPr>
            <w:tcW w:w="1376" w:type="dxa"/>
          </w:tcPr>
          <w:p w14:paraId="4A9A2E84" w14:textId="3E84DE4E" w:rsidR="00B6490E" w:rsidRDefault="00B6490E" w:rsidP="00B5640E">
            <w:pPr>
              <w:pStyle w:val="BodyText"/>
              <w:jc w:val="center"/>
              <w:rPr>
                <w:rFonts w:ascii="Arial" w:hAnsi="Arial"/>
                <w:lang w:val="en-CA"/>
              </w:rPr>
            </w:pPr>
            <w:r>
              <w:rPr>
                <w:rFonts w:ascii="Arial" w:hAnsi="Arial"/>
                <w:sz w:val="20"/>
                <w:lang w:val="en-CA"/>
              </w:rPr>
              <w:t>240,000</w:t>
            </w:r>
            <w:r w:rsidRPr="00824B97">
              <w:rPr>
                <w:rFonts w:ascii="Arial" w:hAnsi="Arial"/>
                <w:sz w:val="20"/>
                <w:lang w:val="en-CA"/>
              </w:rPr>
              <w:t xml:space="preserve">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17F759E5" w14:textId="61BC2A61"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074054CD" w14:textId="420F7743"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4A01EF33" w14:textId="665F27DE" w:rsidR="00B6490E" w:rsidRDefault="00B6490E" w:rsidP="00B5640E">
            <w:pPr>
              <w:pStyle w:val="BodyText"/>
              <w:jc w:val="center"/>
              <w:rPr>
                <w:rFonts w:ascii="Arial" w:hAnsi="Arial"/>
                <w:lang w:val="en-CA"/>
              </w:rPr>
            </w:pPr>
            <w:r w:rsidRPr="00824B97">
              <w:rPr>
                <w:rFonts w:ascii="Arial" w:hAnsi="Arial"/>
                <w:sz w:val="20"/>
                <w:lang w:val="en-CA"/>
              </w:rPr>
              <w:t>2.3 of NI 45-106</w:t>
            </w:r>
          </w:p>
        </w:tc>
        <w:tc>
          <w:tcPr>
            <w:tcW w:w="1742" w:type="dxa"/>
          </w:tcPr>
          <w:p w14:paraId="4742503E" w14:textId="3D118E80" w:rsidR="00B6490E" w:rsidRDefault="00B6490E" w:rsidP="00B5640E">
            <w:pPr>
              <w:pStyle w:val="BodyText"/>
              <w:jc w:val="center"/>
              <w:rPr>
                <w:rFonts w:ascii="Arial" w:hAnsi="Arial"/>
                <w:lang w:val="en-CA"/>
              </w:rPr>
            </w:pPr>
            <w:r>
              <w:rPr>
                <w:rFonts w:ascii="Arial" w:hAnsi="Arial"/>
                <w:sz w:val="20"/>
              </w:rPr>
              <w:t>Nil</w:t>
            </w:r>
          </w:p>
        </w:tc>
        <w:tc>
          <w:tcPr>
            <w:tcW w:w="1100" w:type="dxa"/>
          </w:tcPr>
          <w:p w14:paraId="560D36C2" w14:textId="09308531"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53FAA151" w14:textId="7FE31F17"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292456B5" w14:textId="77777777" w:rsidTr="000A673B">
        <w:trPr>
          <w:trHeight w:val="864"/>
        </w:trPr>
        <w:tc>
          <w:tcPr>
            <w:tcW w:w="1394" w:type="dxa"/>
          </w:tcPr>
          <w:p w14:paraId="32B223C4" w14:textId="77777777" w:rsidR="00B6490E" w:rsidRDefault="00B6490E" w:rsidP="007160C1">
            <w:pPr>
              <w:rPr>
                <w:rFonts w:ascii="Calibri" w:hAnsi="Calibri"/>
                <w:sz w:val="22"/>
                <w:szCs w:val="22"/>
                <w:lang w:val="en-CA"/>
              </w:rPr>
            </w:pPr>
            <w:r>
              <w:rPr>
                <w:rFonts w:ascii="Calibri" w:hAnsi="Calibri"/>
                <w:sz w:val="22"/>
                <w:szCs w:val="22"/>
                <w:lang w:val="en-CA"/>
              </w:rPr>
              <w:t>Craig McCarthy, Gander, NL</w:t>
            </w:r>
          </w:p>
          <w:p w14:paraId="1725B64B" w14:textId="5ACE2D71" w:rsidR="007160C1" w:rsidRPr="007160C1" w:rsidRDefault="007160C1" w:rsidP="007160C1">
            <w:pPr>
              <w:rPr>
                <w:rFonts w:ascii="Calibri" w:hAnsi="Calibri"/>
                <w:sz w:val="22"/>
                <w:szCs w:val="22"/>
                <w:lang w:val="en-CA"/>
              </w:rPr>
            </w:pPr>
            <w:bookmarkStart w:id="0" w:name="_GoBack"/>
            <w:bookmarkEnd w:id="0"/>
          </w:p>
        </w:tc>
        <w:tc>
          <w:tcPr>
            <w:tcW w:w="1376" w:type="dxa"/>
          </w:tcPr>
          <w:p w14:paraId="1CCF0AE7" w14:textId="68B79440" w:rsidR="00B6490E" w:rsidRDefault="00B6490E" w:rsidP="00B5640E">
            <w:pPr>
              <w:pStyle w:val="BodyText"/>
              <w:jc w:val="center"/>
              <w:rPr>
                <w:rFonts w:ascii="Arial" w:hAnsi="Arial"/>
                <w:lang w:val="en-CA"/>
              </w:rPr>
            </w:pPr>
            <w:r>
              <w:rPr>
                <w:rFonts w:ascii="Arial" w:hAnsi="Arial"/>
                <w:sz w:val="20"/>
                <w:lang w:val="en-CA"/>
              </w:rPr>
              <w:t xml:space="preserve">72,000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4DE20779" w14:textId="027C618E"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734598B3" w14:textId="08450D17"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500012DF" w14:textId="72866D07" w:rsidR="00B6490E" w:rsidRDefault="00B6490E" w:rsidP="00B5640E">
            <w:pPr>
              <w:pStyle w:val="BodyText"/>
              <w:jc w:val="center"/>
              <w:rPr>
                <w:rFonts w:ascii="Arial" w:hAnsi="Arial"/>
                <w:lang w:val="en-CA"/>
              </w:rPr>
            </w:pPr>
            <w:r>
              <w:rPr>
                <w:rFonts w:ascii="Arial" w:hAnsi="Arial"/>
                <w:sz w:val="20"/>
                <w:lang w:val="en-CA"/>
              </w:rPr>
              <w:t>2.3</w:t>
            </w:r>
            <w:r w:rsidRPr="00824B97">
              <w:rPr>
                <w:rFonts w:ascii="Arial" w:hAnsi="Arial"/>
                <w:sz w:val="20"/>
                <w:lang w:val="en-CA"/>
              </w:rPr>
              <w:t xml:space="preserve"> of NI 45-106</w:t>
            </w:r>
          </w:p>
        </w:tc>
        <w:tc>
          <w:tcPr>
            <w:tcW w:w="1742" w:type="dxa"/>
          </w:tcPr>
          <w:p w14:paraId="2DE0DAFE" w14:textId="0FB6B65C" w:rsidR="00B6490E" w:rsidRDefault="00B6490E" w:rsidP="00B5640E">
            <w:pPr>
              <w:pStyle w:val="BodyText"/>
              <w:jc w:val="center"/>
              <w:rPr>
                <w:rFonts w:ascii="Arial" w:hAnsi="Arial"/>
                <w:lang w:val="en-CA"/>
              </w:rPr>
            </w:pPr>
            <w:r>
              <w:rPr>
                <w:rFonts w:ascii="Arial" w:hAnsi="Arial"/>
                <w:sz w:val="20"/>
              </w:rPr>
              <w:t>Nil</w:t>
            </w:r>
          </w:p>
        </w:tc>
        <w:tc>
          <w:tcPr>
            <w:tcW w:w="1100" w:type="dxa"/>
          </w:tcPr>
          <w:p w14:paraId="263DFDEB" w14:textId="2FD4DB42"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3342EA54" w14:textId="35B31B9E" w:rsidR="00B6490E" w:rsidRDefault="00B6490E" w:rsidP="00B5640E">
            <w:pPr>
              <w:pStyle w:val="BodyText"/>
              <w:jc w:val="center"/>
              <w:rPr>
                <w:rFonts w:ascii="Arial" w:hAnsi="Arial"/>
                <w:lang w:val="en-CA"/>
              </w:rPr>
            </w:pPr>
            <w:r>
              <w:rPr>
                <w:rFonts w:ascii="Arial" w:hAnsi="Arial"/>
                <w:color w:val="000000"/>
                <w:sz w:val="20"/>
                <w:lang w:val="en-CA"/>
              </w:rPr>
              <w:t>Non-r</w:t>
            </w:r>
            <w:r w:rsidRPr="00824B97">
              <w:rPr>
                <w:rFonts w:ascii="Arial" w:hAnsi="Arial"/>
                <w:color w:val="000000"/>
                <w:sz w:val="20"/>
                <w:lang w:val="en-CA"/>
              </w:rPr>
              <w:t>elated</w:t>
            </w:r>
          </w:p>
        </w:tc>
      </w:tr>
      <w:tr w:rsidR="00B6490E" w14:paraId="7E088DCA" w14:textId="77777777" w:rsidTr="000A673B">
        <w:trPr>
          <w:trHeight w:val="864"/>
        </w:trPr>
        <w:tc>
          <w:tcPr>
            <w:tcW w:w="1394" w:type="dxa"/>
          </w:tcPr>
          <w:p w14:paraId="545A495A" w14:textId="7F32C9B3" w:rsidR="00B6490E" w:rsidRPr="000A673B" w:rsidRDefault="00B6490E" w:rsidP="000A673B">
            <w:pPr>
              <w:rPr>
                <w:rFonts w:ascii="Calibri" w:hAnsi="Calibri"/>
                <w:sz w:val="22"/>
                <w:szCs w:val="22"/>
                <w:lang w:val="en-CA"/>
              </w:rPr>
            </w:pPr>
            <w:r>
              <w:rPr>
                <w:rFonts w:ascii="Calibri" w:hAnsi="Calibri"/>
                <w:sz w:val="22"/>
                <w:szCs w:val="22"/>
                <w:lang w:val="en-CA"/>
              </w:rPr>
              <w:t>Barry Reid, Gander, NL</w:t>
            </w:r>
          </w:p>
          <w:p w14:paraId="2A2777AF" w14:textId="77777777" w:rsidR="00B6490E" w:rsidRDefault="00B6490E" w:rsidP="000A673B">
            <w:pPr>
              <w:pStyle w:val="BodyText"/>
              <w:rPr>
                <w:rFonts w:ascii="Arial" w:hAnsi="Arial"/>
                <w:lang w:val="en-CA"/>
              </w:rPr>
            </w:pPr>
          </w:p>
        </w:tc>
        <w:tc>
          <w:tcPr>
            <w:tcW w:w="1376" w:type="dxa"/>
          </w:tcPr>
          <w:p w14:paraId="472747E5" w14:textId="749DD6EE" w:rsidR="00B6490E" w:rsidRDefault="00B6490E" w:rsidP="00B5640E">
            <w:pPr>
              <w:pStyle w:val="BodyText"/>
              <w:jc w:val="center"/>
              <w:rPr>
                <w:rFonts w:ascii="Arial" w:hAnsi="Arial"/>
                <w:lang w:val="en-CA"/>
              </w:rPr>
            </w:pPr>
            <w:r>
              <w:rPr>
                <w:rFonts w:ascii="Arial" w:hAnsi="Arial"/>
                <w:sz w:val="20"/>
                <w:lang w:val="en-CA"/>
              </w:rPr>
              <w:t>84,000</w:t>
            </w:r>
            <w:r w:rsidRPr="00824B97">
              <w:rPr>
                <w:rFonts w:ascii="Arial" w:hAnsi="Arial"/>
                <w:sz w:val="20"/>
                <w:lang w:val="en-CA"/>
              </w:rPr>
              <w:t xml:space="preserve">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48FDF56E" w14:textId="2603059A"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51BD639D" w14:textId="1F6087D8"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69A35207" w14:textId="554834FF" w:rsidR="00B6490E" w:rsidRDefault="00B6490E" w:rsidP="00B5640E">
            <w:pPr>
              <w:pStyle w:val="BodyText"/>
              <w:jc w:val="center"/>
              <w:rPr>
                <w:rFonts w:ascii="Arial" w:hAnsi="Arial"/>
                <w:lang w:val="en-CA"/>
              </w:rPr>
            </w:pPr>
            <w:r w:rsidRPr="00824B97">
              <w:rPr>
                <w:rFonts w:ascii="Arial" w:hAnsi="Arial"/>
                <w:sz w:val="20"/>
                <w:lang w:val="en-CA"/>
              </w:rPr>
              <w:t>2.3 of NI 45-106</w:t>
            </w:r>
          </w:p>
        </w:tc>
        <w:tc>
          <w:tcPr>
            <w:tcW w:w="1742" w:type="dxa"/>
          </w:tcPr>
          <w:p w14:paraId="398EC823" w14:textId="69E63A3F" w:rsidR="00B6490E" w:rsidRDefault="00B6490E" w:rsidP="00B5640E">
            <w:pPr>
              <w:pStyle w:val="BodyText"/>
              <w:jc w:val="center"/>
              <w:rPr>
                <w:rFonts w:ascii="Arial" w:hAnsi="Arial"/>
                <w:lang w:val="en-CA"/>
              </w:rPr>
            </w:pPr>
            <w:r>
              <w:rPr>
                <w:rFonts w:ascii="Arial" w:hAnsi="Arial"/>
                <w:sz w:val="20"/>
              </w:rPr>
              <w:t>Nil</w:t>
            </w:r>
          </w:p>
        </w:tc>
        <w:tc>
          <w:tcPr>
            <w:tcW w:w="1100" w:type="dxa"/>
          </w:tcPr>
          <w:p w14:paraId="35A0A847" w14:textId="6A548AB8"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6F648328" w14:textId="2D596D6B"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322556DA" w14:textId="77777777" w:rsidTr="000A673B">
        <w:trPr>
          <w:trHeight w:val="864"/>
        </w:trPr>
        <w:tc>
          <w:tcPr>
            <w:tcW w:w="1394" w:type="dxa"/>
          </w:tcPr>
          <w:p w14:paraId="33599D12" w14:textId="374C33F0" w:rsidR="00B6490E" w:rsidRPr="000A673B" w:rsidRDefault="00B6490E" w:rsidP="000A673B">
            <w:pPr>
              <w:rPr>
                <w:rFonts w:ascii="Calibri" w:hAnsi="Calibri"/>
                <w:sz w:val="22"/>
                <w:szCs w:val="22"/>
                <w:lang w:val="en-CA"/>
              </w:rPr>
            </w:pPr>
            <w:r>
              <w:rPr>
                <w:rFonts w:ascii="Calibri" w:hAnsi="Calibri"/>
                <w:sz w:val="22"/>
                <w:szCs w:val="22"/>
                <w:lang w:val="en-CA"/>
              </w:rPr>
              <w:t xml:space="preserve">Rod </w:t>
            </w:r>
            <w:proofErr w:type="spellStart"/>
            <w:r>
              <w:rPr>
                <w:rFonts w:ascii="Calibri" w:hAnsi="Calibri"/>
                <w:sz w:val="22"/>
                <w:szCs w:val="22"/>
                <w:lang w:val="en-CA"/>
              </w:rPr>
              <w:t>Feltham</w:t>
            </w:r>
            <w:proofErr w:type="spellEnd"/>
            <w:r>
              <w:rPr>
                <w:rFonts w:ascii="Calibri" w:hAnsi="Calibri"/>
                <w:sz w:val="22"/>
                <w:szCs w:val="22"/>
                <w:lang w:val="en-CA"/>
              </w:rPr>
              <w:t>, Gander, NL</w:t>
            </w:r>
          </w:p>
          <w:p w14:paraId="73B4F9DF" w14:textId="77777777" w:rsidR="00B6490E" w:rsidRDefault="00B6490E" w:rsidP="000A673B">
            <w:pPr>
              <w:pStyle w:val="BodyText"/>
              <w:rPr>
                <w:rFonts w:ascii="Arial" w:hAnsi="Arial"/>
                <w:lang w:val="en-CA"/>
              </w:rPr>
            </w:pPr>
          </w:p>
        </w:tc>
        <w:tc>
          <w:tcPr>
            <w:tcW w:w="1376" w:type="dxa"/>
          </w:tcPr>
          <w:p w14:paraId="00E2E085" w14:textId="71D6634C" w:rsidR="00B6490E" w:rsidRDefault="00B6490E" w:rsidP="00B5640E">
            <w:pPr>
              <w:pStyle w:val="BodyText"/>
              <w:jc w:val="center"/>
              <w:rPr>
                <w:rFonts w:ascii="Arial" w:hAnsi="Arial"/>
                <w:lang w:val="en-CA"/>
              </w:rPr>
            </w:pPr>
            <w:r>
              <w:rPr>
                <w:rFonts w:ascii="Arial" w:hAnsi="Arial"/>
                <w:sz w:val="20"/>
                <w:lang w:val="en-CA"/>
              </w:rPr>
              <w:t>24,000</w:t>
            </w:r>
            <w:r w:rsidRPr="00824B97">
              <w:rPr>
                <w:rFonts w:ascii="Arial" w:hAnsi="Arial"/>
                <w:sz w:val="20"/>
                <w:lang w:val="en-CA"/>
              </w:rPr>
              <w:t xml:space="preserve">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1ACBEF36" w14:textId="1A36B98A"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1CA4BA7F" w14:textId="24E5F545"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76934AE0" w14:textId="24FF22EC" w:rsidR="00B6490E" w:rsidRDefault="00B6490E" w:rsidP="00B5640E">
            <w:pPr>
              <w:pStyle w:val="BodyText"/>
              <w:jc w:val="center"/>
              <w:rPr>
                <w:rFonts w:ascii="Arial" w:hAnsi="Arial"/>
                <w:lang w:val="en-CA"/>
              </w:rPr>
            </w:pPr>
            <w:r w:rsidRPr="00824B97">
              <w:rPr>
                <w:rFonts w:ascii="Arial" w:hAnsi="Arial"/>
                <w:sz w:val="20"/>
                <w:lang w:val="en-CA"/>
              </w:rPr>
              <w:t>2.3 of NI 45-106</w:t>
            </w:r>
          </w:p>
        </w:tc>
        <w:tc>
          <w:tcPr>
            <w:tcW w:w="1742" w:type="dxa"/>
          </w:tcPr>
          <w:p w14:paraId="0BAC666E" w14:textId="2942B5AC" w:rsidR="00B6490E" w:rsidRDefault="00B6490E" w:rsidP="00B5640E">
            <w:pPr>
              <w:pStyle w:val="BodyText"/>
              <w:jc w:val="center"/>
              <w:rPr>
                <w:rFonts w:ascii="Arial" w:hAnsi="Arial"/>
                <w:lang w:val="en-CA"/>
              </w:rPr>
            </w:pPr>
            <w:r>
              <w:rPr>
                <w:rFonts w:ascii="Arial" w:hAnsi="Arial"/>
                <w:sz w:val="20"/>
              </w:rPr>
              <w:t>Nil</w:t>
            </w:r>
          </w:p>
        </w:tc>
        <w:tc>
          <w:tcPr>
            <w:tcW w:w="1100" w:type="dxa"/>
          </w:tcPr>
          <w:p w14:paraId="6FE24D2B" w14:textId="566E123E"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57B76833" w14:textId="5CBFCCA7"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31FC4A19" w14:textId="77777777" w:rsidTr="000A673B">
        <w:trPr>
          <w:trHeight w:val="864"/>
        </w:trPr>
        <w:tc>
          <w:tcPr>
            <w:tcW w:w="1394" w:type="dxa"/>
          </w:tcPr>
          <w:p w14:paraId="4E58203C" w14:textId="7031A56B" w:rsidR="00B6490E" w:rsidRPr="000A673B" w:rsidRDefault="00B6490E" w:rsidP="000A673B">
            <w:pPr>
              <w:rPr>
                <w:rFonts w:ascii="Calibri" w:hAnsi="Calibri"/>
                <w:sz w:val="22"/>
                <w:szCs w:val="22"/>
                <w:lang w:val="en-CA"/>
              </w:rPr>
            </w:pPr>
            <w:r>
              <w:rPr>
                <w:rFonts w:ascii="Calibri" w:hAnsi="Calibri"/>
                <w:sz w:val="22"/>
                <w:szCs w:val="22"/>
                <w:lang w:val="en-CA"/>
              </w:rPr>
              <w:t>Glen Bennett, Gander, NL</w:t>
            </w:r>
          </w:p>
          <w:p w14:paraId="5787392A" w14:textId="77777777" w:rsidR="00B6490E" w:rsidRDefault="00B6490E" w:rsidP="000A673B">
            <w:pPr>
              <w:pStyle w:val="BodyText"/>
              <w:rPr>
                <w:rFonts w:ascii="Arial" w:hAnsi="Arial"/>
                <w:lang w:val="en-CA"/>
              </w:rPr>
            </w:pPr>
          </w:p>
        </w:tc>
        <w:tc>
          <w:tcPr>
            <w:tcW w:w="1376" w:type="dxa"/>
          </w:tcPr>
          <w:p w14:paraId="79A8DEBD" w14:textId="17165009" w:rsidR="00B6490E" w:rsidRDefault="00B6490E" w:rsidP="00B5640E">
            <w:pPr>
              <w:pStyle w:val="BodyText"/>
              <w:jc w:val="center"/>
              <w:rPr>
                <w:rFonts w:ascii="Arial" w:hAnsi="Arial"/>
                <w:lang w:val="en-CA"/>
              </w:rPr>
            </w:pPr>
            <w:r>
              <w:rPr>
                <w:rFonts w:ascii="Arial" w:hAnsi="Arial"/>
                <w:sz w:val="20"/>
                <w:lang w:val="en-CA"/>
              </w:rPr>
              <w:t>24,000</w:t>
            </w:r>
            <w:r w:rsidRPr="00824B97">
              <w:rPr>
                <w:rFonts w:ascii="Arial" w:hAnsi="Arial"/>
                <w:sz w:val="20"/>
                <w:lang w:val="en-CA"/>
              </w:rPr>
              <w:t xml:space="preserve">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5E75FABC" w14:textId="6F3C1910"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6F20E4B9" w14:textId="5506D41C"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5BF372A9" w14:textId="7EE2E6A7" w:rsidR="00B6490E" w:rsidRDefault="00B6490E" w:rsidP="00B5640E">
            <w:pPr>
              <w:pStyle w:val="BodyText"/>
              <w:jc w:val="center"/>
              <w:rPr>
                <w:rFonts w:ascii="Arial" w:hAnsi="Arial"/>
                <w:lang w:val="en-CA"/>
              </w:rPr>
            </w:pPr>
            <w:r>
              <w:rPr>
                <w:rFonts w:ascii="Arial" w:hAnsi="Arial"/>
                <w:sz w:val="20"/>
                <w:lang w:val="en-CA"/>
              </w:rPr>
              <w:t>2.3</w:t>
            </w:r>
            <w:r w:rsidRPr="00824B97">
              <w:rPr>
                <w:rFonts w:ascii="Arial" w:hAnsi="Arial"/>
                <w:sz w:val="20"/>
                <w:lang w:val="en-CA"/>
              </w:rPr>
              <w:t xml:space="preserve"> of NI 45-106</w:t>
            </w:r>
          </w:p>
        </w:tc>
        <w:tc>
          <w:tcPr>
            <w:tcW w:w="1742" w:type="dxa"/>
          </w:tcPr>
          <w:p w14:paraId="25829523" w14:textId="5ECF3947" w:rsidR="00B6490E" w:rsidRDefault="00B6490E" w:rsidP="00B5640E">
            <w:pPr>
              <w:pStyle w:val="BodyText"/>
              <w:jc w:val="center"/>
              <w:rPr>
                <w:rFonts w:ascii="Arial" w:hAnsi="Arial"/>
                <w:lang w:val="en-CA"/>
              </w:rPr>
            </w:pPr>
            <w:r>
              <w:rPr>
                <w:rFonts w:ascii="Arial" w:hAnsi="Arial"/>
                <w:sz w:val="20"/>
              </w:rPr>
              <w:t>Nil</w:t>
            </w:r>
          </w:p>
        </w:tc>
        <w:tc>
          <w:tcPr>
            <w:tcW w:w="1100" w:type="dxa"/>
          </w:tcPr>
          <w:p w14:paraId="1DA02E18" w14:textId="4C3C148A"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2515020C" w14:textId="78E87BFC" w:rsidR="00B6490E" w:rsidRDefault="00B6490E" w:rsidP="00B5640E">
            <w:pPr>
              <w:pStyle w:val="BodyText"/>
              <w:jc w:val="center"/>
              <w:rPr>
                <w:rFonts w:ascii="Arial" w:hAnsi="Arial"/>
                <w:lang w:val="en-CA"/>
              </w:rPr>
            </w:pPr>
            <w:r>
              <w:rPr>
                <w:rFonts w:ascii="Arial" w:hAnsi="Arial"/>
                <w:color w:val="000000"/>
                <w:sz w:val="20"/>
                <w:lang w:val="en-CA"/>
              </w:rPr>
              <w:t>Non-r</w:t>
            </w:r>
            <w:r w:rsidRPr="00824B97">
              <w:rPr>
                <w:rFonts w:ascii="Arial" w:hAnsi="Arial"/>
                <w:color w:val="000000"/>
                <w:sz w:val="20"/>
                <w:lang w:val="en-CA"/>
              </w:rPr>
              <w:t>elated</w:t>
            </w:r>
          </w:p>
        </w:tc>
      </w:tr>
      <w:tr w:rsidR="00B6490E" w14:paraId="4C68216E" w14:textId="77777777" w:rsidTr="000A673B">
        <w:trPr>
          <w:trHeight w:val="864"/>
        </w:trPr>
        <w:tc>
          <w:tcPr>
            <w:tcW w:w="1394" w:type="dxa"/>
          </w:tcPr>
          <w:p w14:paraId="15A7D87A" w14:textId="18201D45" w:rsidR="00B6490E" w:rsidRPr="000A673B" w:rsidRDefault="00B6490E" w:rsidP="000A673B">
            <w:pPr>
              <w:rPr>
                <w:rFonts w:ascii="Calibri" w:hAnsi="Calibri"/>
                <w:sz w:val="22"/>
                <w:szCs w:val="22"/>
                <w:lang w:val="en-CA"/>
              </w:rPr>
            </w:pPr>
            <w:r>
              <w:rPr>
                <w:rFonts w:ascii="Calibri" w:hAnsi="Calibri"/>
                <w:sz w:val="22"/>
                <w:szCs w:val="22"/>
                <w:lang w:val="en-CA"/>
              </w:rPr>
              <w:t>Marc Simpson, Gander, NL</w:t>
            </w:r>
          </w:p>
          <w:p w14:paraId="409FF555" w14:textId="77777777" w:rsidR="00B6490E" w:rsidRDefault="00B6490E" w:rsidP="000A673B">
            <w:pPr>
              <w:pStyle w:val="BodyText"/>
              <w:rPr>
                <w:rFonts w:ascii="Arial" w:hAnsi="Arial"/>
                <w:lang w:val="en-CA"/>
              </w:rPr>
            </w:pPr>
          </w:p>
        </w:tc>
        <w:tc>
          <w:tcPr>
            <w:tcW w:w="1376" w:type="dxa"/>
          </w:tcPr>
          <w:p w14:paraId="539397F1" w14:textId="75088E11" w:rsidR="00B6490E" w:rsidRDefault="00B6490E" w:rsidP="00B5640E">
            <w:pPr>
              <w:pStyle w:val="BodyText"/>
              <w:jc w:val="center"/>
              <w:rPr>
                <w:rFonts w:ascii="Arial" w:hAnsi="Arial"/>
                <w:lang w:val="en-CA"/>
              </w:rPr>
            </w:pPr>
            <w:r>
              <w:rPr>
                <w:rFonts w:ascii="Arial" w:hAnsi="Arial"/>
                <w:sz w:val="20"/>
                <w:lang w:val="en-CA"/>
              </w:rPr>
              <w:t>48</w:t>
            </w:r>
            <w:r w:rsidRPr="00824B97">
              <w:rPr>
                <w:rFonts w:ascii="Arial" w:hAnsi="Arial"/>
                <w:sz w:val="20"/>
                <w:lang w:val="en-CA"/>
              </w:rPr>
              <w:t xml:space="preserve">,000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6038DF20" w14:textId="126E7139"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00D4C205" w14:textId="06629028"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7D23E2CC" w14:textId="0E410934" w:rsidR="00B6490E" w:rsidRDefault="00B6490E" w:rsidP="00B5640E">
            <w:pPr>
              <w:pStyle w:val="BodyText"/>
              <w:jc w:val="center"/>
              <w:rPr>
                <w:rFonts w:ascii="Arial" w:hAnsi="Arial"/>
                <w:lang w:val="en-CA"/>
              </w:rPr>
            </w:pPr>
            <w:r w:rsidRPr="00824B97">
              <w:rPr>
                <w:rFonts w:ascii="Arial" w:hAnsi="Arial"/>
                <w:sz w:val="20"/>
                <w:lang w:val="en-CA"/>
              </w:rPr>
              <w:t>2.3 of NI 45-106</w:t>
            </w:r>
          </w:p>
        </w:tc>
        <w:tc>
          <w:tcPr>
            <w:tcW w:w="1742" w:type="dxa"/>
          </w:tcPr>
          <w:p w14:paraId="64C0BA06" w14:textId="67291E4F" w:rsidR="00B6490E" w:rsidRDefault="00B6490E" w:rsidP="00B5640E">
            <w:pPr>
              <w:pStyle w:val="BodyText"/>
              <w:jc w:val="center"/>
              <w:rPr>
                <w:rFonts w:ascii="Arial" w:hAnsi="Arial"/>
                <w:lang w:val="en-CA"/>
              </w:rPr>
            </w:pPr>
            <w:r>
              <w:rPr>
                <w:rFonts w:ascii="Arial" w:hAnsi="Arial"/>
                <w:sz w:val="20"/>
              </w:rPr>
              <w:t>Nil</w:t>
            </w:r>
          </w:p>
        </w:tc>
        <w:tc>
          <w:tcPr>
            <w:tcW w:w="1100" w:type="dxa"/>
          </w:tcPr>
          <w:p w14:paraId="50AD5E9B" w14:textId="1242E22B"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261345C3" w14:textId="6347E92E"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2CB4B078" w14:textId="77777777" w:rsidTr="000A673B">
        <w:trPr>
          <w:trHeight w:val="864"/>
        </w:trPr>
        <w:tc>
          <w:tcPr>
            <w:tcW w:w="1394" w:type="dxa"/>
          </w:tcPr>
          <w:p w14:paraId="2FEAD310" w14:textId="7560865A" w:rsidR="00B6490E" w:rsidRPr="000A673B" w:rsidRDefault="00B6490E" w:rsidP="000A673B">
            <w:pPr>
              <w:rPr>
                <w:rFonts w:ascii="Calibri" w:hAnsi="Calibri"/>
                <w:sz w:val="22"/>
                <w:szCs w:val="22"/>
                <w:lang w:val="en-CA"/>
              </w:rPr>
            </w:pPr>
            <w:proofErr w:type="spellStart"/>
            <w:r>
              <w:rPr>
                <w:rFonts w:ascii="Calibri" w:hAnsi="Calibri"/>
                <w:sz w:val="22"/>
                <w:szCs w:val="22"/>
                <w:lang w:val="en-CA"/>
              </w:rPr>
              <w:t>Nia</w:t>
            </w:r>
            <w:proofErr w:type="spellEnd"/>
            <w:r>
              <w:rPr>
                <w:rFonts w:ascii="Calibri" w:hAnsi="Calibri"/>
                <w:sz w:val="22"/>
                <w:szCs w:val="22"/>
                <w:lang w:val="en-CA"/>
              </w:rPr>
              <w:t xml:space="preserve"> Capital Corp., Coquitlam, BC</w:t>
            </w:r>
          </w:p>
          <w:p w14:paraId="4E6C9BE6" w14:textId="77777777" w:rsidR="00B6490E" w:rsidRPr="000A673B" w:rsidRDefault="00B6490E" w:rsidP="000A673B">
            <w:pPr>
              <w:rPr>
                <w:rFonts w:ascii="Calibri" w:hAnsi="Calibri"/>
                <w:sz w:val="22"/>
                <w:szCs w:val="22"/>
                <w:lang w:val="en-CA"/>
              </w:rPr>
            </w:pPr>
          </w:p>
        </w:tc>
        <w:tc>
          <w:tcPr>
            <w:tcW w:w="1376" w:type="dxa"/>
          </w:tcPr>
          <w:p w14:paraId="37A59621" w14:textId="65E5ABAC" w:rsidR="00B6490E" w:rsidRDefault="00B6490E" w:rsidP="00B5640E">
            <w:pPr>
              <w:pStyle w:val="BodyText"/>
              <w:jc w:val="center"/>
              <w:rPr>
                <w:rFonts w:ascii="Arial" w:hAnsi="Arial"/>
                <w:lang w:val="en-CA"/>
              </w:rPr>
            </w:pPr>
            <w:r>
              <w:rPr>
                <w:rFonts w:ascii="Arial" w:hAnsi="Arial"/>
                <w:sz w:val="20"/>
                <w:lang w:val="en-CA"/>
              </w:rPr>
              <w:t>12</w:t>
            </w:r>
            <w:r w:rsidRPr="00824B97">
              <w:rPr>
                <w:rFonts w:ascii="Arial" w:hAnsi="Arial"/>
                <w:sz w:val="20"/>
                <w:lang w:val="en-CA"/>
              </w:rPr>
              <w:t xml:space="preserve">0,000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667D4614" w14:textId="6BD24858"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6EF66227" w14:textId="7EA74FBF"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7D2059CA" w14:textId="5D130719" w:rsidR="00B6490E" w:rsidRDefault="00B6490E" w:rsidP="00B5640E">
            <w:pPr>
              <w:pStyle w:val="BodyText"/>
              <w:jc w:val="center"/>
              <w:rPr>
                <w:rFonts w:ascii="Arial" w:hAnsi="Arial"/>
                <w:lang w:val="en-CA"/>
              </w:rPr>
            </w:pPr>
            <w:r>
              <w:rPr>
                <w:rFonts w:ascii="Arial" w:hAnsi="Arial"/>
                <w:sz w:val="20"/>
                <w:lang w:val="en-CA"/>
              </w:rPr>
              <w:t>2.5</w:t>
            </w:r>
            <w:r w:rsidRPr="00824B97">
              <w:rPr>
                <w:rFonts w:ascii="Arial" w:hAnsi="Arial"/>
                <w:sz w:val="20"/>
                <w:lang w:val="en-CA"/>
              </w:rPr>
              <w:t xml:space="preserve"> of NI 45-106</w:t>
            </w:r>
          </w:p>
        </w:tc>
        <w:tc>
          <w:tcPr>
            <w:tcW w:w="1742" w:type="dxa"/>
          </w:tcPr>
          <w:p w14:paraId="5D21A2AD" w14:textId="58ED6246" w:rsidR="00B6490E" w:rsidRDefault="00B6490E" w:rsidP="00B5640E">
            <w:pPr>
              <w:pStyle w:val="BodyText"/>
              <w:jc w:val="center"/>
              <w:rPr>
                <w:rFonts w:ascii="Arial" w:hAnsi="Arial"/>
                <w:lang w:val="en-CA"/>
              </w:rPr>
            </w:pPr>
            <w:r>
              <w:rPr>
                <w:rFonts w:ascii="Arial" w:hAnsi="Arial"/>
                <w:sz w:val="20"/>
              </w:rPr>
              <w:t>200,000</w:t>
            </w:r>
          </w:p>
        </w:tc>
        <w:tc>
          <w:tcPr>
            <w:tcW w:w="1100" w:type="dxa"/>
          </w:tcPr>
          <w:p w14:paraId="6E6AB045" w14:textId="1D003DD8"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0DF936B7" w14:textId="374C756E" w:rsidR="00B6490E" w:rsidRDefault="00B6490E" w:rsidP="00B5640E">
            <w:pPr>
              <w:pStyle w:val="BodyText"/>
              <w:jc w:val="center"/>
              <w:rPr>
                <w:rFonts w:ascii="Arial" w:hAnsi="Arial"/>
                <w:lang w:val="en-CA"/>
              </w:rPr>
            </w:pPr>
            <w:r>
              <w:rPr>
                <w:rFonts w:ascii="Arial" w:hAnsi="Arial"/>
                <w:color w:val="000000"/>
                <w:sz w:val="20"/>
                <w:lang w:val="en-CA"/>
              </w:rPr>
              <w:t>Related Person</w:t>
            </w:r>
          </w:p>
        </w:tc>
      </w:tr>
      <w:tr w:rsidR="00B6490E" w14:paraId="45F2B37B" w14:textId="77777777" w:rsidTr="000A673B">
        <w:trPr>
          <w:trHeight w:val="864"/>
        </w:trPr>
        <w:tc>
          <w:tcPr>
            <w:tcW w:w="1394" w:type="dxa"/>
          </w:tcPr>
          <w:p w14:paraId="49C78A13" w14:textId="47BCAD93" w:rsidR="00B6490E" w:rsidRPr="000A673B" w:rsidRDefault="00B6490E" w:rsidP="000A673B">
            <w:pPr>
              <w:rPr>
                <w:rFonts w:ascii="Calibri" w:hAnsi="Calibri"/>
                <w:sz w:val="22"/>
                <w:szCs w:val="22"/>
                <w:lang w:val="en-CA"/>
              </w:rPr>
            </w:pPr>
            <w:r>
              <w:rPr>
                <w:rFonts w:ascii="Calibri" w:hAnsi="Calibri"/>
                <w:sz w:val="22"/>
                <w:szCs w:val="22"/>
                <w:lang w:val="en-CA"/>
              </w:rPr>
              <w:t>Circa Capital Corp., Vancouver, BC</w:t>
            </w:r>
          </w:p>
          <w:p w14:paraId="4AE3C7BB" w14:textId="77777777" w:rsidR="00B6490E" w:rsidRPr="000A673B" w:rsidRDefault="00B6490E" w:rsidP="000A673B">
            <w:pPr>
              <w:rPr>
                <w:rFonts w:ascii="Calibri" w:hAnsi="Calibri"/>
                <w:sz w:val="22"/>
                <w:szCs w:val="22"/>
                <w:lang w:val="en-CA"/>
              </w:rPr>
            </w:pPr>
          </w:p>
        </w:tc>
        <w:tc>
          <w:tcPr>
            <w:tcW w:w="1376" w:type="dxa"/>
          </w:tcPr>
          <w:p w14:paraId="1F722E39" w14:textId="5BF4A7FC" w:rsidR="00B6490E" w:rsidRDefault="00B6490E" w:rsidP="00B5640E">
            <w:pPr>
              <w:pStyle w:val="BodyText"/>
              <w:jc w:val="center"/>
              <w:rPr>
                <w:rFonts w:ascii="Arial" w:hAnsi="Arial"/>
                <w:lang w:val="en-CA"/>
              </w:rPr>
            </w:pPr>
            <w:r>
              <w:rPr>
                <w:rFonts w:ascii="Arial" w:hAnsi="Arial"/>
                <w:sz w:val="20"/>
                <w:lang w:val="en-CA"/>
              </w:rPr>
              <w:t>20</w:t>
            </w:r>
            <w:r w:rsidRPr="00824B97">
              <w:rPr>
                <w:rFonts w:ascii="Arial" w:hAnsi="Arial"/>
                <w:sz w:val="20"/>
                <w:lang w:val="en-CA"/>
              </w:rPr>
              <w:t xml:space="preserve">0,000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7A63F9A6" w14:textId="75416A01"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686D574E" w14:textId="1A9BB437"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45BB2ADF" w14:textId="3FBD8816" w:rsidR="00B6490E" w:rsidRDefault="00B6490E" w:rsidP="00B5640E">
            <w:pPr>
              <w:pStyle w:val="BodyText"/>
              <w:jc w:val="center"/>
              <w:rPr>
                <w:rFonts w:ascii="Arial" w:hAnsi="Arial"/>
                <w:lang w:val="en-CA"/>
              </w:rPr>
            </w:pPr>
            <w:r>
              <w:rPr>
                <w:rFonts w:ascii="Arial" w:hAnsi="Arial"/>
                <w:sz w:val="20"/>
                <w:lang w:val="en-CA"/>
              </w:rPr>
              <w:t>2.3</w:t>
            </w:r>
            <w:r w:rsidRPr="00824B97">
              <w:rPr>
                <w:rFonts w:ascii="Arial" w:hAnsi="Arial"/>
                <w:sz w:val="20"/>
                <w:lang w:val="en-CA"/>
              </w:rPr>
              <w:t xml:space="preserve"> of NI 45-106</w:t>
            </w:r>
          </w:p>
        </w:tc>
        <w:tc>
          <w:tcPr>
            <w:tcW w:w="1742" w:type="dxa"/>
          </w:tcPr>
          <w:p w14:paraId="38687731" w14:textId="1CA4C551" w:rsidR="00B6490E" w:rsidRDefault="00B6490E" w:rsidP="00B5640E">
            <w:pPr>
              <w:pStyle w:val="BodyText"/>
              <w:jc w:val="center"/>
              <w:rPr>
                <w:rFonts w:ascii="Arial" w:hAnsi="Arial"/>
                <w:lang w:val="en-CA"/>
              </w:rPr>
            </w:pPr>
            <w:r>
              <w:rPr>
                <w:rFonts w:ascii="Arial" w:hAnsi="Arial"/>
                <w:sz w:val="20"/>
              </w:rPr>
              <w:t>Nil</w:t>
            </w:r>
          </w:p>
        </w:tc>
        <w:tc>
          <w:tcPr>
            <w:tcW w:w="1100" w:type="dxa"/>
          </w:tcPr>
          <w:p w14:paraId="1AB165E6" w14:textId="226B8F46"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229EECE4" w14:textId="52EFBAA0"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378A0E9A" w14:textId="77777777" w:rsidTr="000A673B">
        <w:trPr>
          <w:trHeight w:val="864"/>
        </w:trPr>
        <w:tc>
          <w:tcPr>
            <w:tcW w:w="1394" w:type="dxa"/>
          </w:tcPr>
          <w:p w14:paraId="6529C345" w14:textId="570A426D" w:rsidR="00B6490E" w:rsidRPr="000A673B" w:rsidRDefault="00B6490E" w:rsidP="000A673B">
            <w:pPr>
              <w:rPr>
                <w:rFonts w:ascii="Calibri" w:hAnsi="Calibri"/>
                <w:sz w:val="22"/>
                <w:szCs w:val="22"/>
                <w:lang w:val="en-CA"/>
              </w:rPr>
            </w:pPr>
            <w:proofErr w:type="spellStart"/>
            <w:r>
              <w:rPr>
                <w:rFonts w:ascii="Calibri" w:hAnsi="Calibri"/>
                <w:sz w:val="22"/>
                <w:szCs w:val="22"/>
                <w:lang w:val="en-CA"/>
              </w:rPr>
              <w:t>Skycorp</w:t>
            </w:r>
            <w:proofErr w:type="spellEnd"/>
            <w:r>
              <w:rPr>
                <w:rFonts w:ascii="Calibri" w:hAnsi="Calibri"/>
                <w:sz w:val="22"/>
                <w:szCs w:val="22"/>
                <w:lang w:val="en-CA"/>
              </w:rPr>
              <w:t xml:space="preserve"> Capital, North Vancouver, BC</w:t>
            </w:r>
          </w:p>
          <w:p w14:paraId="19D1A643" w14:textId="77777777" w:rsidR="00B6490E" w:rsidRPr="000A673B" w:rsidRDefault="00B6490E" w:rsidP="000A673B">
            <w:pPr>
              <w:rPr>
                <w:rFonts w:ascii="Calibri" w:hAnsi="Calibri"/>
                <w:sz w:val="22"/>
                <w:szCs w:val="22"/>
                <w:lang w:val="en-CA"/>
              </w:rPr>
            </w:pPr>
          </w:p>
        </w:tc>
        <w:tc>
          <w:tcPr>
            <w:tcW w:w="1376" w:type="dxa"/>
          </w:tcPr>
          <w:p w14:paraId="1AE42AFD" w14:textId="6B5FAD70" w:rsidR="00B6490E" w:rsidRDefault="00B6490E" w:rsidP="00B5640E">
            <w:pPr>
              <w:pStyle w:val="BodyText"/>
              <w:jc w:val="center"/>
              <w:rPr>
                <w:rFonts w:ascii="Arial" w:hAnsi="Arial"/>
                <w:lang w:val="en-CA"/>
              </w:rPr>
            </w:pPr>
            <w:r>
              <w:rPr>
                <w:rFonts w:ascii="Arial" w:hAnsi="Arial"/>
                <w:sz w:val="20"/>
                <w:lang w:val="en-CA"/>
              </w:rPr>
              <w:t>60</w:t>
            </w:r>
            <w:r w:rsidRPr="00824B97">
              <w:rPr>
                <w:rFonts w:ascii="Arial" w:hAnsi="Arial"/>
                <w:sz w:val="20"/>
                <w:lang w:val="en-CA"/>
              </w:rPr>
              <w:t xml:space="preserve">,000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3E51ECCC" w14:textId="54709151"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67F6337C" w14:textId="03003670"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6B221308" w14:textId="1518D971" w:rsidR="00B6490E" w:rsidRDefault="00B6490E" w:rsidP="00B5640E">
            <w:pPr>
              <w:pStyle w:val="BodyText"/>
              <w:jc w:val="center"/>
              <w:rPr>
                <w:rFonts w:ascii="Arial" w:hAnsi="Arial"/>
                <w:lang w:val="en-CA"/>
              </w:rPr>
            </w:pPr>
            <w:r>
              <w:rPr>
                <w:rFonts w:ascii="Arial" w:hAnsi="Arial"/>
                <w:sz w:val="20"/>
                <w:lang w:val="en-CA"/>
              </w:rPr>
              <w:t>2.5</w:t>
            </w:r>
            <w:r w:rsidRPr="00824B97">
              <w:rPr>
                <w:rFonts w:ascii="Arial" w:hAnsi="Arial"/>
                <w:sz w:val="20"/>
                <w:lang w:val="en-CA"/>
              </w:rPr>
              <w:t xml:space="preserve"> of NI 45-106</w:t>
            </w:r>
          </w:p>
        </w:tc>
        <w:tc>
          <w:tcPr>
            <w:tcW w:w="1742" w:type="dxa"/>
          </w:tcPr>
          <w:p w14:paraId="154104D5" w14:textId="42C5A3B3" w:rsidR="00B6490E" w:rsidRDefault="00B6490E" w:rsidP="00B5640E">
            <w:pPr>
              <w:pStyle w:val="BodyText"/>
              <w:jc w:val="center"/>
              <w:rPr>
                <w:rFonts w:ascii="Arial" w:hAnsi="Arial"/>
                <w:lang w:val="en-CA"/>
              </w:rPr>
            </w:pPr>
            <w:r>
              <w:rPr>
                <w:rFonts w:ascii="Arial" w:hAnsi="Arial"/>
                <w:sz w:val="20"/>
              </w:rPr>
              <w:t>100,000</w:t>
            </w:r>
          </w:p>
        </w:tc>
        <w:tc>
          <w:tcPr>
            <w:tcW w:w="1100" w:type="dxa"/>
          </w:tcPr>
          <w:p w14:paraId="7A631AA5" w14:textId="08515873"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47021FC8" w14:textId="66B54D2F"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4A812912" w14:textId="77777777" w:rsidTr="000A673B">
        <w:trPr>
          <w:trHeight w:val="864"/>
        </w:trPr>
        <w:tc>
          <w:tcPr>
            <w:tcW w:w="1394" w:type="dxa"/>
          </w:tcPr>
          <w:p w14:paraId="371D31A6" w14:textId="72B2D143" w:rsidR="00B6490E" w:rsidRPr="000A673B" w:rsidRDefault="00B6490E" w:rsidP="000A673B">
            <w:pPr>
              <w:rPr>
                <w:rFonts w:ascii="Calibri" w:hAnsi="Calibri"/>
                <w:sz w:val="22"/>
                <w:szCs w:val="22"/>
                <w:lang w:val="en-CA"/>
              </w:rPr>
            </w:pPr>
            <w:r>
              <w:rPr>
                <w:rFonts w:ascii="Calibri" w:hAnsi="Calibri"/>
                <w:sz w:val="22"/>
                <w:szCs w:val="22"/>
                <w:lang w:val="en-CA"/>
              </w:rPr>
              <w:t>0877658 BC Ltd., Port Coquitlam, BC</w:t>
            </w:r>
          </w:p>
          <w:p w14:paraId="3FA42019" w14:textId="77777777" w:rsidR="00B6490E" w:rsidRPr="000A673B" w:rsidRDefault="00B6490E" w:rsidP="000A673B">
            <w:pPr>
              <w:rPr>
                <w:rFonts w:ascii="Calibri" w:hAnsi="Calibri"/>
                <w:sz w:val="22"/>
                <w:szCs w:val="22"/>
                <w:lang w:val="en-CA"/>
              </w:rPr>
            </w:pPr>
          </w:p>
        </w:tc>
        <w:tc>
          <w:tcPr>
            <w:tcW w:w="1376" w:type="dxa"/>
          </w:tcPr>
          <w:p w14:paraId="16702EE2" w14:textId="16B0498A" w:rsidR="00B6490E" w:rsidRDefault="00B6490E" w:rsidP="00B5640E">
            <w:pPr>
              <w:pStyle w:val="BodyText"/>
              <w:jc w:val="center"/>
              <w:rPr>
                <w:rFonts w:ascii="Arial" w:hAnsi="Arial"/>
                <w:lang w:val="en-CA"/>
              </w:rPr>
            </w:pPr>
            <w:r>
              <w:rPr>
                <w:rFonts w:ascii="Arial" w:hAnsi="Arial"/>
                <w:sz w:val="20"/>
                <w:lang w:val="en-CA"/>
              </w:rPr>
              <w:t>256</w:t>
            </w:r>
            <w:r w:rsidRPr="00824B97">
              <w:rPr>
                <w:rFonts w:ascii="Arial" w:hAnsi="Arial"/>
                <w:sz w:val="20"/>
                <w:lang w:val="en-CA"/>
              </w:rPr>
              <w:t xml:space="preserve">,000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68C358BC" w14:textId="428EBD30"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29300CD3" w14:textId="009DE0DD"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3368BD0A" w14:textId="14579C98" w:rsidR="00B6490E" w:rsidRDefault="00B6490E" w:rsidP="00B5640E">
            <w:pPr>
              <w:pStyle w:val="BodyText"/>
              <w:jc w:val="center"/>
              <w:rPr>
                <w:rFonts w:ascii="Arial" w:hAnsi="Arial"/>
                <w:lang w:val="en-CA"/>
              </w:rPr>
            </w:pPr>
            <w:r>
              <w:rPr>
                <w:rFonts w:ascii="Arial" w:hAnsi="Arial"/>
                <w:sz w:val="20"/>
                <w:lang w:val="en-CA"/>
              </w:rPr>
              <w:t>2.5</w:t>
            </w:r>
            <w:r w:rsidRPr="00824B97">
              <w:rPr>
                <w:rFonts w:ascii="Arial" w:hAnsi="Arial"/>
                <w:sz w:val="20"/>
                <w:lang w:val="en-CA"/>
              </w:rPr>
              <w:t xml:space="preserve"> of NI 45-106</w:t>
            </w:r>
          </w:p>
        </w:tc>
        <w:tc>
          <w:tcPr>
            <w:tcW w:w="1742" w:type="dxa"/>
          </w:tcPr>
          <w:p w14:paraId="5428FFEC" w14:textId="4F810EDF" w:rsidR="00B6490E" w:rsidRDefault="00B6490E" w:rsidP="00B5640E">
            <w:pPr>
              <w:pStyle w:val="BodyText"/>
              <w:jc w:val="center"/>
              <w:rPr>
                <w:rFonts w:ascii="Arial" w:hAnsi="Arial"/>
                <w:lang w:val="en-CA"/>
              </w:rPr>
            </w:pPr>
            <w:r>
              <w:rPr>
                <w:rFonts w:ascii="Arial" w:hAnsi="Arial"/>
                <w:sz w:val="20"/>
              </w:rPr>
              <w:t>1,656,000</w:t>
            </w:r>
          </w:p>
        </w:tc>
        <w:tc>
          <w:tcPr>
            <w:tcW w:w="1100" w:type="dxa"/>
          </w:tcPr>
          <w:p w14:paraId="43EEF207" w14:textId="266E6175"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40C7C298" w14:textId="2F826817"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r w:rsidR="00B6490E" w14:paraId="1688643D" w14:textId="77777777" w:rsidTr="000A673B">
        <w:trPr>
          <w:trHeight w:val="864"/>
        </w:trPr>
        <w:tc>
          <w:tcPr>
            <w:tcW w:w="1394" w:type="dxa"/>
          </w:tcPr>
          <w:p w14:paraId="7300F9FA" w14:textId="5B8AB10A" w:rsidR="00B6490E" w:rsidRPr="000A673B" w:rsidRDefault="00B6490E" w:rsidP="000A673B">
            <w:pPr>
              <w:rPr>
                <w:rFonts w:ascii="Calibri" w:hAnsi="Calibri"/>
                <w:sz w:val="22"/>
                <w:szCs w:val="22"/>
                <w:lang w:val="en-CA"/>
              </w:rPr>
            </w:pPr>
            <w:r>
              <w:rPr>
                <w:rFonts w:ascii="Calibri" w:hAnsi="Calibri"/>
                <w:sz w:val="22"/>
                <w:szCs w:val="22"/>
                <w:lang w:val="en-CA"/>
              </w:rPr>
              <w:lastRenderedPageBreak/>
              <w:t>2432692 Ontario Inc., Toronto, ON</w:t>
            </w:r>
          </w:p>
          <w:p w14:paraId="34ACCFE7" w14:textId="77777777" w:rsidR="00B6490E" w:rsidRPr="000A673B" w:rsidRDefault="00B6490E" w:rsidP="000A673B">
            <w:pPr>
              <w:rPr>
                <w:rFonts w:ascii="Calibri" w:hAnsi="Calibri"/>
                <w:sz w:val="22"/>
                <w:szCs w:val="22"/>
                <w:lang w:val="en-CA"/>
              </w:rPr>
            </w:pPr>
          </w:p>
        </w:tc>
        <w:tc>
          <w:tcPr>
            <w:tcW w:w="1376" w:type="dxa"/>
          </w:tcPr>
          <w:p w14:paraId="64B0A523" w14:textId="1A39D4F6" w:rsidR="00B6490E" w:rsidRDefault="00B6490E" w:rsidP="00B5640E">
            <w:pPr>
              <w:pStyle w:val="BodyText"/>
              <w:jc w:val="center"/>
              <w:rPr>
                <w:rFonts w:ascii="Arial" w:hAnsi="Arial"/>
                <w:lang w:val="en-CA"/>
              </w:rPr>
            </w:pPr>
            <w:r>
              <w:rPr>
                <w:rFonts w:ascii="Arial" w:hAnsi="Arial"/>
                <w:sz w:val="20"/>
                <w:lang w:val="en-CA"/>
              </w:rPr>
              <w:t>920</w:t>
            </w:r>
            <w:r w:rsidRPr="00824B97">
              <w:rPr>
                <w:rFonts w:ascii="Arial" w:hAnsi="Arial"/>
                <w:sz w:val="20"/>
                <w:lang w:val="en-CA"/>
              </w:rPr>
              <w:t xml:space="preserve">,000 </w:t>
            </w:r>
            <w:proofErr w:type="gramStart"/>
            <w:r w:rsidRPr="00824B97">
              <w:rPr>
                <w:rFonts w:ascii="Arial" w:hAnsi="Arial"/>
                <w:sz w:val="20"/>
                <w:lang w:val="en-CA"/>
              </w:rPr>
              <w:t>Units</w:t>
            </w:r>
            <w:r w:rsidRPr="00824B97">
              <w:rPr>
                <w:rFonts w:ascii="Arial" w:hAnsi="Arial"/>
                <w:sz w:val="20"/>
                <w:vertAlign w:val="superscript"/>
                <w:lang w:val="en-CA"/>
              </w:rPr>
              <w:t>(</w:t>
            </w:r>
            <w:proofErr w:type="gramEnd"/>
            <w:r w:rsidRPr="00824B97">
              <w:rPr>
                <w:rFonts w:ascii="Arial" w:hAnsi="Arial"/>
                <w:sz w:val="20"/>
                <w:vertAlign w:val="superscript"/>
                <w:lang w:val="en-CA"/>
              </w:rPr>
              <w:t>3)</w:t>
            </w:r>
          </w:p>
        </w:tc>
        <w:tc>
          <w:tcPr>
            <w:tcW w:w="1192" w:type="dxa"/>
          </w:tcPr>
          <w:p w14:paraId="67BC0FD9" w14:textId="14267C3D" w:rsidR="00B6490E" w:rsidRDefault="00B6490E" w:rsidP="00B5640E">
            <w:pPr>
              <w:pStyle w:val="BodyText"/>
              <w:jc w:val="center"/>
              <w:rPr>
                <w:rFonts w:ascii="Arial" w:hAnsi="Arial"/>
                <w:lang w:val="en-CA"/>
              </w:rPr>
            </w:pPr>
            <w:r>
              <w:rPr>
                <w:rFonts w:ascii="Arial" w:hAnsi="Arial"/>
                <w:sz w:val="20"/>
                <w:lang w:val="en-CA"/>
              </w:rPr>
              <w:t>$0.125</w:t>
            </w:r>
          </w:p>
        </w:tc>
        <w:tc>
          <w:tcPr>
            <w:tcW w:w="1376" w:type="dxa"/>
          </w:tcPr>
          <w:p w14:paraId="34B8D365" w14:textId="3CCDFF60" w:rsidR="00B6490E" w:rsidRDefault="00B6490E" w:rsidP="00B5640E">
            <w:pPr>
              <w:pStyle w:val="BodyText"/>
              <w:jc w:val="center"/>
              <w:rPr>
                <w:rFonts w:ascii="Arial" w:hAnsi="Arial"/>
                <w:lang w:val="en-CA"/>
              </w:rPr>
            </w:pPr>
            <w:proofErr w:type="gramStart"/>
            <w:r w:rsidRPr="00824B97">
              <w:rPr>
                <w:rFonts w:ascii="Arial" w:hAnsi="Arial"/>
                <w:sz w:val="20"/>
                <w:lang w:val="en-CA"/>
              </w:rPr>
              <w:t>n</w:t>
            </w:r>
            <w:proofErr w:type="gramEnd"/>
            <w:r w:rsidRPr="00824B97">
              <w:rPr>
                <w:rFonts w:ascii="Arial" w:hAnsi="Arial"/>
                <w:sz w:val="20"/>
                <w:lang w:val="en-CA"/>
              </w:rPr>
              <w:t>/a</w:t>
            </w:r>
          </w:p>
        </w:tc>
        <w:tc>
          <w:tcPr>
            <w:tcW w:w="1376" w:type="dxa"/>
          </w:tcPr>
          <w:p w14:paraId="3192A22F" w14:textId="48F63C93" w:rsidR="00B6490E" w:rsidRDefault="00B6490E" w:rsidP="00B5640E">
            <w:pPr>
              <w:pStyle w:val="BodyText"/>
              <w:jc w:val="center"/>
              <w:rPr>
                <w:rFonts w:ascii="Arial" w:hAnsi="Arial"/>
                <w:lang w:val="en-CA"/>
              </w:rPr>
            </w:pPr>
            <w:r>
              <w:rPr>
                <w:rFonts w:ascii="Arial" w:hAnsi="Arial"/>
                <w:sz w:val="20"/>
                <w:lang w:val="en-CA"/>
              </w:rPr>
              <w:t>2.3</w:t>
            </w:r>
            <w:r w:rsidRPr="00824B97">
              <w:rPr>
                <w:rFonts w:ascii="Arial" w:hAnsi="Arial"/>
                <w:sz w:val="20"/>
                <w:lang w:val="en-CA"/>
              </w:rPr>
              <w:t xml:space="preserve"> of NI 45-106</w:t>
            </w:r>
          </w:p>
        </w:tc>
        <w:tc>
          <w:tcPr>
            <w:tcW w:w="1742" w:type="dxa"/>
          </w:tcPr>
          <w:p w14:paraId="6164AC67" w14:textId="00565C82" w:rsidR="00B6490E" w:rsidRDefault="00B6490E" w:rsidP="00B5640E">
            <w:pPr>
              <w:pStyle w:val="BodyText"/>
              <w:jc w:val="center"/>
              <w:rPr>
                <w:rFonts w:ascii="Arial" w:hAnsi="Arial"/>
                <w:lang w:val="en-CA"/>
              </w:rPr>
            </w:pPr>
            <w:r>
              <w:rPr>
                <w:rFonts w:ascii="Arial" w:hAnsi="Arial"/>
                <w:sz w:val="20"/>
              </w:rPr>
              <w:t>Nil</w:t>
            </w:r>
          </w:p>
        </w:tc>
        <w:tc>
          <w:tcPr>
            <w:tcW w:w="1100" w:type="dxa"/>
          </w:tcPr>
          <w:p w14:paraId="6E36E89F" w14:textId="7D4DAECC" w:rsidR="00B6490E" w:rsidRDefault="00B6490E" w:rsidP="00B5640E">
            <w:pPr>
              <w:pStyle w:val="BodyText"/>
              <w:jc w:val="center"/>
              <w:rPr>
                <w:rFonts w:ascii="Arial" w:hAnsi="Arial"/>
                <w:lang w:val="en-CA"/>
              </w:rPr>
            </w:pPr>
            <w:r w:rsidRPr="00F24D56">
              <w:rPr>
                <w:rFonts w:ascii="Arial" w:hAnsi="Arial"/>
                <w:sz w:val="20"/>
                <w:lang w:val="en-CA"/>
              </w:rPr>
              <w:t>May 23, 2017</w:t>
            </w:r>
          </w:p>
        </w:tc>
        <w:tc>
          <w:tcPr>
            <w:tcW w:w="1100" w:type="dxa"/>
          </w:tcPr>
          <w:p w14:paraId="4B87099B" w14:textId="43AD148D" w:rsidR="00B6490E" w:rsidRDefault="00B6490E" w:rsidP="00B5640E">
            <w:pPr>
              <w:pStyle w:val="BodyText"/>
              <w:jc w:val="center"/>
              <w:rPr>
                <w:rFonts w:ascii="Arial" w:hAnsi="Arial"/>
                <w:lang w:val="en-CA"/>
              </w:rPr>
            </w:pPr>
            <w:r w:rsidRPr="00824B97">
              <w:rPr>
                <w:rFonts w:ascii="Arial" w:hAnsi="Arial"/>
                <w:color w:val="000000"/>
                <w:sz w:val="20"/>
                <w:lang w:val="en-CA"/>
              </w:rPr>
              <w:t>Non-related</w:t>
            </w:r>
          </w:p>
        </w:tc>
      </w:tr>
    </w:tbl>
    <w:p w14:paraId="3BEBBA83"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14:paraId="5D5EF6CD" w14:textId="77777777"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623F9355" w14:textId="60765E28" w:rsidR="00824B97" w:rsidRPr="00824B97" w:rsidRDefault="00B5640E" w:rsidP="00824B97">
      <w:pPr>
        <w:pStyle w:val="BodyText"/>
        <w:numPr>
          <w:ilvl w:val="0"/>
          <w:numId w:val="8"/>
        </w:numPr>
        <w:rPr>
          <w:rFonts w:ascii="Arial" w:hAnsi="Arial" w:cs="Arial"/>
          <w:sz w:val="20"/>
        </w:rPr>
      </w:pPr>
      <w:r>
        <w:rPr>
          <w:rFonts w:ascii="Arial" w:hAnsi="Arial" w:cs="Arial"/>
          <w:i/>
          <w:sz w:val="20"/>
          <w:lang w:val="en-CA"/>
        </w:rPr>
        <w:t>Each Unit at $0.125</w:t>
      </w:r>
      <w:r w:rsidR="00824B97" w:rsidRPr="00025BA9">
        <w:rPr>
          <w:rFonts w:ascii="Arial" w:hAnsi="Arial" w:cs="Arial"/>
          <w:i/>
          <w:sz w:val="20"/>
          <w:lang w:val="en-CA"/>
        </w:rPr>
        <w:t xml:space="preserve"> per Unit consisting of one common share and one </w:t>
      </w:r>
      <w:r>
        <w:rPr>
          <w:rFonts w:ascii="Arial" w:hAnsi="Arial" w:cs="Arial"/>
          <w:i/>
          <w:sz w:val="20"/>
          <w:lang w:val="en-CA"/>
        </w:rPr>
        <w:t xml:space="preserve">transferable </w:t>
      </w:r>
      <w:r w:rsidR="00824B97" w:rsidRPr="00025BA9">
        <w:rPr>
          <w:rFonts w:ascii="Arial" w:hAnsi="Arial" w:cs="Arial"/>
          <w:i/>
          <w:sz w:val="20"/>
          <w:lang w:val="en-CA"/>
        </w:rPr>
        <w:t xml:space="preserve">share purchase warrant entitling the holder to purchase one </w:t>
      </w:r>
      <w:r w:rsidR="00824B97">
        <w:rPr>
          <w:rFonts w:ascii="Arial" w:hAnsi="Arial" w:cs="Arial"/>
          <w:i/>
          <w:sz w:val="20"/>
          <w:lang w:val="en-CA"/>
        </w:rPr>
        <w:t>common share for a period of two year</w:t>
      </w:r>
      <w:r>
        <w:rPr>
          <w:rFonts w:ascii="Arial" w:hAnsi="Arial" w:cs="Arial"/>
          <w:i/>
          <w:sz w:val="20"/>
          <w:lang w:val="en-CA"/>
        </w:rPr>
        <w:t>s with an exercise price of $0.2</w:t>
      </w:r>
      <w:r w:rsidR="00824B97">
        <w:rPr>
          <w:rFonts w:ascii="Arial" w:hAnsi="Arial" w:cs="Arial"/>
          <w:i/>
          <w:sz w:val="20"/>
          <w:lang w:val="en-CA"/>
        </w:rPr>
        <w:t>0</w:t>
      </w:r>
      <w:r w:rsidR="00824B97" w:rsidRPr="00025BA9">
        <w:rPr>
          <w:rFonts w:ascii="Arial" w:hAnsi="Arial" w:cs="Arial"/>
          <w:i/>
          <w:sz w:val="20"/>
          <w:lang w:val="en-CA"/>
        </w:rPr>
        <w:t xml:space="preserve"> per warrant share </w:t>
      </w:r>
      <w:r w:rsidR="00824B97">
        <w:rPr>
          <w:rFonts w:ascii="Arial" w:hAnsi="Arial" w:cs="Arial"/>
          <w:i/>
          <w:sz w:val="20"/>
          <w:lang w:val="en-CA"/>
        </w:rPr>
        <w:t xml:space="preserve">until </w:t>
      </w:r>
      <w:r w:rsidRPr="00B5640E">
        <w:rPr>
          <w:rFonts w:ascii="Arial" w:hAnsi="Arial" w:cs="Arial"/>
          <w:i/>
          <w:sz w:val="20"/>
          <w:lang w:val="en-CA"/>
        </w:rPr>
        <w:t>May 24, 2019</w:t>
      </w:r>
      <w:r w:rsidR="00824B97" w:rsidRPr="00B5640E">
        <w:rPr>
          <w:rFonts w:ascii="Arial" w:hAnsi="Arial" w:cs="Arial"/>
          <w:i/>
          <w:sz w:val="20"/>
          <w:lang w:val="en-CA"/>
        </w:rPr>
        <w:t>, subject to acceleration.</w:t>
      </w:r>
    </w:p>
    <w:p w14:paraId="1F2EEDB1" w14:textId="77777777" w:rsidR="00EA4133" w:rsidRPr="008003B9" w:rsidRDefault="00EA4133">
      <w:pPr>
        <w:pStyle w:val="BodyText"/>
        <w:rPr>
          <w:rFonts w:ascii="Arial" w:hAnsi="Arial" w:cs="Arial"/>
          <w:sz w:val="20"/>
        </w:rPr>
      </w:pPr>
    </w:p>
    <w:p w14:paraId="6661634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129D183" w14:textId="03C0217E"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B5640E">
        <w:rPr>
          <w:rFonts w:ascii="Arial" w:hAnsi="Arial"/>
          <w:u w:val="single"/>
        </w:rPr>
        <w:t>$283,750</w:t>
      </w:r>
    </w:p>
    <w:p w14:paraId="7C577610" w14:textId="171F0792"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1F219B">
        <w:rPr>
          <w:rFonts w:ascii="Arial" w:hAnsi="Arial"/>
        </w:rPr>
        <w:t xml:space="preserve">.  </w:t>
      </w:r>
      <w:r w:rsidR="001F219B">
        <w:rPr>
          <w:rFonts w:ascii="Arial" w:hAnsi="Arial"/>
          <w:u w:val="single"/>
          <w:lang w:val="en-US"/>
        </w:rPr>
        <w:t>G</w:t>
      </w:r>
      <w:r w:rsidR="001F219B" w:rsidRPr="000214F5">
        <w:rPr>
          <w:rFonts w:ascii="Arial" w:hAnsi="Arial"/>
          <w:u w:val="single"/>
          <w:lang w:val="en-US"/>
        </w:rPr>
        <w:t xml:space="preserve">eneral working capital purposes and to seek out </w:t>
      </w:r>
      <w:r w:rsidR="000637C8">
        <w:rPr>
          <w:rFonts w:ascii="Arial" w:hAnsi="Arial"/>
          <w:u w:val="single"/>
          <w:lang w:val="en-US"/>
        </w:rPr>
        <w:t>revenue generating cannabis related ventures.</w:t>
      </w:r>
    </w:p>
    <w:p w14:paraId="42593E18" w14:textId="3ECBAA47" w:rsidR="00EA4133" w:rsidRDefault="00EA4133">
      <w:pPr>
        <w:pStyle w:val="BodyText"/>
        <w:numPr>
          <w:ilvl w:val="0"/>
          <w:numId w:val="10"/>
        </w:numPr>
        <w:tabs>
          <w:tab w:val="left" w:pos="9180"/>
        </w:tabs>
        <w:rPr>
          <w:rFonts w:ascii="Arial" w:hAnsi="Arial"/>
        </w:rPr>
      </w:pPr>
      <w:r>
        <w:rPr>
          <w:rFonts w:ascii="Arial" w:hAnsi="Arial"/>
        </w:rPr>
        <w:t xml:space="preserve">Provide particulars of any </w:t>
      </w:r>
      <w:proofErr w:type="gramStart"/>
      <w:r>
        <w:rPr>
          <w:rFonts w:ascii="Arial" w:hAnsi="Arial"/>
        </w:rPr>
        <w:t>proceeds which</w:t>
      </w:r>
      <w:proofErr w:type="gramEnd"/>
      <w:r>
        <w:rPr>
          <w:rFonts w:ascii="Arial" w:hAnsi="Arial"/>
        </w:rPr>
        <w:t xml:space="preserve"> are to be paid to Related Persons of the Issuer: </w:t>
      </w:r>
      <w:r w:rsidR="001F219B" w:rsidRPr="001F219B">
        <w:rPr>
          <w:rFonts w:ascii="Arial" w:hAnsi="Arial"/>
          <w:u w:val="single"/>
        </w:rPr>
        <w:t>Unknown at this time</w:t>
      </w:r>
      <w:r w:rsidR="00B5640E">
        <w:rPr>
          <w:rFonts w:ascii="Arial" w:hAnsi="Arial"/>
          <w:u w:val="single"/>
        </w:rPr>
        <w:t>.</w:t>
      </w:r>
      <w:r w:rsidR="00B5640E">
        <w:rPr>
          <w:rFonts w:ascii="Arial" w:hAnsi="Arial"/>
        </w:rPr>
        <w:t xml:space="preserve"> </w:t>
      </w:r>
    </w:p>
    <w:p w14:paraId="74B00957" w14:textId="77777777"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1F219B">
        <w:rPr>
          <w:rFonts w:ascii="Arial" w:hAnsi="Arial"/>
        </w:rPr>
        <w:t xml:space="preserve"> </w:t>
      </w:r>
      <w:r w:rsidR="001F219B" w:rsidRPr="001F219B">
        <w:rPr>
          <w:rFonts w:ascii="Arial" w:hAnsi="Arial"/>
          <w:u w:val="single"/>
        </w:rPr>
        <w:t>N/A</w:t>
      </w:r>
    </w:p>
    <w:p w14:paraId="20633AA8"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9CDEFD0"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1F219B" w:rsidRPr="000214F5">
        <w:rPr>
          <w:rFonts w:ascii="Arial" w:hAnsi="Arial"/>
          <w:u w:val="single"/>
        </w:rPr>
        <w:t>Common</w:t>
      </w:r>
      <w:proofErr w:type="gramEnd"/>
      <w:r w:rsidR="001F219B" w:rsidRPr="000214F5">
        <w:rPr>
          <w:rFonts w:ascii="Arial" w:hAnsi="Arial"/>
          <w:u w:val="single"/>
        </w:rPr>
        <w:t xml:space="preserve"> Shares</w:t>
      </w:r>
      <w:r w:rsidR="001F219B">
        <w:rPr>
          <w:rFonts w:ascii="Arial" w:hAnsi="Arial"/>
          <w:u w:val="single"/>
        </w:rPr>
        <w:t xml:space="preserve"> (the “Shares)</w:t>
      </w:r>
    </w:p>
    <w:p w14:paraId="0C75BB8F" w14:textId="7183260D"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5640E">
        <w:rPr>
          <w:rFonts w:ascii="Arial" w:hAnsi="Arial"/>
          <w:u w:val="single"/>
        </w:rPr>
        <w:t>2,270,000</w:t>
      </w:r>
      <w:r w:rsidR="001F219B" w:rsidRPr="001F219B">
        <w:rPr>
          <w:rFonts w:ascii="Arial" w:hAnsi="Arial"/>
          <w:u w:val="single"/>
        </w:rPr>
        <w:t xml:space="preserve"> Shares</w:t>
      </w:r>
    </w:p>
    <w:p w14:paraId="1BA90AE2" w14:textId="75770B7F"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B5640E">
        <w:rPr>
          <w:rFonts w:ascii="Arial" w:hAnsi="Arial"/>
          <w:u w:val="single"/>
        </w:rPr>
        <w:t>$0.125</w:t>
      </w:r>
      <w:r w:rsidR="001F219B" w:rsidRPr="001F219B">
        <w:rPr>
          <w:rFonts w:ascii="Arial" w:hAnsi="Arial"/>
          <w:u w:val="single"/>
        </w:rPr>
        <w:t xml:space="preserve"> per Unit</w:t>
      </w:r>
    </w:p>
    <w:p w14:paraId="3F1340D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F219B">
        <w:rPr>
          <w:rFonts w:ascii="Arial" w:hAnsi="Arial"/>
          <w:u w:val="single"/>
        </w:rPr>
        <w:t>One vote per Share</w:t>
      </w:r>
      <w:r>
        <w:rPr>
          <w:rFonts w:ascii="Arial" w:hAnsi="Arial"/>
        </w:rPr>
        <w:t xml:space="preserve"> </w:t>
      </w:r>
    </w:p>
    <w:p w14:paraId="60AB4F8C"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271786BA" w14:textId="0713A27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B5640E">
        <w:rPr>
          <w:rFonts w:ascii="Arial" w:hAnsi="Arial"/>
          <w:u w:val="single"/>
        </w:rPr>
        <w:t>2,270,000</w:t>
      </w:r>
      <w:r w:rsidR="001F219B" w:rsidRPr="001F219B">
        <w:rPr>
          <w:rFonts w:ascii="Arial" w:hAnsi="Arial"/>
          <w:u w:val="single"/>
        </w:rPr>
        <w:t xml:space="preserve"> Warrants</w:t>
      </w:r>
    </w:p>
    <w:p w14:paraId="4C985161" w14:textId="14830FF4" w:rsidR="00EA4133" w:rsidRDefault="00EA4133" w:rsidP="001F219B">
      <w:pPr>
        <w:pStyle w:val="List"/>
        <w:numPr>
          <w:ilvl w:val="0"/>
          <w:numId w:val="11"/>
        </w:numPr>
        <w:tabs>
          <w:tab w:val="left" w:pos="1080"/>
          <w:tab w:val="left" w:pos="1440"/>
          <w:tab w:val="left" w:pos="9180"/>
        </w:tabs>
        <w:rPr>
          <w:rFonts w:ascii="Arial" w:hAnsi="Arial"/>
        </w:rPr>
      </w:pPr>
      <w:r>
        <w:rPr>
          <w:rFonts w:ascii="Arial" w:hAnsi="Arial"/>
        </w:rPr>
        <w:tab/>
        <w:t>Number of securities eligible to be purchased on exercise of Warrants (or options</w:t>
      </w:r>
      <w:proofErr w:type="gramStart"/>
      <w:r>
        <w:rPr>
          <w:rFonts w:ascii="Arial" w:hAnsi="Arial"/>
        </w:rPr>
        <w:t xml:space="preserve">)  </w:t>
      </w:r>
      <w:r w:rsidR="00B5640E">
        <w:rPr>
          <w:rFonts w:ascii="Arial" w:hAnsi="Arial"/>
          <w:u w:val="single"/>
        </w:rPr>
        <w:t>2,270,000</w:t>
      </w:r>
      <w:proofErr w:type="gramEnd"/>
      <w:r w:rsidR="001F219B">
        <w:rPr>
          <w:rFonts w:ascii="Arial" w:hAnsi="Arial"/>
          <w:u w:val="single"/>
        </w:rPr>
        <w:t xml:space="preserve"> Warrant Shares</w:t>
      </w:r>
    </w:p>
    <w:p w14:paraId="0A76DED7" w14:textId="5CB4ECCA" w:rsidR="00EA4133" w:rsidRDefault="00EA4133">
      <w:pPr>
        <w:pStyle w:val="List"/>
        <w:tabs>
          <w:tab w:val="left" w:pos="1440"/>
          <w:tab w:val="left" w:pos="2160"/>
          <w:tab w:val="left" w:pos="9180"/>
        </w:tabs>
        <w:rPr>
          <w:rFonts w:ascii="Arial" w:hAnsi="Arial"/>
        </w:rPr>
      </w:pPr>
      <w:r>
        <w:rPr>
          <w:rFonts w:ascii="Arial" w:hAnsi="Arial"/>
        </w:rPr>
        <w:lastRenderedPageBreak/>
        <w:tab/>
        <w:t>(c)</w:t>
      </w:r>
      <w:r>
        <w:rPr>
          <w:rFonts w:ascii="Arial" w:hAnsi="Arial"/>
        </w:rPr>
        <w:tab/>
      </w:r>
      <w:r>
        <w:rPr>
          <w:rFonts w:ascii="Arial" w:hAnsi="Arial"/>
        </w:rPr>
        <w:tab/>
        <w:t>Exercise price</w:t>
      </w:r>
      <w:r w:rsidR="00B5640E">
        <w:rPr>
          <w:rFonts w:ascii="Arial" w:hAnsi="Arial"/>
          <w:u w:val="single"/>
        </w:rPr>
        <w:t xml:space="preserve"> $0.2</w:t>
      </w:r>
      <w:r w:rsidR="00052857">
        <w:rPr>
          <w:rFonts w:ascii="Arial" w:hAnsi="Arial"/>
          <w:u w:val="single"/>
        </w:rPr>
        <w:t>0</w:t>
      </w:r>
    </w:p>
    <w:p w14:paraId="5744A3EF" w14:textId="77E1B3F1" w:rsidR="001F219B" w:rsidRPr="00B5640E" w:rsidRDefault="00EA4133" w:rsidP="00B5640E">
      <w:pPr>
        <w:pStyle w:val="List"/>
        <w:tabs>
          <w:tab w:val="left" w:pos="1440"/>
          <w:tab w:val="left" w:pos="2160"/>
          <w:tab w:val="left" w:pos="3600"/>
          <w:tab w:val="left" w:pos="5040"/>
          <w:tab w:val="left" w:pos="7560"/>
          <w:tab w:val="left" w:pos="9180"/>
        </w:tabs>
        <w:rPr>
          <w:rFonts w:ascii="Arial" w:hAnsi="Arial"/>
          <w:u w:val="single"/>
        </w:rPr>
      </w:pPr>
      <w:r>
        <w:rPr>
          <w:rFonts w:ascii="Arial" w:hAnsi="Arial"/>
        </w:rPr>
        <w:tab/>
        <w:t xml:space="preserve">(d) </w:t>
      </w:r>
      <w:r>
        <w:rPr>
          <w:rFonts w:ascii="Arial" w:hAnsi="Arial"/>
        </w:rPr>
        <w:tab/>
        <w:t xml:space="preserve">Expiry date </w:t>
      </w:r>
      <w:r w:rsidR="001F219B" w:rsidRPr="001F219B">
        <w:rPr>
          <w:rFonts w:ascii="Arial" w:hAnsi="Arial"/>
          <w:u w:val="single"/>
        </w:rPr>
        <w:t>2 years from closing</w:t>
      </w:r>
    </w:p>
    <w:p w14:paraId="7F51F6B7"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1F219B">
        <w:rPr>
          <w:b w:val="0"/>
          <w:sz w:val="24"/>
        </w:rPr>
        <w:t xml:space="preserve"> </w:t>
      </w:r>
      <w:r w:rsidR="001F219B" w:rsidRPr="001F219B">
        <w:rPr>
          <w:b w:val="0"/>
          <w:sz w:val="24"/>
          <w:u w:val="single"/>
        </w:rPr>
        <w:t>N/A</w:t>
      </w:r>
    </w:p>
    <w:p w14:paraId="0672C418"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w:t>
      </w:r>
      <w:proofErr w:type="gramStart"/>
      <w:r>
        <w:rPr>
          <w:rFonts w:ascii="Arial" w:hAnsi="Arial"/>
        </w:rPr>
        <w:t xml:space="preserve">amount </w:t>
      </w:r>
      <w:r>
        <w:rPr>
          <w:rFonts w:ascii="Arial" w:hAnsi="Arial"/>
          <w:u w:val="single"/>
        </w:rPr>
        <w:tab/>
      </w:r>
      <w:r>
        <w:rPr>
          <w:rFonts w:ascii="Arial" w:hAnsi="Arial"/>
        </w:rPr>
        <w:t xml:space="preserve"> .</w:t>
      </w:r>
      <w:proofErr w:type="gramEnd"/>
    </w:p>
    <w:p w14:paraId="7BD978B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w:t>
      </w:r>
      <w:proofErr w:type="gramStart"/>
      <w:r>
        <w:rPr>
          <w:rFonts w:ascii="Arial" w:hAnsi="Arial"/>
        </w:rPr>
        <w:t xml:space="preserve">date </w:t>
      </w:r>
      <w:r>
        <w:rPr>
          <w:rFonts w:ascii="Arial" w:hAnsi="Arial"/>
          <w:u w:val="single"/>
        </w:rPr>
        <w:tab/>
      </w:r>
      <w:r>
        <w:rPr>
          <w:rFonts w:ascii="Arial" w:hAnsi="Arial"/>
        </w:rPr>
        <w:t xml:space="preserve"> .</w:t>
      </w:r>
      <w:proofErr w:type="gramEnd"/>
    </w:p>
    <w:p w14:paraId="60F85CC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w:t>
      </w:r>
      <w:proofErr w:type="gramStart"/>
      <w:r>
        <w:rPr>
          <w:rFonts w:ascii="Arial" w:hAnsi="Arial"/>
        </w:rPr>
        <w:t xml:space="preserve">rate </w:t>
      </w:r>
      <w:r>
        <w:rPr>
          <w:rFonts w:ascii="Arial" w:hAnsi="Arial"/>
          <w:u w:val="single"/>
        </w:rPr>
        <w:tab/>
      </w:r>
      <w:r>
        <w:rPr>
          <w:rFonts w:ascii="Arial" w:hAnsi="Arial"/>
        </w:rPr>
        <w:t xml:space="preserve"> .</w:t>
      </w:r>
      <w:proofErr w:type="gramEnd"/>
    </w:p>
    <w:p w14:paraId="330BC13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w:t>
      </w:r>
      <w:proofErr w:type="gramStart"/>
      <w:r>
        <w:rPr>
          <w:rFonts w:ascii="Arial" w:hAnsi="Arial"/>
        </w:rPr>
        <w:t xml:space="preserve">terms </w:t>
      </w:r>
      <w:r>
        <w:rPr>
          <w:rFonts w:ascii="Arial" w:hAnsi="Arial"/>
          <w:u w:val="single"/>
        </w:rPr>
        <w:tab/>
      </w:r>
      <w:r>
        <w:rPr>
          <w:rFonts w:ascii="Arial" w:hAnsi="Arial"/>
        </w:rPr>
        <w:t xml:space="preserve"> .</w:t>
      </w:r>
      <w:proofErr w:type="gramEnd"/>
    </w:p>
    <w:p w14:paraId="6500380A" w14:textId="77777777" w:rsidR="00A00C54" w:rsidRDefault="00A00C54">
      <w:pPr>
        <w:pStyle w:val="BodyText"/>
        <w:tabs>
          <w:tab w:val="left" w:pos="1080"/>
          <w:tab w:val="left" w:pos="1440"/>
          <w:tab w:val="left" w:pos="2160"/>
          <w:tab w:val="left" w:pos="9180"/>
        </w:tabs>
        <w:rPr>
          <w:rFonts w:ascii="Arial" w:hAnsi="Arial"/>
        </w:rPr>
      </w:pPr>
    </w:p>
    <w:p w14:paraId="5472C86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w:t>
      </w:r>
      <w:proofErr w:type="gramStart"/>
      <w:r>
        <w:rPr>
          <w:rFonts w:ascii="Arial" w:hAnsi="Arial"/>
        </w:rPr>
        <w:t xml:space="preserve">provisions </w:t>
      </w:r>
      <w:r>
        <w:rPr>
          <w:rFonts w:ascii="Arial" w:hAnsi="Arial"/>
          <w:u w:val="single"/>
        </w:rPr>
        <w:tab/>
      </w:r>
      <w:r>
        <w:rPr>
          <w:rFonts w:ascii="Arial" w:hAnsi="Arial"/>
        </w:rPr>
        <w:t xml:space="preserve"> .</w:t>
      </w:r>
      <w:proofErr w:type="gramEnd"/>
    </w:p>
    <w:p w14:paraId="527ED90E" w14:textId="28C11D30"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1F219B">
        <w:rPr>
          <w:rFonts w:ascii="Arial" w:hAnsi="Arial"/>
        </w:rPr>
        <w:t xml:space="preserve"> </w:t>
      </w:r>
    </w:p>
    <w:p w14:paraId="6759CC6B" w14:textId="6D2DEAAB" w:rsidR="00EA4133" w:rsidRDefault="00EA4133">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15909F67" w14:textId="694480C1" w:rsidR="00891CD9" w:rsidRPr="004F7214" w:rsidRDefault="00891CD9">
      <w:pPr>
        <w:pStyle w:val="List"/>
        <w:tabs>
          <w:tab w:val="left" w:pos="2160"/>
          <w:tab w:val="left" w:pos="9180"/>
        </w:tabs>
        <w:ind w:left="2160"/>
        <w:jc w:val="both"/>
        <w:rPr>
          <w:rFonts w:ascii="Arial" w:hAnsi="Arial"/>
          <w:u w:val="single"/>
        </w:rPr>
      </w:pPr>
      <w:r>
        <w:rPr>
          <w:rFonts w:ascii="Arial" w:hAnsi="Arial"/>
        </w:rPr>
        <w:tab/>
      </w:r>
      <w:r w:rsidRPr="004F7214">
        <w:rPr>
          <w:rFonts w:ascii="Arial" w:hAnsi="Arial"/>
          <w:u w:val="single"/>
        </w:rPr>
        <w:t>1. EMD Financial Inc.</w:t>
      </w:r>
      <w:r w:rsidR="004F7214" w:rsidRPr="004F7214">
        <w:rPr>
          <w:rFonts w:ascii="Arial" w:hAnsi="Arial"/>
          <w:u w:val="single"/>
        </w:rPr>
        <w:t>, Montreal, QC</w:t>
      </w:r>
    </w:p>
    <w:p w14:paraId="37947D4F" w14:textId="217DB2CF" w:rsidR="004F7214" w:rsidRPr="004F7214" w:rsidRDefault="004F7214">
      <w:pPr>
        <w:pStyle w:val="List"/>
        <w:tabs>
          <w:tab w:val="left" w:pos="2160"/>
          <w:tab w:val="left" w:pos="9180"/>
        </w:tabs>
        <w:ind w:left="2160"/>
        <w:jc w:val="both"/>
        <w:rPr>
          <w:rFonts w:ascii="Arial" w:hAnsi="Arial"/>
          <w:u w:val="single"/>
        </w:rPr>
      </w:pPr>
      <w:r w:rsidRPr="004F7214">
        <w:rPr>
          <w:rFonts w:ascii="Arial" w:hAnsi="Arial"/>
        </w:rPr>
        <w:tab/>
      </w:r>
      <w:r w:rsidRPr="004F7214">
        <w:rPr>
          <w:rFonts w:ascii="Arial" w:hAnsi="Arial"/>
          <w:u w:val="single"/>
        </w:rPr>
        <w:t>2. John Kenney, Gander, NL</w:t>
      </w:r>
    </w:p>
    <w:p w14:paraId="56980827" w14:textId="62AEDC40" w:rsidR="004F7214" w:rsidRPr="004F7214" w:rsidRDefault="004F7214">
      <w:pPr>
        <w:pStyle w:val="List"/>
        <w:tabs>
          <w:tab w:val="left" w:pos="2160"/>
          <w:tab w:val="left" w:pos="9180"/>
        </w:tabs>
        <w:ind w:left="2160"/>
        <w:jc w:val="both"/>
        <w:rPr>
          <w:rFonts w:ascii="Arial" w:hAnsi="Arial"/>
          <w:u w:val="single"/>
        </w:rPr>
      </w:pPr>
      <w:r w:rsidRPr="004F7214">
        <w:rPr>
          <w:rFonts w:ascii="Arial" w:hAnsi="Arial"/>
        </w:rPr>
        <w:tab/>
      </w:r>
      <w:r w:rsidRPr="004F7214">
        <w:rPr>
          <w:rFonts w:ascii="Arial" w:hAnsi="Arial"/>
          <w:u w:val="single"/>
        </w:rPr>
        <w:t>3. Ray Kenney, Gander, NL</w:t>
      </w:r>
    </w:p>
    <w:p w14:paraId="7B041902" w14:textId="675182E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7214" w:rsidRPr="004F7214">
        <w:rPr>
          <w:rFonts w:ascii="Arial" w:hAnsi="Arial"/>
          <w:u w:val="single"/>
        </w:rPr>
        <w:t>1. $9,200; 2. $5,925; 3. $3,000</w:t>
      </w:r>
    </w:p>
    <w:p w14:paraId="67405065" w14:textId="4887B9C8"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7214" w:rsidRPr="004F7214">
        <w:rPr>
          <w:rFonts w:ascii="Arial" w:hAnsi="Arial"/>
          <w:u w:val="single"/>
        </w:rPr>
        <w:t>1. 73,600 Finder’s Warrants; 2. 47,400 Finder’s Warrants; 3. 24,000 Finder’s Warrants</w:t>
      </w:r>
    </w:p>
    <w:p w14:paraId="29591779" w14:textId="25A29841"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F7214" w:rsidRPr="00B6490E">
        <w:rPr>
          <w:rFonts w:ascii="Arial" w:hAnsi="Arial"/>
          <w:u w:val="single"/>
        </w:rPr>
        <w:t>N/A.</w:t>
      </w:r>
    </w:p>
    <w:p w14:paraId="59E63C32" w14:textId="0110CF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sidR="004F7214" w:rsidRPr="004F7214">
        <w:rPr>
          <w:rFonts w:ascii="Arial" w:hAnsi="Arial"/>
          <w:u w:val="single"/>
        </w:rPr>
        <w:t>2 years from closing.</w:t>
      </w:r>
    </w:p>
    <w:p w14:paraId="70A02FB0" w14:textId="7D7B7AA2"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B6490E" w:rsidRPr="00B6490E">
        <w:rPr>
          <w:rFonts w:ascii="Arial" w:hAnsi="Arial"/>
          <w:u w:val="single"/>
        </w:rPr>
        <w:t>$0.20.</w:t>
      </w:r>
    </w:p>
    <w:p w14:paraId="60C856FE" w14:textId="2E7047CF" w:rsidR="00EA4133" w:rsidRDefault="00EA4133" w:rsidP="00B6490E">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B6490E">
        <w:rPr>
          <w:rFonts w:ascii="Arial" w:hAnsi="Arial"/>
        </w:rPr>
        <w:t xml:space="preserve"> </w:t>
      </w:r>
      <w:r w:rsidR="00B6490E">
        <w:rPr>
          <w:rFonts w:ascii="Arial" w:hAnsi="Arial"/>
          <w:u w:val="single"/>
        </w:rPr>
        <w:t>N/A.</w:t>
      </w:r>
    </w:p>
    <w:p w14:paraId="00BE2BDD" w14:textId="77777777" w:rsidR="00EA4133" w:rsidRDefault="00EA4133">
      <w:pPr>
        <w:pStyle w:val="List"/>
        <w:numPr>
          <w:ilvl w:val="0"/>
          <w:numId w:val="10"/>
        </w:numPr>
        <w:rPr>
          <w:rFonts w:ascii="Arial" w:hAnsi="Arial"/>
        </w:rPr>
      </w:pPr>
      <w:r>
        <w:rPr>
          <w:rFonts w:ascii="Arial" w:hAnsi="Arial"/>
        </w:rPr>
        <w:lastRenderedPageBreak/>
        <w:t>Describe any unusual particulars of the transaction (i.e. tax “flow through” shares, etc.).</w:t>
      </w:r>
    </w:p>
    <w:p w14:paraId="1AA56BBE" w14:textId="21596559" w:rsidR="00EA4133" w:rsidRDefault="00052857" w:rsidP="001F219B">
      <w:pPr>
        <w:pStyle w:val="List"/>
        <w:tabs>
          <w:tab w:val="left" w:pos="1080"/>
          <w:tab w:val="left" w:pos="9180"/>
        </w:tabs>
        <w:ind w:firstLine="0"/>
        <w:jc w:val="both"/>
        <w:rPr>
          <w:rFonts w:ascii="Arial" w:hAnsi="Arial"/>
        </w:rPr>
      </w:pPr>
      <w:r w:rsidRPr="00052857">
        <w:rPr>
          <w:rFonts w:ascii="Arial" w:hAnsi="Arial"/>
          <w:u w:val="single"/>
          <w:lang w:val="en-US"/>
        </w:rPr>
        <w:t xml:space="preserve">In the event that the closing price of the Company’s common shares is </w:t>
      </w:r>
      <w:r w:rsidR="00B6490E">
        <w:rPr>
          <w:rFonts w:ascii="Arial" w:hAnsi="Arial"/>
          <w:u w:val="single"/>
          <w:lang w:val="en-US"/>
        </w:rPr>
        <w:t>at or above $0.4</w:t>
      </w:r>
      <w:r w:rsidRPr="00052857">
        <w:rPr>
          <w:rFonts w:ascii="Arial" w:hAnsi="Arial"/>
          <w:u w:val="single"/>
          <w:lang w:val="en-US"/>
        </w:rPr>
        <w:t>0 per share for ten consecutive days, the Company may provide notice to the warrant holders that the expiry date of the warrants has been accelerated and that warrants not exercised within 30 days will expire</w:t>
      </w:r>
      <w:r>
        <w:rPr>
          <w:rFonts w:ascii="Arial" w:hAnsi="Arial"/>
        </w:rPr>
        <w:t>.</w:t>
      </w:r>
    </w:p>
    <w:p w14:paraId="5723232D"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0961CE" w14:textId="5BE91B29" w:rsidR="00EA4133" w:rsidRDefault="00B6490E" w:rsidP="001F219B">
      <w:pPr>
        <w:pStyle w:val="List"/>
        <w:tabs>
          <w:tab w:val="left" w:pos="1080"/>
          <w:tab w:val="left" w:pos="9180"/>
        </w:tabs>
        <w:ind w:firstLine="0"/>
        <w:jc w:val="both"/>
        <w:rPr>
          <w:rFonts w:ascii="Arial" w:hAnsi="Arial"/>
        </w:rPr>
      </w:pPr>
      <w:r>
        <w:rPr>
          <w:rFonts w:ascii="Arial" w:hAnsi="Arial"/>
          <w:u w:val="single"/>
        </w:rPr>
        <w:t>N/A.</w:t>
      </w:r>
    </w:p>
    <w:p w14:paraId="54FA05EF" w14:textId="77777777" w:rsidR="00EA4133" w:rsidRDefault="00EA4133">
      <w:pPr>
        <w:pStyle w:val="List"/>
        <w:tabs>
          <w:tab w:val="left" w:pos="9180"/>
        </w:tabs>
        <w:spacing w:before="0"/>
        <w:jc w:val="both"/>
        <w:rPr>
          <w:rFonts w:ascii="Arial" w:hAnsi="Arial"/>
        </w:rPr>
      </w:pPr>
    </w:p>
    <w:p w14:paraId="2C452BFB" w14:textId="4EF906D5" w:rsidR="00EA4133" w:rsidRDefault="00EA4133" w:rsidP="00B6490E">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B6490E">
        <w:rPr>
          <w:rFonts w:ascii="Arial" w:hAnsi="Arial"/>
          <w:u w:val="single"/>
        </w:rPr>
        <w:t>N/A.</w:t>
      </w:r>
    </w:p>
    <w:p w14:paraId="74B50B0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607428DC"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roofErr w:type="gramStart"/>
      <w:r>
        <w:rPr>
          <w:rFonts w:ascii="Arial" w:hAnsi="Arial"/>
        </w:rPr>
        <w:t>..</w:t>
      </w:r>
      <w:proofErr w:type="gramEnd"/>
    </w:p>
    <w:p w14:paraId="635077BB"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1F219B">
        <w:rPr>
          <w:rFonts w:ascii="Arial" w:hAnsi="Arial"/>
          <w:b/>
          <w:color w:val="000000"/>
        </w:rPr>
        <w:t xml:space="preserve"> </w:t>
      </w:r>
      <w:r w:rsidR="001F219B" w:rsidRPr="001F219B">
        <w:rPr>
          <w:rFonts w:ascii="Arial" w:hAnsi="Arial"/>
          <w:color w:val="000000"/>
          <w:u w:val="single"/>
        </w:rPr>
        <w:t>N/A</w:t>
      </w:r>
    </w:p>
    <w:p w14:paraId="210E2BC9" w14:textId="77777777" w:rsidR="00EA4133" w:rsidRDefault="00EA4133">
      <w:pPr>
        <w:pStyle w:val="List"/>
        <w:tabs>
          <w:tab w:val="left" w:pos="9180"/>
        </w:tabs>
        <w:spacing w:before="0"/>
        <w:ind w:left="0" w:firstLine="0"/>
        <w:jc w:val="both"/>
        <w:rPr>
          <w:rFonts w:ascii="Arial" w:hAnsi="Arial"/>
          <w:color w:val="000000"/>
        </w:rPr>
      </w:pPr>
    </w:p>
    <w:p w14:paraId="37B2723F"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53D5A58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63B8F7F"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75FCCD1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E557A11"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8E8B8"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14:paraId="1244AF2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6FFFB8D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062015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ADB4C1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1A02D92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7A50D1D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098EA21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3FEDDBD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14:paraId="2316E45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14:paraId="40431B1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9737615"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B051765" w14:textId="77777777">
        <w:tc>
          <w:tcPr>
            <w:tcW w:w="1440" w:type="dxa"/>
          </w:tcPr>
          <w:p w14:paraId="0D85E1F8" w14:textId="77777777" w:rsidR="00EA4133" w:rsidRDefault="00EA4133">
            <w:pPr>
              <w:pStyle w:val="BodyText"/>
              <w:keepNext/>
              <w:keepLines/>
              <w:spacing w:before="0" w:line="280" w:lineRule="exact"/>
              <w:jc w:val="center"/>
              <w:rPr>
                <w:rFonts w:ascii="Arial" w:hAnsi="Arial"/>
                <w:b/>
                <w:sz w:val="20"/>
                <w:lang w:val="en-CA"/>
              </w:rPr>
            </w:pPr>
          </w:p>
          <w:p w14:paraId="643A8E8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579D989" w14:textId="77777777" w:rsidR="00EA4133" w:rsidRDefault="00EA4133">
            <w:pPr>
              <w:pStyle w:val="BodyText"/>
              <w:keepNext/>
              <w:keepLines/>
              <w:spacing w:before="0" w:line="280" w:lineRule="exact"/>
              <w:jc w:val="center"/>
              <w:rPr>
                <w:rFonts w:ascii="Arial" w:hAnsi="Arial"/>
                <w:b/>
                <w:sz w:val="20"/>
                <w:lang w:val="en-CA"/>
              </w:rPr>
            </w:pPr>
          </w:p>
          <w:p w14:paraId="1E9B1B1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F6BDFCF" w14:textId="77777777" w:rsidR="00EA4133" w:rsidRDefault="00EA4133">
            <w:pPr>
              <w:pStyle w:val="BodyText"/>
              <w:keepNext/>
              <w:keepLines/>
              <w:spacing w:before="0" w:line="280" w:lineRule="exact"/>
              <w:jc w:val="center"/>
              <w:rPr>
                <w:rFonts w:ascii="Arial" w:hAnsi="Arial"/>
                <w:b/>
                <w:sz w:val="20"/>
                <w:lang w:val="en-CA"/>
              </w:rPr>
            </w:pPr>
          </w:p>
          <w:p w14:paraId="2875CB7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0C323B" w14:textId="77777777" w:rsidR="00EA4133" w:rsidRDefault="00EA4133">
            <w:pPr>
              <w:pStyle w:val="BodyText"/>
              <w:keepNext/>
              <w:keepLines/>
              <w:spacing w:before="0" w:line="280" w:lineRule="exact"/>
              <w:jc w:val="center"/>
              <w:rPr>
                <w:rFonts w:ascii="Arial" w:hAnsi="Arial"/>
                <w:b/>
                <w:sz w:val="20"/>
                <w:lang w:val="en-CA"/>
              </w:rPr>
            </w:pPr>
          </w:p>
          <w:p w14:paraId="50EFE7A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E9628C4" w14:textId="77777777" w:rsidR="00EA4133" w:rsidRDefault="00EA4133">
            <w:pPr>
              <w:pStyle w:val="BodyText"/>
              <w:keepNext/>
              <w:keepLines/>
              <w:spacing w:before="0" w:line="280" w:lineRule="exact"/>
              <w:jc w:val="center"/>
              <w:rPr>
                <w:rFonts w:ascii="Arial" w:hAnsi="Arial"/>
                <w:b/>
                <w:sz w:val="20"/>
                <w:lang w:val="en-CA"/>
              </w:rPr>
            </w:pPr>
          </w:p>
          <w:p w14:paraId="01A6A4C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710CE56C" w14:textId="77777777" w:rsidR="00EA4133" w:rsidRDefault="00EA4133">
            <w:pPr>
              <w:pStyle w:val="BodyText"/>
              <w:keepNext/>
              <w:keepLines/>
              <w:spacing w:before="0" w:line="280" w:lineRule="exact"/>
              <w:jc w:val="center"/>
              <w:rPr>
                <w:rFonts w:ascii="Arial" w:hAnsi="Arial"/>
                <w:b/>
                <w:sz w:val="20"/>
              </w:rPr>
            </w:pPr>
          </w:p>
          <w:p w14:paraId="16CA4CB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 by Party</w:t>
            </w:r>
          </w:p>
        </w:tc>
        <w:tc>
          <w:tcPr>
            <w:tcW w:w="1530" w:type="dxa"/>
          </w:tcPr>
          <w:p w14:paraId="69EE87E9" w14:textId="77777777" w:rsidR="00EA4133" w:rsidRDefault="00EA4133">
            <w:pPr>
              <w:pStyle w:val="BodyText"/>
              <w:keepNext/>
              <w:keepLines/>
              <w:spacing w:before="0" w:line="280" w:lineRule="exact"/>
              <w:jc w:val="center"/>
              <w:rPr>
                <w:rFonts w:ascii="Arial" w:hAnsi="Arial"/>
                <w:b/>
                <w:color w:val="000000"/>
                <w:sz w:val="20"/>
                <w:lang w:val="en-CA"/>
              </w:rPr>
            </w:pPr>
          </w:p>
          <w:p w14:paraId="7EE0D7A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2BDEBA0" w14:textId="77777777" w:rsidR="00EA4133" w:rsidRDefault="00EA4133">
            <w:pPr>
              <w:pStyle w:val="BodyText"/>
              <w:keepNext/>
              <w:keepLines/>
              <w:spacing w:before="0" w:line="280" w:lineRule="exact"/>
              <w:jc w:val="center"/>
              <w:rPr>
                <w:rFonts w:ascii="Arial" w:hAnsi="Arial"/>
                <w:b/>
                <w:color w:val="000000"/>
                <w:sz w:val="20"/>
                <w:lang w:val="en-CA"/>
              </w:rPr>
            </w:pPr>
            <w:proofErr w:type="gramStart"/>
            <w:r>
              <w:rPr>
                <w:rFonts w:ascii="Arial" w:hAnsi="Arial"/>
                <w:b/>
                <w:color w:val="000000"/>
                <w:sz w:val="20"/>
                <w:lang w:val="en-CA"/>
              </w:rPr>
              <w:t>to</w:t>
            </w:r>
            <w:proofErr w:type="gramEnd"/>
            <w:r>
              <w:rPr>
                <w:rFonts w:ascii="Arial" w:hAnsi="Arial"/>
                <w:b/>
                <w:color w:val="000000"/>
                <w:sz w:val="20"/>
                <w:lang w:val="en-CA"/>
              </w:rPr>
              <w:t xml:space="preserve">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6AA7C408" w14:textId="77777777">
        <w:trPr>
          <w:trHeight w:hRule="exact" w:val="280"/>
        </w:trPr>
        <w:tc>
          <w:tcPr>
            <w:tcW w:w="1440" w:type="dxa"/>
          </w:tcPr>
          <w:p w14:paraId="2D5F2EFF" w14:textId="77777777" w:rsidR="00EA4133" w:rsidRDefault="00EA4133">
            <w:pPr>
              <w:pStyle w:val="BodyText"/>
              <w:keepNext/>
              <w:keepLines/>
              <w:rPr>
                <w:rFonts w:ascii="Arial" w:hAnsi="Arial"/>
                <w:lang w:val="en-CA"/>
              </w:rPr>
            </w:pPr>
          </w:p>
        </w:tc>
        <w:tc>
          <w:tcPr>
            <w:tcW w:w="1260" w:type="dxa"/>
          </w:tcPr>
          <w:p w14:paraId="379AB40B" w14:textId="77777777" w:rsidR="00EA4133" w:rsidRDefault="00EA4133">
            <w:pPr>
              <w:pStyle w:val="BodyText"/>
              <w:keepNext/>
              <w:keepLines/>
              <w:rPr>
                <w:rFonts w:ascii="Arial" w:hAnsi="Arial"/>
                <w:lang w:val="en-CA"/>
              </w:rPr>
            </w:pPr>
          </w:p>
        </w:tc>
        <w:tc>
          <w:tcPr>
            <w:tcW w:w="1260" w:type="dxa"/>
          </w:tcPr>
          <w:p w14:paraId="44F9E7CE" w14:textId="77777777" w:rsidR="00EA4133" w:rsidRDefault="00EA4133">
            <w:pPr>
              <w:pStyle w:val="BodyText"/>
              <w:keepNext/>
              <w:keepLines/>
              <w:rPr>
                <w:rFonts w:ascii="Arial" w:hAnsi="Arial"/>
                <w:lang w:val="en-CA"/>
              </w:rPr>
            </w:pPr>
          </w:p>
        </w:tc>
        <w:tc>
          <w:tcPr>
            <w:tcW w:w="1440" w:type="dxa"/>
          </w:tcPr>
          <w:p w14:paraId="423EB38F" w14:textId="77777777" w:rsidR="00EA4133" w:rsidRDefault="00EA4133">
            <w:pPr>
              <w:pStyle w:val="BodyText"/>
              <w:keepNext/>
              <w:keepLines/>
              <w:rPr>
                <w:rFonts w:ascii="Arial" w:hAnsi="Arial"/>
                <w:lang w:val="en-CA"/>
              </w:rPr>
            </w:pPr>
          </w:p>
        </w:tc>
        <w:tc>
          <w:tcPr>
            <w:tcW w:w="1440" w:type="dxa"/>
          </w:tcPr>
          <w:p w14:paraId="7A7B5A19" w14:textId="77777777" w:rsidR="00EA4133" w:rsidRDefault="00EA4133">
            <w:pPr>
              <w:pStyle w:val="BodyText"/>
              <w:keepNext/>
              <w:keepLines/>
              <w:rPr>
                <w:rFonts w:ascii="Arial" w:hAnsi="Arial"/>
                <w:lang w:val="en-CA"/>
              </w:rPr>
            </w:pPr>
          </w:p>
        </w:tc>
        <w:tc>
          <w:tcPr>
            <w:tcW w:w="1620" w:type="dxa"/>
          </w:tcPr>
          <w:p w14:paraId="693C7986" w14:textId="77777777" w:rsidR="00EA4133" w:rsidRDefault="00EA4133">
            <w:pPr>
              <w:pStyle w:val="BodyText"/>
              <w:keepNext/>
              <w:keepLines/>
              <w:rPr>
                <w:rFonts w:ascii="Arial" w:hAnsi="Arial"/>
                <w:lang w:val="en-CA"/>
              </w:rPr>
            </w:pPr>
          </w:p>
        </w:tc>
        <w:tc>
          <w:tcPr>
            <w:tcW w:w="1530" w:type="dxa"/>
          </w:tcPr>
          <w:p w14:paraId="500F010A" w14:textId="77777777" w:rsidR="00EA4133" w:rsidRDefault="00EA4133">
            <w:pPr>
              <w:pStyle w:val="BodyText"/>
              <w:keepNext/>
              <w:keepLines/>
              <w:rPr>
                <w:rFonts w:ascii="Arial" w:hAnsi="Arial"/>
                <w:lang w:val="en-CA"/>
              </w:rPr>
            </w:pPr>
          </w:p>
        </w:tc>
      </w:tr>
      <w:tr w:rsidR="00EA4133" w14:paraId="543A17EE" w14:textId="77777777">
        <w:trPr>
          <w:trHeight w:hRule="exact" w:val="320"/>
        </w:trPr>
        <w:tc>
          <w:tcPr>
            <w:tcW w:w="1440" w:type="dxa"/>
          </w:tcPr>
          <w:p w14:paraId="41185A39" w14:textId="77777777" w:rsidR="00EA4133" w:rsidRDefault="00EA4133">
            <w:pPr>
              <w:pStyle w:val="BodyText"/>
              <w:keepNext/>
              <w:keepLines/>
              <w:rPr>
                <w:rFonts w:ascii="Arial" w:hAnsi="Arial"/>
                <w:lang w:val="en-CA"/>
              </w:rPr>
            </w:pPr>
          </w:p>
        </w:tc>
        <w:tc>
          <w:tcPr>
            <w:tcW w:w="1260" w:type="dxa"/>
          </w:tcPr>
          <w:p w14:paraId="5E4A0516" w14:textId="77777777" w:rsidR="00EA4133" w:rsidRDefault="00EA4133">
            <w:pPr>
              <w:pStyle w:val="BodyText"/>
              <w:keepNext/>
              <w:keepLines/>
              <w:rPr>
                <w:rFonts w:ascii="Arial" w:hAnsi="Arial"/>
                <w:lang w:val="en-CA"/>
              </w:rPr>
            </w:pPr>
          </w:p>
        </w:tc>
        <w:tc>
          <w:tcPr>
            <w:tcW w:w="1260" w:type="dxa"/>
          </w:tcPr>
          <w:p w14:paraId="58B208AA" w14:textId="77777777" w:rsidR="00EA4133" w:rsidRDefault="00EA4133">
            <w:pPr>
              <w:pStyle w:val="BodyText"/>
              <w:keepNext/>
              <w:keepLines/>
              <w:rPr>
                <w:rFonts w:ascii="Arial" w:hAnsi="Arial"/>
                <w:lang w:val="en-CA"/>
              </w:rPr>
            </w:pPr>
          </w:p>
        </w:tc>
        <w:tc>
          <w:tcPr>
            <w:tcW w:w="1440" w:type="dxa"/>
          </w:tcPr>
          <w:p w14:paraId="41033C45" w14:textId="77777777" w:rsidR="00EA4133" w:rsidRDefault="00EA4133">
            <w:pPr>
              <w:pStyle w:val="BodyText"/>
              <w:keepNext/>
              <w:keepLines/>
              <w:rPr>
                <w:rFonts w:ascii="Arial" w:hAnsi="Arial"/>
                <w:lang w:val="en-CA"/>
              </w:rPr>
            </w:pPr>
          </w:p>
        </w:tc>
        <w:tc>
          <w:tcPr>
            <w:tcW w:w="1440" w:type="dxa"/>
          </w:tcPr>
          <w:p w14:paraId="342C0D17" w14:textId="77777777" w:rsidR="00EA4133" w:rsidRDefault="00EA4133">
            <w:pPr>
              <w:pStyle w:val="BodyText"/>
              <w:keepNext/>
              <w:keepLines/>
              <w:rPr>
                <w:rFonts w:ascii="Arial" w:hAnsi="Arial"/>
                <w:lang w:val="en-CA"/>
              </w:rPr>
            </w:pPr>
          </w:p>
        </w:tc>
        <w:tc>
          <w:tcPr>
            <w:tcW w:w="1620" w:type="dxa"/>
          </w:tcPr>
          <w:p w14:paraId="18FF0605" w14:textId="77777777" w:rsidR="00EA4133" w:rsidRDefault="00EA4133">
            <w:pPr>
              <w:pStyle w:val="BodyText"/>
              <w:keepNext/>
              <w:keepLines/>
              <w:rPr>
                <w:rFonts w:ascii="Arial" w:hAnsi="Arial"/>
                <w:lang w:val="en-CA"/>
              </w:rPr>
            </w:pPr>
          </w:p>
        </w:tc>
        <w:tc>
          <w:tcPr>
            <w:tcW w:w="1530" w:type="dxa"/>
          </w:tcPr>
          <w:p w14:paraId="0A96BF6B" w14:textId="77777777" w:rsidR="00EA4133" w:rsidRDefault="00EA4133">
            <w:pPr>
              <w:pStyle w:val="BodyText"/>
              <w:keepNext/>
              <w:keepLines/>
              <w:rPr>
                <w:rFonts w:ascii="Arial" w:hAnsi="Arial"/>
                <w:lang w:val="en-CA"/>
              </w:rPr>
            </w:pPr>
          </w:p>
        </w:tc>
      </w:tr>
    </w:tbl>
    <w:p w14:paraId="53B4D7CE"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BC7EB93"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FA55C4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5D16BD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6E2276A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14:paraId="3B2F18A5"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Pr>
          <w:rFonts w:ascii="Arial" w:hAnsi="Arial"/>
          <w:u w:val="single"/>
        </w:rPr>
        <w:tab/>
      </w:r>
      <w:r>
        <w:rPr>
          <w:rFonts w:ascii="Arial" w:hAnsi="Arial"/>
        </w:rPr>
        <w:t xml:space="preserve"> .</w:t>
      </w:r>
      <w:proofErr w:type="gramEnd"/>
    </w:p>
    <w:p w14:paraId="18D15779" w14:textId="7777777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r>
      <w:proofErr w:type="gramStart"/>
      <w:r>
        <w:rPr>
          <w:rFonts w:ascii="Arial" w:hAnsi="Arial"/>
        </w:rPr>
        <w:t xml:space="preserve">Securities </w:t>
      </w:r>
      <w:r>
        <w:rPr>
          <w:rFonts w:ascii="Arial" w:hAnsi="Arial"/>
          <w:u w:val="single"/>
        </w:rPr>
        <w:tab/>
      </w:r>
      <w:r>
        <w:rPr>
          <w:rFonts w:ascii="Arial" w:hAnsi="Arial"/>
        </w:rPr>
        <w:t xml:space="preserve"> .</w:t>
      </w:r>
      <w:proofErr w:type="gramEnd"/>
    </w:p>
    <w:p w14:paraId="3215752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Pr>
          <w:rFonts w:ascii="Arial" w:hAnsi="Arial"/>
          <w:u w:val="single"/>
        </w:rPr>
        <w:tab/>
      </w:r>
      <w:r>
        <w:rPr>
          <w:rFonts w:ascii="Arial" w:hAnsi="Arial"/>
        </w:rPr>
        <w:t xml:space="preserve"> .</w:t>
      </w:r>
      <w:proofErr w:type="gramEnd"/>
    </w:p>
    <w:p w14:paraId="7C3C3BD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DD0D624"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3FB3E28B" w14:textId="77777777" w:rsidR="00CF2A90" w:rsidRDefault="00CF2A90" w:rsidP="00CF2A90">
      <w:pPr>
        <w:pStyle w:val="List"/>
        <w:tabs>
          <w:tab w:val="left" w:pos="9180"/>
        </w:tabs>
        <w:ind w:left="0" w:firstLine="0"/>
        <w:rPr>
          <w:rFonts w:ascii="Arial" w:hAnsi="Arial"/>
          <w:color w:val="000000"/>
        </w:rPr>
      </w:pPr>
    </w:p>
    <w:p w14:paraId="7306C290"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56306D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30B7CE5"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0AC3158B"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91E1962" w14:textId="77777777" w:rsidR="001F219B" w:rsidRDefault="001F219B">
      <w:pPr>
        <w:pStyle w:val="List"/>
        <w:tabs>
          <w:tab w:val="left" w:pos="1080"/>
        </w:tabs>
        <w:ind w:left="0" w:firstLine="0"/>
        <w:rPr>
          <w:rFonts w:ascii="Arial" w:hAnsi="Arial"/>
          <w:b/>
        </w:rPr>
      </w:pPr>
    </w:p>
    <w:p w14:paraId="12C0C508" w14:textId="77777777" w:rsidR="001F219B" w:rsidRDefault="001F219B">
      <w:pPr>
        <w:pStyle w:val="List"/>
        <w:tabs>
          <w:tab w:val="left" w:pos="1080"/>
        </w:tabs>
        <w:ind w:left="0" w:firstLine="0"/>
        <w:rPr>
          <w:rFonts w:ascii="Arial" w:hAnsi="Arial"/>
          <w:b/>
        </w:rPr>
      </w:pPr>
    </w:p>
    <w:p w14:paraId="08538446" w14:textId="77777777" w:rsidR="001F219B" w:rsidRDefault="001F219B">
      <w:pPr>
        <w:pStyle w:val="List"/>
        <w:tabs>
          <w:tab w:val="left" w:pos="1080"/>
        </w:tabs>
        <w:ind w:left="0" w:firstLine="0"/>
        <w:rPr>
          <w:rFonts w:ascii="Arial" w:hAnsi="Arial"/>
          <w:b/>
        </w:rPr>
      </w:pPr>
    </w:p>
    <w:p w14:paraId="07062608" w14:textId="77777777" w:rsidR="001F219B" w:rsidRDefault="001F219B">
      <w:pPr>
        <w:pStyle w:val="List"/>
        <w:tabs>
          <w:tab w:val="left" w:pos="1080"/>
        </w:tabs>
        <w:ind w:left="0" w:firstLine="0"/>
        <w:rPr>
          <w:rFonts w:ascii="Arial" w:hAnsi="Arial"/>
          <w:b/>
        </w:rPr>
      </w:pPr>
    </w:p>
    <w:p w14:paraId="11EDC804" w14:textId="77777777" w:rsidR="001F219B" w:rsidRDefault="001F219B">
      <w:pPr>
        <w:pStyle w:val="List"/>
        <w:tabs>
          <w:tab w:val="left" w:pos="1080"/>
        </w:tabs>
        <w:ind w:left="0" w:firstLine="0"/>
        <w:rPr>
          <w:rFonts w:ascii="Arial" w:hAnsi="Arial"/>
          <w:b/>
        </w:rPr>
      </w:pPr>
    </w:p>
    <w:p w14:paraId="6A1F0363" w14:textId="77777777" w:rsidR="001F219B" w:rsidRDefault="001F219B">
      <w:pPr>
        <w:pStyle w:val="List"/>
        <w:tabs>
          <w:tab w:val="left" w:pos="1080"/>
        </w:tabs>
        <w:ind w:left="0" w:firstLine="0"/>
        <w:rPr>
          <w:rFonts w:ascii="Arial" w:hAnsi="Arial"/>
          <w:b/>
        </w:rPr>
      </w:pPr>
    </w:p>
    <w:p w14:paraId="42D1E72C" w14:textId="77777777" w:rsidR="001F219B" w:rsidRDefault="001F219B">
      <w:pPr>
        <w:pStyle w:val="List"/>
        <w:tabs>
          <w:tab w:val="left" w:pos="1080"/>
        </w:tabs>
        <w:ind w:left="0" w:firstLine="0"/>
        <w:rPr>
          <w:rFonts w:ascii="Arial" w:hAnsi="Arial"/>
          <w:b/>
        </w:rPr>
      </w:pPr>
    </w:p>
    <w:p w14:paraId="099E66A5" w14:textId="77777777" w:rsidR="001F219B" w:rsidRDefault="001F219B">
      <w:pPr>
        <w:pStyle w:val="List"/>
        <w:tabs>
          <w:tab w:val="left" w:pos="1080"/>
        </w:tabs>
        <w:ind w:left="0" w:firstLine="0"/>
        <w:rPr>
          <w:rFonts w:ascii="Arial" w:hAnsi="Arial"/>
          <w:b/>
        </w:rPr>
      </w:pPr>
    </w:p>
    <w:p w14:paraId="1CD46B63" w14:textId="77777777" w:rsidR="001F219B" w:rsidRDefault="001F219B">
      <w:pPr>
        <w:pStyle w:val="List"/>
        <w:tabs>
          <w:tab w:val="left" w:pos="1080"/>
        </w:tabs>
        <w:ind w:left="0" w:firstLine="0"/>
        <w:rPr>
          <w:rFonts w:ascii="Arial" w:hAnsi="Arial"/>
          <w:b/>
        </w:rPr>
      </w:pPr>
    </w:p>
    <w:p w14:paraId="1C286539" w14:textId="77777777" w:rsidR="001F219B" w:rsidRDefault="001F219B">
      <w:pPr>
        <w:pStyle w:val="List"/>
        <w:tabs>
          <w:tab w:val="left" w:pos="1080"/>
        </w:tabs>
        <w:ind w:left="0" w:firstLine="0"/>
        <w:rPr>
          <w:rFonts w:ascii="Arial" w:hAnsi="Arial"/>
          <w:b/>
        </w:rPr>
      </w:pPr>
    </w:p>
    <w:p w14:paraId="54BFEE48" w14:textId="77777777" w:rsidR="001F219B" w:rsidRDefault="001F219B">
      <w:pPr>
        <w:pStyle w:val="List"/>
        <w:tabs>
          <w:tab w:val="left" w:pos="1080"/>
        </w:tabs>
        <w:ind w:left="0" w:firstLine="0"/>
        <w:rPr>
          <w:rFonts w:ascii="Arial" w:hAnsi="Arial"/>
          <w:b/>
        </w:rPr>
      </w:pPr>
    </w:p>
    <w:p w14:paraId="6225314C" w14:textId="77777777" w:rsidR="001F219B" w:rsidRDefault="001F219B">
      <w:pPr>
        <w:pStyle w:val="List"/>
        <w:tabs>
          <w:tab w:val="left" w:pos="1080"/>
        </w:tabs>
        <w:ind w:left="0" w:firstLine="0"/>
        <w:rPr>
          <w:rFonts w:ascii="Arial" w:hAnsi="Arial"/>
          <w:b/>
        </w:rPr>
      </w:pPr>
    </w:p>
    <w:p w14:paraId="47E11517" w14:textId="77777777" w:rsidR="001F219B" w:rsidRDefault="001F219B">
      <w:pPr>
        <w:pStyle w:val="List"/>
        <w:tabs>
          <w:tab w:val="left" w:pos="1080"/>
        </w:tabs>
        <w:ind w:left="0" w:firstLine="0"/>
        <w:rPr>
          <w:rFonts w:ascii="Arial" w:hAnsi="Arial"/>
          <w:b/>
        </w:rPr>
      </w:pPr>
    </w:p>
    <w:p w14:paraId="575991FB" w14:textId="77777777" w:rsidR="00CB09DE" w:rsidRDefault="00CB09DE">
      <w:pPr>
        <w:pStyle w:val="List"/>
        <w:tabs>
          <w:tab w:val="left" w:pos="1080"/>
        </w:tabs>
        <w:ind w:left="0" w:firstLine="0"/>
        <w:rPr>
          <w:rFonts w:ascii="Arial" w:hAnsi="Arial"/>
          <w:b/>
        </w:rPr>
      </w:pPr>
    </w:p>
    <w:p w14:paraId="22423230"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608C1368" w14:textId="77777777" w:rsidR="00EA4133" w:rsidRDefault="00EA4133">
      <w:pPr>
        <w:pStyle w:val="BodyText"/>
        <w:rPr>
          <w:rFonts w:ascii="Arial" w:hAnsi="Arial"/>
        </w:rPr>
      </w:pPr>
      <w:r>
        <w:rPr>
          <w:rFonts w:ascii="Arial" w:hAnsi="Arial"/>
        </w:rPr>
        <w:t>The undersigned hereby certifies that:</w:t>
      </w:r>
    </w:p>
    <w:p w14:paraId="78D170EB"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E5D60B" w14:textId="77777777" w:rsidR="00EA4133" w:rsidRDefault="00EA4133">
      <w:pPr>
        <w:pStyle w:val="List"/>
        <w:numPr>
          <w:ilvl w:val="0"/>
          <w:numId w:val="7"/>
        </w:numPr>
        <w:jc w:val="both"/>
        <w:rPr>
          <w:rFonts w:ascii="Arial" w:hAnsi="Arial"/>
        </w:rPr>
      </w:pPr>
      <w:r>
        <w:rPr>
          <w:rFonts w:ascii="Arial" w:hAnsi="Arial"/>
        </w:rPr>
        <w:t xml:space="preserve">As of the date hereof there is not material information concerning the </w:t>
      </w:r>
      <w:proofErr w:type="gramStart"/>
      <w:r>
        <w:rPr>
          <w:rFonts w:ascii="Arial" w:hAnsi="Arial"/>
        </w:rPr>
        <w:t>Issuer which</w:t>
      </w:r>
      <w:proofErr w:type="gramEnd"/>
      <w:r>
        <w:rPr>
          <w:rFonts w:ascii="Arial" w:hAnsi="Arial"/>
        </w:rPr>
        <w:t xml:space="preserve"> has not been publicly disclosed.</w:t>
      </w:r>
    </w:p>
    <w:p w14:paraId="2D51226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CA1FBC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0D43B3EB" w14:textId="75BE0F2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6490E">
        <w:rPr>
          <w:rFonts w:ascii="Arial" w:hAnsi="Arial"/>
          <w:u w:val="single"/>
        </w:rPr>
        <w:t>May 23, 2017</w:t>
      </w:r>
    </w:p>
    <w:p w14:paraId="7959F690" w14:textId="77777777" w:rsidR="00EA4133" w:rsidRDefault="00EA4133">
      <w:pPr>
        <w:pStyle w:val="List"/>
        <w:tabs>
          <w:tab w:val="left" w:pos="9180"/>
        </w:tabs>
        <w:ind w:left="5760" w:hanging="5760"/>
        <w:rPr>
          <w:rFonts w:ascii="Arial" w:hAnsi="Arial"/>
        </w:rPr>
      </w:pPr>
      <w:r>
        <w:rPr>
          <w:rFonts w:ascii="Arial" w:hAnsi="Arial"/>
        </w:rPr>
        <w:tab/>
      </w:r>
      <w:r w:rsidR="00CB09DE">
        <w:rPr>
          <w:rFonts w:ascii="Arial" w:hAnsi="Arial"/>
          <w:u w:val="single"/>
        </w:rPr>
        <w:t xml:space="preserve">Will </w:t>
      </w:r>
      <w:proofErr w:type="spellStart"/>
      <w:r w:rsidR="00CB09DE">
        <w:rPr>
          <w:rFonts w:ascii="Arial" w:hAnsi="Arial"/>
          <w:u w:val="single"/>
        </w:rPr>
        <w:t>Rascan</w:t>
      </w:r>
      <w:proofErr w:type="spellEnd"/>
      <w:r w:rsidR="001F219B">
        <w:rPr>
          <w:rFonts w:ascii="Arial" w:hAnsi="Arial"/>
          <w:u w:val="single"/>
        </w:rPr>
        <w:tab/>
      </w:r>
      <w:r>
        <w:rPr>
          <w:rFonts w:ascii="Arial" w:hAnsi="Arial"/>
          <w:u w:val="single"/>
        </w:rPr>
        <w:br/>
      </w:r>
      <w:r>
        <w:rPr>
          <w:rFonts w:ascii="Arial" w:hAnsi="Arial"/>
        </w:rPr>
        <w:t>Name of Director or Senior Officer</w:t>
      </w:r>
    </w:p>
    <w:p w14:paraId="0B54FB5C"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rPr>
        <w:t>“</w:t>
      </w:r>
      <w:r w:rsidR="00CB09DE">
        <w:rPr>
          <w:rFonts w:ascii="Arial" w:hAnsi="Arial"/>
          <w:i/>
          <w:u w:val="single"/>
        </w:rPr>
        <w:t xml:space="preserve">Will </w:t>
      </w:r>
      <w:proofErr w:type="spellStart"/>
      <w:r w:rsidR="00CB09DE" w:rsidRPr="0068218E">
        <w:rPr>
          <w:rFonts w:ascii="Arial" w:hAnsi="Arial"/>
          <w:i/>
          <w:u w:val="single"/>
        </w:rPr>
        <w:t>Rascan</w:t>
      </w:r>
      <w:proofErr w:type="spellEnd"/>
      <w:r w:rsidR="001F219B" w:rsidRPr="0068218E">
        <w:rPr>
          <w:rFonts w:ascii="Arial" w:hAnsi="Arial"/>
          <w:u w:val="single"/>
        </w:rPr>
        <w:t>”</w:t>
      </w:r>
      <w:r>
        <w:rPr>
          <w:rFonts w:ascii="Arial" w:hAnsi="Arial"/>
          <w:u w:val="single"/>
        </w:rPr>
        <w:tab/>
      </w:r>
      <w:r>
        <w:rPr>
          <w:rFonts w:ascii="Arial" w:hAnsi="Arial"/>
        </w:rPr>
        <w:br/>
        <w:t>Signature</w:t>
      </w:r>
    </w:p>
    <w:p w14:paraId="563BB470"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u w:val="single"/>
        </w:rPr>
        <w:t>President &amp; CEO</w:t>
      </w:r>
      <w:r w:rsidR="001F219B">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A8C02" w14:textId="77777777" w:rsidR="000637C8" w:rsidRDefault="000637C8">
      <w:r>
        <w:separator/>
      </w:r>
    </w:p>
  </w:endnote>
  <w:endnote w:type="continuationSeparator" w:id="0">
    <w:p w14:paraId="137AA2BB" w14:textId="77777777" w:rsidR="000637C8" w:rsidRDefault="000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7249" w14:textId="77777777" w:rsidR="000637C8" w:rsidRDefault="000637C8"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01AAEA09" wp14:editId="14E10049">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556D401F" w14:textId="77777777" w:rsidR="000637C8" w:rsidRDefault="000637C8" w:rsidP="008003B9">
    <w:pPr>
      <w:tabs>
        <w:tab w:val="center" w:pos="4674"/>
        <w:tab w:val="left" w:pos="8460"/>
      </w:tabs>
      <w:jc w:val="center"/>
      <w:rPr>
        <w:rStyle w:val="PageNumber"/>
        <w:rFonts w:ascii="Arial" w:hAnsi="Arial" w:cs="Arial"/>
        <w:b/>
      </w:rPr>
    </w:pPr>
    <w:r>
      <w:rPr>
        <w:rFonts w:ascii="Arial" w:hAnsi="Arial" w:cs="Arial"/>
        <w:b/>
      </w:rPr>
      <w:t>LISTED SECURITIES</w:t>
    </w:r>
  </w:p>
  <w:p w14:paraId="5B41CACA" w14:textId="77777777" w:rsidR="000637C8" w:rsidRDefault="000637C8"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0D85F2" w14:textId="77777777" w:rsidR="000637C8" w:rsidRPr="002557FD" w:rsidRDefault="000637C8"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160C1">
      <w:rPr>
        <w:rStyle w:val="PageNumber"/>
        <w:rFonts w:ascii="Arial" w:hAnsi="Arial" w:cs="Arial"/>
        <w:noProof/>
        <w:sz w:val="16"/>
        <w:szCs w:val="16"/>
      </w:rPr>
      <w:t>8</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26BE" w14:textId="77777777" w:rsidR="000637C8" w:rsidRDefault="000637C8">
    <w:pPr>
      <w:pStyle w:val="Footer"/>
    </w:pPr>
    <w:fldSimple w:instr=" DOCPROPERTY FOOTERPATH \* MERGEFORMAT ">
      <w:r>
        <w:t>3214.001\0180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6197C" w14:textId="77777777" w:rsidR="000637C8" w:rsidRDefault="000637C8">
      <w:r>
        <w:separator/>
      </w:r>
    </w:p>
  </w:footnote>
  <w:footnote w:type="continuationSeparator" w:id="0">
    <w:p w14:paraId="1230FE36" w14:textId="77777777" w:rsidR="000637C8" w:rsidRDefault="000637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52857"/>
    <w:rsid w:val="000637C8"/>
    <w:rsid w:val="000A673B"/>
    <w:rsid w:val="000B64EF"/>
    <w:rsid w:val="00116314"/>
    <w:rsid w:val="00173F0B"/>
    <w:rsid w:val="00186DA5"/>
    <w:rsid w:val="001F219B"/>
    <w:rsid w:val="002557FD"/>
    <w:rsid w:val="002D56B8"/>
    <w:rsid w:val="002F0416"/>
    <w:rsid w:val="00326D55"/>
    <w:rsid w:val="00456624"/>
    <w:rsid w:val="004A1403"/>
    <w:rsid w:val="004B214D"/>
    <w:rsid w:val="004F7214"/>
    <w:rsid w:val="00617A0E"/>
    <w:rsid w:val="0062717F"/>
    <w:rsid w:val="0068218E"/>
    <w:rsid w:val="007160C1"/>
    <w:rsid w:val="007423FF"/>
    <w:rsid w:val="007568B3"/>
    <w:rsid w:val="007B0425"/>
    <w:rsid w:val="008003B9"/>
    <w:rsid w:val="00824B97"/>
    <w:rsid w:val="00891CD9"/>
    <w:rsid w:val="008F27FF"/>
    <w:rsid w:val="009136E7"/>
    <w:rsid w:val="009466F0"/>
    <w:rsid w:val="0097763E"/>
    <w:rsid w:val="00A00C54"/>
    <w:rsid w:val="00A10285"/>
    <w:rsid w:val="00A90670"/>
    <w:rsid w:val="00A93530"/>
    <w:rsid w:val="00A9392C"/>
    <w:rsid w:val="00AE7519"/>
    <w:rsid w:val="00B5640E"/>
    <w:rsid w:val="00B6490E"/>
    <w:rsid w:val="00B923F6"/>
    <w:rsid w:val="00CB09DE"/>
    <w:rsid w:val="00CF076A"/>
    <w:rsid w:val="00CF2A90"/>
    <w:rsid w:val="00DB640C"/>
    <w:rsid w:val="00E01FA8"/>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D7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19">
      <w:bodyDiv w:val="1"/>
      <w:marLeft w:val="0"/>
      <w:marRight w:val="0"/>
      <w:marTop w:val="0"/>
      <w:marBottom w:val="0"/>
      <w:divBdr>
        <w:top w:val="none" w:sz="0" w:space="0" w:color="auto"/>
        <w:left w:val="none" w:sz="0" w:space="0" w:color="auto"/>
        <w:bottom w:val="none" w:sz="0" w:space="0" w:color="auto"/>
        <w:right w:val="none" w:sz="0" w:space="0" w:color="auto"/>
      </w:divBdr>
    </w:div>
    <w:div w:id="760681764">
      <w:bodyDiv w:val="1"/>
      <w:marLeft w:val="0"/>
      <w:marRight w:val="0"/>
      <w:marTop w:val="0"/>
      <w:marBottom w:val="0"/>
      <w:divBdr>
        <w:top w:val="none" w:sz="0" w:space="0" w:color="auto"/>
        <w:left w:val="none" w:sz="0" w:space="0" w:color="auto"/>
        <w:bottom w:val="none" w:sz="0" w:space="0" w:color="auto"/>
        <w:right w:val="none" w:sz="0" w:space="0" w:color="auto"/>
      </w:divBdr>
    </w:div>
    <w:div w:id="794446243">
      <w:bodyDiv w:val="1"/>
      <w:marLeft w:val="0"/>
      <w:marRight w:val="0"/>
      <w:marTop w:val="0"/>
      <w:marBottom w:val="0"/>
      <w:divBdr>
        <w:top w:val="none" w:sz="0" w:space="0" w:color="auto"/>
        <w:left w:val="none" w:sz="0" w:space="0" w:color="auto"/>
        <w:bottom w:val="none" w:sz="0" w:space="0" w:color="auto"/>
        <w:right w:val="none" w:sz="0" w:space="0" w:color="auto"/>
      </w:divBdr>
    </w:div>
    <w:div w:id="995500110">
      <w:bodyDiv w:val="1"/>
      <w:marLeft w:val="0"/>
      <w:marRight w:val="0"/>
      <w:marTop w:val="0"/>
      <w:marBottom w:val="0"/>
      <w:divBdr>
        <w:top w:val="none" w:sz="0" w:space="0" w:color="auto"/>
        <w:left w:val="none" w:sz="0" w:space="0" w:color="auto"/>
        <w:bottom w:val="none" w:sz="0" w:space="0" w:color="auto"/>
        <w:right w:val="none" w:sz="0" w:space="0" w:color="auto"/>
      </w:divBdr>
    </w:div>
    <w:div w:id="1057322638">
      <w:bodyDiv w:val="1"/>
      <w:marLeft w:val="0"/>
      <w:marRight w:val="0"/>
      <w:marTop w:val="0"/>
      <w:marBottom w:val="0"/>
      <w:divBdr>
        <w:top w:val="none" w:sz="0" w:space="0" w:color="auto"/>
        <w:left w:val="none" w:sz="0" w:space="0" w:color="auto"/>
        <w:bottom w:val="none" w:sz="0" w:space="0" w:color="auto"/>
        <w:right w:val="none" w:sz="0" w:space="0" w:color="auto"/>
      </w:divBdr>
    </w:div>
    <w:div w:id="1138647610">
      <w:bodyDiv w:val="1"/>
      <w:marLeft w:val="0"/>
      <w:marRight w:val="0"/>
      <w:marTop w:val="0"/>
      <w:marBottom w:val="0"/>
      <w:divBdr>
        <w:top w:val="none" w:sz="0" w:space="0" w:color="auto"/>
        <w:left w:val="none" w:sz="0" w:space="0" w:color="auto"/>
        <w:bottom w:val="none" w:sz="0" w:space="0" w:color="auto"/>
        <w:right w:val="none" w:sz="0" w:space="0" w:color="auto"/>
      </w:divBdr>
    </w:div>
    <w:div w:id="1211959458">
      <w:bodyDiv w:val="1"/>
      <w:marLeft w:val="0"/>
      <w:marRight w:val="0"/>
      <w:marTop w:val="0"/>
      <w:marBottom w:val="0"/>
      <w:divBdr>
        <w:top w:val="none" w:sz="0" w:space="0" w:color="auto"/>
        <w:left w:val="none" w:sz="0" w:space="0" w:color="auto"/>
        <w:bottom w:val="none" w:sz="0" w:space="0" w:color="auto"/>
        <w:right w:val="none" w:sz="0" w:space="0" w:color="auto"/>
      </w:divBdr>
    </w:div>
    <w:div w:id="1243218533">
      <w:bodyDiv w:val="1"/>
      <w:marLeft w:val="0"/>
      <w:marRight w:val="0"/>
      <w:marTop w:val="0"/>
      <w:marBottom w:val="0"/>
      <w:divBdr>
        <w:top w:val="none" w:sz="0" w:space="0" w:color="auto"/>
        <w:left w:val="none" w:sz="0" w:space="0" w:color="auto"/>
        <w:bottom w:val="none" w:sz="0" w:space="0" w:color="auto"/>
        <w:right w:val="none" w:sz="0" w:space="0" w:color="auto"/>
      </w:divBdr>
    </w:div>
    <w:div w:id="1569729495">
      <w:bodyDiv w:val="1"/>
      <w:marLeft w:val="0"/>
      <w:marRight w:val="0"/>
      <w:marTop w:val="0"/>
      <w:marBottom w:val="0"/>
      <w:divBdr>
        <w:top w:val="none" w:sz="0" w:space="0" w:color="auto"/>
        <w:left w:val="none" w:sz="0" w:space="0" w:color="auto"/>
        <w:bottom w:val="none" w:sz="0" w:space="0" w:color="auto"/>
        <w:right w:val="none" w:sz="0" w:space="0" w:color="auto"/>
      </w:divBdr>
    </w:div>
    <w:div w:id="1678994413">
      <w:bodyDiv w:val="1"/>
      <w:marLeft w:val="0"/>
      <w:marRight w:val="0"/>
      <w:marTop w:val="0"/>
      <w:marBottom w:val="0"/>
      <w:divBdr>
        <w:top w:val="none" w:sz="0" w:space="0" w:color="auto"/>
        <w:left w:val="none" w:sz="0" w:space="0" w:color="auto"/>
        <w:bottom w:val="none" w:sz="0" w:space="0" w:color="auto"/>
        <w:right w:val="none" w:sz="0" w:space="0" w:color="auto"/>
      </w:divBdr>
    </w:div>
    <w:div w:id="1681856666">
      <w:bodyDiv w:val="1"/>
      <w:marLeft w:val="0"/>
      <w:marRight w:val="0"/>
      <w:marTop w:val="0"/>
      <w:marBottom w:val="0"/>
      <w:divBdr>
        <w:top w:val="none" w:sz="0" w:space="0" w:color="auto"/>
        <w:left w:val="none" w:sz="0" w:space="0" w:color="auto"/>
        <w:bottom w:val="none" w:sz="0" w:space="0" w:color="auto"/>
        <w:right w:val="none" w:sz="0" w:space="0" w:color="auto"/>
      </w:divBdr>
    </w:div>
    <w:div w:id="1723216592">
      <w:bodyDiv w:val="1"/>
      <w:marLeft w:val="0"/>
      <w:marRight w:val="0"/>
      <w:marTop w:val="0"/>
      <w:marBottom w:val="0"/>
      <w:divBdr>
        <w:top w:val="none" w:sz="0" w:space="0" w:color="auto"/>
        <w:left w:val="none" w:sz="0" w:space="0" w:color="auto"/>
        <w:bottom w:val="none" w:sz="0" w:space="0" w:color="auto"/>
        <w:right w:val="none" w:sz="0" w:space="0" w:color="auto"/>
      </w:divBdr>
    </w:div>
    <w:div w:id="1764766782">
      <w:bodyDiv w:val="1"/>
      <w:marLeft w:val="0"/>
      <w:marRight w:val="0"/>
      <w:marTop w:val="0"/>
      <w:marBottom w:val="0"/>
      <w:divBdr>
        <w:top w:val="none" w:sz="0" w:space="0" w:color="auto"/>
        <w:left w:val="none" w:sz="0" w:space="0" w:color="auto"/>
        <w:bottom w:val="none" w:sz="0" w:space="0" w:color="auto"/>
        <w:right w:val="none" w:sz="0" w:space="0" w:color="auto"/>
      </w:divBdr>
    </w:div>
    <w:div w:id="1848517079">
      <w:bodyDiv w:val="1"/>
      <w:marLeft w:val="0"/>
      <w:marRight w:val="0"/>
      <w:marTop w:val="0"/>
      <w:marBottom w:val="0"/>
      <w:divBdr>
        <w:top w:val="none" w:sz="0" w:space="0" w:color="auto"/>
        <w:left w:val="none" w:sz="0" w:space="0" w:color="auto"/>
        <w:bottom w:val="none" w:sz="0" w:space="0" w:color="auto"/>
        <w:right w:val="none" w:sz="0" w:space="0" w:color="auto"/>
      </w:divBdr>
    </w:div>
    <w:div w:id="1968048231">
      <w:bodyDiv w:val="1"/>
      <w:marLeft w:val="0"/>
      <w:marRight w:val="0"/>
      <w:marTop w:val="0"/>
      <w:marBottom w:val="0"/>
      <w:divBdr>
        <w:top w:val="none" w:sz="0" w:space="0" w:color="auto"/>
        <w:left w:val="none" w:sz="0" w:space="0" w:color="auto"/>
        <w:bottom w:val="none" w:sz="0" w:space="0" w:color="auto"/>
        <w:right w:val="none" w:sz="0" w:space="0" w:color="auto"/>
      </w:divBdr>
    </w:div>
    <w:div w:id="2118022145">
      <w:bodyDiv w:val="1"/>
      <w:marLeft w:val="0"/>
      <w:marRight w:val="0"/>
      <w:marTop w:val="0"/>
      <w:marBottom w:val="0"/>
      <w:divBdr>
        <w:top w:val="none" w:sz="0" w:space="0" w:color="auto"/>
        <w:left w:val="none" w:sz="0" w:space="0" w:color="auto"/>
        <w:bottom w:val="none" w:sz="0" w:space="0" w:color="auto"/>
        <w:right w:val="none" w:sz="0" w:space="0" w:color="auto"/>
      </w:divBdr>
    </w:div>
    <w:div w:id="21462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9060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Young</cp:lastModifiedBy>
  <cp:revision>2</cp:revision>
  <cp:lastPrinted>2015-03-06T16:37:00Z</cp:lastPrinted>
  <dcterms:created xsi:type="dcterms:W3CDTF">2017-05-23T20:01:00Z</dcterms:created>
  <dcterms:modified xsi:type="dcterms:W3CDTF">2017-05-23T20:01:00Z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