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CE0A60"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CE0A60">
        <w:rPr>
          <w:color w:val="000000"/>
          <w:sz w:val="20"/>
        </w:rPr>
        <w:t>FORM 7</w:t>
      </w:r>
      <w:r w:rsidRPr="00CE0A60">
        <w:rPr>
          <w:color w:val="000000"/>
          <w:sz w:val="20"/>
        </w:rPr>
        <w:br/>
      </w:r>
      <w:r w:rsidRPr="00CE0A60">
        <w:rPr>
          <w:color w:val="000000"/>
          <w:sz w:val="20"/>
        </w:rPr>
        <w:br/>
      </w:r>
      <w:r w:rsidRPr="00CE0A60">
        <w:rPr>
          <w:color w:val="000000"/>
          <w:sz w:val="20"/>
          <w:u w:val="single"/>
        </w:rPr>
        <w:t>MONTHLY PROGRESS REPORT</w:t>
      </w:r>
      <w:bookmarkEnd w:id="0"/>
      <w:bookmarkEnd w:id="1"/>
      <w:bookmarkEnd w:id="2"/>
      <w:bookmarkEnd w:id="3"/>
    </w:p>
    <w:p w14:paraId="7F63BD0D" w14:textId="77777777" w:rsidR="00A83974" w:rsidRPr="00CE0A60" w:rsidRDefault="00A83974" w:rsidP="00A83974">
      <w:pPr>
        <w:pStyle w:val="BodyText"/>
        <w:tabs>
          <w:tab w:val="left" w:pos="0"/>
        </w:tabs>
        <w:rPr>
          <w:rFonts w:ascii="Arial" w:hAnsi="Arial"/>
          <w:color w:val="000000"/>
          <w:sz w:val="20"/>
        </w:rPr>
      </w:pPr>
      <w:r w:rsidRPr="00CE0A60">
        <w:rPr>
          <w:rFonts w:ascii="Arial" w:hAnsi="Arial"/>
          <w:color w:val="000000"/>
          <w:sz w:val="20"/>
        </w:rPr>
        <w:t xml:space="preserve">Name of CNSX Issuer: </w:t>
      </w:r>
      <w:r w:rsidRPr="00CE0A60">
        <w:rPr>
          <w:rFonts w:ascii="Arial" w:hAnsi="Arial"/>
          <w:color w:val="000000"/>
          <w:sz w:val="20"/>
          <w:u w:val="single"/>
        </w:rPr>
        <w:t xml:space="preserve">Alchemist Mining Incorporated </w:t>
      </w:r>
      <w:r w:rsidRPr="00CE0A60">
        <w:rPr>
          <w:rFonts w:ascii="Arial" w:hAnsi="Arial"/>
          <w:color w:val="000000"/>
          <w:sz w:val="20"/>
        </w:rPr>
        <w:t>(the “Issuer” or the “Company”).</w:t>
      </w:r>
    </w:p>
    <w:p w14:paraId="3058866C" w14:textId="77777777"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Trading Symbol: </w:t>
      </w:r>
      <w:r w:rsidRPr="00CE0A60">
        <w:rPr>
          <w:rFonts w:ascii="Arial" w:hAnsi="Arial"/>
          <w:color w:val="000000"/>
          <w:sz w:val="20"/>
          <w:u w:val="single"/>
        </w:rPr>
        <w:t>AMS</w:t>
      </w:r>
    </w:p>
    <w:p w14:paraId="4F29A9E3" w14:textId="0EA52494"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Number of Outstanding Listed Securities: </w:t>
      </w:r>
      <w:r w:rsidR="00692103">
        <w:rPr>
          <w:rFonts w:ascii="Arial" w:hAnsi="Arial"/>
          <w:color w:val="000000"/>
          <w:sz w:val="20"/>
          <w:u w:val="single"/>
        </w:rPr>
        <w:t>26,743</w:t>
      </w:r>
      <w:bookmarkStart w:id="5" w:name="_GoBack"/>
      <w:bookmarkEnd w:id="5"/>
      <w:r w:rsidR="006C223F" w:rsidRPr="00CE0A60">
        <w:rPr>
          <w:rFonts w:ascii="Arial" w:hAnsi="Arial"/>
          <w:color w:val="000000"/>
          <w:sz w:val="20"/>
          <w:u w:val="single"/>
        </w:rPr>
        <w:t>,100</w:t>
      </w:r>
    </w:p>
    <w:p w14:paraId="0C673C57" w14:textId="5EFBC93B"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Date: </w:t>
      </w:r>
      <w:r w:rsidR="00217164">
        <w:rPr>
          <w:rFonts w:ascii="Arial" w:hAnsi="Arial"/>
          <w:color w:val="000000"/>
          <w:sz w:val="20"/>
          <w:u w:val="single"/>
        </w:rPr>
        <w:t>March</w:t>
      </w:r>
      <w:r w:rsidR="00A60353">
        <w:rPr>
          <w:rFonts w:ascii="Arial" w:hAnsi="Arial"/>
          <w:color w:val="000000"/>
          <w:sz w:val="20"/>
          <w:u w:val="single"/>
        </w:rPr>
        <w:t xml:space="preserve"> 2017</w:t>
      </w:r>
    </w:p>
    <w:p w14:paraId="2DAD67C4"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E0A60">
        <w:rPr>
          <w:rFonts w:ascii="Arial" w:hAnsi="Arial"/>
          <w:color w:val="000000"/>
          <w:sz w:val="20"/>
        </w:rPr>
        <w:t>Exchange</w:t>
      </w:r>
      <w:r w:rsidRPr="00CE0A60">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E0A60">
        <w:rPr>
          <w:rFonts w:ascii="Arial" w:hAnsi="Arial"/>
          <w:color w:val="000000"/>
          <w:sz w:val="20"/>
        </w:rPr>
        <w:t>Exchange</w:t>
      </w:r>
      <w:r w:rsidRPr="00CE0A60">
        <w:rPr>
          <w:rFonts w:ascii="Arial" w:hAnsi="Arial"/>
          <w:color w:val="000000"/>
          <w:sz w:val="20"/>
        </w:rPr>
        <w:t xml:space="preserve"> website.</w:t>
      </w:r>
    </w:p>
    <w:p w14:paraId="707287DE"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report is intended to keep investors and the market informed of the Issuer’s </w:t>
      </w:r>
      <w:proofErr w:type="spellStart"/>
      <w:r w:rsidRPr="00CE0A60">
        <w:rPr>
          <w:rFonts w:ascii="Arial" w:hAnsi="Arial"/>
          <w:color w:val="000000"/>
          <w:sz w:val="20"/>
        </w:rPr>
        <w:t>ongoing</w:t>
      </w:r>
      <w:proofErr w:type="spellEnd"/>
      <w:r w:rsidRPr="00CE0A60">
        <w:rPr>
          <w:rFonts w:ascii="Arial" w:hAnsi="Arial"/>
          <w:color w:val="000000"/>
          <w:sz w:val="2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D33C4B" w14:textId="77777777" w:rsidR="00640E94" w:rsidRPr="00CE0A60" w:rsidRDefault="00640E94">
      <w:pPr>
        <w:pStyle w:val="BodyText"/>
        <w:tabs>
          <w:tab w:val="left" w:pos="7920"/>
          <w:tab w:val="left" w:pos="9180"/>
        </w:tabs>
        <w:rPr>
          <w:rFonts w:ascii="Arial" w:hAnsi="Arial"/>
          <w:color w:val="000000"/>
          <w:sz w:val="20"/>
        </w:rPr>
      </w:pPr>
      <w:r w:rsidRPr="00CE0A60">
        <w:rPr>
          <w:rFonts w:ascii="Arial" w:hAnsi="Arial"/>
          <w:b/>
          <w:color w:val="000000"/>
          <w:sz w:val="20"/>
        </w:rPr>
        <w:t>General Instructions</w:t>
      </w:r>
    </w:p>
    <w:p w14:paraId="66BCF1C5"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93FB63"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The term “Issuer” includes the Issuer and any of its subsidiaries.</w:t>
      </w:r>
    </w:p>
    <w:p w14:paraId="3D200997"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Terms used and not defined in this form are defined or interpreted in Policy 1 – Interpretation and General Provisions.</w:t>
      </w:r>
    </w:p>
    <w:p w14:paraId="111CACD1" w14:textId="77777777" w:rsidR="00640E94" w:rsidRPr="00CE0A60" w:rsidRDefault="00640E94">
      <w:pPr>
        <w:pStyle w:val="List"/>
        <w:keepLines/>
        <w:spacing w:before="120"/>
        <w:ind w:left="0" w:firstLine="0"/>
        <w:rPr>
          <w:rFonts w:ascii="Arial" w:hAnsi="Arial"/>
          <w:b/>
          <w:sz w:val="20"/>
        </w:rPr>
      </w:pPr>
      <w:r w:rsidRPr="00CE0A60">
        <w:rPr>
          <w:rFonts w:ascii="Arial" w:hAnsi="Arial"/>
          <w:b/>
          <w:sz w:val="20"/>
        </w:rPr>
        <w:t>Report on Business</w:t>
      </w:r>
    </w:p>
    <w:p w14:paraId="141E81E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a general overview and discussion of the development of the Issuer’s business and operations over the previous month.  Where the Issuer was inactive disclose this fact.</w:t>
      </w:r>
    </w:p>
    <w:p w14:paraId="27144605" w14:textId="702450A9" w:rsidR="00217164" w:rsidRDefault="00A60353" w:rsidP="00217164">
      <w:pPr>
        <w:pStyle w:val="List"/>
        <w:spacing w:before="120"/>
        <w:ind w:left="720" w:firstLine="0"/>
        <w:jc w:val="both"/>
        <w:rPr>
          <w:rFonts w:ascii="Arial" w:hAnsi="Arial"/>
          <w:b/>
          <w:sz w:val="20"/>
          <w:lang w:val="en-CA"/>
        </w:rPr>
      </w:pPr>
      <w:r w:rsidRPr="00A60353">
        <w:rPr>
          <w:rFonts w:ascii="Arial" w:hAnsi="Arial"/>
          <w:b/>
          <w:sz w:val="20"/>
        </w:rPr>
        <w:t xml:space="preserve">On </w:t>
      </w:r>
      <w:r w:rsidR="00217164">
        <w:rPr>
          <w:rFonts w:ascii="Arial" w:hAnsi="Arial"/>
          <w:b/>
          <w:sz w:val="20"/>
        </w:rPr>
        <w:t>March 3</w:t>
      </w:r>
      <w:r w:rsidRPr="00A60353">
        <w:rPr>
          <w:rFonts w:ascii="Arial" w:hAnsi="Arial"/>
          <w:b/>
          <w:sz w:val="20"/>
        </w:rPr>
        <w:t>, 2017, the Company</w:t>
      </w:r>
      <w:r w:rsidR="00217164">
        <w:rPr>
          <w:rFonts w:ascii="Arial" w:hAnsi="Arial"/>
          <w:b/>
          <w:sz w:val="20"/>
        </w:rPr>
        <w:t xml:space="preserve"> announced</w:t>
      </w:r>
      <w:r w:rsidRPr="00A60353">
        <w:rPr>
          <w:rFonts w:ascii="Arial" w:hAnsi="Arial"/>
          <w:b/>
          <w:sz w:val="20"/>
        </w:rPr>
        <w:t xml:space="preserve"> </w:t>
      </w:r>
      <w:r w:rsidR="00217164">
        <w:rPr>
          <w:rFonts w:ascii="Arial" w:hAnsi="Arial"/>
          <w:b/>
          <w:sz w:val="20"/>
          <w:lang w:val="en-CA"/>
        </w:rPr>
        <w:t>it had</w:t>
      </w:r>
      <w:r w:rsidR="00217164" w:rsidRPr="00217164">
        <w:rPr>
          <w:rFonts w:ascii="Arial" w:hAnsi="Arial"/>
          <w:b/>
          <w:sz w:val="20"/>
          <w:lang w:val="en-CA"/>
        </w:rPr>
        <w:t xml:space="preserve"> </w:t>
      </w:r>
      <w:r w:rsidR="00217164">
        <w:rPr>
          <w:rFonts w:ascii="Arial" w:hAnsi="Arial"/>
          <w:b/>
          <w:sz w:val="20"/>
          <w:lang w:val="en-CA"/>
        </w:rPr>
        <w:t>signed a</w:t>
      </w:r>
      <w:r w:rsidR="00217164" w:rsidRPr="00217164">
        <w:rPr>
          <w:rFonts w:ascii="Arial" w:hAnsi="Arial"/>
          <w:b/>
          <w:sz w:val="20"/>
          <w:lang w:val="en-CA"/>
        </w:rPr>
        <w:t xml:space="preserve"> definitive agreement with arm’s length vendors</w:t>
      </w:r>
      <w:r w:rsidR="00217164">
        <w:rPr>
          <w:rFonts w:ascii="Arial" w:hAnsi="Arial"/>
          <w:b/>
          <w:sz w:val="20"/>
          <w:lang w:val="en-CA"/>
        </w:rPr>
        <w:t xml:space="preserve"> whereby the Company</w:t>
      </w:r>
      <w:r w:rsidR="00217164" w:rsidRPr="00217164">
        <w:rPr>
          <w:rFonts w:ascii="Arial" w:hAnsi="Arial"/>
          <w:b/>
          <w:sz w:val="20"/>
          <w:lang w:val="en-CA"/>
        </w:rPr>
        <w:t xml:space="preserve"> has the exclusive right to acquire a 100% interest in and to 39 mineral claims, consisting of 2210</w:t>
      </w:r>
      <w:r w:rsidR="00217164">
        <w:rPr>
          <w:rFonts w:ascii="Arial" w:hAnsi="Arial"/>
          <w:b/>
          <w:sz w:val="20"/>
          <w:lang w:val="en-CA"/>
        </w:rPr>
        <w:t xml:space="preserve">.91 hectares, located </w:t>
      </w:r>
      <w:r w:rsidR="00217164" w:rsidRPr="00217164">
        <w:rPr>
          <w:rFonts w:ascii="Arial" w:hAnsi="Arial"/>
          <w:b/>
          <w:sz w:val="20"/>
          <w:lang w:val="en-CA"/>
        </w:rPr>
        <w:t>in the Urban Barry Belt, Quebec</w:t>
      </w:r>
      <w:r w:rsidR="00217164">
        <w:rPr>
          <w:rFonts w:ascii="Arial" w:hAnsi="Arial"/>
          <w:b/>
          <w:sz w:val="20"/>
          <w:lang w:val="en-CA"/>
        </w:rPr>
        <w:t xml:space="preserve"> (the “Windfall Lake Property”).</w:t>
      </w:r>
    </w:p>
    <w:p w14:paraId="5C4BE84F" w14:textId="477D2F85" w:rsidR="00217164" w:rsidRPr="00217164" w:rsidRDefault="00217164" w:rsidP="00217164">
      <w:pPr>
        <w:pStyle w:val="List"/>
        <w:spacing w:before="120"/>
        <w:ind w:left="720" w:firstLine="0"/>
        <w:jc w:val="both"/>
        <w:rPr>
          <w:rFonts w:ascii="Arial" w:hAnsi="Arial"/>
          <w:b/>
          <w:lang w:val="en-CA"/>
        </w:rPr>
      </w:pPr>
      <w:r>
        <w:rPr>
          <w:rFonts w:ascii="Arial" w:hAnsi="Arial"/>
          <w:b/>
          <w:sz w:val="20"/>
          <w:lang w:val="en-CA"/>
        </w:rPr>
        <w:t xml:space="preserve">On March 6, 2017, the Company announced </w:t>
      </w:r>
      <w:r>
        <w:rPr>
          <w:rFonts w:ascii="Arial" w:hAnsi="Arial"/>
          <w:b/>
          <w:sz w:val="20"/>
          <w:lang w:val="en-US"/>
        </w:rPr>
        <w:t>it had</w:t>
      </w:r>
      <w:r w:rsidRPr="00217164">
        <w:rPr>
          <w:rFonts w:ascii="Arial" w:hAnsi="Arial"/>
          <w:b/>
          <w:sz w:val="20"/>
          <w:lang w:val="en-US"/>
        </w:rPr>
        <w:t xml:space="preserve"> entered into an agreement with an arms’-length vendor to acq</w:t>
      </w:r>
      <w:r>
        <w:rPr>
          <w:rFonts w:ascii="Arial" w:hAnsi="Arial"/>
          <w:b/>
          <w:sz w:val="20"/>
          <w:lang w:val="en-US"/>
        </w:rPr>
        <w:t>u</w:t>
      </w:r>
      <w:r w:rsidRPr="00217164">
        <w:rPr>
          <w:rFonts w:ascii="Arial" w:hAnsi="Arial"/>
          <w:b/>
          <w:sz w:val="20"/>
          <w:lang w:val="en-US"/>
        </w:rPr>
        <w:t xml:space="preserve">ire a 100% interest in </w:t>
      </w:r>
      <w:r>
        <w:rPr>
          <w:rFonts w:ascii="Arial" w:hAnsi="Arial"/>
          <w:b/>
          <w:sz w:val="20"/>
          <w:lang w:val="en-US"/>
        </w:rPr>
        <w:t xml:space="preserve">and to </w:t>
      </w:r>
      <w:r w:rsidRPr="00217164">
        <w:rPr>
          <w:rFonts w:ascii="Arial" w:hAnsi="Arial"/>
          <w:b/>
          <w:sz w:val="20"/>
          <w:lang w:val="en-US"/>
        </w:rPr>
        <w:t>22 claims covering an area of approximately 1232 acres, located in the Urban Barry Gold Camp, some 200 kilometers northeast of Val D’Or, Quebec</w:t>
      </w:r>
      <w:r>
        <w:rPr>
          <w:rFonts w:ascii="Arial" w:hAnsi="Arial"/>
          <w:b/>
          <w:sz w:val="20"/>
          <w:lang w:val="en-US"/>
        </w:rPr>
        <w:t xml:space="preserve"> (the “</w:t>
      </w:r>
      <w:proofErr w:type="spellStart"/>
      <w:r>
        <w:rPr>
          <w:rFonts w:ascii="Arial" w:hAnsi="Arial"/>
          <w:b/>
          <w:sz w:val="20"/>
          <w:lang w:val="en-US"/>
        </w:rPr>
        <w:t>Aubaine</w:t>
      </w:r>
      <w:proofErr w:type="spellEnd"/>
      <w:r>
        <w:rPr>
          <w:rFonts w:ascii="Arial" w:hAnsi="Arial"/>
          <w:b/>
          <w:sz w:val="20"/>
          <w:lang w:val="en-US"/>
        </w:rPr>
        <w:t xml:space="preserve"> Gold Property”).</w:t>
      </w:r>
    </w:p>
    <w:p w14:paraId="0A124860" w14:textId="7C74C771" w:rsidR="00640E94" w:rsidRPr="00CE0A60" w:rsidRDefault="00640E94" w:rsidP="00217164">
      <w:pPr>
        <w:pStyle w:val="List"/>
        <w:spacing w:before="120"/>
        <w:ind w:left="720" w:firstLine="0"/>
        <w:rPr>
          <w:rFonts w:ascii="Arial" w:hAnsi="Arial"/>
          <w:sz w:val="20"/>
        </w:rPr>
      </w:pPr>
      <w:r w:rsidRPr="00CE0A60">
        <w:rPr>
          <w:rFonts w:ascii="Arial" w:hAnsi="Arial"/>
          <w:sz w:val="20"/>
        </w:rPr>
        <w:t>Provide a general overview and discussion of the activities of management.</w:t>
      </w:r>
    </w:p>
    <w:p w14:paraId="60C82485" w14:textId="14FDDC0E" w:rsidR="00A83974" w:rsidRPr="00CE0A60" w:rsidRDefault="00A83974" w:rsidP="00A83974">
      <w:pPr>
        <w:pStyle w:val="List"/>
        <w:spacing w:before="120"/>
        <w:ind w:left="709" w:firstLine="0"/>
        <w:jc w:val="both"/>
        <w:rPr>
          <w:rFonts w:ascii="Arial" w:hAnsi="Arial"/>
          <w:b/>
          <w:sz w:val="20"/>
        </w:rPr>
      </w:pPr>
      <w:r w:rsidRPr="00CE0A60">
        <w:rPr>
          <w:rFonts w:ascii="Arial" w:hAnsi="Arial"/>
          <w:b/>
          <w:sz w:val="20"/>
        </w:rPr>
        <w:t>Management’s focus this month has been on</w:t>
      </w:r>
      <w:r w:rsidR="00CE0A60" w:rsidRPr="00CE0A60">
        <w:rPr>
          <w:rFonts w:ascii="Arial" w:hAnsi="Arial"/>
          <w:b/>
          <w:sz w:val="20"/>
        </w:rPr>
        <w:t xml:space="preserve"> </w:t>
      </w:r>
      <w:r w:rsidR="00BC0C24" w:rsidRPr="00CE0A60">
        <w:rPr>
          <w:rFonts w:ascii="Arial" w:hAnsi="Arial"/>
          <w:b/>
          <w:sz w:val="20"/>
        </w:rPr>
        <w:t>seeking out potential ventures to increase shareholder value.</w:t>
      </w:r>
    </w:p>
    <w:p w14:paraId="18059C6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CE0A60" w:rsidRDefault="00110B32" w:rsidP="00110B32">
      <w:pPr>
        <w:pStyle w:val="List"/>
        <w:spacing w:before="120"/>
        <w:ind w:left="0" w:firstLine="720"/>
        <w:jc w:val="both"/>
        <w:rPr>
          <w:rFonts w:ascii="Arial" w:hAnsi="Arial"/>
          <w:b/>
          <w:sz w:val="20"/>
        </w:rPr>
      </w:pPr>
      <w:r w:rsidRPr="00CE0A60">
        <w:rPr>
          <w:rFonts w:ascii="Arial" w:hAnsi="Arial"/>
          <w:b/>
          <w:sz w:val="20"/>
        </w:rPr>
        <w:lastRenderedPageBreak/>
        <w:t>None.</w:t>
      </w:r>
    </w:p>
    <w:p w14:paraId="72C256C9"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CE0A60" w:rsidRDefault="00110B32" w:rsidP="00110B32">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1A8A923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6329C366" w:rsidR="00110B32" w:rsidRPr="00CE0A60" w:rsidRDefault="00A60353" w:rsidP="00110B32">
      <w:pPr>
        <w:pStyle w:val="List"/>
        <w:spacing w:before="120"/>
        <w:ind w:left="720" w:firstLine="0"/>
        <w:jc w:val="both"/>
        <w:rPr>
          <w:rFonts w:ascii="Arial" w:hAnsi="Arial"/>
          <w:b/>
          <w:sz w:val="20"/>
        </w:rPr>
      </w:pPr>
      <w:r>
        <w:rPr>
          <w:rFonts w:ascii="Arial" w:hAnsi="Arial"/>
          <w:b/>
          <w:sz w:val="20"/>
        </w:rPr>
        <w:t>See #1 above.  The vendors are arm’s length to the Company.</w:t>
      </w:r>
    </w:p>
    <w:p w14:paraId="10C8997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7AB393C3" w14:textId="1D9A23C7" w:rsidR="00110B32" w:rsidRPr="00CE0A60" w:rsidRDefault="00A83974" w:rsidP="00110B32">
      <w:pPr>
        <w:pStyle w:val="List"/>
        <w:spacing w:before="120"/>
        <w:ind w:left="720" w:firstLine="0"/>
        <w:jc w:val="both"/>
        <w:rPr>
          <w:rFonts w:ascii="Arial" w:hAnsi="Arial"/>
          <w:b/>
          <w:sz w:val="20"/>
        </w:rPr>
      </w:pPr>
      <w:r w:rsidRPr="00CE0A60">
        <w:rPr>
          <w:rFonts w:ascii="Arial" w:hAnsi="Arial"/>
          <w:b/>
          <w:sz w:val="20"/>
        </w:rPr>
        <w:t>None.</w:t>
      </w:r>
    </w:p>
    <w:p w14:paraId="56388883" w14:textId="77777777" w:rsidR="00A440E6" w:rsidRPr="00CE0A60" w:rsidRDefault="00640E94" w:rsidP="003B65A2">
      <w:pPr>
        <w:pStyle w:val="List"/>
        <w:numPr>
          <w:ilvl w:val="0"/>
          <w:numId w:val="28"/>
        </w:numPr>
        <w:spacing w:before="120"/>
        <w:jc w:val="both"/>
        <w:rPr>
          <w:rFonts w:ascii="Arial" w:hAnsi="Arial"/>
          <w:sz w:val="20"/>
        </w:rPr>
      </w:pPr>
      <w:r w:rsidRPr="00CE0A60">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CE0A60">
        <w:rPr>
          <w:rFonts w:ascii="Arial" w:hAnsi="Arial"/>
          <w:sz w:val="20"/>
        </w:rPr>
        <w:t>disposition was to a Related Person of the Issuer and provi</w:t>
      </w:r>
      <w:r w:rsidR="00A440E6" w:rsidRPr="00CE0A60">
        <w:rPr>
          <w:rFonts w:ascii="Arial" w:hAnsi="Arial"/>
          <w:sz w:val="20"/>
        </w:rPr>
        <w:t>de</w:t>
      </w:r>
      <w:proofErr w:type="gramEnd"/>
      <w:r w:rsidR="00A440E6" w:rsidRPr="00CE0A60">
        <w:rPr>
          <w:rFonts w:ascii="Arial" w:hAnsi="Arial"/>
          <w:sz w:val="20"/>
        </w:rPr>
        <w:t xml:space="preserve"> details of the relationship.</w:t>
      </w:r>
    </w:p>
    <w:p w14:paraId="0DDE56EA" w14:textId="269F7F55" w:rsidR="00A60353" w:rsidRDefault="00A60353" w:rsidP="00A60353">
      <w:pPr>
        <w:pStyle w:val="List"/>
        <w:spacing w:before="120"/>
        <w:ind w:left="720" w:firstLine="0"/>
        <w:jc w:val="both"/>
        <w:rPr>
          <w:rFonts w:ascii="Arial" w:hAnsi="Arial"/>
          <w:b/>
          <w:sz w:val="20"/>
          <w:lang w:val="en-US"/>
        </w:rPr>
      </w:pPr>
      <w:r w:rsidRPr="00A60353">
        <w:rPr>
          <w:rFonts w:ascii="Arial" w:hAnsi="Arial"/>
          <w:b/>
          <w:sz w:val="20"/>
          <w:lang w:val="en-US"/>
        </w:rPr>
        <w:t xml:space="preserve">In order to earn a 100% interest in the </w:t>
      </w:r>
      <w:r w:rsidR="00217164">
        <w:rPr>
          <w:rFonts w:ascii="Arial" w:hAnsi="Arial"/>
          <w:b/>
          <w:sz w:val="20"/>
          <w:lang w:val="en-US"/>
        </w:rPr>
        <w:t>Windfall Lake P</w:t>
      </w:r>
      <w:r>
        <w:rPr>
          <w:rFonts w:ascii="Arial" w:hAnsi="Arial"/>
          <w:b/>
          <w:sz w:val="20"/>
          <w:lang w:val="en-US"/>
        </w:rPr>
        <w:t>roperty described in #1 above</w:t>
      </w:r>
      <w:r w:rsidRPr="00A60353">
        <w:rPr>
          <w:rFonts w:ascii="Arial" w:hAnsi="Arial"/>
          <w:b/>
          <w:sz w:val="20"/>
          <w:lang w:val="en-US"/>
        </w:rPr>
        <w:t>, the Company must pay $2,500 and issue an aggregate 800,000 com</w:t>
      </w:r>
      <w:r w:rsidR="00217164">
        <w:rPr>
          <w:rFonts w:ascii="Arial" w:hAnsi="Arial"/>
          <w:b/>
          <w:sz w:val="20"/>
          <w:lang w:val="en-US"/>
        </w:rPr>
        <w:t>mon shares upon the closing.</w:t>
      </w:r>
    </w:p>
    <w:p w14:paraId="3C37500B" w14:textId="70C8DB72" w:rsidR="00217164" w:rsidRPr="00B96686" w:rsidRDefault="00217164" w:rsidP="00B96686">
      <w:pPr>
        <w:pStyle w:val="List"/>
        <w:spacing w:before="120"/>
        <w:ind w:left="720" w:firstLine="0"/>
        <w:jc w:val="both"/>
        <w:rPr>
          <w:rFonts w:ascii="Arial" w:hAnsi="Arial"/>
          <w:b/>
          <w:sz w:val="20"/>
        </w:rPr>
      </w:pPr>
      <w:r w:rsidRPr="00217164">
        <w:rPr>
          <w:rFonts w:ascii="Arial" w:hAnsi="Arial"/>
          <w:b/>
          <w:sz w:val="20"/>
          <w:lang w:val="en-US"/>
        </w:rPr>
        <w:t xml:space="preserve">In order to earn a 100% interest in the </w:t>
      </w:r>
      <w:proofErr w:type="spellStart"/>
      <w:r w:rsidRPr="00217164">
        <w:rPr>
          <w:rFonts w:ascii="Arial" w:hAnsi="Arial"/>
          <w:b/>
          <w:sz w:val="20"/>
          <w:lang w:val="en-US"/>
        </w:rPr>
        <w:t>Aubaine</w:t>
      </w:r>
      <w:proofErr w:type="spellEnd"/>
      <w:r w:rsidRPr="00217164">
        <w:rPr>
          <w:rFonts w:ascii="Arial" w:hAnsi="Arial"/>
          <w:b/>
          <w:sz w:val="20"/>
          <w:lang w:val="en-US"/>
        </w:rPr>
        <w:t xml:space="preserve"> Gold Property described in #1 above</w:t>
      </w:r>
      <w:r>
        <w:rPr>
          <w:rFonts w:ascii="Arial" w:hAnsi="Arial"/>
          <w:b/>
          <w:sz w:val="20"/>
          <w:lang w:val="en-US"/>
        </w:rPr>
        <w:t>, the Company must</w:t>
      </w:r>
      <w:r w:rsidRPr="00217164">
        <w:rPr>
          <w:rFonts w:ascii="Arial" w:hAnsi="Arial"/>
          <w:b/>
          <w:sz w:val="20"/>
          <w:lang w:val="en-US"/>
        </w:rPr>
        <w:t xml:space="preserve"> </w:t>
      </w:r>
      <w:r>
        <w:rPr>
          <w:rFonts w:ascii="Arial" w:hAnsi="Arial"/>
          <w:b/>
          <w:sz w:val="20"/>
        </w:rPr>
        <w:t>issue</w:t>
      </w:r>
      <w:r w:rsidRPr="00217164">
        <w:rPr>
          <w:rFonts w:ascii="Arial" w:hAnsi="Arial"/>
          <w:b/>
          <w:sz w:val="20"/>
        </w:rPr>
        <w:t xml:space="preserve"> to the vendor 2,000,000 common shares upon signing and paying a total of $190,000 over a two year term</w:t>
      </w:r>
      <w:r>
        <w:rPr>
          <w:rFonts w:ascii="Arial" w:hAnsi="Arial"/>
          <w:b/>
          <w:sz w:val="20"/>
        </w:rPr>
        <w:t xml:space="preserve">.  </w:t>
      </w:r>
      <w:r w:rsidRPr="00217164">
        <w:rPr>
          <w:rFonts w:ascii="Arial" w:hAnsi="Arial"/>
          <w:b/>
          <w:sz w:val="20"/>
        </w:rPr>
        <w:t xml:space="preserve">The Company must also incur a minimum of $500,000 in qualifying exploration expenditures over a three-year term.  A 3.0% NSR has been granted to the vendor, of which </w:t>
      </w:r>
      <w:proofErr w:type="gramStart"/>
      <w:r w:rsidRPr="00217164">
        <w:rPr>
          <w:rFonts w:ascii="Arial" w:hAnsi="Arial"/>
          <w:b/>
          <w:sz w:val="20"/>
        </w:rPr>
        <w:t>1.0% may be purchased by Alchemist</w:t>
      </w:r>
      <w:proofErr w:type="gramEnd"/>
      <w:r w:rsidRPr="00217164">
        <w:rPr>
          <w:rFonts w:ascii="Arial" w:hAnsi="Arial"/>
          <w:b/>
          <w:sz w:val="20"/>
        </w:rPr>
        <w:t xml:space="preserve"> for $1,000,000.  </w:t>
      </w:r>
    </w:p>
    <w:p w14:paraId="10FCF9F0" w14:textId="25B90ABA"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acquisition of new customers or loss of customers.</w:t>
      </w:r>
    </w:p>
    <w:p w14:paraId="540D2BBA"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1853599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Describe any new developments or effects on intangible products such as brand names, circulation lists, copyrights, franchises, licenses, patents, software, subscription lists and </w:t>
      </w:r>
      <w:proofErr w:type="gramStart"/>
      <w:r w:rsidRPr="00CE0A60">
        <w:rPr>
          <w:rFonts w:ascii="Arial" w:hAnsi="Arial"/>
          <w:sz w:val="20"/>
        </w:rPr>
        <w:t>trade-marks</w:t>
      </w:r>
      <w:proofErr w:type="gramEnd"/>
      <w:r w:rsidRPr="00CE0A60">
        <w:rPr>
          <w:rFonts w:ascii="Arial" w:hAnsi="Arial"/>
          <w:sz w:val="20"/>
        </w:rPr>
        <w:t>.</w:t>
      </w:r>
    </w:p>
    <w:p w14:paraId="50A183BF" w14:textId="68B11FB0" w:rsidR="00A440E6" w:rsidRPr="00CE0A60" w:rsidRDefault="00A83974" w:rsidP="00A440E6">
      <w:pPr>
        <w:pStyle w:val="List"/>
        <w:spacing w:before="120"/>
        <w:ind w:left="720" w:firstLine="0"/>
        <w:jc w:val="both"/>
        <w:rPr>
          <w:rFonts w:ascii="Arial" w:hAnsi="Arial"/>
          <w:sz w:val="20"/>
        </w:rPr>
      </w:pPr>
      <w:r w:rsidRPr="00CE0A60">
        <w:rPr>
          <w:rFonts w:ascii="Arial" w:hAnsi="Arial"/>
          <w:b/>
          <w:sz w:val="20"/>
        </w:rPr>
        <w:t>None.</w:t>
      </w:r>
    </w:p>
    <w:p w14:paraId="5F481A9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Report on any employee </w:t>
      </w:r>
      <w:proofErr w:type="spellStart"/>
      <w:r w:rsidRPr="00CE0A60">
        <w:rPr>
          <w:rFonts w:ascii="Arial" w:hAnsi="Arial"/>
          <w:sz w:val="20"/>
        </w:rPr>
        <w:t>hirings</w:t>
      </w:r>
      <w:proofErr w:type="spellEnd"/>
      <w:r w:rsidRPr="00CE0A60">
        <w:rPr>
          <w:rFonts w:ascii="Arial" w:hAnsi="Arial"/>
          <w:sz w:val="20"/>
        </w:rPr>
        <w:t>, terminations or lay-offs with details of anticipated length of lay-offs.</w:t>
      </w:r>
    </w:p>
    <w:p w14:paraId="6C3000E5"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089F315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Report on any labour disputes and resolutions of those disputes if applicable.</w:t>
      </w:r>
    </w:p>
    <w:p w14:paraId="5E3418CA" w14:textId="77777777" w:rsidR="00A440E6" w:rsidRPr="00CE0A60" w:rsidRDefault="00A440E6" w:rsidP="00A440E6">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0FA7DCD8"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CE0A60" w:rsidRDefault="00A440E6" w:rsidP="00A440E6">
      <w:pPr>
        <w:pStyle w:val="List"/>
        <w:spacing w:before="120"/>
        <w:ind w:left="720" w:firstLine="0"/>
        <w:jc w:val="both"/>
        <w:rPr>
          <w:rFonts w:ascii="Arial" w:hAnsi="Arial"/>
          <w:b/>
          <w:sz w:val="20"/>
        </w:rPr>
      </w:pPr>
      <w:r w:rsidRPr="00CE0A60">
        <w:rPr>
          <w:rFonts w:ascii="Arial" w:hAnsi="Arial"/>
          <w:b/>
          <w:sz w:val="20"/>
        </w:rPr>
        <w:t>None.</w:t>
      </w:r>
    </w:p>
    <w:p w14:paraId="09A9A36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indebtedness incurred or repaid by the Issuer together with the terms of such indebtedness.</w:t>
      </w:r>
    </w:p>
    <w:p w14:paraId="197EA3A4" w14:textId="2A5884CD" w:rsidR="00741401" w:rsidRPr="00CE0A60" w:rsidRDefault="00741401" w:rsidP="00741401">
      <w:pPr>
        <w:pStyle w:val="List"/>
        <w:spacing w:before="120"/>
        <w:ind w:left="720" w:firstLine="0"/>
        <w:jc w:val="both"/>
        <w:rPr>
          <w:rFonts w:ascii="Arial" w:hAnsi="Arial"/>
          <w:b/>
          <w:sz w:val="20"/>
        </w:rPr>
      </w:pPr>
      <w:r w:rsidRPr="00CE0A60">
        <w:rPr>
          <w:rFonts w:ascii="Arial" w:hAnsi="Arial"/>
          <w:b/>
          <w:sz w:val="20"/>
        </w:rPr>
        <w:lastRenderedPageBreak/>
        <w:t>None.</w:t>
      </w:r>
    </w:p>
    <w:p w14:paraId="4BEF76E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securities issued and options or warrants granted.</w:t>
      </w:r>
    </w:p>
    <w:p w14:paraId="38BA1B74" w14:textId="77777777" w:rsidR="00741401" w:rsidRPr="00CE0A60" w:rsidRDefault="00741401" w:rsidP="00741401">
      <w:pPr>
        <w:pStyle w:val="List"/>
        <w:spacing w:before="120"/>
        <w:ind w:left="0" w:firstLine="0"/>
        <w:jc w:val="both"/>
        <w:rPr>
          <w:rFonts w:ascii="Arial" w:hAnsi="Arial"/>
          <w:sz w:val="20"/>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2431"/>
        <w:gridCol w:w="2431"/>
        <w:gridCol w:w="2431"/>
      </w:tblGrid>
      <w:tr w:rsidR="00B96686" w:rsidRPr="00B96686" w14:paraId="1827B3E2" w14:textId="77777777" w:rsidTr="00B96686">
        <w:trPr>
          <w:trHeight w:val="274"/>
        </w:trPr>
        <w:tc>
          <w:tcPr>
            <w:tcW w:w="2323" w:type="dxa"/>
          </w:tcPr>
          <w:p w14:paraId="5448CD5F" w14:textId="77777777" w:rsidR="00B96686" w:rsidRPr="00B96686" w:rsidRDefault="00B96686" w:rsidP="00B96686">
            <w:pPr>
              <w:tabs>
                <w:tab w:val="left" w:pos="360"/>
              </w:tabs>
              <w:spacing w:line="280" w:lineRule="exact"/>
              <w:jc w:val="center"/>
              <w:rPr>
                <w:rFonts w:ascii="Arial" w:hAnsi="Arial"/>
                <w:b/>
                <w:lang w:val="en-GB"/>
              </w:rPr>
            </w:pPr>
            <w:r w:rsidRPr="00B96686">
              <w:rPr>
                <w:rFonts w:ascii="Arial" w:hAnsi="Arial"/>
                <w:b/>
                <w:lang w:val="en-GB"/>
              </w:rPr>
              <w:t>Security</w:t>
            </w:r>
          </w:p>
        </w:tc>
        <w:tc>
          <w:tcPr>
            <w:tcW w:w="2431" w:type="dxa"/>
          </w:tcPr>
          <w:p w14:paraId="07FB87C9" w14:textId="77777777" w:rsidR="00B96686" w:rsidRPr="00B96686" w:rsidRDefault="00B96686" w:rsidP="00B96686">
            <w:pPr>
              <w:tabs>
                <w:tab w:val="left" w:pos="360"/>
              </w:tabs>
              <w:spacing w:line="280" w:lineRule="exact"/>
              <w:jc w:val="center"/>
              <w:rPr>
                <w:rFonts w:ascii="Arial" w:hAnsi="Arial"/>
                <w:b/>
                <w:lang w:val="en-GB"/>
              </w:rPr>
            </w:pPr>
            <w:r w:rsidRPr="00B96686">
              <w:rPr>
                <w:rFonts w:ascii="Arial" w:hAnsi="Arial"/>
                <w:b/>
                <w:lang w:val="en-GB"/>
              </w:rPr>
              <w:t>Number Issued</w:t>
            </w:r>
          </w:p>
        </w:tc>
        <w:tc>
          <w:tcPr>
            <w:tcW w:w="2431" w:type="dxa"/>
          </w:tcPr>
          <w:p w14:paraId="5794EE6E" w14:textId="77777777" w:rsidR="00B96686" w:rsidRPr="00B96686" w:rsidRDefault="00B96686" w:rsidP="00B96686">
            <w:pPr>
              <w:tabs>
                <w:tab w:val="left" w:pos="360"/>
              </w:tabs>
              <w:spacing w:line="280" w:lineRule="exact"/>
              <w:jc w:val="center"/>
              <w:rPr>
                <w:rFonts w:ascii="Arial" w:hAnsi="Arial"/>
                <w:b/>
                <w:lang w:val="en-GB"/>
              </w:rPr>
            </w:pPr>
            <w:r w:rsidRPr="00B96686">
              <w:rPr>
                <w:rFonts w:ascii="Arial" w:hAnsi="Arial"/>
                <w:b/>
                <w:lang w:val="en-GB"/>
              </w:rPr>
              <w:t>Details of Issuance</w:t>
            </w:r>
          </w:p>
        </w:tc>
        <w:tc>
          <w:tcPr>
            <w:tcW w:w="2431" w:type="dxa"/>
          </w:tcPr>
          <w:p w14:paraId="078BC596" w14:textId="77777777" w:rsidR="00B96686" w:rsidRPr="00B96686" w:rsidRDefault="00B96686" w:rsidP="00B96686">
            <w:pPr>
              <w:tabs>
                <w:tab w:val="left" w:pos="360"/>
              </w:tabs>
              <w:spacing w:line="280" w:lineRule="exact"/>
              <w:jc w:val="center"/>
              <w:rPr>
                <w:rFonts w:ascii="Arial" w:hAnsi="Arial"/>
                <w:b/>
                <w:lang w:val="en-GB"/>
              </w:rPr>
            </w:pPr>
            <w:r w:rsidRPr="00B96686">
              <w:rPr>
                <w:rFonts w:ascii="Arial" w:hAnsi="Arial"/>
                <w:b/>
                <w:lang w:val="en-GB"/>
              </w:rPr>
              <w:t xml:space="preserve">Use of </w:t>
            </w:r>
            <w:proofErr w:type="gramStart"/>
            <w:r w:rsidRPr="00B96686">
              <w:rPr>
                <w:rFonts w:ascii="Arial" w:hAnsi="Arial"/>
                <w:b/>
                <w:lang w:val="en-GB"/>
              </w:rPr>
              <w:t>Proceeds</w:t>
            </w:r>
            <w:r w:rsidRPr="00B96686">
              <w:rPr>
                <w:rFonts w:ascii="Arial" w:hAnsi="Arial"/>
                <w:b/>
                <w:vertAlign w:val="superscript"/>
                <w:lang w:val="en-GB"/>
              </w:rPr>
              <w:t>(</w:t>
            </w:r>
            <w:proofErr w:type="gramEnd"/>
            <w:r w:rsidRPr="00B96686">
              <w:rPr>
                <w:rFonts w:ascii="Arial" w:hAnsi="Arial"/>
                <w:b/>
                <w:vertAlign w:val="superscript"/>
                <w:lang w:val="en-GB"/>
              </w:rPr>
              <w:t>1)</w:t>
            </w:r>
          </w:p>
        </w:tc>
      </w:tr>
      <w:tr w:rsidR="00B96686" w:rsidRPr="00B96686" w14:paraId="01FA9486" w14:textId="77777777" w:rsidTr="00B96686">
        <w:trPr>
          <w:trHeight w:val="387"/>
        </w:trPr>
        <w:tc>
          <w:tcPr>
            <w:tcW w:w="2323" w:type="dxa"/>
          </w:tcPr>
          <w:p w14:paraId="462C94E8" w14:textId="77777777" w:rsidR="00B96686" w:rsidRPr="00B96686" w:rsidRDefault="00B96686" w:rsidP="00B96686">
            <w:pPr>
              <w:tabs>
                <w:tab w:val="left" w:pos="360"/>
              </w:tabs>
              <w:spacing w:line="280" w:lineRule="exact"/>
              <w:jc w:val="center"/>
              <w:rPr>
                <w:rFonts w:ascii="Arial" w:hAnsi="Arial"/>
                <w:lang w:val="en-GB"/>
              </w:rPr>
            </w:pPr>
          </w:p>
          <w:p w14:paraId="37595DC6" w14:textId="77777777" w:rsidR="00B96686" w:rsidRPr="00B96686" w:rsidRDefault="00B96686" w:rsidP="00B96686">
            <w:pPr>
              <w:tabs>
                <w:tab w:val="left" w:pos="360"/>
              </w:tabs>
              <w:spacing w:line="280" w:lineRule="exact"/>
              <w:jc w:val="center"/>
              <w:rPr>
                <w:rFonts w:ascii="Arial" w:hAnsi="Arial"/>
                <w:lang w:val="en-GB"/>
              </w:rPr>
            </w:pPr>
            <w:r w:rsidRPr="00B96686">
              <w:rPr>
                <w:rFonts w:ascii="Arial" w:hAnsi="Arial"/>
                <w:lang w:val="en-GB"/>
              </w:rPr>
              <w:t>Common Shares</w:t>
            </w:r>
          </w:p>
        </w:tc>
        <w:tc>
          <w:tcPr>
            <w:tcW w:w="2431" w:type="dxa"/>
          </w:tcPr>
          <w:p w14:paraId="7A6F586E" w14:textId="77777777" w:rsidR="00B96686" w:rsidRPr="00B96686" w:rsidRDefault="00B96686" w:rsidP="00B96686">
            <w:pPr>
              <w:tabs>
                <w:tab w:val="left" w:pos="360"/>
              </w:tabs>
              <w:spacing w:line="280" w:lineRule="exact"/>
              <w:jc w:val="center"/>
              <w:rPr>
                <w:rFonts w:ascii="Arial" w:hAnsi="Arial"/>
                <w:lang w:val="en-GB"/>
              </w:rPr>
            </w:pPr>
          </w:p>
          <w:p w14:paraId="1CA07C8F" w14:textId="06D8F8A3" w:rsidR="00B96686" w:rsidRPr="00B96686" w:rsidRDefault="00716CBD" w:rsidP="00B96686">
            <w:pPr>
              <w:tabs>
                <w:tab w:val="left" w:pos="360"/>
              </w:tabs>
              <w:spacing w:line="280" w:lineRule="exact"/>
              <w:jc w:val="center"/>
              <w:rPr>
                <w:rFonts w:ascii="Arial" w:hAnsi="Arial"/>
                <w:lang w:val="en-GB"/>
              </w:rPr>
            </w:pPr>
            <w:r>
              <w:rPr>
                <w:rFonts w:ascii="Arial" w:hAnsi="Arial"/>
                <w:lang w:val="en-GB"/>
              </w:rPr>
              <w:t>400,000</w:t>
            </w:r>
          </w:p>
        </w:tc>
        <w:tc>
          <w:tcPr>
            <w:tcW w:w="2431" w:type="dxa"/>
          </w:tcPr>
          <w:p w14:paraId="53D73285" w14:textId="77777777" w:rsidR="00B96686" w:rsidRPr="00B96686" w:rsidRDefault="00B96686" w:rsidP="00B96686">
            <w:pPr>
              <w:tabs>
                <w:tab w:val="left" w:pos="360"/>
              </w:tabs>
              <w:spacing w:before="240"/>
              <w:ind w:right="162"/>
              <w:jc w:val="center"/>
              <w:rPr>
                <w:rFonts w:ascii="Arial" w:hAnsi="Arial"/>
                <w:lang w:val="en-GB"/>
              </w:rPr>
            </w:pPr>
            <w:r w:rsidRPr="00B96686">
              <w:rPr>
                <w:rFonts w:ascii="Arial" w:hAnsi="Arial"/>
                <w:lang w:val="en-GB"/>
              </w:rPr>
              <w:t>(2)</w:t>
            </w:r>
          </w:p>
        </w:tc>
        <w:tc>
          <w:tcPr>
            <w:tcW w:w="2431" w:type="dxa"/>
          </w:tcPr>
          <w:p w14:paraId="01B9F77B" w14:textId="77777777" w:rsidR="00B96686" w:rsidRPr="00B96686" w:rsidRDefault="00B96686" w:rsidP="00B96686">
            <w:pPr>
              <w:tabs>
                <w:tab w:val="left" w:pos="360"/>
              </w:tabs>
              <w:spacing w:line="280" w:lineRule="exact"/>
              <w:jc w:val="center"/>
              <w:rPr>
                <w:rFonts w:ascii="Arial" w:hAnsi="Arial"/>
                <w:lang w:val="en-GB"/>
              </w:rPr>
            </w:pPr>
          </w:p>
          <w:p w14:paraId="5657D105" w14:textId="5C22657D" w:rsidR="00B96686" w:rsidRPr="00B96686" w:rsidRDefault="00716CBD" w:rsidP="00B96686">
            <w:pPr>
              <w:tabs>
                <w:tab w:val="left" w:pos="360"/>
              </w:tabs>
              <w:spacing w:line="280" w:lineRule="exact"/>
              <w:jc w:val="center"/>
              <w:rPr>
                <w:rFonts w:ascii="Arial" w:hAnsi="Arial"/>
                <w:lang w:val="en-GB"/>
              </w:rPr>
            </w:pPr>
            <w:r>
              <w:rPr>
                <w:rFonts w:ascii="Arial" w:hAnsi="Arial"/>
                <w:lang w:val="en-GB"/>
              </w:rPr>
              <w:t>Working Capital</w:t>
            </w:r>
          </w:p>
        </w:tc>
      </w:tr>
      <w:tr w:rsidR="00B96686" w:rsidRPr="00B96686" w14:paraId="5CA6C74C" w14:textId="77777777" w:rsidTr="00B96686">
        <w:trPr>
          <w:trHeight w:val="281"/>
        </w:trPr>
        <w:tc>
          <w:tcPr>
            <w:tcW w:w="2323" w:type="dxa"/>
          </w:tcPr>
          <w:p w14:paraId="05208BC9" w14:textId="77777777" w:rsidR="00B96686" w:rsidRPr="00B96686" w:rsidRDefault="00B96686" w:rsidP="00B96686">
            <w:pPr>
              <w:tabs>
                <w:tab w:val="left" w:pos="360"/>
              </w:tabs>
              <w:spacing w:line="280" w:lineRule="exact"/>
              <w:jc w:val="center"/>
              <w:rPr>
                <w:rFonts w:ascii="Arial" w:hAnsi="Arial"/>
                <w:lang w:val="en-GB"/>
              </w:rPr>
            </w:pPr>
          </w:p>
          <w:p w14:paraId="4C9F4CDA" w14:textId="77777777" w:rsidR="00B96686" w:rsidRPr="00B96686" w:rsidRDefault="00B96686" w:rsidP="00B96686">
            <w:pPr>
              <w:tabs>
                <w:tab w:val="left" w:pos="360"/>
              </w:tabs>
              <w:spacing w:line="280" w:lineRule="exact"/>
              <w:jc w:val="center"/>
              <w:rPr>
                <w:rFonts w:ascii="Arial" w:hAnsi="Arial"/>
                <w:lang w:val="en-GB"/>
              </w:rPr>
            </w:pPr>
            <w:r w:rsidRPr="00B96686">
              <w:rPr>
                <w:rFonts w:ascii="Arial" w:hAnsi="Arial"/>
                <w:lang w:val="en-GB"/>
              </w:rPr>
              <w:t>Common Shares</w:t>
            </w:r>
          </w:p>
        </w:tc>
        <w:tc>
          <w:tcPr>
            <w:tcW w:w="2431" w:type="dxa"/>
          </w:tcPr>
          <w:p w14:paraId="165425D3" w14:textId="77777777" w:rsidR="00B96686" w:rsidRPr="00B96686" w:rsidRDefault="00B96686" w:rsidP="00B96686">
            <w:pPr>
              <w:tabs>
                <w:tab w:val="left" w:pos="360"/>
              </w:tabs>
              <w:spacing w:line="280" w:lineRule="exact"/>
              <w:jc w:val="center"/>
              <w:rPr>
                <w:rFonts w:ascii="Arial" w:hAnsi="Arial"/>
                <w:lang w:val="en-GB"/>
              </w:rPr>
            </w:pPr>
          </w:p>
          <w:p w14:paraId="353BC3A7" w14:textId="3054ADB1" w:rsidR="00B96686" w:rsidRPr="00B96686" w:rsidRDefault="00386C20" w:rsidP="00B96686">
            <w:pPr>
              <w:tabs>
                <w:tab w:val="left" w:pos="360"/>
              </w:tabs>
              <w:spacing w:line="280" w:lineRule="exact"/>
              <w:jc w:val="center"/>
              <w:rPr>
                <w:rFonts w:ascii="Arial" w:hAnsi="Arial"/>
                <w:lang w:val="en-GB"/>
              </w:rPr>
            </w:pPr>
            <w:r>
              <w:rPr>
                <w:rFonts w:ascii="Arial" w:hAnsi="Arial"/>
                <w:lang w:val="en-GB"/>
              </w:rPr>
              <w:t>2,200,000</w:t>
            </w:r>
          </w:p>
        </w:tc>
        <w:tc>
          <w:tcPr>
            <w:tcW w:w="2431" w:type="dxa"/>
          </w:tcPr>
          <w:p w14:paraId="50CDB9C1" w14:textId="77777777" w:rsidR="00B96686" w:rsidRPr="00B96686" w:rsidRDefault="00B96686" w:rsidP="00B96686">
            <w:pPr>
              <w:tabs>
                <w:tab w:val="left" w:pos="360"/>
              </w:tabs>
              <w:spacing w:before="240"/>
              <w:ind w:right="162"/>
              <w:jc w:val="center"/>
              <w:rPr>
                <w:rFonts w:ascii="Arial" w:hAnsi="Arial"/>
                <w:lang w:val="en-GB"/>
              </w:rPr>
            </w:pPr>
            <w:r w:rsidRPr="00B96686">
              <w:rPr>
                <w:rFonts w:ascii="Arial" w:hAnsi="Arial"/>
                <w:lang w:val="en-GB"/>
              </w:rPr>
              <w:t>(3)</w:t>
            </w:r>
          </w:p>
        </w:tc>
        <w:tc>
          <w:tcPr>
            <w:tcW w:w="2431" w:type="dxa"/>
          </w:tcPr>
          <w:p w14:paraId="7F5C0404" w14:textId="77777777" w:rsidR="00B96686" w:rsidRPr="00B96686" w:rsidRDefault="00B96686" w:rsidP="00B96686">
            <w:pPr>
              <w:tabs>
                <w:tab w:val="left" w:pos="360"/>
              </w:tabs>
              <w:spacing w:line="280" w:lineRule="exact"/>
              <w:jc w:val="both"/>
              <w:rPr>
                <w:rFonts w:ascii="Arial" w:hAnsi="Arial"/>
                <w:lang w:val="en-GB"/>
              </w:rPr>
            </w:pPr>
          </w:p>
          <w:p w14:paraId="081304AB" w14:textId="77777777" w:rsidR="00B96686" w:rsidRPr="00B96686" w:rsidRDefault="00B96686" w:rsidP="00B96686">
            <w:pPr>
              <w:tabs>
                <w:tab w:val="left" w:pos="360"/>
              </w:tabs>
              <w:spacing w:line="280" w:lineRule="exact"/>
              <w:jc w:val="center"/>
              <w:rPr>
                <w:rFonts w:ascii="Arial" w:hAnsi="Arial"/>
                <w:lang w:val="en-GB"/>
              </w:rPr>
            </w:pPr>
            <w:proofErr w:type="gramStart"/>
            <w:r w:rsidRPr="00B96686">
              <w:rPr>
                <w:rFonts w:ascii="Arial" w:hAnsi="Arial"/>
                <w:lang w:val="en-GB"/>
              </w:rPr>
              <w:t>n</w:t>
            </w:r>
            <w:proofErr w:type="gramEnd"/>
            <w:r w:rsidRPr="00B96686">
              <w:rPr>
                <w:rFonts w:ascii="Arial" w:hAnsi="Arial"/>
                <w:lang w:val="en-GB"/>
              </w:rPr>
              <w:t>/a</w:t>
            </w:r>
          </w:p>
        </w:tc>
      </w:tr>
      <w:tr w:rsidR="00B96686" w:rsidRPr="00B96686" w14:paraId="7517AC66" w14:textId="77777777" w:rsidTr="00B96686">
        <w:trPr>
          <w:trHeight w:val="281"/>
        </w:trPr>
        <w:tc>
          <w:tcPr>
            <w:tcW w:w="2323" w:type="dxa"/>
          </w:tcPr>
          <w:p w14:paraId="05388AC6" w14:textId="77777777" w:rsidR="00B96686" w:rsidRPr="00B96686" w:rsidRDefault="00B96686" w:rsidP="00B96686">
            <w:pPr>
              <w:tabs>
                <w:tab w:val="left" w:pos="360"/>
              </w:tabs>
              <w:spacing w:line="280" w:lineRule="exact"/>
              <w:jc w:val="center"/>
              <w:rPr>
                <w:rFonts w:ascii="Arial" w:hAnsi="Arial"/>
                <w:lang w:val="en-GB"/>
              </w:rPr>
            </w:pPr>
          </w:p>
          <w:p w14:paraId="65309170" w14:textId="05FD70C2" w:rsidR="00B96686" w:rsidRPr="00B96686" w:rsidRDefault="00B96686" w:rsidP="00B96686">
            <w:pPr>
              <w:tabs>
                <w:tab w:val="left" w:pos="360"/>
              </w:tabs>
              <w:spacing w:line="280" w:lineRule="exact"/>
              <w:jc w:val="center"/>
              <w:rPr>
                <w:rFonts w:ascii="Arial" w:hAnsi="Arial"/>
                <w:lang w:val="en-GB"/>
              </w:rPr>
            </w:pPr>
            <w:r>
              <w:rPr>
                <w:rFonts w:ascii="Arial" w:hAnsi="Arial"/>
                <w:lang w:val="en-GB"/>
              </w:rPr>
              <w:t>Common Shares</w:t>
            </w:r>
          </w:p>
        </w:tc>
        <w:tc>
          <w:tcPr>
            <w:tcW w:w="2431" w:type="dxa"/>
          </w:tcPr>
          <w:p w14:paraId="134868C8" w14:textId="77777777" w:rsidR="00B96686" w:rsidRPr="00B96686" w:rsidRDefault="00B96686" w:rsidP="00B96686">
            <w:pPr>
              <w:tabs>
                <w:tab w:val="left" w:pos="360"/>
              </w:tabs>
              <w:spacing w:line="280" w:lineRule="exact"/>
              <w:jc w:val="center"/>
              <w:rPr>
                <w:rFonts w:ascii="Arial" w:hAnsi="Arial"/>
                <w:lang w:val="en-GB"/>
              </w:rPr>
            </w:pPr>
          </w:p>
          <w:p w14:paraId="5BE87421" w14:textId="0A860FDF" w:rsidR="00B96686" w:rsidRPr="00B96686" w:rsidRDefault="00386C20" w:rsidP="00B96686">
            <w:pPr>
              <w:tabs>
                <w:tab w:val="left" w:pos="360"/>
              </w:tabs>
              <w:spacing w:line="280" w:lineRule="exact"/>
              <w:jc w:val="center"/>
              <w:rPr>
                <w:rFonts w:ascii="Arial" w:hAnsi="Arial"/>
                <w:lang w:val="en-GB"/>
              </w:rPr>
            </w:pPr>
            <w:r>
              <w:rPr>
                <w:rFonts w:ascii="Arial" w:hAnsi="Arial"/>
                <w:lang w:val="en-GB"/>
              </w:rPr>
              <w:t>800,000</w:t>
            </w:r>
          </w:p>
        </w:tc>
        <w:tc>
          <w:tcPr>
            <w:tcW w:w="2431" w:type="dxa"/>
          </w:tcPr>
          <w:p w14:paraId="7FBC0E05" w14:textId="77777777" w:rsidR="00B96686" w:rsidRPr="00B96686" w:rsidRDefault="00B96686" w:rsidP="00B96686">
            <w:pPr>
              <w:tabs>
                <w:tab w:val="left" w:pos="360"/>
              </w:tabs>
              <w:spacing w:before="240"/>
              <w:ind w:right="162"/>
              <w:jc w:val="center"/>
              <w:rPr>
                <w:rFonts w:ascii="Arial" w:hAnsi="Arial"/>
                <w:lang w:val="en-GB"/>
              </w:rPr>
            </w:pPr>
            <w:r w:rsidRPr="00B96686">
              <w:rPr>
                <w:rFonts w:ascii="Arial" w:hAnsi="Arial"/>
                <w:lang w:val="en-GB"/>
              </w:rPr>
              <w:t>(4)</w:t>
            </w:r>
          </w:p>
        </w:tc>
        <w:tc>
          <w:tcPr>
            <w:tcW w:w="2431" w:type="dxa"/>
          </w:tcPr>
          <w:p w14:paraId="6C72D591" w14:textId="77777777" w:rsidR="00B96686" w:rsidRPr="00B96686" w:rsidRDefault="00B96686" w:rsidP="00B96686">
            <w:pPr>
              <w:tabs>
                <w:tab w:val="left" w:pos="360"/>
              </w:tabs>
              <w:spacing w:line="280" w:lineRule="exact"/>
              <w:jc w:val="both"/>
              <w:rPr>
                <w:rFonts w:ascii="Arial" w:hAnsi="Arial"/>
                <w:lang w:val="en-GB"/>
              </w:rPr>
            </w:pPr>
          </w:p>
          <w:p w14:paraId="0C781058" w14:textId="77777777" w:rsidR="00B96686" w:rsidRPr="00B96686" w:rsidRDefault="00B96686" w:rsidP="00B96686">
            <w:pPr>
              <w:tabs>
                <w:tab w:val="left" w:pos="360"/>
              </w:tabs>
              <w:spacing w:line="280" w:lineRule="exact"/>
              <w:jc w:val="center"/>
              <w:rPr>
                <w:rFonts w:ascii="Arial" w:hAnsi="Arial"/>
                <w:lang w:val="en-GB"/>
              </w:rPr>
            </w:pPr>
            <w:proofErr w:type="gramStart"/>
            <w:r w:rsidRPr="00B96686">
              <w:rPr>
                <w:rFonts w:ascii="Arial" w:hAnsi="Arial"/>
                <w:lang w:val="en-GB"/>
              </w:rPr>
              <w:t>n</w:t>
            </w:r>
            <w:proofErr w:type="gramEnd"/>
            <w:r w:rsidRPr="00B96686">
              <w:rPr>
                <w:rFonts w:ascii="Arial" w:hAnsi="Arial"/>
                <w:lang w:val="en-GB"/>
              </w:rPr>
              <w:t>/a</w:t>
            </w:r>
          </w:p>
        </w:tc>
      </w:tr>
    </w:tbl>
    <w:p w14:paraId="631EB9A8" w14:textId="77777777" w:rsidR="00B96686" w:rsidRPr="00B96686" w:rsidRDefault="00B96686" w:rsidP="00B96686">
      <w:pPr>
        <w:pStyle w:val="List"/>
        <w:tabs>
          <w:tab w:val="left" w:pos="360"/>
        </w:tabs>
        <w:spacing w:before="120"/>
        <w:ind w:left="0" w:firstLine="0"/>
        <w:jc w:val="both"/>
        <w:rPr>
          <w:rFonts w:ascii="Arial" w:hAnsi="Arial"/>
          <w:i/>
          <w:sz w:val="20"/>
        </w:rPr>
      </w:pPr>
      <w:r w:rsidRPr="00B96686">
        <w:rPr>
          <w:rFonts w:ascii="Arial" w:hAnsi="Arial"/>
          <w:i/>
          <w:sz w:val="20"/>
        </w:rPr>
        <w:t>(1)</w:t>
      </w:r>
      <w:r w:rsidRPr="00B96686">
        <w:rPr>
          <w:rFonts w:ascii="Arial" w:hAnsi="Arial"/>
          <w:i/>
          <w:sz w:val="20"/>
        </w:rPr>
        <w:tab/>
        <w:t>State aggregate proceeds and intended allocation of proceeds.</w:t>
      </w:r>
    </w:p>
    <w:p w14:paraId="66DB7221" w14:textId="0680487C" w:rsidR="00B96686" w:rsidRDefault="00B96686" w:rsidP="00B96686">
      <w:pPr>
        <w:pStyle w:val="List"/>
        <w:tabs>
          <w:tab w:val="left" w:pos="360"/>
        </w:tabs>
        <w:spacing w:before="120"/>
        <w:ind w:left="0" w:firstLine="0"/>
        <w:jc w:val="both"/>
        <w:rPr>
          <w:rFonts w:ascii="Arial" w:hAnsi="Arial"/>
          <w:b/>
          <w:bCs/>
          <w:i/>
          <w:sz w:val="20"/>
          <w:lang w:val="en-US"/>
        </w:rPr>
      </w:pPr>
      <w:r w:rsidRPr="00B96686">
        <w:rPr>
          <w:rFonts w:ascii="Arial" w:hAnsi="Arial"/>
          <w:b/>
          <w:i/>
          <w:sz w:val="20"/>
          <w:lang w:val="en-US"/>
        </w:rPr>
        <w:t xml:space="preserve">(2) </w:t>
      </w:r>
      <w:r w:rsidRPr="00B96686">
        <w:rPr>
          <w:rFonts w:ascii="Arial" w:hAnsi="Arial"/>
          <w:b/>
          <w:bCs/>
          <w:i/>
          <w:sz w:val="20"/>
          <w:lang w:val="en-US"/>
        </w:rPr>
        <w:t>Durin</w:t>
      </w:r>
      <w:r w:rsidR="00386C20">
        <w:rPr>
          <w:rFonts w:ascii="Arial" w:hAnsi="Arial"/>
          <w:b/>
          <w:bCs/>
          <w:i/>
          <w:sz w:val="20"/>
          <w:lang w:val="en-US"/>
        </w:rPr>
        <w:t>g the month of March, the Company</w:t>
      </w:r>
      <w:r w:rsidRPr="00B96686">
        <w:rPr>
          <w:rFonts w:ascii="Arial" w:hAnsi="Arial"/>
          <w:b/>
          <w:bCs/>
          <w:i/>
          <w:sz w:val="20"/>
          <w:lang w:val="en-US"/>
        </w:rPr>
        <w:t xml:space="preserve"> issued </w:t>
      </w:r>
      <w:r>
        <w:rPr>
          <w:rFonts w:ascii="Arial" w:hAnsi="Arial"/>
          <w:b/>
          <w:bCs/>
          <w:i/>
          <w:sz w:val="20"/>
          <w:lang w:val="en-US"/>
        </w:rPr>
        <w:t>400,000</w:t>
      </w:r>
      <w:r w:rsidRPr="00B96686">
        <w:rPr>
          <w:rFonts w:ascii="Arial" w:hAnsi="Arial"/>
          <w:b/>
          <w:bCs/>
          <w:i/>
          <w:sz w:val="20"/>
          <w:lang w:val="en-US"/>
        </w:rPr>
        <w:t xml:space="preserve"> common shares pursuant to the exercise of warrants.  The warrants were exercised at $0.</w:t>
      </w:r>
      <w:r w:rsidR="00716CBD">
        <w:rPr>
          <w:rFonts w:ascii="Arial" w:hAnsi="Arial"/>
          <w:b/>
          <w:bCs/>
          <w:i/>
          <w:sz w:val="20"/>
          <w:lang w:val="en-US"/>
        </w:rPr>
        <w:t>065 and $0.075</w:t>
      </w:r>
      <w:r w:rsidRPr="00B96686">
        <w:rPr>
          <w:rFonts w:ascii="Arial" w:hAnsi="Arial"/>
          <w:b/>
          <w:bCs/>
          <w:i/>
          <w:sz w:val="20"/>
          <w:lang w:val="en-US"/>
        </w:rPr>
        <w:t xml:space="preserve"> per common share for an aggregate total of $</w:t>
      </w:r>
      <w:r w:rsidR="00716CBD">
        <w:rPr>
          <w:rFonts w:ascii="Arial" w:hAnsi="Arial"/>
          <w:b/>
          <w:bCs/>
          <w:i/>
          <w:sz w:val="20"/>
          <w:lang w:val="en-US"/>
        </w:rPr>
        <w:t>28,000.</w:t>
      </w:r>
    </w:p>
    <w:p w14:paraId="3B982044" w14:textId="73945EC0" w:rsidR="00386C20" w:rsidRDefault="00386C20" w:rsidP="00B96686">
      <w:pPr>
        <w:pStyle w:val="List"/>
        <w:tabs>
          <w:tab w:val="left" w:pos="360"/>
        </w:tabs>
        <w:spacing w:before="120"/>
        <w:ind w:left="0" w:firstLine="0"/>
        <w:jc w:val="both"/>
        <w:rPr>
          <w:rFonts w:ascii="Arial" w:hAnsi="Arial"/>
          <w:b/>
          <w:bCs/>
          <w:i/>
          <w:sz w:val="20"/>
          <w:lang w:val="en-US"/>
        </w:rPr>
      </w:pPr>
      <w:r>
        <w:rPr>
          <w:rFonts w:ascii="Arial" w:hAnsi="Arial"/>
          <w:b/>
          <w:bCs/>
          <w:i/>
          <w:sz w:val="20"/>
          <w:lang w:val="en-US"/>
        </w:rPr>
        <w:t xml:space="preserve">(3) On March 8, 2017, the Company issued 2,000,000 common shares pursuant to the </w:t>
      </w:r>
      <w:proofErr w:type="spellStart"/>
      <w:r>
        <w:rPr>
          <w:rFonts w:ascii="Arial" w:hAnsi="Arial"/>
          <w:b/>
          <w:bCs/>
          <w:i/>
          <w:sz w:val="20"/>
          <w:lang w:val="en-US"/>
        </w:rPr>
        <w:t>Aubaine</w:t>
      </w:r>
      <w:proofErr w:type="spellEnd"/>
      <w:r>
        <w:rPr>
          <w:rFonts w:ascii="Arial" w:hAnsi="Arial"/>
          <w:b/>
          <w:bCs/>
          <w:i/>
          <w:sz w:val="20"/>
          <w:lang w:val="en-US"/>
        </w:rPr>
        <w:t xml:space="preserve"> Gold Property Option Agreement.  In addition, the Company issued 200,000 common shares as a finder’s fee to an arm’s-length party.</w:t>
      </w:r>
    </w:p>
    <w:p w14:paraId="16E4DE61" w14:textId="44F8D2E5" w:rsidR="007A7790" w:rsidRPr="00CE0A60" w:rsidRDefault="00386C20" w:rsidP="00FC1712">
      <w:pPr>
        <w:pStyle w:val="BodyText"/>
        <w:spacing w:before="0"/>
        <w:jc w:val="both"/>
        <w:rPr>
          <w:rFonts w:ascii="Arial" w:hAnsi="Arial"/>
          <w:b/>
          <w:sz w:val="20"/>
        </w:rPr>
      </w:pPr>
      <w:r>
        <w:rPr>
          <w:rFonts w:ascii="Arial" w:hAnsi="Arial"/>
          <w:b/>
          <w:bCs/>
          <w:i/>
          <w:sz w:val="20"/>
          <w:lang w:val="en-US"/>
        </w:rPr>
        <w:t xml:space="preserve">(3) On March 14, 2017, the Company issued 800,000 common shares pursuant to the Windfall Lake Gold Property Acquisition Agreement.  </w:t>
      </w:r>
    </w:p>
    <w:p w14:paraId="2031A3F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t>Provide details of any loans to or by Related Persons.</w:t>
      </w:r>
    </w:p>
    <w:p w14:paraId="2B6C1D0A" w14:textId="77777777" w:rsidR="003B65A2" w:rsidRPr="00CE0A60" w:rsidRDefault="003B65A2" w:rsidP="003B65A2">
      <w:pPr>
        <w:pStyle w:val="List"/>
        <w:keepNext/>
        <w:keepLines/>
        <w:spacing w:before="120"/>
        <w:ind w:left="0" w:firstLine="720"/>
        <w:jc w:val="both"/>
        <w:rPr>
          <w:rFonts w:ascii="Arial" w:hAnsi="Arial"/>
          <w:b/>
          <w:sz w:val="20"/>
        </w:rPr>
      </w:pPr>
      <w:r w:rsidRPr="00CE0A60">
        <w:rPr>
          <w:rFonts w:ascii="Arial" w:hAnsi="Arial"/>
          <w:b/>
          <w:sz w:val="20"/>
        </w:rPr>
        <w:t>None.</w:t>
      </w:r>
    </w:p>
    <w:p w14:paraId="6DA2C81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t>Provide details of any changes in directors, officers or committee members.</w:t>
      </w:r>
    </w:p>
    <w:p w14:paraId="18E33B28" w14:textId="53D93D04" w:rsidR="003B65A2" w:rsidRPr="00CE0A60" w:rsidRDefault="00A60353" w:rsidP="007A7790">
      <w:pPr>
        <w:pStyle w:val="List"/>
        <w:keepNext/>
        <w:keepLines/>
        <w:spacing w:before="120"/>
        <w:ind w:left="720" w:firstLine="0"/>
        <w:jc w:val="both"/>
        <w:rPr>
          <w:rFonts w:ascii="Arial" w:hAnsi="Arial"/>
          <w:b/>
          <w:sz w:val="20"/>
        </w:rPr>
      </w:pPr>
      <w:r>
        <w:rPr>
          <w:rFonts w:ascii="Arial" w:hAnsi="Arial"/>
          <w:b/>
          <w:sz w:val="20"/>
        </w:rPr>
        <w:t xml:space="preserve">On </w:t>
      </w:r>
      <w:r w:rsidR="00217164">
        <w:rPr>
          <w:rFonts w:ascii="Arial" w:hAnsi="Arial"/>
          <w:b/>
          <w:sz w:val="20"/>
        </w:rPr>
        <w:t>March 2</w:t>
      </w:r>
      <w:r>
        <w:rPr>
          <w:rFonts w:ascii="Arial" w:hAnsi="Arial"/>
          <w:b/>
          <w:sz w:val="20"/>
        </w:rPr>
        <w:t xml:space="preserve">, 2017, </w:t>
      </w:r>
      <w:r w:rsidR="00217164">
        <w:rPr>
          <w:rFonts w:ascii="Arial" w:hAnsi="Arial"/>
          <w:b/>
          <w:sz w:val="20"/>
        </w:rPr>
        <w:t xml:space="preserve">the Company announced the resignation of Dal </w:t>
      </w:r>
      <w:proofErr w:type="spellStart"/>
      <w:r w:rsidR="00217164">
        <w:rPr>
          <w:rFonts w:ascii="Arial" w:hAnsi="Arial"/>
          <w:b/>
          <w:sz w:val="20"/>
        </w:rPr>
        <w:t>Brynelsen</w:t>
      </w:r>
      <w:proofErr w:type="spellEnd"/>
      <w:r w:rsidR="00217164">
        <w:rPr>
          <w:rFonts w:ascii="Arial" w:hAnsi="Arial"/>
          <w:b/>
          <w:sz w:val="20"/>
        </w:rPr>
        <w:t xml:space="preserve"> as a Director of the Company.</w:t>
      </w:r>
    </w:p>
    <w:p w14:paraId="6061198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Discuss any </w:t>
      </w:r>
      <w:proofErr w:type="gramStart"/>
      <w:r w:rsidRPr="00CE0A60">
        <w:rPr>
          <w:rFonts w:ascii="Arial" w:hAnsi="Arial"/>
          <w:sz w:val="20"/>
        </w:rPr>
        <w:t>trends which</w:t>
      </w:r>
      <w:proofErr w:type="gramEnd"/>
      <w:r w:rsidRPr="00CE0A60">
        <w:rPr>
          <w:rFonts w:ascii="Arial" w:hAnsi="Arial"/>
          <w:sz w:val="20"/>
        </w:rPr>
        <w:t xml:space="preserve"> are likely to impact the Issuer including trends in the Issuer’s market(s) or political/regulatory trends.</w:t>
      </w:r>
    </w:p>
    <w:p w14:paraId="081CA856" w14:textId="77777777" w:rsidR="003B65A2" w:rsidRPr="00CE0A60" w:rsidRDefault="003B65A2" w:rsidP="003B65A2">
      <w:pPr>
        <w:pStyle w:val="List"/>
        <w:spacing w:before="120"/>
        <w:ind w:left="0" w:firstLine="720"/>
        <w:jc w:val="both"/>
        <w:rPr>
          <w:rFonts w:ascii="Arial" w:hAnsi="Arial"/>
          <w:b/>
          <w:sz w:val="20"/>
        </w:rPr>
      </w:pPr>
      <w:r w:rsidRPr="00CE0A60">
        <w:rPr>
          <w:rFonts w:ascii="Arial" w:hAnsi="Arial"/>
          <w:b/>
          <w:sz w:val="20"/>
        </w:rPr>
        <w:t>None.</w:t>
      </w:r>
    </w:p>
    <w:p w14:paraId="4E729461" w14:textId="77777777" w:rsidR="00640E94" w:rsidRPr="00CE0A60" w:rsidRDefault="00640E94">
      <w:pPr>
        <w:pStyle w:val="List"/>
        <w:keepNext/>
        <w:spacing w:before="120"/>
        <w:ind w:left="0" w:firstLine="0"/>
        <w:rPr>
          <w:rFonts w:ascii="Arial" w:hAnsi="Arial"/>
          <w:b/>
          <w:sz w:val="20"/>
        </w:rPr>
      </w:pPr>
      <w:r w:rsidRPr="00CE0A60">
        <w:rPr>
          <w:rFonts w:ascii="Arial" w:hAnsi="Arial"/>
          <w:b/>
          <w:sz w:val="20"/>
        </w:rPr>
        <w:br w:type="page"/>
      </w:r>
      <w:r w:rsidRPr="00CE0A60">
        <w:rPr>
          <w:rFonts w:ascii="Arial" w:hAnsi="Arial"/>
          <w:b/>
          <w:sz w:val="20"/>
        </w:rPr>
        <w:lastRenderedPageBreak/>
        <w:t>Certificate Of Compliance</w:t>
      </w:r>
    </w:p>
    <w:p w14:paraId="1CB31C5D" w14:textId="77777777" w:rsidR="00640E94" w:rsidRPr="00CE0A60" w:rsidRDefault="00640E94">
      <w:pPr>
        <w:pStyle w:val="BodyText"/>
        <w:keepNext/>
        <w:rPr>
          <w:rFonts w:ascii="Arial" w:hAnsi="Arial"/>
          <w:sz w:val="20"/>
        </w:rPr>
      </w:pPr>
      <w:r w:rsidRPr="00CE0A60">
        <w:rPr>
          <w:rFonts w:ascii="Arial" w:hAnsi="Arial"/>
          <w:sz w:val="20"/>
        </w:rPr>
        <w:t>The undersigned hereby certifies that:</w:t>
      </w:r>
    </w:p>
    <w:p w14:paraId="1E53EE6F" w14:textId="77777777" w:rsidR="00640E94" w:rsidRPr="00CE0A60" w:rsidRDefault="00640E94">
      <w:pPr>
        <w:pStyle w:val="List"/>
        <w:keepNext/>
        <w:numPr>
          <w:ilvl w:val="0"/>
          <w:numId w:val="23"/>
        </w:numPr>
        <w:jc w:val="both"/>
        <w:rPr>
          <w:rFonts w:ascii="Arial" w:hAnsi="Arial"/>
          <w:sz w:val="20"/>
        </w:rPr>
      </w:pPr>
      <w:r w:rsidRPr="00CE0A60">
        <w:rPr>
          <w:rFonts w:ascii="Arial" w:hAnsi="Arial"/>
          <w:sz w:val="20"/>
        </w:rPr>
        <w:t>The undersigned is a director and/or senior officer of the Issuer and has been duly authorized by a resolution of the board of directors of the Issuer to sign this Certificate of Compliance.</w:t>
      </w:r>
    </w:p>
    <w:p w14:paraId="14EED937"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As of the date hereof there were is no material information concerning the </w:t>
      </w:r>
      <w:proofErr w:type="gramStart"/>
      <w:r w:rsidRPr="00CE0A60">
        <w:rPr>
          <w:rFonts w:ascii="Arial" w:hAnsi="Arial"/>
          <w:sz w:val="20"/>
        </w:rPr>
        <w:t>Issuer which</w:t>
      </w:r>
      <w:proofErr w:type="gramEnd"/>
      <w:r w:rsidRPr="00CE0A60">
        <w:rPr>
          <w:rFonts w:ascii="Arial" w:hAnsi="Arial"/>
          <w:sz w:val="20"/>
        </w:rPr>
        <w:t xml:space="preserve"> has not been publicly disclosed.</w:t>
      </w:r>
    </w:p>
    <w:p w14:paraId="2A0FD1FF"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The undersigned hereby certifies to </w:t>
      </w:r>
      <w:r w:rsidR="008B7E92" w:rsidRPr="00CE0A60">
        <w:rPr>
          <w:rFonts w:ascii="Arial" w:hAnsi="Arial"/>
          <w:sz w:val="20"/>
        </w:rPr>
        <w:t xml:space="preserve">the Exchange </w:t>
      </w:r>
      <w:r w:rsidRPr="00CE0A60">
        <w:rPr>
          <w:rFonts w:ascii="Arial" w:hAnsi="Arial"/>
          <w:sz w:val="20"/>
        </w:rPr>
        <w:t xml:space="preserve">that the Issuer is in compliance with the requirements of </w:t>
      </w:r>
      <w:r w:rsidR="00E36141" w:rsidRPr="00CE0A60">
        <w:rPr>
          <w:rFonts w:ascii="Arial" w:hAnsi="Arial"/>
          <w:sz w:val="20"/>
        </w:rPr>
        <w:t xml:space="preserve">applicable securities legislation (as such term is defined in National Instrument 14-101) </w:t>
      </w:r>
      <w:r w:rsidRPr="00CE0A60">
        <w:rPr>
          <w:rFonts w:ascii="Arial" w:hAnsi="Arial"/>
          <w:sz w:val="20"/>
        </w:rPr>
        <w:t xml:space="preserve">and all </w:t>
      </w:r>
      <w:r w:rsidR="008B7E92" w:rsidRPr="00CE0A60">
        <w:rPr>
          <w:rFonts w:ascii="Arial" w:hAnsi="Arial"/>
          <w:sz w:val="20"/>
        </w:rPr>
        <w:t xml:space="preserve">Exchange </w:t>
      </w:r>
      <w:r w:rsidRPr="00CE0A60">
        <w:rPr>
          <w:rFonts w:ascii="Arial" w:hAnsi="Arial"/>
          <w:sz w:val="20"/>
        </w:rPr>
        <w:t xml:space="preserve">Requirements (as defined in </w:t>
      </w:r>
      <w:r w:rsidR="003669A9" w:rsidRPr="00CE0A60">
        <w:rPr>
          <w:rFonts w:ascii="Arial" w:hAnsi="Arial"/>
          <w:sz w:val="20"/>
        </w:rPr>
        <w:t>CNSX</w:t>
      </w:r>
      <w:r w:rsidRPr="00CE0A60">
        <w:rPr>
          <w:rFonts w:ascii="Arial" w:hAnsi="Arial"/>
          <w:sz w:val="20"/>
        </w:rPr>
        <w:t xml:space="preserve"> Policy 1).</w:t>
      </w:r>
    </w:p>
    <w:p w14:paraId="3BF7F443"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All of the information in this Form 7 Monthly Progress Report is true.</w:t>
      </w:r>
    </w:p>
    <w:p w14:paraId="326272E6" w14:textId="15DE125E" w:rsidR="00640E94" w:rsidRPr="00CE0A60" w:rsidRDefault="00640E94">
      <w:pPr>
        <w:pStyle w:val="BodyText"/>
        <w:tabs>
          <w:tab w:val="left" w:pos="4680"/>
          <w:tab w:val="left" w:pos="7200"/>
        </w:tabs>
        <w:spacing w:before="480"/>
        <w:jc w:val="both"/>
        <w:rPr>
          <w:rFonts w:ascii="Arial" w:hAnsi="Arial"/>
          <w:sz w:val="20"/>
        </w:rPr>
      </w:pPr>
      <w:r w:rsidRPr="00CE0A60">
        <w:rPr>
          <w:rFonts w:ascii="Arial" w:hAnsi="Arial"/>
          <w:sz w:val="20"/>
        </w:rPr>
        <w:t>Dated</w:t>
      </w:r>
      <w:r w:rsidR="003B65A2" w:rsidRPr="00CE0A60">
        <w:rPr>
          <w:rFonts w:ascii="Arial" w:hAnsi="Arial"/>
          <w:sz w:val="20"/>
        </w:rPr>
        <w:t>:</w:t>
      </w:r>
      <w:r w:rsidRPr="00CE0A60">
        <w:rPr>
          <w:rFonts w:ascii="Arial" w:hAnsi="Arial"/>
          <w:sz w:val="20"/>
        </w:rPr>
        <w:t xml:space="preserve"> </w:t>
      </w:r>
      <w:r w:rsidR="00692103">
        <w:rPr>
          <w:rFonts w:ascii="Arial" w:hAnsi="Arial"/>
          <w:sz w:val="20"/>
          <w:u w:val="single"/>
        </w:rPr>
        <w:t>April 6</w:t>
      </w:r>
      <w:r w:rsidR="00A60353">
        <w:rPr>
          <w:rFonts w:ascii="Arial" w:hAnsi="Arial"/>
          <w:sz w:val="20"/>
          <w:u w:val="single"/>
        </w:rPr>
        <w:t>, 2017</w:t>
      </w:r>
    </w:p>
    <w:p w14:paraId="05DEC31D" w14:textId="79FA3731" w:rsidR="00640E94" w:rsidRPr="00CE0A60" w:rsidRDefault="00640E94">
      <w:pPr>
        <w:pStyle w:val="List"/>
        <w:tabs>
          <w:tab w:val="left" w:pos="9180"/>
        </w:tabs>
        <w:ind w:left="5760" w:hanging="5760"/>
        <w:rPr>
          <w:rFonts w:ascii="Arial" w:hAnsi="Arial"/>
          <w:sz w:val="20"/>
        </w:rPr>
      </w:pPr>
      <w:r w:rsidRPr="00CE0A60">
        <w:rPr>
          <w:rFonts w:ascii="Arial" w:hAnsi="Arial"/>
          <w:sz w:val="20"/>
        </w:rPr>
        <w:tab/>
      </w:r>
      <w:r w:rsidR="00692103">
        <w:rPr>
          <w:rFonts w:ascii="Arial" w:hAnsi="Arial"/>
          <w:sz w:val="20"/>
          <w:u w:val="single"/>
        </w:rPr>
        <w:t>Keith Anderson</w:t>
      </w:r>
      <w:r w:rsidR="003B65A2" w:rsidRPr="00CE0A60">
        <w:rPr>
          <w:rFonts w:ascii="Arial" w:hAnsi="Arial"/>
          <w:sz w:val="20"/>
          <w:u w:val="single"/>
        </w:rPr>
        <w:tab/>
      </w:r>
      <w:r w:rsidRPr="00CE0A60">
        <w:rPr>
          <w:rFonts w:ascii="Arial" w:hAnsi="Arial"/>
          <w:sz w:val="20"/>
          <w:u w:val="single"/>
        </w:rPr>
        <w:br/>
      </w:r>
      <w:r w:rsidRPr="00CE0A60">
        <w:rPr>
          <w:rFonts w:ascii="Arial" w:hAnsi="Arial"/>
          <w:sz w:val="20"/>
        </w:rPr>
        <w:t>Name of Director or Senior Officer</w:t>
      </w:r>
    </w:p>
    <w:p w14:paraId="4DEFF60B" w14:textId="7D8036E7" w:rsidR="00640E94" w:rsidRPr="00CE0A60" w:rsidRDefault="00640E94">
      <w:pPr>
        <w:pStyle w:val="List"/>
        <w:tabs>
          <w:tab w:val="left" w:pos="9180"/>
          <w:tab w:val="left" w:pos="9360"/>
        </w:tabs>
        <w:ind w:left="5760" w:hanging="5760"/>
        <w:rPr>
          <w:rFonts w:ascii="Arial" w:hAnsi="Arial"/>
          <w:sz w:val="20"/>
        </w:rPr>
      </w:pPr>
      <w:r w:rsidRPr="00CE0A60">
        <w:rPr>
          <w:rFonts w:ascii="Arial" w:hAnsi="Arial"/>
          <w:sz w:val="20"/>
        </w:rPr>
        <w:tab/>
      </w:r>
      <w:r w:rsidR="003B65A2" w:rsidRPr="00CE0A60">
        <w:rPr>
          <w:rFonts w:ascii="Arial" w:hAnsi="Arial"/>
          <w:i/>
          <w:sz w:val="20"/>
          <w:u w:val="single"/>
        </w:rPr>
        <w:t>“</w:t>
      </w:r>
      <w:r w:rsidR="00692103">
        <w:rPr>
          <w:rFonts w:ascii="Arial" w:hAnsi="Arial"/>
          <w:i/>
          <w:sz w:val="20"/>
          <w:u w:val="single"/>
        </w:rPr>
        <w:t>Keith Anderson</w:t>
      </w:r>
      <w:r w:rsidR="003B65A2" w:rsidRPr="00CE0A60">
        <w:rPr>
          <w:rFonts w:ascii="Arial" w:hAnsi="Arial"/>
          <w:i/>
          <w:sz w:val="20"/>
          <w:u w:val="single"/>
        </w:rPr>
        <w:t>”</w:t>
      </w:r>
      <w:r w:rsidRPr="00CE0A60">
        <w:rPr>
          <w:rFonts w:ascii="Arial" w:hAnsi="Arial"/>
          <w:sz w:val="20"/>
          <w:u w:val="single"/>
        </w:rPr>
        <w:tab/>
      </w:r>
      <w:r w:rsidRPr="00CE0A60">
        <w:rPr>
          <w:rFonts w:ascii="Arial" w:hAnsi="Arial"/>
          <w:sz w:val="20"/>
        </w:rPr>
        <w:br/>
        <w:t>Signature</w:t>
      </w:r>
    </w:p>
    <w:p w14:paraId="09BEDAEB" w14:textId="07FB675B" w:rsidR="00640E94" w:rsidRPr="00CE0A60" w:rsidRDefault="00692103">
      <w:pPr>
        <w:pStyle w:val="BodyText"/>
        <w:tabs>
          <w:tab w:val="left" w:pos="9180"/>
        </w:tabs>
        <w:spacing w:before="0"/>
        <w:ind w:left="5760"/>
        <w:rPr>
          <w:rFonts w:ascii="Arial" w:hAnsi="Arial"/>
          <w:sz w:val="20"/>
        </w:rPr>
      </w:pPr>
      <w:r>
        <w:rPr>
          <w:rFonts w:ascii="Arial" w:hAnsi="Arial"/>
          <w:sz w:val="20"/>
          <w:u w:val="single"/>
        </w:rPr>
        <w:t>CEO</w:t>
      </w:r>
      <w:r w:rsidR="00640E94" w:rsidRPr="00CE0A60">
        <w:rPr>
          <w:rFonts w:ascii="Arial" w:hAnsi="Arial"/>
          <w:sz w:val="20"/>
          <w:u w:val="single"/>
        </w:rPr>
        <w:tab/>
      </w:r>
      <w:r w:rsidR="00640E94" w:rsidRPr="00CE0A60">
        <w:rPr>
          <w:rFonts w:ascii="Arial" w:hAnsi="Arial"/>
          <w:sz w:val="20"/>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83974" w14:paraId="5772C6B6" w14:textId="77777777" w:rsidTr="009E65E8">
        <w:tc>
          <w:tcPr>
            <w:tcW w:w="4878" w:type="dxa"/>
            <w:tcBorders>
              <w:top w:val="single" w:sz="18" w:space="0" w:color="auto"/>
              <w:bottom w:val="nil"/>
              <w:right w:val="single" w:sz="18" w:space="0" w:color="auto"/>
            </w:tcBorders>
          </w:tcPr>
          <w:p w14:paraId="1BDE6C85" w14:textId="77777777" w:rsidR="00A83974" w:rsidRDefault="00A83974" w:rsidP="009E65E8">
            <w:pPr>
              <w:pStyle w:val="BodyText"/>
              <w:spacing w:before="0"/>
              <w:rPr>
                <w:rFonts w:ascii="Arial" w:hAnsi="Arial"/>
                <w:b/>
                <w:i/>
              </w:rPr>
            </w:pPr>
            <w:r>
              <w:rPr>
                <w:rFonts w:ascii="Arial" w:hAnsi="Arial"/>
                <w:b/>
                <w:i/>
              </w:rPr>
              <w:t>Issuer Details</w:t>
            </w:r>
          </w:p>
          <w:p w14:paraId="3EF5EE47" w14:textId="77777777" w:rsidR="00A83974" w:rsidRDefault="00A83974" w:rsidP="009E65E8">
            <w:pPr>
              <w:pStyle w:val="BodyText"/>
              <w:spacing w:before="0"/>
              <w:rPr>
                <w:rFonts w:ascii="Arial" w:hAnsi="Arial"/>
              </w:rPr>
            </w:pPr>
            <w:r>
              <w:rPr>
                <w:rFonts w:ascii="Arial" w:hAnsi="Arial"/>
              </w:rPr>
              <w:t>Name of Issuer</w:t>
            </w:r>
          </w:p>
          <w:p w14:paraId="7BC2E9F7" w14:textId="77777777" w:rsidR="00A83974" w:rsidRDefault="00A83974" w:rsidP="009E65E8">
            <w:pPr>
              <w:pStyle w:val="BodyText"/>
              <w:spacing w:before="0"/>
              <w:rPr>
                <w:rFonts w:ascii="Arial" w:hAnsi="Arial"/>
              </w:rPr>
            </w:pPr>
            <w:r>
              <w:rPr>
                <w:rFonts w:ascii="Arial" w:hAnsi="Arial"/>
              </w:rPr>
              <w:t>Alchemist Mining Incorporated</w:t>
            </w:r>
          </w:p>
        </w:tc>
        <w:tc>
          <w:tcPr>
            <w:tcW w:w="1800" w:type="dxa"/>
            <w:tcBorders>
              <w:top w:val="single" w:sz="18" w:space="0" w:color="auto"/>
              <w:left w:val="single" w:sz="18" w:space="0" w:color="auto"/>
              <w:bottom w:val="nil"/>
              <w:right w:val="single" w:sz="18" w:space="0" w:color="auto"/>
            </w:tcBorders>
          </w:tcPr>
          <w:p w14:paraId="7F969034" w14:textId="77777777" w:rsidR="00A83974" w:rsidRDefault="00A83974" w:rsidP="009E65E8">
            <w:pPr>
              <w:pStyle w:val="BodyText"/>
              <w:spacing w:before="0"/>
              <w:rPr>
                <w:rFonts w:ascii="Arial" w:hAnsi="Arial"/>
              </w:rPr>
            </w:pPr>
            <w:r>
              <w:rPr>
                <w:rFonts w:ascii="Arial" w:hAnsi="Arial"/>
              </w:rPr>
              <w:t>For Month End</w:t>
            </w:r>
          </w:p>
          <w:p w14:paraId="4E27153F" w14:textId="6D69BA3C" w:rsidR="00A83974" w:rsidRDefault="00692103" w:rsidP="009E65E8">
            <w:pPr>
              <w:pStyle w:val="BodyText"/>
              <w:spacing w:before="0"/>
              <w:rPr>
                <w:rFonts w:ascii="Arial" w:hAnsi="Arial"/>
              </w:rPr>
            </w:pPr>
            <w:r>
              <w:rPr>
                <w:rFonts w:ascii="Arial" w:hAnsi="Arial"/>
              </w:rPr>
              <w:t>March</w:t>
            </w:r>
          </w:p>
        </w:tc>
        <w:tc>
          <w:tcPr>
            <w:tcW w:w="2898" w:type="dxa"/>
            <w:tcBorders>
              <w:top w:val="single" w:sz="18" w:space="0" w:color="auto"/>
              <w:left w:val="single" w:sz="18" w:space="0" w:color="auto"/>
              <w:bottom w:val="nil"/>
            </w:tcBorders>
          </w:tcPr>
          <w:p w14:paraId="4C67038D" w14:textId="77777777" w:rsidR="00A83974" w:rsidRDefault="00A83974" w:rsidP="009E65E8">
            <w:pPr>
              <w:pStyle w:val="BodyText"/>
              <w:spacing w:before="0"/>
              <w:rPr>
                <w:rFonts w:ascii="Arial" w:hAnsi="Arial"/>
              </w:rPr>
            </w:pPr>
            <w:r>
              <w:rPr>
                <w:rFonts w:ascii="Arial" w:hAnsi="Arial"/>
              </w:rPr>
              <w:t>Date of Report</w:t>
            </w:r>
          </w:p>
          <w:p w14:paraId="2700271E" w14:textId="77777777" w:rsidR="00A83974" w:rsidRDefault="00A83974" w:rsidP="009E65E8">
            <w:pPr>
              <w:pStyle w:val="BodyText"/>
              <w:spacing w:before="0"/>
              <w:rPr>
                <w:rFonts w:ascii="Arial" w:hAnsi="Arial"/>
              </w:rPr>
            </w:pPr>
            <w:r>
              <w:rPr>
                <w:rFonts w:ascii="Arial" w:hAnsi="Arial"/>
              </w:rPr>
              <w:t>YY/MM/D</w:t>
            </w:r>
          </w:p>
          <w:p w14:paraId="4BE97D25" w14:textId="0844E07C" w:rsidR="00A83974" w:rsidRDefault="00692103" w:rsidP="009E65E8">
            <w:pPr>
              <w:pStyle w:val="BodyText"/>
              <w:spacing w:before="0"/>
              <w:rPr>
                <w:rFonts w:ascii="Arial" w:hAnsi="Arial"/>
              </w:rPr>
            </w:pPr>
            <w:r>
              <w:rPr>
                <w:rFonts w:ascii="Arial" w:hAnsi="Arial"/>
              </w:rPr>
              <w:t>2017/04</w:t>
            </w:r>
            <w:r w:rsidR="00EF369C">
              <w:rPr>
                <w:rFonts w:ascii="Arial" w:hAnsi="Arial"/>
              </w:rPr>
              <w:t>/0</w:t>
            </w:r>
            <w:r>
              <w:rPr>
                <w:rFonts w:ascii="Arial" w:hAnsi="Arial"/>
              </w:rPr>
              <w:t>6</w:t>
            </w:r>
          </w:p>
        </w:tc>
      </w:tr>
      <w:tr w:rsidR="00A83974" w14:paraId="54CFDE87" w14:textId="77777777" w:rsidTr="009E65E8">
        <w:trPr>
          <w:cantSplit/>
        </w:trPr>
        <w:tc>
          <w:tcPr>
            <w:tcW w:w="9576" w:type="dxa"/>
            <w:gridSpan w:val="3"/>
            <w:tcBorders>
              <w:top w:val="single" w:sz="18" w:space="0" w:color="auto"/>
              <w:bottom w:val="single" w:sz="18" w:space="0" w:color="auto"/>
            </w:tcBorders>
          </w:tcPr>
          <w:p w14:paraId="693E1EE3" w14:textId="77777777" w:rsidR="00A83974" w:rsidRDefault="00A83974" w:rsidP="009E65E8">
            <w:pPr>
              <w:pStyle w:val="BodyText"/>
              <w:spacing w:before="0"/>
              <w:rPr>
                <w:rFonts w:ascii="Arial" w:hAnsi="Arial"/>
              </w:rPr>
            </w:pPr>
            <w:r>
              <w:rPr>
                <w:rFonts w:ascii="Arial" w:hAnsi="Arial"/>
              </w:rPr>
              <w:t>Issuer Address</w:t>
            </w:r>
          </w:p>
          <w:p w14:paraId="0F33E474" w14:textId="77777777" w:rsidR="00A83974" w:rsidRDefault="00A83974" w:rsidP="009E65E8">
            <w:pPr>
              <w:pStyle w:val="BodyText"/>
              <w:spacing w:before="0"/>
              <w:rPr>
                <w:rFonts w:ascii="Arial" w:hAnsi="Arial"/>
              </w:rPr>
            </w:pPr>
            <w:r>
              <w:rPr>
                <w:rFonts w:ascii="Arial" w:hAnsi="Arial"/>
              </w:rPr>
              <w:t>1288 Steeple Drive</w:t>
            </w:r>
          </w:p>
        </w:tc>
      </w:tr>
      <w:tr w:rsidR="00A83974" w14:paraId="1E4CA1A5" w14:textId="77777777" w:rsidTr="009E65E8">
        <w:tc>
          <w:tcPr>
            <w:tcW w:w="4878" w:type="dxa"/>
            <w:tcBorders>
              <w:top w:val="single" w:sz="18" w:space="0" w:color="auto"/>
              <w:bottom w:val="single" w:sz="18" w:space="0" w:color="auto"/>
              <w:right w:val="single" w:sz="18" w:space="0" w:color="auto"/>
            </w:tcBorders>
          </w:tcPr>
          <w:p w14:paraId="4598B736" w14:textId="77777777" w:rsidR="00A83974" w:rsidRDefault="00A83974" w:rsidP="009E65E8">
            <w:pPr>
              <w:pStyle w:val="BodyText"/>
              <w:spacing w:before="0"/>
              <w:rPr>
                <w:rFonts w:ascii="Arial" w:hAnsi="Arial"/>
              </w:rPr>
            </w:pPr>
            <w:r>
              <w:rPr>
                <w:rFonts w:ascii="Arial" w:hAnsi="Arial"/>
              </w:rPr>
              <w:t>City/Province/Postal Code</w:t>
            </w:r>
          </w:p>
          <w:p w14:paraId="0EB9681D" w14:textId="77777777" w:rsidR="00A83974" w:rsidRDefault="00A83974" w:rsidP="009E65E8">
            <w:pPr>
              <w:pStyle w:val="BodyText"/>
              <w:spacing w:before="0"/>
              <w:rPr>
                <w:rFonts w:ascii="Arial" w:hAnsi="Arial"/>
              </w:rPr>
            </w:pPr>
            <w:r>
              <w:rPr>
                <w:rFonts w:ascii="Arial" w:hAnsi="Arial"/>
              </w:rPr>
              <w:t>Coquitlam, BC, V3E 1K2</w:t>
            </w:r>
          </w:p>
        </w:tc>
        <w:tc>
          <w:tcPr>
            <w:tcW w:w="1800" w:type="dxa"/>
            <w:tcBorders>
              <w:top w:val="single" w:sz="18" w:space="0" w:color="auto"/>
              <w:left w:val="single" w:sz="18" w:space="0" w:color="auto"/>
              <w:bottom w:val="single" w:sz="18" w:space="0" w:color="auto"/>
              <w:right w:val="single" w:sz="18" w:space="0" w:color="auto"/>
            </w:tcBorders>
          </w:tcPr>
          <w:p w14:paraId="79DBDDAC" w14:textId="77777777" w:rsidR="00A83974" w:rsidRDefault="00A83974" w:rsidP="009E65E8">
            <w:pPr>
              <w:pStyle w:val="BodyText"/>
              <w:spacing w:before="0"/>
              <w:rPr>
                <w:rFonts w:ascii="Arial" w:hAnsi="Arial"/>
              </w:rPr>
            </w:pPr>
            <w:r>
              <w:rPr>
                <w:rFonts w:ascii="Arial" w:hAnsi="Arial"/>
              </w:rPr>
              <w:t>Issuer Fax No.</w:t>
            </w:r>
          </w:p>
          <w:p w14:paraId="02D41815"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tc>
        <w:tc>
          <w:tcPr>
            <w:tcW w:w="2898" w:type="dxa"/>
            <w:tcBorders>
              <w:top w:val="single" w:sz="18" w:space="0" w:color="auto"/>
              <w:left w:val="single" w:sz="18" w:space="0" w:color="auto"/>
              <w:bottom w:val="single" w:sz="18" w:space="0" w:color="auto"/>
            </w:tcBorders>
          </w:tcPr>
          <w:p w14:paraId="1DAC9634" w14:textId="77777777" w:rsidR="00A83974" w:rsidRDefault="00A83974" w:rsidP="009E65E8">
            <w:pPr>
              <w:pStyle w:val="BodyText"/>
              <w:spacing w:before="0"/>
              <w:rPr>
                <w:rFonts w:ascii="Arial" w:hAnsi="Arial"/>
              </w:rPr>
            </w:pPr>
            <w:r>
              <w:rPr>
                <w:rFonts w:ascii="Arial" w:hAnsi="Arial"/>
              </w:rPr>
              <w:t>Issuer Telephone No.</w:t>
            </w:r>
          </w:p>
          <w:p w14:paraId="010B01B1" w14:textId="77777777" w:rsidR="00A83974" w:rsidRDefault="00A83974" w:rsidP="009E65E8">
            <w:pPr>
              <w:pStyle w:val="BodyText"/>
              <w:spacing w:before="0"/>
              <w:rPr>
                <w:rFonts w:ascii="Arial" w:hAnsi="Arial"/>
              </w:rPr>
            </w:pPr>
            <w:r>
              <w:rPr>
                <w:rFonts w:ascii="Arial" w:hAnsi="Arial"/>
              </w:rPr>
              <w:t>(604) 786-7774</w:t>
            </w:r>
          </w:p>
        </w:tc>
      </w:tr>
      <w:tr w:rsidR="00A83974" w14:paraId="6A392C93" w14:textId="77777777" w:rsidTr="009E65E8">
        <w:tc>
          <w:tcPr>
            <w:tcW w:w="4878" w:type="dxa"/>
            <w:tcBorders>
              <w:top w:val="single" w:sz="18" w:space="0" w:color="auto"/>
              <w:bottom w:val="single" w:sz="18" w:space="0" w:color="auto"/>
              <w:right w:val="single" w:sz="18" w:space="0" w:color="auto"/>
            </w:tcBorders>
          </w:tcPr>
          <w:p w14:paraId="7CE1EF36" w14:textId="77777777" w:rsidR="00A83974" w:rsidRDefault="00A83974" w:rsidP="009E65E8">
            <w:pPr>
              <w:pStyle w:val="BodyText"/>
              <w:spacing w:before="0"/>
              <w:rPr>
                <w:rFonts w:ascii="Arial" w:hAnsi="Arial"/>
              </w:rPr>
            </w:pPr>
            <w:r>
              <w:rPr>
                <w:rFonts w:ascii="Arial" w:hAnsi="Arial"/>
              </w:rPr>
              <w:t>Contact Name</w:t>
            </w:r>
          </w:p>
          <w:p w14:paraId="02A2DFC6" w14:textId="77777777" w:rsidR="00A83974" w:rsidRDefault="00A83974" w:rsidP="009E65E8">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D6F4F13" w14:textId="77777777" w:rsidR="00A83974" w:rsidRDefault="00A83974" w:rsidP="009E65E8">
            <w:pPr>
              <w:pStyle w:val="BodyText"/>
              <w:spacing w:before="0"/>
              <w:rPr>
                <w:rFonts w:ascii="Arial" w:hAnsi="Arial"/>
              </w:rPr>
            </w:pPr>
            <w:r>
              <w:rPr>
                <w:rFonts w:ascii="Arial" w:hAnsi="Arial"/>
              </w:rPr>
              <w:t>Contact Position</w:t>
            </w:r>
          </w:p>
          <w:p w14:paraId="723962D2" w14:textId="529C7214" w:rsidR="00A83974" w:rsidRDefault="00A60353" w:rsidP="009E65E8">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1E90F7BF" w14:textId="77777777" w:rsidR="00A83974" w:rsidRDefault="00A83974" w:rsidP="009E65E8">
            <w:pPr>
              <w:pStyle w:val="BodyText"/>
              <w:spacing w:before="0"/>
              <w:rPr>
                <w:rFonts w:ascii="Arial" w:hAnsi="Arial"/>
              </w:rPr>
            </w:pPr>
            <w:r>
              <w:rPr>
                <w:rFonts w:ascii="Arial" w:hAnsi="Arial"/>
              </w:rPr>
              <w:t>Contact Telephone No.</w:t>
            </w:r>
          </w:p>
          <w:p w14:paraId="3A7D0BC4" w14:textId="77777777" w:rsidR="00A83974" w:rsidRDefault="00A83974" w:rsidP="009E65E8">
            <w:pPr>
              <w:pStyle w:val="BodyText"/>
              <w:spacing w:before="0"/>
              <w:rPr>
                <w:rFonts w:ascii="Arial" w:hAnsi="Arial"/>
              </w:rPr>
            </w:pPr>
            <w:r>
              <w:rPr>
                <w:rFonts w:ascii="Arial" w:hAnsi="Arial"/>
              </w:rPr>
              <w:t>604-726-6749</w:t>
            </w:r>
          </w:p>
        </w:tc>
      </w:tr>
      <w:tr w:rsidR="00A83974" w14:paraId="5B4299C3" w14:textId="77777777" w:rsidTr="009E65E8">
        <w:trPr>
          <w:cantSplit/>
        </w:trPr>
        <w:tc>
          <w:tcPr>
            <w:tcW w:w="4878" w:type="dxa"/>
            <w:tcBorders>
              <w:top w:val="single" w:sz="18" w:space="0" w:color="auto"/>
              <w:bottom w:val="single" w:sz="18" w:space="0" w:color="auto"/>
              <w:right w:val="single" w:sz="18" w:space="0" w:color="auto"/>
            </w:tcBorders>
          </w:tcPr>
          <w:p w14:paraId="2E700375" w14:textId="77777777" w:rsidR="00A83974" w:rsidRDefault="00A83974" w:rsidP="009E65E8">
            <w:pPr>
              <w:pStyle w:val="BodyText"/>
              <w:spacing w:before="0"/>
              <w:rPr>
                <w:rFonts w:ascii="Arial" w:hAnsi="Arial"/>
              </w:rPr>
            </w:pPr>
            <w:r>
              <w:rPr>
                <w:rFonts w:ascii="Arial" w:hAnsi="Arial"/>
              </w:rPr>
              <w:t>Contact Email Address</w:t>
            </w:r>
          </w:p>
          <w:p w14:paraId="1A41633E" w14:textId="77777777" w:rsidR="00A83974" w:rsidRDefault="00A83974" w:rsidP="009E65E8">
            <w:pPr>
              <w:pStyle w:val="BodyText"/>
              <w:spacing w:before="0"/>
              <w:rPr>
                <w:rFonts w:ascii="Arial" w:hAnsi="Arial"/>
              </w:rPr>
            </w:pPr>
            <w:r>
              <w:rPr>
                <w:rFonts w:ascii="Arial" w:hAnsi="Arial"/>
              </w:rPr>
              <w:t>kellypladson@icloud.com</w:t>
            </w:r>
          </w:p>
        </w:tc>
        <w:tc>
          <w:tcPr>
            <w:tcW w:w="4698" w:type="dxa"/>
            <w:gridSpan w:val="2"/>
            <w:tcBorders>
              <w:top w:val="single" w:sz="18" w:space="0" w:color="auto"/>
              <w:left w:val="single" w:sz="18" w:space="0" w:color="auto"/>
              <w:bottom w:val="single" w:sz="18" w:space="0" w:color="auto"/>
            </w:tcBorders>
          </w:tcPr>
          <w:p w14:paraId="5988FCCA" w14:textId="77777777" w:rsidR="00A83974" w:rsidRDefault="00A83974" w:rsidP="009E65E8">
            <w:pPr>
              <w:pStyle w:val="BodyText"/>
              <w:spacing w:before="0"/>
              <w:rPr>
                <w:rFonts w:ascii="Arial" w:hAnsi="Arial"/>
              </w:rPr>
            </w:pPr>
            <w:r>
              <w:rPr>
                <w:rFonts w:ascii="Arial" w:hAnsi="Arial"/>
              </w:rPr>
              <w:t>Web Site Address</w:t>
            </w:r>
          </w:p>
          <w:p w14:paraId="7756C538" w14:textId="35F9A99E" w:rsidR="00A83974" w:rsidRDefault="00A60353" w:rsidP="009E65E8">
            <w:pPr>
              <w:pStyle w:val="BodyText"/>
              <w:spacing w:before="0"/>
              <w:rPr>
                <w:rFonts w:ascii="Arial" w:hAnsi="Arial"/>
              </w:rPr>
            </w:pPr>
            <w:r>
              <w:rPr>
                <w:rFonts w:ascii="Arial" w:hAnsi="Arial"/>
              </w:rPr>
              <w:t>www.alchemistmining.com</w:t>
            </w:r>
          </w:p>
          <w:p w14:paraId="56D8EE80" w14:textId="77777777" w:rsidR="00A83974" w:rsidRDefault="00A83974" w:rsidP="009E65E8">
            <w:pPr>
              <w:pStyle w:val="BodyText"/>
              <w:spacing w:before="0"/>
              <w:rPr>
                <w:rFonts w:ascii="Arial" w:hAnsi="Arial"/>
              </w:rPr>
            </w:pPr>
          </w:p>
        </w:tc>
      </w:tr>
    </w:tbl>
    <w:p w14:paraId="6E5FFF15"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386C20" w:rsidRDefault="00386C20">
      <w:r>
        <w:separator/>
      </w:r>
    </w:p>
  </w:endnote>
  <w:endnote w:type="continuationSeparator" w:id="0">
    <w:p w14:paraId="563C17FF" w14:textId="77777777" w:rsidR="00386C20" w:rsidRDefault="003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386C20" w:rsidRDefault="00386C20">
    <w:pPr>
      <w:pStyle w:val="Footer"/>
      <w:tabs>
        <w:tab w:val="clear" w:pos="4320"/>
        <w:tab w:val="clear" w:pos="8640"/>
        <w:tab w:val="center" w:pos="4680"/>
        <w:tab w:val="right" w:pos="9360"/>
      </w:tabs>
      <w:rPr>
        <w:b/>
      </w:rPr>
    </w:pPr>
  </w:p>
  <w:p w14:paraId="73CC6157" w14:textId="77777777" w:rsidR="00386C20" w:rsidRDefault="00386C2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386C20" w:rsidRPr="006D1A06" w:rsidRDefault="00386C2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386C20" w:rsidRPr="006D1A06" w:rsidRDefault="00386C2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92103">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386C20" w:rsidRDefault="00386C20">
    <w:pPr>
      <w:pStyle w:val="Footer"/>
      <w:tabs>
        <w:tab w:val="clear" w:pos="4320"/>
        <w:tab w:val="clear" w:pos="8640"/>
        <w:tab w:val="center" w:pos="4680"/>
        <w:tab w:val="right" w:pos="9360"/>
      </w:tabs>
      <w:rPr>
        <w:b/>
      </w:rPr>
    </w:pPr>
  </w:p>
  <w:p w14:paraId="34ECAC0C" w14:textId="77777777" w:rsidR="00386C20" w:rsidRDefault="00386C2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386C20" w:rsidRPr="00635E9A" w:rsidRDefault="00386C2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386C20" w:rsidRPr="00635E9A" w:rsidRDefault="00386C2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386C20" w:rsidRDefault="00386C20">
      <w:r>
        <w:separator/>
      </w:r>
    </w:p>
  </w:footnote>
  <w:footnote w:type="continuationSeparator" w:id="0">
    <w:p w14:paraId="52C74C26" w14:textId="77777777" w:rsidR="00386C20" w:rsidRDefault="00386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386C20" w:rsidRDefault="00386C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386C20" w:rsidRDefault="00386C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386C20" w:rsidRDefault="00386C20">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217164"/>
    <w:rsid w:val="002C281E"/>
    <w:rsid w:val="002F00EB"/>
    <w:rsid w:val="003669A9"/>
    <w:rsid w:val="00371A64"/>
    <w:rsid w:val="00386C20"/>
    <w:rsid w:val="00387FA8"/>
    <w:rsid w:val="003B65A2"/>
    <w:rsid w:val="005453C8"/>
    <w:rsid w:val="005E1CA2"/>
    <w:rsid w:val="005F4216"/>
    <w:rsid w:val="005F6D8F"/>
    <w:rsid w:val="00620E7F"/>
    <w:rsid w:val="00624F1D"/>
    <w:rsid w:val="00633ED3"/>
    <w:rsid w:val="00635E9A"/>
    <w:rsid w:val="00640E94"/>
    <w:rsid w:val="00692103"/>
    <w:rsid w:val="006C223F"/>
    <w:rsid w:val="006D1A06"/>
    <w:rsid w:val="00716CBD"/>
    <w:rsid w:val="00741401"/>
    <w:rsid w:val="007A7790"/>
    <w:rsid w:val="008B7E92"/>
    <w:rsid w:val="00922A46"/>
    <w:rsid w:val="009A7EE9"/>
    <w:rsid w:val="009E65E8"/>
    <w:rsid w:val="00A440E6"/>
    <w:rsid w:val="00A47914"/>
    <w:rsid w:val="00A5327D"/>
    <w:rsid w:val="00A60353"/>
    <w:rsid w:val="00A83974"/>
    <w:rsid w:val="00B96686"/>
    <w:rsid w:val="00BC0C24"/>
    <w:rsid w:val="00BE76C9"/>
    <w:rsid w:val="00C27A18"/>
    <w:rsid w:val="00C6383E"/>
    <w:rsid w:val="00CE0A60"/>
    <w:rsid w:val="00E36141"/>
    <w:rsid w:val="00E83E58"/>
    <w:rsid w:val="00EB4839"/>
    <w:rsid w:val="00EF369C"/>
    <w:rsid w:val="00F61282"/>
    <w:rsid w:val="00FC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Young</cp:lastModifiedBy>
  <cp:revision>2</cp:revision>
  <cp:lastPrinted>2004-05-10T18:28:00Z</cp:lastPrinted>
  <dcterms:created xsi:type="dcterms:W3CDTF">2017-04-06T22:34:00Z</dcterms:created>
  <dcterms:modified xsi:type="dcterms:W3CDTF">2017-04-06T22:34:00Z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