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32489" w14:textId="77777777" w:rsidR="00EA4133" w:rsidRPr="0001060A" w:rsidRDefault="00EA4133">
      <w:pPr>
        <w:pStyle w:val="Title"/>
        <w:spacing w:before="0"/>
        <w:rPr>
          <w:sz w:val="28"/>
          <w:lang w:val="en-CA"/>
        </w:rPr>
      </w:pPr>
      <w:r w:rsidRPr="0001060A">
        <w:rPr>
          <w:sz w:val="28"/>
          <w:lang w:val="en-CA"/>
        </w:rPr>
        <w:t>FORM 9</w:t>
      </w:r>
    </w:p>
    <w:p w14:paraId="1F6D75C3"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454B7316"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A8AE423" w14:textId="77777777" w:rsidR="00EA4133" w:rsidRDefault="00EA4133">
      <w:pPr>
        <w:pStyle w:val="BodyText"/>
        <w:rPr>
          <w:rFonts w:ascii="Arial" w:hAnsi="Arial"/>
          <w:lang w:val="en-CA"/>
        </w:rPr>
      </w:pPr>
      <w:r>
        <w:rPr>
          <w:rFonts w:ascii="Arial" w:hAnsi="Arial"/>
          <w:lang w:val="en-CA"/>
        </w:rPr>
        <w:t>Please complete the following:</w:t>
      </w:r>
    </w:p>
    <w:p w14:paraId="3D5F080E" w14:textId="0C4753DD"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2F3707">
        <w:rPr>
          <w:rFonts w:ascii="Arial" w:hAnsi="Arial"/>
          <w:u w:val="single"/>
          <w:lang w:val="en-CA"/>
        </w:rPr>
        <w:t>Alchemist Mining Incorporated</w:t>
      </w:r>
      <w:r w:rsidR="001F219B">
        <w:rPr>
          <w:rFonts w:ascii="Arial" w:hAnsi="Arial"/>
          <w:u w:val="single"/>
          <w:lang w:val="en-CA"/>
        </w:rPr>
        <w:t xml:space="preserve"> </w:t>
      </w:r>
      <w:r w:rsidR="001F219B">
        <w:rPr>
          <w:rFonts w:ascii="Arial" w:hAnsi="Arial"/>
          <w:lang w:val="en-CA"/>
        </w:rPr>
        <w:t>(the “Issuer”)</w:t>
      </w:r>
    </w:p>
    <w:p w14:paraId="01C4C5F3" w14:textId="77777777" w:rsidR="00EA4133" w:rsidRDefault="00EA4133">
      <w:pPr>
        <w:pStyle w:val="BodyText"/>
        <w:rPr>
          <w:rFonts w:ascii="Arial" w:hAnsi="Arial"/>
          <w:lang w:val="en-CA"/>
        </w:rPr>
      </w:pPr>
      <w:r>
        <w:rPr>
          <w:rFonts w:ascii="Arial" w:hAnsi="Arial"/>
          <w:lang w:val="en-CA"/>
        </w:rPr>
        <w:t xml:space="preserve">Trading Symbol:  </w:t>
      </w:r>
      <w:r w:rsidR="001F219B" w:rsidRPr="001F219B">
        <w:rPr>
          <w:rFonts w:ascii="Arial" w:hAnsi="Arial"/>
          <w:u w:val="single"/>
          <w:lang w:val="en-CA"/>
        </w:rPr>
        <w:t>AMS</w:t>
      </w:r>
    </w:p>
    <w:p w14:paraId="74EAABFA" w14:textId="1360B06F"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FD36FC">
        <w:rPr>
          <w:rFonts w:ascii="Arial" w:hAnsi="Arial"/>
          <w:u w:val="single"/>
          <w:lang w:val="en-CA"/>
        </w:rPr>
        <w:t>March 13</w:t>
      </w:r>
      <w:r w:rsidR="0079260F">
        <w:rPr>
          <w:rFonts w:ascii="Arial" w:hAnsi="Arial"/>
          <w:u w:val="single"/>
          <w:lang w:val="en-CA"/>
        </w:rPr>
        <w:t>, 2017</w:t>
      </w:r>
      <w:r w:rsidR="001F219B">
        <w:rPr>
          <w:rFonts w:ascii="Arial" w:hAnsi="Arial"/>
          <w:lang w:val="en-CA"/>
        </w:rPr>
        <w:t xml:space="preserve"> </w:t>
      </w:r>
    </w:p>
    <w:p w14:paraId="69D49892" w14:textId="37F61339"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A41350">
        <w:rPr>
          <w:rFonts w:ascii="Arial" w:hAnsi="Arial"/>
          <w:lang w:val="en-CA"/>
        </w:rPr>
        <w:t xml:space="preserve"> </w:t>
      </w:r>
      <w:r w:rsidR="002F3707">
        <w:rPr>
          <w:rFonts w:ascii="ＭＳ ゴシック" w:eastAsia="ＭＳ ゴシック" w:hAnsi="ＭＳ ゴシック" w:hint="eastAsia"/>
          <w:lang w:val="en-CA"/>
        </w:rPr>
        <w:t>☐</w:t>
      </w:r>
      <w:r>
        <w:rPr>
          <w:rFonts w:ascii="Arial" w:hAnsi="Arial"/>
          <w:lang w:val="en-CA"/>
        </w:rPr>
        <w:t>Yes</w:t>
      </w:r>
      <w:r>
        <w:rPr>
          <w:rFonts w:ascii="Arial" w:hAnsi="Arial"/>
          <w:lang w:val="en-CA"/>
        </w:rPr>
        <w:tab/>
      </w:r>
      <w:r>
        <w:rPr>
          <w:rFonts w:ascii="Arial" w:hAnsi="Arial"/>
          <w:lang w:val="en-CA"/>
        </w:rPr>
        <w:tab/>
      </w:r>
      <w:r w:rsidR="002F3707">
        <w:rPr>
          <w:rFonts w:ascii="Wingdings" w:hAnsi="Wingdings"/>
          <w:lang w:val="en-CA"/>
        </w:rPr>
        <w:t></w:t>
      </w:r>
      <w:r w:rsidR="001F219B">
        <w:rPr>
          <w:rFonts w:ascii="Arial" w:hAnsi="Arial"/>
          <w:lang w:val="en-CA"/>
        </w:rPr>
        <w:t>No</w:t>
      </w:r>
    </w:p>
    <w:p w14:paraId="1BEE0876" w14:textId="764C3AE9" w:rsidR="00EA4133" w:rsidRDefault="00EA4133">
      <w:pPr>
        <w:pStyle w:val="BodyText"/>
        <w:tabs>
          <w:tab w:val="left" w:pos="9180"/>
        </w:tabs>
        <w:spacing w:before="0" w:after="240"/>
        <w:rPr>
          <w:rFonts w:ascii="Arial" w:hAnsi="Arial"/>
          <w:lang w:val="en-CA"/>
        </w:rPr>
      </w:pPr>
      <w:r>
        <w:rPr>
          <w:rFonts w:ascii="Arial" w:hAnsi="Arial"/>
          <w:lang w:val="en-CA"/>
        </w:rPr>
        <w:t xml:space="preserve">If yes provide date(s) of prior Notices: </w:t>
      </w:r>
    </w:p>
    <w:p w14:paraId="15C74E2B" w14:textId="377124F9"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001F219B">
        <w:rPr>
          <w:rFonts w:ascii="Arial" w:hAnsi="Arial"/>
          <w:lang w:val="en-CA"/>
        </w:rPr>
        <w:t xml:space="preserve">:  </w:t>
      </w:r>
      <w:r w:rsidR="00FD36FC">
        <w:rPr>
          <w:rFonts w:ascii="Arial" w:hAnsi="Arial"/>
          <w:u w:val="single"/>
          <w:lang w:val="en-CA"/>
        </w:rPr>
        <w:t>25,943,100</w:t>
      </w:r>
    </w:p>
    <w:p w14:paraId="1A0E7D0C" w14:textId="4C8AE34E"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A45ADB">
        <w:rPr>
          <w:rFonts w:ascii="Arial" w:hAnsi="Arial"/>
          <w:u w:val="single"/>
          <w:lang w:val="en-CA"/>
        </w:rPr>
        <w:t>March 3</w:t>
      </w:r>
      <w:r w:rsidR="0079260F">
        <w:rPr>
          <w:rFonts w:ascii="Arial" w:hAnsi="Arial"/>
          <w:u w:val="single"/>
          <w:lang w:val="en-CA"/>
        </w:rPr>
        <w:t>, 2017</w:t>
      </w:r>
    </w:p>
    <w:p w14:paraId="38DFFC64" w14:textId="18C659E2"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057027">
        <w:rPr>
          <w:rFonts w:ascii="Arial" w:hAnsi="Arial"/>
          <w:u w:val="single"/>
          <w:lang w:val="en-CA"/>
        </w:rPr>
        <w:t>$0.0</w:t>
      </w:r>
      <w:r w:rsidR="00A45ADB">
        <w:rPr>
          <w:rFonts w:ascii="Arial" w:hAnsi="Arial"/>
          <w:u w:val="single"/>
          <w:lang w:val="en-CA"/>
        </w:rPr>
        <w:t>7</w:t>
      </w:r>
      <w:r w:rsidR="0079260F">
        <w:rPr>
          <w:rFonts w:ascii="Arial" w:hAnsi="Arial"/>
          <w:u w:val="single"/>
          <w:lang w:val="en-CA"/>
        </w:rPr>
        <w:t>5</w:t>
      </w:r>
    </w:p>
    <w:p w14:paraId="03E269AA" w14:textId="23DCA4A0" w:rsidR="00A4135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w:t>
      </w:r>
      <w:r w:rsidR="00A41350">
        <w:rPr>
          <w:rFonts w:ascii="Arial" w:hAnsi="Arial"/>
          <w:b/>
          <w:lang w:val="en-CA"/>
        </w:rPr>
        <w:t>eed to Part 2 of this form</w:t>
      </w:r>
      <w:proofErr w:type="gramStart"/>
      <w:r w:rsidR="00A41350">
        <w:rPr>
          <w:rFonts w:ascii="Arial" w:hAnsi="Arial"/>
          <w:b/>
          <w:lang w:val="en-CA"/>
        </w:rPr>
        <w:t xml:space="preserve">) </w:t>
      </w:r>
      <w:r w:rsidR="00057027">
        <w:rPr>
          <w:rFonts w:ascii="Arial" w:hAnsi="Arial"/>
          <w:b/>
          <w:lang w:val="en-CA"/>
        </w:rPr>
        <w:t xml:space="preserve"> N</w:t>
      </w:r>
      <w:proofErr w:type="gramEnd"/>
      <w:r w:rsidR="00057027">
        <w:rPr>
          <w:rFonts w:ascii="Arial" w:hAnsi="Arial"/>
          <w:b/>
          <w:lang w:val="en-CA"/>
        </w:rPr>
        <w:t>/A</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1302"/>
        <w:gridCol w:w="1376"/>
        <w:gridCol w:w="1376"/>
        <w:gridCol w:w="1742"/>
        <w:gridCol w:w="1100"/>
        <w:gridCol w:w="1100"/>
      </w:tblGrid>
      <w:tr w:rsidR="00A41350" w14:paraId="03754E53" w14:textId="77777777" w:rsidTr="00C24E59">
        <w:trPr>
          <w:trHeight w:val="1965"/>
        </w:trPr>
        <w:tc>
          <w:tcPr>
            <w:tcW w:w="1526" w:type="dxa"/>
          </w:tcPr>
          <w:p w14:paraId="1FFC505D" w14:textId="77777777" w:rsidR="00A41350" w:rsidRDefault="00A41350" w:rsidP="00A41350">
            <w:pPr>
              <w:pStyle w:val="BodyText"/>
              <w:spacing w:before="0" w:line="280" w:lineRule="exact"/>
              <w:jc w:val="center"/>
              <w:rPr>
                <w:rFonts w:ascii="Arial" w:hAnsi="Arial"/>
                <w:b/>
                <w:sz w:val="20"/>
                <w:lang w:val="en-CA"/>
              </w:rPr>
            </w:pPr>
          </w:p>
          <w:p w14:paraId="2DA3BCB4"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134" w:type="dxa"/>
          </w:tcPr>
          <w:p w14:paraId="7D8B12B7" w14:textId="77777777" w:rsidR="00A41350" w:rsidRDefault="00A41350" w:rsidP="00A41350">
            <w:pPr>
              <w:pStyle w:val="BodyText"/>
              <w:spacing w:before="0" w:line="280" w:lineRule="exact"/>
              <w:jc w:val="center"/>
              <w:rPr>
                <w:rFonts w:ascii="Arial" w:hAnsi="Arial"/>
                <w:b/>
                <w:sz w:val="20"/>
                <w:lang w:val="en-CA"/>
              </w:rPr>
            </w:pPr>
          </w:p>
          <w:p w14:paraId="5B59E1B4"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302" w:type="dxa"/>
          </w:tcPr>
          <w:p w14:paraId="22348D89" w14:textId="77777777" w:rsidR="00A41350" w:rsidRDefault="00A41350" w:rsidP="00A41350">
            <w:pPr>
              <w:pStyle w:val="BodyText"/>
              <w:spacing w:before="0" w:line="280" w:lineRule="exact"/>
              <w:jc w:val="center"/>
              <w:rPr>
                <w:rFonts w:ascii="Arial" w:hAnsi="Arial"/>
                <w:b/>
                <w:sz w:val="20"/>
                <w:lang w:val="en-CA"/>
              </w:rPr>
            </w:pPr>
          </w:p>
          <w:p w14:paraId="55267DC3"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40B37622" w14:textId="77777777" w:rsidR="00A41350" w:rsidRDefault="00A41350" w:rsidP="00A41350">
            <w:pPr>
              <w:pStyle w:val="BodyText"/>
              <w:spacing w:before="0" w:line="280" w:lineRule="exact"/>
              <w:jc w:val="center"/>
              <w:rPr>
                <w:rFonts w:ascii="Arial" w:hAnsi="Arial"/>
                <w:b/>
                <w:sz w:val="20"/>
                <w:lang w:val="en-CA"/>
              </w:rPr>
            </w:pPr>
          </w:p>
          <w:p w14:paraId="3FC7DD74"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Conversion</w:t>
            </w:r>
          </w:p>
          <w:p w14:paraId="71878294"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Price (if</w:t>
            </w:r>
          </w:p>
          <w:p w14:paraId="76A966FE"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5BE10898" w14:textId="77777777" w:rsidR="00A41350" w:rsidRDefault="00A41350" w:rsidP="00A41350">
            <w:pPr>
              <w:pStyle w:val="BodyText"/>
              <w:spacing w:before="0" w:line="280" w:lineRule="exact"/>
              <w:jc w:val="center"/>
              <w:rPr>
                <w:rFonts w:ascii="Arial" w:hAnsi="Arial"/>
                <w:b/>
                <w:sz w:val="20"/>
                <w:lang w:val="en-CA"/>
              </w:rPr>
            </w:pPr>
          </w:p>
          <w:p w14:paraId="6313A5D4"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03CDA477"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rPr>
              <w:t xml:space="preserve">No. </w:t>
            </w:r>
            <w:proofErr w:type="gramStart"/>
            <w:r>
              <w:rPr>
                <w:rFonts w:ascii="Arial" w:hAnsi="Arial"/>
                <w:b/>
                <w:sz w:val="20"/>
              </w:rPr>
              <w:t>of</w:t>
            </w:r>
            <w:proofErr w:type="gramEnd"/>
            <w:r>
              <w:rPr>
                <w:rFonts w:ascii="Arial" w:hAnsi="Arial"/>
                <w:b/>
                <w:sz w:val="20"/>
              </w:rPr>
              <w:t xml:space="preserve"> Securities, directly or indirectly, Owned, Controlled or Directed</w:t>
            </w:r>
          </w:p>
        </w:tc>
        <w:tc>
          <w:tcPr>
            <w:tcW w:w="1100" w:type="dxa"/>
          </w:tcPr>
          <w:p w14:paraId="032B12AB" w14:textId="77777777" w:rsidR="00A41350" w:rsidRDefault="00A41350" w:rsidP="00A41350">
            <w:pPr>
              <w:pStyle w:val="BodyText"/>
              <w:spacing w:before="0" w:line="280" w:lineRule="exact"/>
              <w:jc w:val="center"/>
              <w:rPr>
                <w:rFonts w:ascii="Arial" w:hAnsi="Arial"/>
                <w:b/>
                <w:sz w:val="20"/>
                <w:lang w:val="en-CA"/>
              </w:rPr>
            </w:pPr>
          </w:p>
          <w:p w14:paraId="2677EEC2"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620F4AA4" w14:textId="77777777" w:rsidR="00A41350" w:rsidRDefault="00A41350" w:rsidP="00A41350">
            <w:pPr>
              <w:pStyle w:val="BodyText"/>
              <w:spacing w:before="0" w:line="280" w:lineRule="exact"/>
              <w:jc w:val="center"/>
              <w:rPr>
                <w:rFonts w:ascii="Arial" w:hAnsi="Arial"/>
                <w:b/>
                <w:color w:val="000000"/>
                <w:sz w:val="20"/>
                <w:lang w:val="en-CA"/>
              </w:rPr>
            </w:pPr>
          </w:p>
          <w:p w14:paraId="7FAF4EF7" w14:textId="77777777" w:rsidR="00A41350" w:rsidRDefault="00A41350" w:rsidP="00A41350">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bl>
    <w:p w14:paraId="12827124" w14:textId="77777777" w:rsidR="00A41350" w:rsidRDefault="00A41350">
      <w:pPr>
        <w:pStyle w:val="BodyText"/>
        <w:spacing w:before="0" w:after="240"/>
        <w:rPr>
          <w:rFonts w:ascii="Arial" w:hAnsi="Arial"/>
          <w:b/>
          <w:lang w:val="en-CA"/>
        </w:rPr>
      </w:pPr>
    </w:p>
    <w:p w14:paraId="313B3943"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14:paraId="4810883F" w14:textId="77777777" w:rsidR="00EA4133"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35B75BAD" w14:textId="77777777" w:rsidR="00A41350" w:rsidRPr="00A41350" w:rsidRDefault="00A41350" w:rsidP="00A41350">
      <w:pPr>
        <w:pStyle w:val="BodyText"/>
        <w:rPr>
          <w:rFonts w:ascii="Arial" w:hAnsi="Arial" w:cs="Arial"/>
          <w:sz w:val="20"/>
        </w:rPr>
      </w:pPr>
    </w:p>
    <w:p w14:paraId="5644BDDC"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6348733" w14:textId="54A74330" w:rsidR="00EA4133" w:rsidRDefault="00EA4133">
      <w:pPr>
        <w:pStyle w:val="List"/>
        <w:tabs>
          <w:tab w:val="left" w:pos="9162"/>
        </w:tabs>
        <w:rPr>
          <w:rFonts w:ascii="Arial" w:hAnsi="Arial"/>
        </w:rPr>
      </w:pPr>
      <w:r>
        <w:rPr>
          <w:rFonts w:ascii="Arial" w:hAnsi="Arial"/>
        </w:rPr>
        <w:lastRenderedPageBreak/>
        <w:t>1.</w:t>
      </w:r>
      <w:r>
        <w:rPr>
          <w:rFonts w:ascii="Arial" w:hAnsi="Arial"/>
        </w:rPr>
        <w:tab/>
        <w:t xml:space="preserve">Total amount of funds to be raised: </w:t>
      </w:r>
    </w:p>
    <w:p w14:paraId="4833870B" w14:textId="67BF8A14" w:rsidR="00EA4133" w:rsidRDefault="00EA4133" w:rsidP="008C5D1D">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7BD090D3" w14:textId="23B2C4DE" w:rsidR="00EA4133" w:rsidRDefault="00EA4133" w:rsidP="008C5D1D">
      <w:pPr>
        <w:pStyle w:val="BodyText"/>
        <w:numPr>
          <w:ilvl w:val="0"/>
          <w:numId w:val="10"/>
        </w:numPr>
        <w:tabs>
          <w:tab w:val="left" w:pos="9180"/>
        </w:tabs>
        <w:jc w:val="both"/>
        <w:rPr>
          <w:rFonts w:ascii="Arial" w:hAnsi="Arial"/>
        </w:rPr>
      </w:pPr>
      <w:r>
        <w:rPr>
          <w:rFonts w:ascii="Arial" w:hAnsi="Arial"/>
        </w:rPr>
        <w:t xml:space="preserve">Provide particulars of any proceeds which are to be paid to Related Persons of the Issuer: </w:t>
      </w:r>
    </w:p>
    <w:p w14:paraId="0B50FB12" w14:textId="1C373724" w:rsidR="00EA4133" w:rsidRDefault="00EA4133" w:rsidP="008C5D1D">
      <w:pPr>
        <w:pStyle w:val="BodyText"/>
        <w:numPr>
          <w:ilvl w:val="0"/>
          <w:numId w:val="10"/>
        </w:numPr>
        <w:tabs>
          <w:tab w:val="left" w:pos="9180"/>
        </w:tabs>
        <w:jc w:val="both"/>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1F219B">
        <w:rPr>
          <w:rFonts w:ascii="Arial" w:hAnsi="Arial"/>
        </w:rPr>
        <w:t xml:space="preserve"> </w:t>
      </w:r>
    </w:p>
    <w:p w14:paraId="3CBCA44D"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2BF7F1BE" w14:textId="63A89FAE"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057027">
        <w:rPr>
          <w:rFonts w:ascii="Arial" w:hAnsi="Arial"/>
          <w:u w:val="single"/>
        </w:rPr>
        <w:tab/>
      </w:r>
      <w:r>
        <w:rPr>
          <w:rFonts w:ascii="Arial" w:hAnsi="Arial"/>
        </w:rPr>
        <w:t xml:space="preserve"> </w:t>
      </w:r>
    </w:p>
    <w:p w14:paraId="6201E2B5" w14:textId="5702B957" w:rsidR="00EA4133" w:rsidRPr="00057027" w:rsidRDefault="00EA4133">
      <w:pPr>
        <w:pStyle w:val="BodyText"/>
        <w:tabs>
          <w:tab w:val="left" w:pos="1080"/>
          <w:tab w:val="left" w:pos="1440"/>
          <w:tab w:val="left" w:pos="2160"/>
          <w:tab w:val="left" w:pos="9180"/>
        </w:tabs>
        <w:rPr>
          <w:rFonts w:ascii="Arial" w:hAnsi="Arial"/>
          <w:u w:val="single"/>
        </w:rPr>
      </w:pPr>
      <w:r>
        <w:rPr>
          <w:rFonts w:ascii="Arial" w:hAnsi="Arial"/>
        </w:rPr>
        <w:tab/>
        <w:t>(b)</w:t>
      </w:r>
      <w:r>
        <w:rPr>
          <w:rFonts w:ascii="Arial" w:hAnsi="Arial"/>
        </w:rPr>
        <w:tab/>
      </w:r>
      <w:r>
        <w:rPr>
          <w:rFonts w:ascii="Arial" w:hAnsi="Arial"/>
        </w:rPr>
        <w:tab/>
        <w:t xml:space="preserve">Number </w:t>
      </w:r>
      <w:r w:rsidR="00057027">
        <w:rPr>
          <w:rFonts w:ascii="Arial" w:hAnsi="Arial"/>
          <w:u w:val="single"/>
        </w:rPr>
        <w:tab/>
      </w:r>
    </w:p>
    <w:p w14:paraId="7D632E0A" w14:textId="1E8D245C" w:rsidR="00EA4133" w:rsidRPr="00057027" w:rsidRDefault="00EA4133">
      <w:pPr>
        <w:pStyle w:val="BodyText"/>
        <w:tabs>
          <w:tab w:val="left" w:pos="1080"/>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 xml:space="preserve">Price per security </w:t>
      </w:r>
      <w:r w:rsidR="00057027">
        <w:rPr>
          <w:rFonts w:ascii="Arial" w:hAnsi="Arial"/>
          <w:u w:val="single"/>
        </w:rPr>
        <w:tab/>
      </w:r>
    </w:p>
    <w:p w14:paraId="60EA323D" w14:textId="27B8AA86" w:rsidR="00EA4133" w:rsidRPr="00057027" w:rsidRDefault="00EA4133">
      <w:pPr>
        <w:pStyle w:val="BodyText"/>
        <w:tabs>
          <w:tab w:val="left" w:pos="1080"/>
          <w:tab w:val="left" w:pos="1440"/>
          <w:tab w:val="left" w:pos="2160"/>
          <w:tab w:val="left" w:pos="9180"/>
        </w:tabs>
        <w:rPr>
          <w:rFonts w:ascii="Arial" w:hAnsi="Arial"/>
          <w:u w:val="single"/>
        </w:rPr>
      </w:pPr>
      <w:r>
        <w:rPr>
          <w:rFonts w:ascii="Arial" w:hAnsi="Arial"/>
        </w:rPr>
        <w:tab/>
        <w:t>(d)</w:t>
      </w:r>
      <w:r>
        <w:rPr>
          <w:rFonts w:ascii="Arial" w:hAnsi="Arial"/>
        </w:rPr>
        <w:tab/>
      </w:r>
      <w:r>
        <w:rPr>
          <w:rFonts w:ascii="Arial" w:hAnsi="Arial"/>
        </w:rPr>
        <w:tab/>
        <w:t xml:space="preserve">Voting rights </w:t>
      </w:r>
      <w:r w:rsidR="00057027">
        <w:rPr>
          <w:rFonts w:ascii="Arial" w:hAnsi="Arial"/>
          <w:u w:val="single"/>
        </w:rPr>
        <w:tab/>
      </w:r>
    </w:p>
    <w:p w14:paraId="13962AB3"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02F0D505" w14:textId="34639611"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057027">
        <w:rPr>
          <w:rFonts w:ascii="Arial" w:hAnsi="Arial"/>
          <w:u w:val="single"/>
        </w:rPr>
        <w:tab/>
      </w:r>
      <w:r w:rsidR="00057027">
        <w:rPr>
          <w:rFonts w:ascii="Arial" w:hAnsi="Arial"/>
        </w:rPr>
        <w:tab/>
      </w:r>
    </w:p>
    <w:p w14:paraId="6C28D8EF" w14:textId="6B80E583" w:rsidR="00EA4133" w:rsidRDefault="00EA4133" w:rsidP="001F219B">
      <w:pPr>
        <w:pStyle w:val="List"/>
        <w:numPr>
          <w:ilvl w:val="0"/>
          <w:numId w:val="11"/>
        </w:numPr>
        <w:tabs>
          <w:tab w:val="left" w:pos="1080"/>
          <w:tab w:val="left" w:pos="1440"/>
          <w:tab w:val="left" w:pos="9180"/>
        </w:tabs>
        <w:rPr>
          <w:rFonts w:ascii="Arial" w:hAnsi="Arial"/>
        </w:rPr>
      </w:pPr>
      <w:r>
        <w:rPr>
          <w:rFonts w:ascii="Arial" w:hAnsi="Arial"/>
        </w:rPr>
        <w:tab/>
        <w:t>Number of securities eligible to be purchased on exercise of Warrants (or options)</w:t>
      </w:r>
      <w:r w:rsidR="00057027">
        <w:rPr>
          <w:rFonts w:ascii="Arial" w:hAnsi="Arial"/>
          <w:u w:val="single"/>
        </w:rPr>
        <w:tab/>
      </w:r>
      <w:r>
        <w:rPr>
          <w:rFonts w:ascii="Arial" w:hAnsi="Arial"/>
        </w:rPr>
        <w:t xml:space="preserve">  </w:t>
      </w:r>
    </w:p>
    <w:p w14:paraId="76174AE6" w14:textId="0958424C" w:rsidR="00EA4133" w:rsidRPr="00057027" w:rsidRDefault="00EA4133">
      <w:pPr>
        <w:pStyle w:val="List"/>
        <w:tabs>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Exercise price</w:t>
      </w:r>
      <w:r w:rsidR="008C5D1D">
        <w:rPr>
          <w:rFonts w:ascii="Arial" w:hAnsi="Arial"/>
          <w:u w:val="single"/>
        </w:rPr>
        <w:t xml:space="preserve"> </w:t>
      </w:r>
      <w:r w:rsidR="00057027">
        <w:rPr>
          <w:rFonts w:ascii="Arial" w:hAnsi="Arial"/>
          <w:u w:val="single"/>
        </w:rPr>
        <w:tab/>
      </w:r>
    </w:p>
    <w:p w14:paraId="76A1570E" w14:textId="44A79A80" w:rsidR="00EA4133" w:rsidRPr="00057027" w:rsidRDefault="00EA4133">
      <w:pPr>
        <w:pStyle w:val="List"/>
        <w:tabs>
          <w:tab w:val="left" w:pos="1440"/>
          <w:tab w:val="left" w:pos="2160"/>
          <w:tab w:val="left" w:pos="3600"/>
          <w:tab w:val="left" w:pos="5040"/>
          <w:tab w:val="left" w:pos="7560"/>
          <w:tab w:val="left" w:pos="9180"/>
        </w:tabs>
        <w:rPr>
          <w:rFonts w:ascii="Arial" w:hAnsi="Arial"/>
          <w:u w:val="single"/>
        </w:rPr>
      </w:pPr>
      <w:r>
        <w:rPr>
          <w:rFonts w:ascii="Arial" w:hAnsi="Arial"/>
        </w:rPr>
        <w:tab/>
        <w:t xml:space="preserve">(d) </w:t>
      </w:r>
      <w:r>
        <w:rPr>
          <w:rFonts w:ascii="Arial" w:hAnsi="Arial"/>
        </w:rPr>
        <w:tab/>
        <w:t xml:space="preserve">Expiry date </w:t>
      </w:r>
      <w:r w:rsidR="00057027">
        <w:rPr>
          <w:rFonts w:ascii="Arial" w:hAnsi="Arial"/>
          <w:u w:val="single"/>
        </w:rPr>
        <w:tab/>
      </w:r>
      <w:r w:rsidR="00057027">
        <w:rPr>
          <w:rFonts w:ascii="Arial" w:hAnsi="Arial"/>
          <w:u w:val="single"/>
        </w:rPr>
        <w:tab/>
      </w:r>
      <w:r w:rsidR="00057027">
        <w:rPr>
          <w:rFonts w:ascii="Arial" w:hAnsi="Arial"/>
          <w:u w:val="single"/>
        </w:rPr>
        <w:tab/>
      </w:r>
      <w:r w:rsidR="00057027">
        <w:rPr>
          <w:rFonts w:ascii="Arial" w:hAnsi="Arial"/>
          <w:u w:val="single"/>
        </w:rPr>
        <w:tab/>
      </w:r>
    </w:p>
    <w:p w14:paraId="3FE78EDA" w14:textId="6BD84A55" w:rsidR="00EA4133" w:rsidRDefault="001F219B" w:rsidP="008C5D1D">
      <w:pPr>
        <w:pStyle w:val="List"/>
        <w:tabs>
          <w:tab w:val="left" w:pos="1440"/>
          <w:tab w:val="left" w:pos="2160"/>
          <w:tab w:val="left" w:pos="3600"/>
          <w:tab w:val="left" w:pos="5040"/>
          <w:tab w:val="left" w:pos="7560"/>
          <w:tab w:val="left" w:pos="9180"/>
        </w:tabs>
        <w:rPr>
          <w:b/>
        </w:rPr>
      </w:pPr>
      <w:r w:rsidRPr="001F219B">
        <w:rPr>
          <w:rFonts w:ascii="Arial" w:hAnsi="Arial"/>
          <w:lang w:val="en-US"/>
        </w:rPr>
        <w:tab/>
      </w:r>
      <w:bookmarkStart w:id="0" w:name="_Toc370788682"/>
      <w:bookmarkStart w:id="1" w:name="_Toc398005538"/>
      <w:bookmarkStart w:id="2" w:name="_Toc412279955"/>
      <w:bookmarkStart w:id="3" w:name="_Toc419096451"/>
      <w:r w:rsidR="00EA4133">
        <w:rPr>
          <w:b/>
        </w:rPr>
        <w:t>Provide the following information if debt securities are to be issued:</w:t>
      </w:r>
      <w:bookmarkEnd w:id="0"/>
      <w:bookmarkEnd w:id="1"/>
      <w:bookmarkEnd w:id="2"/>
      <w:bookmarkEnd w:id="3"/>
      <w:r>
        <w:rPr>
          <w:b/>
        </w:rPr>
        <w:t xml:space="preserve"> </w:t>
      </w:r>
    </w:p>
    <w:p w14:paraId="316014E4"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w:t>
      </w:r>
      <w:proofErr w:type="gramStart"/>
      <w:r>
        <w:rPr>
          <w:rFonts w:ascii="Arial" w:hAnsi="Arial"/>
        </w:rPr>
        <w:t xml:space="preserve">amount </w:t>
      </w:r>
      <w:r>
        <w:rPr>
          <w:rFonts w:ascii="Arial" w:hAnsi="Arial"/>
          <w:u w:val="single"/>
        </w:rPr>
        <w:tab/>
      </w:r>
      <w:r>
        <w:rPr>
          <w:rFonts w:ascii="Arial" w:hAnsi="Arial"/>
        </w:rPr>
        <w:t xml:space="preserve"> .</w:t>
      </w:r>
      <w:proofErr w:type="gramEnd"/>
    </w:p>
    <w:p w14:paraId="4E0E448C"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w:t>
      </w:r>
      <w:proofErr w:type="gramStart"/>
      <w:r>
        <w:rPr>
          <w:rFonts w:ascii="Arial" w:hAnsi="Arial"/>
        </w:rPr>
        <w:t xml:space="preserve">date </w:t>
      </w:r>
      <w:r>
        <w:rPr>
          <w:rFonts w:ascii="Arial" w:hAnsi="Arial"/>
          <w:u w:val="single"/>
        </w:rPr>
        <w:tab/>
      </w:r>
      <w:r>
        <w:rPr>
          <w:rFonts w:ascii="Arial" w:hAnsi="Arial"/>
        </w:rPr>
        <w:t xml:space="preserve"> .</w:t>
      </w:r>
      <w:proofErr w:type="gramEnd"/>
    </w:p>
    <w:p w14:paraId="146880E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w:t>
      </w:r>
      <w:proofErr w:type="gramStart"/>
      <w:r>
        <w:rPr>
          <w:rFonts w:ascii="Arial" w:hAnsi="Arial"/>
        </w:rPr>
        <w:t xml:space="preserve">rate </w:t>
      </w:r>
      <w:r>
        <w:rPr>
          <w:rFonts w:ascii="Arial" w:hAnsi="Arial"/>
          <w:u w:val="single"/>
        </w:rPr>
        <w:tab/>
      </w:r>
      <w:r>
        <w:rPr>
          <w:rFonts w:ascii="Arial" w:hAnsi="Arial"/>
        </w:rPr>
        <w:t xml:space="preserve"> .</w:t>
      </w:r>
      <w:proofErr w:type="gramEnd"/>
    </w:p>
    <w:p w14:paraId="38C603CA" w14:textId="2DC1798D"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w:t>
      </w:r>
      <w:proofErr w:type="gramStart"/>
      <w:r>
        <w:rPr>
          <w:rFonts w:ascii="Arial" w:hAnsi="Arial"/>
        </w:rPr>
        <w:t xml:space="preserve">terms </w:t>
      </w:r>
      <w:r>
        <w:rPr>
          <w:rFonts w:ascii="Arial" w:hAnsi="Arial"/>
          <w:u w:val="single"/>
        </w:rPr>
        <w:tab/>
      </w:r>
      <w:r>
        <w:rPr>
          <w:rFonts w:ascii="Arial" w:hAnsi="Arial"/>
        </w:rPr>
        <w:t xml:space="preserve"> .</w:t>
      </w:r>
      <w:proofErr w:type="gramEnd"/>
    </w:p>
    <w:p w14:paraId="1F8C2A03"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w:t>
      </w:r>
      <w:proofErr w:type="gramStart"/>
      <w:r>
        <w:rPr>
          <w:rFonts w:ascii="Arial" w:hAnsi="Arial"/>
        </w:rPr>
        <w:t xml:space="preserve">provisions </w:t>
      </w:r>
      <w:r>
        <w:rPr>
          <w:rFonts w:ascii="Arial" w:hAnsi="Arial"/>
          <w:u w:val="single"/>
        </w:rPr>
        <w:tab/>
      </w:r>
      <w:r>
        <w:rPr>
          <w:rFonts w:ascii="Arial" w:hAnsi="Arial"/>
        </w:rPr>
        <w:t xml:space="preserve"> .</w:t>
      </w:r>
      <w:proofErr w:type="gramEnd"/>
    </w:p>
    <w:p w14:paraId="5F346F75" w14:textId="3EA0C9EF"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r w:rsidR="001F219B">
        <w:rPr>
          <w:rFonts w:ascii="Arial" w:hAnsi="Arial"/>
        </w:rPr>
        <w:t xml:space="preserve"> </w:t>
      </w:r>
    </w:p>
    <w:p w14:paraId="79A4C872" w14:textId="25358650"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14:paraId="41AAC1AA" w14:textId="6CDEE97A" w:rsidR="00EA4133" w:rsidRPr="00054C99" w:rsidRDefault="00EA4133" w:rsidP="008C5D1D">
      <w:pPr>
        <w:pStyle w:val="List"/>
        <w:tabs>
          <w:tab w:val="left" w:pos="2160"/>
          <w:tab w:val="left" w:pos="9180"/>
        </w:tabs>
        <w:ind w:left="2160"/>
        <w:rPr>
          <w:rFonts w:ascii="Arial" w:hAnsi="Arial"/>
          <w:u w:val="single"/>
        </w:rPr>
      </w:pPr>
      <w:r>
        <w:rPr>
          <w:rFonts w:ascii="Arial" w:hAnsi="Arial"/>
        </w:rPr>
        <w:t>(b)</w:t>
      </w:r>
      <w:r>
        <w:rPr>
          <w:rFonts w:ascii="Arial" w:hAnsi="Arial"/>
        </w:rPr>
        <w:tab/>
        <w:t>Cash</w:t>
      </w:r>
      <w:r w:rsidR="004567D5">
        <w:rPr>
          <w:rFonts w:ascii="Arial" w:hAnsi="Arial"/>
          <w:u w:val="single"/>
        </w:rPr>
        <w:t xml:space="preserve">: </w:t>
      </w:r>
    </w:p>
    <w:p w14:paraId="16DB5DB5" w14:textId="3EAFEA60" w:rsidR="004567D5" w:rsidRPr="008C5D1D" w:rsidRDefault="00EA4133" w:rsidP="008C5D1D">
      <w:pPr>
        <w:pStyle w:val="List"/>
        <w:tabs>
          <w:tab w:val="left" w:pos="2160"/>
          <w:tab w:val="left" w:pos="9180"/>
        </w:tabs>
        <w:ind w:left="2160"/>
        <w:rPr>
          <w:rFonts w:ascii="Arial" w:hAnsi="Arial"/>
        </w:rPr>
      </w:pPr>
      <w:r>
        <w:rPr>
          <w:rFonts w:ascii="Arial" w:hAnsi="Arial"/>
        </w:rPr>
        <w:t>(c)</w:t>
      </w:r>
      <w:r>
        <w:rPr>
          <w:rFonts w:ascii="Arial" w:hAnsi="Arial"/>
        </w:rPr>
        <w:tab/>
        <w:t>Securities</w:t>
      </w:r>
      <w:r w:rsidR="004567D5" w:rsidRPr="002051C8">
        <w:rPr>
          <w:rFonts w:ascii="Arial" w:hAnsi="Arial"/>
          <w:u w:val="single"/>
        </w:rPr>
        <w:t>:</w:t>
      </w:r>
      <w:r w:rsidR="008C5D1D" w:rsidRPr="002051C8">
        <w:rPr>
          <w:rFonts w:ascii="Arial" w:hAnsi="Arial"/>
          <w:u w:val="single"/>
        </w:rPr>
        <w:t xml:space="preserve"> </w:t>
      </w:r>
    </w:p>
    <w:p w14:paraId="44A049E5" w14:textId="7DBF44DB"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
    <w:p w14:paraId="543FB486" w14:textId="2F54DECE"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4567D5">
        <w:rPr>
          <w:rFonts w:ascii="Arial" w:hAnsi="Arial"/>
          <w:u w:val="single"/>
        </w:rPr>
        <w:t xml:space="preserve"> </w:t>
      </w:r>
    </w:p>
    <w:p w14:paraId="2AFD6CD2" w14:textId="65F45B4D"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
    <w:p w14:paraId="5AD8B75E" w14:textId="072F1DCE" w:rsidR="00EA4133" w:rsidRPr="00054C99" w:rsidRDefault="00EA4133" w:rsidP="00054C99">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14:paraId="46FF7ADF"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A796588" w14:textId="5DA1E2AB" w:rsidR="00EA4133" w:rsidRPr="00A837B4" w:rsidRDefault="00EA4133" w:rsidP="00A837B4">
      <w:pPr>
        <w:pStyle w:val="List"/>
        <w:numPr>
          <w:ilvl w:val="0"/>
          <w:numId w:val="10"/>
        </w:numPr>
        <w:rPr>
          <w:rFonts w:ascii="Arial" w:hAnsi="Arial"/>
        </w:rPr>
      </w:pPr>
      <w:r>
        <w:rPr>
          <w:rFonts w:ascii="Arial" w:hAnsi="Arial"/>
        </w:rPr>
        <w:t>State whether the private placement will result in a change of control.</w:t>
      </w:r>
    </w:p>
    <w:p w14:paraId="6E38CC79" w14:textId="77777777" w:rsidR="00EA4133" w:rsidRDefault="00EA4133">
      <w:pPr>
        <w:pStyle w:val="List"/>
        <w:tabs>
          <w:tab w:val="left" w:pos="9180"/>
        </w:tabs>
        <w:spacing w:before="0"/>
        <w:jc w:val="both"/>
        <w:rPr>
          <w:rFonts w:ascii="Arial" w:hAnsi="Arial"/>
        </w:rPr>
      </w:pPr>
    </w:p>
    <w:p w14:paraId="2B68FA9A" w14:textId="31DDF32D" w:rsidR="00EA4133" w:rsidRDefault="00EA4133" w:rsidP="00054C99">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p>
    <w:p w14:paraId="7562A675"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6498BF67" w14:textId="0D6EEB3C"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054C99">
        <w:rPr>
          <w:rFonts w:ascii="Arial" w:hAnsi="Arial"/>
        </w:rPr>
        <w:t>Instrument 45-102.</w:t>
      </w:r>
    </w:p>
    <w:p w14:paraId="52F3B7A5" w14:textId="2A1C89BB"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r w:rsidR="001F219B">
        <w:rPr>
          <w:rFonts w:ascii="Arial" w:hAnsi="Arial"/>
          <w:b/>
          <w:color w:val="000000"/>
        </w:rPr>
        <w:t xml:space="preserve"> </w:t>
      </w:r>
    </w:p>
    <w:p w14:paraId="6AD91DFD" w14:textId="77777777" w:rsidR="00EA4133" w:rsidRDefault="00EA4133">
      <w:pPr>
        <w:pStyle w:val="List"/>
        <w:tabs>
          <w:tab w:val="left" w:pos="9180"/>
        </w:tabs>
        <w:spacing w:before="0"/>
        <w:ind w:left="0" w:firstLine="0"/>
        <w:jc w:val="both"/>
        <w:rPr>
          <w:rFonts w:ascii="Arial" w:hAnsi="Arial"/>
          <w:color w:val="000000"/>
        </w:rPr>
      </w:pPr>
    </w:p>
    <w:p w14:paraId="097F2E14" w14:textId="5976FC58" w:rsidR="00057027" w:rsidRPr="00D76BB4" w:rsidRDefault="00EA4133" w:rsidP="00057027">
      <w:pPr>
        <w:pStyle w:val="List"/>
        <w:numPr>
          <w:ilvl w:val="0"/>
          <w:numId w:val="14"/>
        </w:numPr>
        <w:tabs>
          <w:tab w:val="clear" w:pos="360"/>
          <w:tab w:val="num" w:pos="1080"/>
          <w:tab w:val="left" w:pos="9180"/>
        </w:tabs>
        <w:spacing w:before="0"/>
        <w:ind w:left="1080" w:hanging="1080"/>
        <w:jc w:val="both"/>
        <w:rPr>
          <w:rFonts w:ascii="Arial" w:hAnsi="Arial"/>
          <w:color w:val="000000"/>
          <w:u w:val="single"/>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722F88">
        <w:rPr>
          <w:rFonts w:ascii="Arial" w:hAnsi="Arial"/>
          <w:color w:val="000000"/>
        </w:rPr>
        <w:t xml:space="preserve"> </w:t>
      </w:r>
      <w:r w:rsidR="00722F88" w:rsidRPr="00722F88">
        <w:rPr>
          <w:rFonts w:ascii="Arial" w:hAnsi="Arial"/>
          <w:color w:val="000000"/>
          <w:u w:val="single"/>
        </w:rPr>
        <w:t>39</w:t>
      </w:r>
      <w:r w:rsidR="00057027" w:rsidRPr="00722F88">
        <w:rPr>
          <w:rFonts w:ascii="Arial" w:hAnsi="Arial"/>
          <w:color w:val="000000"/>
          <w:u w:val="single"/>
        </w:rPr>
        <w:t xml:space="preserve"> mineral </w:t>
      </w:r>
      <w:r w:rsidR="00057027" w:rsidRPr="00D76BB4">
        <w:rPr>
          <w:rFonts w:ascii="Arial" w:hAnsi="Arial"/>
          <w:color w:val="000000"/>
          <w:u w:val="single"/>
        </w:rPr>
        <w:t>claims</w:t>
      </w:r>
      <w:r w:rsidR="00057027">
        <w:rPr>
          <w:rFonts w:ascii="Arial" w:hAnsi="Arial"/>
          <w:color w:val="000000"/>
          <w:u w:val="single"/>
        </w:rPr>
        <w:t xml:space="preserve">, consisting of </w:t>
      </w:r>
      <w:r w:rsidR="00722F88">
        <w:rPr>
          <w:rFonts w:ascii="Arial" w:hAnsi="Arial"/>
          <w:color w:val="000000"/>
          <w:u w:val="single"/>
        </w:rPr>
        <w:t>2210.91 hectares</w:t>
      </w:r>
      <w:r w:rsidR="00057027">
        <w:rPr>
          <w:rFonts w:ascii="Arial" w:hAnsi="Arial"/>
          <w:color w:val="000000"/>
          <w:u w:val="single"/>
        </w:rPr>
        <w:t xml:space="preserve">, </w:t>
      </w:r>
      <w:r w:rsidR="00057027" w:rsidRPr="00D76BB4">
        <w:rPr>
          <w:rFonts w:ascii="Arial" w:hAnsi="Arial"/>
          <w:color w:val="000000"/>
          <w:u w:val="single"/>
        </w:rPr>
        <w:t xml:space="preserve">located in </w:t>
      </w:r>
      <w:r w:rsidR="00F114A0">
        <w:rPr>
          <w:rFonts w:ascii="Arial" w:hAnsi="Arial"/>
          <w:color w:val="000000"/>
          <w:u w:val="single"/>
        </w:rPr>
        <w:t xml:space="preserve">the Urban Barry </w:t>
      </w:r>
      <w:r w:rsidR="00722F88">
        <w:rPr>
          <w:rFonts w:ascii="Arial" w:hAnsi="Arial"/>
          <w:color w:val="000000"/>
          <w:u w:val="single"/>
        </w:rPr>
        <w:t>Belt</w:t>
      </w:r>
      <w:r w:rsidR="00F114A0">
        <w:rPr>
          <w:rFonts w:ascii="Arial" w:hAnsi="Arial"/>
          <w:color w:val="000000"/>
          <w:u w:val="single"/>
        </w:rPr>
        <w:t xml:space="preserve">, </w:t>
      </w:r>
      <w:r w:rsidR="00057027">
        <w:rPr>
          <w:rFonts w:ascii="Arial" w:hAnsi="Arial"/>
          <w:color w:val="000000"/>
          <w:u w:val="single"/>
        </w:rPr>
        <w:t xml:space="preserve">Quebec, Canada </w:t>
      </w:r>
      <w:r w:rsidR="00722F88">
        <w:rPr>
          <w:rFonts w:ascii="Arial" w:hAnsi="Arial"/>
          <w:color w:val="000000"/>
          <w:u w:val="single"/>
        </w:rPr>
        <w:t>(</w:t>
      </w:r>
      <w:r w:rsidR="00057027">
        <w:rPr>
          <w:rFonts w:ascii="Arial" w:hAnsi="Arial"/>
          <w:color w:val="000000"/>
          <w:u w:val="single"/>
        </w:rPr>
        <w:t>the “Property”</w:t>
      </w:r>
      <w:r w:rsidR="00057027" w:rsidRPr="00D76BB4">
        <w:rPr>
          <w:rFonts w:ascii="Arial" w:hAnsi="Arial"/>
          <w:color w:val="000000"/>
          <w:u w:val="single"/>
        </w:rPr>
        <w:t>).</w:t>
      </w:r>
    </w:p>
    <w:p w14:paraId="5B38C7C9" w14:textId="6F176644" w:rsidR="00EA4133" w:rsidRDefault="00EA4133" w:rsidP="00057027">
      <w:pPr>
        <w:pStyle w:val="List"/>
        <w:tabs>
          <w:tab w:val="left" w:pos="9180"/>
        </w:tabs>
        <w:spacing w:before="0"/>
        <w:ind w:left="0" w:firstLine="0"/>
        <w:jc w:val="both"/>
        <w:rPr>
          <w:rFonts w:ascii="Arial" w:hAnsi="Arial"/>
          <w:color w:val="000000"/>
        </w:rPr>
      </w:pPr>
    </w:p>
    <w:p w14:paraId="2C553E8A" w14:textId="438E60B6"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lastRenderedPageBreak/>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1F6364D0" w14:textId="77777777" w:rsidR="00722F88" w:rsidRDefault="00057027" w:rsidP="00722F88">
      <w:pPr>
        <w:pStyle w:val="List"/>
        <w:tabs>
          <w:tab w:val="left" w:pos="9180"/>
        </w:tabs>
        <w:ind w:left="1134" w:firstLine="0"/>
        <w:jc w:val="both"/>
        <w:rPr>
          <w:rFonts w:ascii="Arial" w:hAnsi="Arial"/>
          <w:color w:val="000000"/>
          <w:u w:val="single"/>
          <w:lang w:val="en-CA"/>
        </w:rPr>
      </w:pPr>
      <w:r>
        <w:rPr>
          <w:rFonts w:ascii="Arial" w:hAnsi="Arial"/>
          <w:color w:val="000000"/>
          <w:u w:val="single"/>
        </w:rPr>
        <w:t>T</w:t>
      </w:r>
      <w:r w:rsidRPr="00D76BB4">
        <w:rPr>
          <w:rFonts w:ascii="Arial" w:hAnsi="Arial"/>
          <w:color w:val="000000"/>
          <w:u w:val="single"/>
        </w:rPr>
        <w:t xml:space="preserve">he Company entered into a Property </w:t>
      </w:r>
      <w:r w:rsidR="00722F88">
        <w:rPr>
          <w:rFonts w:ascii="Arial" w:hAnsi="Arial"/>
          <w:color w:val="000000"/>
          <w:u w:val="single"/>
        </w:rPr>
        <w:t xml:space="preserve">Acquisition </w:t>
      </w:r>
      <w:r w:rsidRPr="00D76BB4">
        <w:rPr>
          <w:rFonts w:ascii="Arial" w:hAnsi="Arial"/>
          <w:color w:val="000000"/>
          <w:u w:val="single"/>
        </w:rPr>
        <w:t xml:space="preserve">Agreement dated </w:t>
      </w:r>
      <w:r w:rsidR="00722F88">
        <w:rPr>
          <w:rFonts w:ascii="Arial" w:hAnsi="Arial"/>
          <w:color w:val="000000"/>
          <w:u w:val="single"/>
        </w:rPr>
        <w:t>March 2</w:t>
      </w:r>
      <w:r w:rsidR="00F114A0">
        <w:rPr>
          <w:rFonts w:ascii="Arial" w:hAnsi="Arial"/>
          <w:color w:val="000000"/>
          <w:u w:val="single"/>
        </w:rPr>
        <w:t xml:space="preserve">, 2017 </w:t>
      </w:r>
      <w:r w:rsidRPr="00D76BB4">
        <w:rPr>
          <w:rFonts w:ascii="Arial" w:hAnsi="Arial"/>
          <w:color w:val="000000"/>
          <w:u w:val="single"/>
        </w:rPr>
        <w:t xml:space="preserve">with respect to the Property, with </w:t>
      </w:r>
      <w:r w:rsidR="00722F88">
        <w:rPr>
          <w:rFonts w:ascii="Arial" w:hAnsi="Arial"/>
          <w:color w:val="000000"/>
          <w:u w:val="single"/>
        </w:rPr>
        <w:t xml:space="preserve">Natalie </w:t>
      </w:r>
      <w:proofErr w:type="spellStart"/>
      <w:r w:rsidR="00722F88">
        <w:rPr>
          <w:rFonts w:ascii="Arial" w:hAnsi="Arial"/>
          <w:color w:val="000000"/>
          <w:u w:val="single"/>
        </w:rPr>
        <w:t>Specogna</w:t>
      </w:r>
      <w:proofErr w:type="spellEnd"/>
      <w:r w:rsidR="00722F88">
        <w:rPr>
          <w:rFonts w:ascii="Arial" w:hAnsi="Arial"/>
          <w:color w:val="000000"/>
          <w:u w:val="single"/>
        </w:rPr>
        <w:t xml:space="preserve"> and Canal Front Investments Inc.</w:t>
      </w:r>
      <w:r w:rsidRPr="00D76BB4">
        <w:rPr>
          <w:rFonts w:ascii="Arial" w:hAnsi="Arial"/>
          <w:color w:val="000000"/>
          <w:u w:val="single"/>
        </w:rPr>
        <w:t xml:space="preserve"> (</w:t>
      </w:r>
      <w:r w:rsidR="00722F88">
        <w:rPr>
          <w:rFonts w:ascii="Arial" w:hAnsi="Arial"/>
          <w:color w:val="000000"/>
          <w:u w:val="single"/>
        </w:rPr>
        <w:t xml:space="preserve">collectively, </w:t>
      </w:r>
      <w:r w:rsidRPr="00D76BB4">
        <w:rPr>
          <w:rFonts w:ascii="Arial" w:hAnsi="Arial"/>
          <w:color w:val="000000"/>
          <w:u w:val="single"/>
        </w:rPr>
        <w:t>the “Vendor</w:t>
      </w:r>
      <w:r w:rsidR="00722F88">
        <w:rPr>
          <w:rFonts w:ascii="Arial" w:hAnsi="Arial"/>
          <w:color w:val="000000"/>
          <w:u w:val="single"/>
        </w:rPr>
        <w:t>s</w:t>
      </w:r>
      <w:r w:rsidRPr="00D76BB4">
        <w:rPr>
          <w:rFonts w:ascii="Arial" w:hAnsi="Arial"/>
          <w:color w:val="000000"/>
          <w:u w:val="single"/>
        </w:rPr>
        <w:t xml:space="preserve">”) to </w:t>
      </w:r>
      <w:r w:rsidR="00F114A0">
        <w:rPr>
          <w:rFonts w:ascii="Arial" w:hAnsi="Arial"/>
          <w:color w:val="000000"/>
          <w:u w:val="single"/>
          <w:lang w:val="en-CA"/>
        </w:rPr>
        <w:t>acquire a 100</w:t>
      </w:r>
      <w:r w:rsidRPr="00057027">
        <w:rPr>
          <w:rFonts w:ascii="Arial" w:hAnsi="Arial"/>
          <w:color w:val="000000"/>
          <w:u w:val="single"/>
          <w:lang w:val="en-CA"/>
        </w:rPr>
        <w:t>% inte</w:t>
      </w:r>
      <w:r w:rsidR="00722F88">
        <w:rPr>
          <w:rFonts w:ascii="Arial" w:hAnsi="Arial"/>
          <w:color w:val="000000"/>
          <w:u w:val="single"/>
          <w:lang w:val="en-CA"/>
        </w:rPr>
        <w:t>rest by issuing an aggregate 8</w:t>
      </w:r>
      <w:r w:rsidRPr="00057027">
        <w:rPr>
          <w:rFonts w:ascii="Arial" w:hAnsi="Arial"/>
          <w:color w:val="000000"/>
          <w:u w:val="single"/>
          <w:lang w:val="en-CA"/>
        </w:rPr>
        <w:t xml:space="preserve">00,000 common shares and paying </w:t>
      </w:r>
      <w:r w:rsidR="00722F88">
        <w:rPr>
          <w:rFonts w:ascii="Arial" w:hAnsi="Arial"/>
          <w:color w:val="000000"/>
          <w:u w:val="single"/>
          <w:lang w:val="en-CA"/>
        </w:rPr>
        <w:t>$2,500 upon the closing</w:t>
      </w:r>
      <w:r w:rsidRPr="00057027">
        <w:rPr>
          <w:rFonts w:ascii="Arial" w:hAnsi="Arial"/>
          <w:color w:val="000000"/>
          <w:u w:val="single"/>
          <w:lang w:val="en-CA"/>
        </w:rPr>
        <w:t xml:space="preserve">. </w:t>
      </w:r>
    </w:p>
    <w:p w14:paraId="6F7CE25E" w14:textId="431F4A31" w:rsidR="00EA4133" w:rsidRDefault="00EA4133" w:rsidP="00722F88">
      <w:pPr>
        <w:pStyle w:val="List"/>
        <w:tabs>
          <w:tab w:val="left" w:pos="9180"/>
        </w:tabs>
        <w:ind w:left="1134" w:firstLine="0"/>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w:t>
      </w:r>
      <w:r w:rsidR="00D11ACF">
        <w:rPr>
          <w:rFonts w:ascii="Arial" w:hAnsi="Arial"/>
          <w:color w:val="000000"/>
        </w:rPr>
        <w:t xml:space="preserve"> and any required work commitmen</w:t>
      </w:r>
      <w:r>
        <w:rPr>
          <w:rFonts w:ascii="Arial" w:hAnsi="Arial"/>
          <w:color w:val="000000"/>
        </w:rPr>
        <w:t>ts:</w:t>
      </w:r>
    </w:p>
    <w:tbl>
      <w:tblPr>
        <w:tblpPr w:leftFromText="180" w:rightFromText="180" w:vertAnchor="text" w:horzAnchor="page" w:tblpX="2170" w:tblpY="1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394"/>
        <w:gridCol w:w="2394"/>
        <w:gridCol w:w="2394"/>
      </w:tblGrid>
      <w:tr w:rsidR="00A837B4" w:rsidRPr="009E6D78" w14:paraId="3D02CA33" w14:textId="77777777" w:rsidTr="0079260F">
        <w:tc>
          <w:tcPr>
            <w:tcW w:w="1566" w:type="dxa"/>
          </w:tcPr>
          <w:p w14:paraId="1C15A401" w14:textId="77777777" w:rsidR="00A837B4" w:rsidRPr="009E6D78" w:rsidRDefault="00A837B4" w:rsidP="0079260F">
            <w:pPr>
              <w:pStyle w:val="List"/>
              <w:ind w:left="0" w:firstLine="0"/>
              <w:rPr>
                <w:color w:val="000000"/>
                <w:u w:val="single"/>
              </w:rPr>
            </w:pPr>
          </w:p>
        </w:tc>
        <w:tc>
          <w:tcPr>
            <w:tcW w:w="2394" w:type="dxa"/>
          </w:tcPr>
          <w:p w14:paraId="05416873" w14:textId="77777777" w:rsidR="00A837B4" w:rsidRPr="009E6D78" w:rsidRDefault="00A837B4" w:rsidP="0079260F">
            <w:pPr>
              <w:pStyle w:val="List"/>
              <w:ind w:left="0" w:firstLine="0"/>
              <w:rPr>
                <w:color w:val="000000"/>
                <w:u w:val="single"/>
              </w:rPr>
            </w:pPr>
            <w:r w:rsidRPr="009E6D78">
              <w:rPr>
                <w:color w:val="000000"/>
                <w:u w:val="single"/>
              </w:rPr>
              <w:t xml:space="preserve">Cash </w:t>
            </w:r>
          </w:p>
        </w:tc>
        <w:tc>
          <w:tcPr>
            <w:tcW w:w="2394" w:type="dxa"/>
          </w:tcPr>
          <w:p w14:paraId="3950AC17" w14:textId="77777777" w:rsidR="00A837B4" w:rsidRPr="009E6D78" w:rsidRDefault="00A837B4" w:rsidP="0079260F">
            <w:pPr>
              <w:pStyle w:val="List"/>
              <w:ind w:left="0" w:firstLine="0"/>
              <w:rPr>
                <w:color w:val="000000"/>
                <w:u w:val="single"/>
              </w:rPr>
            </w:pPr>
            <w:r w:rsidRPr="009E6D78">
              <w:rPr>
                <w:color w:val="000000"/>
                <w:u w:val="single"/>
              </w:rPr>
              <w:t>Securities</w:t>
            </w:r>
          </w:p>
        </w:tc>
        <w:tc>
          <w:tcPr>
            <w:tcW w:w="2394" w:type="dxa"/>
          </w:tcPr>
          <w:p w14:paraId="66E6BD8D" w14:textId="77777777" w:rsidR="00A837B4" w:rsidRPr="009E6D78" w:rsidRDefault="00A837B4" w:rsidP="0079260F">
            <w:pPr>
              <w:pStyle w:val="List"/>
              <w:ind w:left="0" w:firstLine="0"/>
              <w:rPr>
                <w:color w:val="000000"/>
                <w:u w:val="single"/>
              </w:rPr>
            </w:pPr>
            <w:r w:rsidRPr="009E6D78">
              <w:rPr>
                <w:color w:val="000000"/>
                <w:u w:val="single"/>
              </w:rPr>
              <w:t>Exploration or Other Work Commitments</w:t>
            </w:r>
          </w:p>
        </w:tc>
      </w:tr>
      <w:tr w:rsidR="00A837B4" w:rsidRPr="009E6D78" w14:paraId="716659A7" w14:textId="77777777" w:rsidTr="0079260F">
        <w:tc>
          <w:tcPr>
            <w:tcW w:w="1566" w:type="dxa"/>
          </w:tcPr>
          <w:p w14:paraId="2F13E9A9" w14:textId="77777777" w:rsidR="00A837B4" w:rsidRPr="009E6D78" w:rsidRDefault="00A837B4" w:rsidP="0079260F">
            <w:pPr>
              <w:pStyle w:val="List"/>
              <w:ind w:left="0" w:firstLine="0"/>
              <w:rPr>
                <w:color w:val="000000"/>
                <w:u w:val="single"/>
              </w:rPr>
            </w:pPr>
            <w:r w:rsidRPr="009E6D78">
              <w:rPr>
                <w:color w:val="000000"/>
                <w:u w:val="single"/>
              </w:rPr>
              <w:t>Year 1</w:t>
            </w:r>
          </w:p>
        </w:tc>
        <w:tc>
          <w:tcPr>
            <w:tcW w:w="2394" w:type="dxa"/>
          </w:tcPr>
          <w:p w14:paraId="29F7B7C9" w14:textId="7375D1F0" w:rsidR="00A837B4" w:rsidRDefault="00702563" w:rsidP="0079260F">
            <w:pPr>
              <w:pStyle w:val="List"/>
              <w:ind w:left="0" w:firstLine="0"/>
              <w:rPr>
                <w:color w:val="000000"/>
                <w:u w:val="single"/>
              </w:rPr>
            </w:pPr>
            <w:r>
              <w:rPr>
                <w:color w:val="000000"/>
                <w:u w:val="single"/>
              </w:rPr>
              <w:t>$</w:t>
            </w:r>
            <w:r w:rsidR="00722F88">
              <w:rPr>
                <w:color w:val="000000"/>
                <w:u w:val="single"/>
              </w:rPr>
              <w:t>2,500 upon closing of the Agreement</w:t>
            </w:r>
          </w:p>
          <w:p w14:paraId="374AE694" w14:textId="0A03D974" w:rsidR="00A837B4" w:rsidRPr="009E6D78" w:rsidRDefault="00A837B4" w:rsidP="00702563">
            <w:pPr>
              <w:pStyle w:val="List"/>
              <w:ind w:left="0" w:firstLine="0"/>
              <w:rPr>
                <w:color w:val="000000"/>
                <w:u w:val="single"/>
              </w:rPr>
            </w:pPr>
          </w:p>
        </w:tc>
        <w:tc>
          <w:tcPr>
            <w:tcW w:w="2394" w:type="dxa"/>
          </w:tcPr>
          <w:p w14:paraId="4F7C9F32" w14:textId="17C87F46" w:rsidR="00A837B4" w:rsidRDefault="00722F88" w:rsidP="0079260F">
            <w:pPr>
              <w:pStyle w:val="List"/>
              <w:ind w:left="0" w:firstLine="0"/>
              <w:rPr>
                <w:color w:val="000000"/>
                <w:u w:val="single"/>
              </w:rPr>
            </w:pPr>
            <w:r>
              <w:rPr>
                <w:color w:val="000000"/>
                <w:u w:val="single"/>
              </w:rPr>
              <w:t>800</w:t>
            </w:r>
            <w:r w:rsidR="00A837B4">
              <w:rPr>
                <w:color w:val="000000"/>
                <w:u w:val="single"/>
              </w:rPr>
              <w:t xml:space="preserve">,000 common shares </w:t>
            </w:r>
            <w:r w:rsidR="00702563">
              <w:rPr>
                <w:color w:val="000000"/>
                <w:u w:val="single"/>
              </w:rPr>
              <w:t xml:space="preserve">upon </w:t>
            </w:r>
            <w:r>
              <w:rPr>
                <w:color w:val="000000"/>
                <w:u w:val="single"/>
              </w:rPr>
              <w:t>closing of the Agreement</w:t>
            </w:r>
          </w:p>
          <w:p w14:paraId="7AF41C6C" w14:textId="18057A42" w:rsidR="00A837B4" w:rsidRPr="009E6D78" w:rsidRDefault="00A837B4" w:rsidP="0079260F">
            <w:pPr>
              <w:pStyle w:val="List"/>
              <w:ind w:left="0" w:firstLine="0"/>
              <w:rPr>
                <w:color w:val="000000"/>
                <w:u w:val="single"/>
              </w:rPr>
            </w:pPr>
          </w:p>
        </w:tc>
        <w:tc>
          <w:tcPr>
            <w:tcW w:w="2394" w:type="dxa"/>
          </w:tcPr>
          <w:p w14:paraId="01F36495" w14:textId="39CE3C4E" w:rsidR="00A837B4" w:rsidRPr="000945F6" w:rsidRDefault="00702563" w:rsidP="0079260F">
            <w:pPr>
              <w:pStyle w:val="List"/>
              <w:ind w:left="0" w:firstLine="0"/>
              <w:rPr>
                <w:color w:val="000000"/>
                <w:u w:val="single"/>
              </w:rPr>
            </w:pPr>
            <w:proofErr w:type="gramStart"/>
            <w:r>
              <w:rPr>
                <w:color w:val="000000"/>
                <w:u w:val="single"/>
              </w:rPr>
              <w:t>n</w:t>
            </w:r>
            <w:proofErr w:type="gramEnd"/>
            <w:r>
              <w:rPr>
                <w:color w:val="000000"/>
                <w:u w:val="single"/>
              </w:rPr>
              <w:t>/a</w:t>
            </w:r>
          </w:p>
        </w:tc>
      </w:tr>
      <w:tr w:rsidR="00A837B4" w:rsidRPr="009E6D78" w14:paraId="2E72B46D" w14:textId="77777777" w:rsidTr="0079260F">
        <w:tc>
          <w:tcPr>
            <w:tcW w:w="1566" w:type="dxa"/>
          </w:tcPr>
          <w:p w14:paraId="7E8A5E57" w14:textId="77777777" w:rsidR="00A837B4" w:rsidRPr="009E6D78" w:rsidRDefault="00A837B4" w:rsidP="0079260F">
            <w:pPr>
              <w:pStyle w:val="List"/>
              <w:ind w:left="0" w:firstLine="0"/>
              <w:rPr>
                <w:color w:val="000000"/>
                <w:u w:val="single"/>
              </w:rPr>
            </w:pPr>
            <w:r w:rsidRPr="009E6D78">
              <w:rPr>
                <w:color w:val="000000"/>
                <w:u w:val="single"/>
              </w:rPr>
              <w:t>Year 2</w:t>
            </w:r>
          </w:p>
        </w:tc>
        <w:tc>
          <w:tcPr>
            <w:tcW w:w="2394" w:type="dxa"/>
          </w:tcPr>
          <w:p w14:paraId="1D523E7F" w14:textId="3E4A425E" w:rsidR="00702563" w:rsidRPr="009E6D78" w:rsidRDefault="00722F88" w:rsidP="0079260F">
            <w:pPr>
              <w:pStyle w:val="List"/>
              <w:ind w:left="0" w:firstLine="0"/>
              <w:rPr>
                <w:color w:val="000000"/>
                <w:u w:val="single"/>
              </w:rPr>
            </w:pPr>
            <w:proofErr w:type="gramStart"/>
            <w:r>
              <w:rPr>
                <w:color w:val="000000"/>
                <w:u w:val="single"/>
              </w:rPr>
              <w:t>n</w:t>
            </w:r>
            <w:proofErr w:type="gramEnd"/>
            <w:r>
              <w:rPr>
                <w:color w:val="000000"/>
                <w:u w:val="single"/>
              </w:rPr>
              <w:t>/a</w:t>
            </w:r>
          </w:p>
        </w:tc>
        <w:tc>
          <w:tcPr>
            <w:tcW w:w="2394" w:type="dxa"/>
          </w:tcPr>
          <w:p w14:paraId="77345098" w14:textId="22F84B4C" w:rsidR="00A837B4" w:rsidRPr="009E6D78" w:rsidRDefault="00702563" w:rsidP="0079260F">
            <w:pPr>
              <w:pStyle w:val="List"/>
              <w:ind w:left="0" w:firstLine="0"/>
              <w:rPr>
                <w:color w:val="000000"/>
                <w:u w:val="single"/>
              </w:rPr>
            </w:pPr>
            <w:proofErr w:type="gramStart"/>
            <w:r>
              <w:rPr>
                <w:color w:val="000000"/>
                <w:u w:val="single"/>
              </w:rPr>
              <w:t>n</w:t>
            </w:r>
            <w:proofErr w:type="gramEnd"/>
            <w:r>
              <w:rPr>
                <w:color w:val="000000"/>
                <w:u w:val="single"/>
              </w:rPr>
              <w:t>/a</w:t>
            </w:r>
          </w:p>
        </w:tc>
        <w:tc>
          <w:tcPr>
            <w:tcW w:w="2394" w:type="dxa"/>
          </w:tcPr>
          <w:p w14:paraId="2D04DBD8" w14:textId="4509FC6C" w:rsidR="00A837B4" w:rsidRPr="009E6D78" w:rsidRDefault="00702563" w:rsidP="0079260F">
            <w:pPr>
              <w:pStyle w:val="List"/>
              <w:ind w:left="0" w:firstLine="0"/>
              <w:rPr>
                <w:color w:val="000000"/>
                <w:u w:val="single"/>
              </w:rPr>
            </w:pPr>
            <w:proofErr w:type="gramStart"/>
            <w:r>
              <w:rPr>
                <w:color w:val="000000"/>
                <w:u w:val="single"/>
              </w:rPr>
              <w:t>n</w:t>
            </w:r>
            <w:proofErr w:type="gramEnd"/>
            <w:r>
              <w:rPr>
                <w:color w:val="000000"/>
                <w:u w:val="single"/>
              </w:rPr>
              <w:t>/a</w:t>
            </w:r>
          </w:p>
        </w:tc>
      </w:tr>
      <w:tr w:rsidR="00A837B4" w:rsidRPr="009E6D78" w14:paraId="6BBC6CEE" w14:textId="77777777" w:rsidTr="0079260F">
        <w:trPr>
          <w:trHeight w:val="849"/>
        </w:trPr>
        <w:tc>
          <w:tcPr>
            <w:tcW w:w="1566" w:type="dxa"/>
          </w:tcPr>
          <w:p w14:paraId="018093F7" w14:textId="77777777" w:rsidR="00A837B4" w:rsidRPr="009E6D78" w:rsidRDefault="00A837B4" w:rsidP="0079260F">
            <w:pPr>
              <w:pStyle w:val="List"/>
              <w:ind w:left="0" w:firstLine="0"/>
              <w:rPr>
                <w:color w:val="000000"/>
                <w:u w:val="single"/>
              </w:rPr>
            </w:pPr>
            <w:r>
              <w:rPr>
                <w:color w:val="000000"/>
                <w:u w:val="single"/>
              </w:rPr>
              <w:t>Year 3</w:t>
            </w:r>
          </w:p>
        </w:tc>
        <w:tc>
          <w:tcPr>
            <w:tcW w:w="2394" w:type="dxa"/>
          </w:tcPr>
          <w:p w14:paraId="3CB92074" w14:textId="6C0A65C1" w:rsidR="00A837B4" w:rsidRPr="009E6D78" w:rsidRDefault="00722F88" w:rsidP="0079260F">
            <w:pPr>
              <w:pStyle w:val="List"/>
              <w:ind w:left="0" w:firstLine="0"/>
              <w:rPr>
                <w:color w:val="000000"/>
                <w:u w:val="single"/>
              </w:rPr>
            </w:pPr>
            <w:proofErr w:type="gramStart"/>
            <w:r>
              <w:rPr>
                <w:color w:val="000000"/>
                <w:u w:val="single"/>
              </w:rPr>
              <w:t>n</w:t>
            </w:r>
            <w:proofErr w:type="gramEnd"/>
            <w:r>
              <w:rPr>
                <w:color w:val="000000"/>
                <w:u w:val="single"/>
              </w:rPr>
              <w:t>/a</w:t>
            </w:r>
          </w:p>
        </w:tc>
        <w:tc>
          <w:tcPr>
            <w:tcW w:w="2394" w:type="dxa"/>
          </w:tcPr>
          <w:p w14:paraId="251EE50D" w14:textId="09F9ED82" w:rsidR="00A837B4" w:rsidRPr="009E6D78" w:rsidRDefault="00722F88" w:rsidP="0079260F">
            <w:pPr>
              <w:pStyle w:val="List"/>
              <w:ind w:left="0" w:firstLine="0"/>
              <w:rPr>
                <w:color w:val="000000"/>
                <w:u w:val="single"/>
              </w:rPr>
            </w:pPr>
            <w:proofErr w:type="gramStart"/>
            <w:r>
              <w:rPr>
                <w:color w:val="000000"/>
                <w:u w:val="single"/>
              </w:rPr>
              <w:t>n</w:t>
            </w:r>
            <w:proofErr w:type="gramEnd"/>
            <w:r>
              <w:rPr>
                <w:color w:val="000000"/>
                <w:u w:val="single"/>
              </w:rPr>
              <w:t>/a</w:t>
            </w:r>
          </w:p>
        </w:tc>
        <w:tc>
          <w:tcPr>
            <w:tcW w:w="2394" w:type="dxa"/>
          </w:tcPr>
          <w:p w14:paraId="2D45D9AC" w14:textId="5ADE8F6E" w:rsidR="00A837B4" w:rsidRPr="009E6D78" w:rsidRDefault="00722F88" w:rsidP="00702563">
            <w:pPr>
              <w:pStyle w:val="List"/>
              <w:ind w:left="0" w:firstLine="0"/>
              <w:rPr>
                <w:color w:val="000000"/>
                <w:u w:val="single"/>
              </w:rPr>
            </w:pPr>
            <w:proofErr w:type="gramStart"/>
            <w:r>
              <w:rPr>
                <w:color w:val="000000"/>
                <w:u w:val="single"/>
              </w:rPr>
              <w:t>n</w:t>
            </w:r>
            <w:proofErr w:type="gramEnd"/>
            <w:r>
              <w:rPr>
                <w:color w:val="000000"/>
                <w:u w:val="single"/>
              </w:rPr>
              <w:t>/a</w:t>
            </w:r>
          </w:p>
        </w:tc>
      </w:tr>
    </w:tbl>
    <w:p w14:paraId="3CD5124C" w14:textId="77777777" w:rsidR="00D11ACF" w:rsidRDefault="00D11ACF" w:rsidP="00D11ACF">
      <w:pPr>
        <w:pStyle w:val="List"/>
        <w:ind w:left="0" w:firstLine="0"/>
        <w:jc w:val="both"/>
        <w:rPr>
          <w:rFonts w:ascii="Arial" w:hAnsi="Arial"/>
          <w:color w:val="000000"/>
        </w:rPr>
      </w:pPr>
    </w:p>
    <w:p w14:paraId="552BB5FD" w14:textId="77777777" w:rsidR="00D11ACF" w:rsidRDefault="00D11ACF" w:rsidP="00D11ACF">
      <w:pPr>
        <w:pStyle w:val="List"/>
        <w:jc w:val="both"/>
        <w:rPr>
          <w:rFonts w:ascii="Arial" w:hAnsi="Arial"/>
          <w:color w:val="000000"/>
        </w:rPr>
      </w:pPr>
    </w:p>
    <w:p w14:paraId="23A2AF05" w14:textId="77777777" w:rsidR="00D11ACF" w:rsidRDefault="00D11ACF" w:rsidP="00D11ACF">
      <w:pPr>
        <w:pStyle w:val="List"/>
        <w:ind w:left="0" w:firstLine="0"/>
        <w:jc w:val="both"/>
        <w:rPr>
          <w:rFonts w:ascii="Arial" w:hAnsi="Arial"/>
          <w:color w:val="000000"/>
        </w:rPr>
      </w:pPr>
    </w:p>
    <w:p w14:paraId="4ECE6CEA" w14:textId="0DA9A8CA" w:rsidR="00EA4133" w:rsidRDefault="00A837B4" w:rsidP="00A837B4">
      <w:pPr>
        <w:pStyle w:val="List"/>
        <w:numPr>
          <w:ilvl w:val="0"/>
          <w:numId w:val="16"/>
        </w:numPr>
        <w:tabs>
          <w:tab w:val="left" w:pos="9180"/>
        </w:tabs>
        <w:rPr>
          <w:rFonts w:ascii="Arial" w:hAnsi="Arial"/>
          <w:color w:val="000000"/>
        </w:rPr>
      </w:pPr>
      <w:proofErr w:type="spellStart"/>
      <w:r>
        <w:rPr>
          <w:rFonts w:ascii="Arial" w:hAnsi="Arial"/>
          <w:color w:val="000000"/>
        </w:rPr>
        <w:t>S</w:t>
      </w:r>
      <w:r w:rsidR="00EA4133" w:rsidRPr="00A837B4">
        <w:rPr>
          <w:rFonts w:ascii="Arial" w:hAnsi="Arial"/>
          <w:color w:val="000000"/>
        </w:rPr>
        <w:t>State</w:t>
      </w:r>
      <w:proofErr w:type="spellEnd"/>
      <w:r w:rsidR="00EA4133" w:rsidRPr="00A837B4">
        <w:rPr>
          <w:rFonts w:ascii="Arial" w:hAnsi="Arial"/>
          <w:color w:val="000000"/>
        </w:rPr>
        <w:t xml:space="preserve"> how the purchase or sale price was determined (e.g. arm’s-length negotiation, independent committee of the Board, third party valuation </w:t>
      </w:r>
      <w:proofErr w:type="spellStart"/>
      <w:r w:rsidR="00EA4133" w:rsidRPr="00A837B4">
        <w:rPr>
          <w:rFonts w:ascii="Arial" w:hAnsi="Arial"/>
          <w:color w:val="000000"/>
        </w:rPr>
        <w:t>etc</w:t>
      </w:r>
      <w:proofErr w:type="spellEnd"/>
      <w:r w:rsidR="00EA4133" w:rsidRPr="00A837B4">
        <w:rPr>
          <w:rFonts w:ascii="Arial" w:hAnsi="Arial"/>
          <w:color w:val="000000"/>
        </w:rPr>
        <w:t>).</w:t>
      </w:r>
    </w:p>
    <w:p w14:paraId="2FFEB0C4" w14:textId="411A46D4" w:rsidR="00A837B4" w:rsidRPr="00A837B4" w:rsidRDefault="00A837B4" w:rsidP="00A837B4">
      <w:pPr>
        <w:pStyle w:val="List"/>
        <w:tabs>
          <w:tab w:val="left" w:pos="9180"/>
        </w:tabs>
        <w:ind w:left="709" w:firstLine="425"/>
        <w:rPr>
          <w:rFonts w:ascii="Arial" w:hAnsi="Arial"/>
          <w:color w:val="000000"/>
        </w:rPr>
      </w:pPr>
      <w:r w:rsidRPr="00A619A3">
        <w:rPr>
          <w:rFonts w:ascii="Arial" w:hAnsi="Arial"/>
          <w:color w:val="000000"/>
          <w:u w:val="single"/>
        </w:rPr>
        <w:t>Arm’s-length negotiation and approval by the board of directors</w:t>
      </w:r>
      <w:r>
        <w:rPr>
          <w:rFonts w:ascii="Arial" w:hAnsi="Arial"/>
          <w:color w:val="000000"/>
          <w:u w:val="single"/>
        </w:rPr>
        <w:t>.</w:t>
      </w:r>
    </w:p>
    <w:p w14:paraId="7170CC64" w14:textId="57317EB6" w:rsidR="00EA4133" w:rsidRDefault="00EA4133" w:rsidP="00A837B4">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A837B4">
        <w:rPr>
          <w:rFonts w:ascii="Arial" w:hAnsi="Arial"/>
          <w:color w:val="000000"/>
          <w:u w:val="single"/>
        </w:rPr>
        <w:t>n/a</w:t>
      </w:r>
    </w:p>
    <w:p w14:paraId="0F5E06ED"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25DD25F" w14:textId="77777777">
        <w:tc>
          <w:tcPr>
            <w:tcW w:w="1440" w:type="dxa"/>
          </w:tcPr>
          <w:p w14:paraId="253C6979" w14:textId="77777777" w:rsidR="00EA4133" w:rsidRDefault="00EA4133">
            <w:pPr>
              <w:pStyle w:val="BodyText"/>
              <w:keepNext/>
              <w:keepLines/>
              <w:spacing w:before="0" w:line="280" w:lineRule="exact"/>
              <w:jc w:val="center"/>
              <w:rPr>
                <w:rFonts w:ascii="Arial" w:hAnsi="Arial"/>
                <w:b/>
                <w:sz w:val="20"/>
                <w:lang w:val="en-CA"/>
              </w:rPr>
            </w:pPr>
          </w:p>
          <w:p w14:paraId="19A7035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738569B" w14:textId="77777777" w:rsidR="00EA4133" w:rsidRDefault="00EA4133">
            <w:pPr>
              <w:pStyle w:val="BodyText"/>
              <w:keepNext/>
              <w:keepLines/>
              <w:spacing w:before="0" w:line="280" w:lineRule="exact"/>
              <w:jc w:val="center"/>
              <w:rPr>
                <w:rFonts w:ascii="Arial" w:hAnsi="Arial"/>
                <w:b/>
                <w:sz w:val="20"/>
                <w:lang w:val="en-CA"/>
              </w:rPr>
            </w:pPr>
          </w:p>
          <w:p w14:paraId="075F5A0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700D1FE5" w14:textId="77777777" w:rsidR="00EA4133" w:rsidRDefault="00EA4133">
            <w:pPr>
              <w:pStyle w:val="BodyText"/>
              <w:keepNext/>
              <w:keepLines/>
              <w:spacing w:before="0" w:line="280" w:lineRule="exact"/>
              <w:jc w:val="center"/>
              <w:rPr>
                <w:rFonts w:ascii="Arial" w:hAnsi="Arial"/>
                <w:b/>
                <w:sz w:val="20"/>
                <w:lang w:val="en-CA"/>
              </w:rPr>
            </w:pPr>
          </w:p>
          <w:p w14:paraId="428D893B"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D66BC8" w14:textId="77777777" w:rsidR="00EA4133" w:rsidRDefault="00EA4133">
            <w:pPr>
              <w:pStyle w:val="BodyText"/>
              <w:keepNext/>
              <w:keepLines/>
              <w:spacing w:before="0" w:line="280" w:lineRule="exact"/>
              <w:jc w:val="center"/>
              <w:rPr>
                <w:rFonts w:ascii="Arial" w:hAnsi="Arial"/>
                <w:b/>
                <w:sz w:val="20"/>
                <w:lang w:val="en-CA"/>
              </w:rPr>
            </w:pPr>
          </w:p>
          <w:p w14:paraId="1EF1BF3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3B412F24" w14:textId="77777777" w:rsidR="00EA4133" w:rsidRDefault="00EA4133">
            <w:pPr>
              <w:pStyle w:val="BodyText"/>
              <w:keepNext/>
              <w:keepLines/>
              <w:spacing w:before="0" w:line="280" w:lineRule="exact"/>
              <w:jc w:val="center"/>
              <w:rPr>
                <w:rFonts w:ascii="Arial" w:hAnsi="Arial"/>
                <w:b/>
                <w:sz w:val="20"/>
                <w:lang w:val="en-CA"/>
              </w:rPr>
            </w:pPr>
          </w:p>
          <w:p w14:paraId="4EBA5E9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5ECB402F" w14:textId="77777777" w:rsidR="00EA4133" w:rsidRDefault="00EA4133">
            <w:pPr>
              <w:pStyle w:val="BodyText"/>
              <w:keepNext/>
              <w:keepLines/>
              <w:spacing w:before="0" w:line="280" w:lineRule="exact"/>
              <w:jc w:val="center"/>
              <w:rPr>
                <w:rFonts w:ascii="Arial" w:hAnsi="Arial"/>
                <w:b/>
                <w:sz w:val="20"/>
              </w:rPr>
            </w:pPr>
          </w:p>
          <w:p w14:paraId="366A44E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rPr>
              <w:t xml:space="preserve">No. </w:t>
            </w:r>
            <w:proofErr w:type="gramStart"/>
            <w:r>
              <w:rPr>
                <w:rFonts w:ascii="Arial" w:hAnsi="Arial"/>
                <w:b/>
                <w:sz w:val="20"/>
              </w:rPr>
              <w:t>of</w:t>
            </w:r>
            <w:proofErr w:type="gramEnd"/>
            <w:r>
              <w:rPr>
                <w:rFonts w:ascii="Arial" w:hAnsi="Arial"/>
                <w:b/>
                <w:sz w:val="20"/>
              </w:rPr>
              <w:t xml:space="preserve"> Securities, directly or indirectly, Owned, Controlled or Directed by Party</w:t>
            </w:r>
          </w:p>
        </w:tc>
        <w:tc>
          <w:tcPr>
            <w:tcW w:w="1530" w:type="dxa"/>
          </w:tcPr>
          <w:p w14:paraId="25E25F76" w14:textId="77777777" w:rsidR="00EA4133" w:rsidRDefault="00EA4133">
            <w:pPr>
              <w:pStyle w:val="BodyText"/>
              <w:keepNext/>
              <w:keepLines/>
              <w:spacing w:before="0" w:line="280" w:lineRule="exact"/>
              <w:jc w:val="center"/>
              <w:rPr>
                <w:rFonts w:ascii="Arial" w:hAnsi="Arial"/>
                <w:b/>
                <w:color w:val="000000"/>
                <w:sz w:val="20"/>
                <w:lang w:val="en-CA"/>
              </w:rPr>
            </w:pPr>
          </w:p>
          <w:p w14:paraId="7874E9E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83E8AC1" w14:textId="77777777" w:rsidR="00EA4133" w:rsidRDefault="00EA4133">
            <w:pPr>
              <w:pStyle w:val="BodyText"/>
              <w:keepNext/>
              <w:keepLines/>
              <w:spacing w:before="0" w:line="280" w:lineRule="exact"/>
              <w:jc w:val="center"/>
              <w:rPr>
                <w:rFonts w:ascii="Arial" w:hAnsi="Arial"/>
                <w:b/>
                <w:color w:val="000000"/>
                <w:sz w:val="20"/>
                <w:lang w:val="en-CA"/>
              </w:rPr>
            </w:pPr>
            <w:proofErr w:type="gramStart"/>
            <w:r>
              <w:rPr>
                <w:rFonts w:ascii="Arial" w:hAnsi="Arial"/>
                <w:b/>
                <w:color w:val="000000"/>
                <w:sz w:val="20"/>
                <w:lang w:val="en-CA"/>
              </w:rPr>
              <w:t>to</w:t>
            </w:r>
            <w:proofErr w:type="gramEnd"/>
            <w:r>
              <w:rPr>
                <w:rFonts w:ascii="Arial" w:hAnsi="Arial"/>
                <w:b/>
                <w:color w:val="000000"/>
                <w:sz w:val="20"/>
                <w:lang w:val="en-CA"/>
              </w:rPr>
              <w:t xml:space="preserve">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A837B4" w14:paraId="06874204" w14:textId="77777777" w:rsidTr="00722F88">
        <w:trPr>
          <w:trHeight w:hRule="exact" w:val="1713"/>
        </w:trPr>
        <w:tc>
          <w:tcPr>
            <w:tcW w:w="1440" w:type="dxa"/>
          </w:tcPr>
          <w:p w14:paraId="745C728E" w14:textId="4E758C19" w:rsidR="00A837B4" w:rsidRPr="00722F88" w:rsidRDefault="00722F88" w:rsidP="00483AF3">
            <w:pPr>
              <w:pStyle w:val="BodyText"/>
              <w:keepNext/>
              <w:keepLines/>
              <w:rPr>
                <w:rFonts w:ascii="Arial" w:hAnsi="Arial"/>
                <w:sz w:val="20"/>
                <w:lang w:val="en-CA"/>
              </w:rPr>
            </w:pPr>
            <w:r w:rsidRPr="00722F88">
              <w:rPr>
                <w:rFonts w:ascii="Arial" w:hAnsi="Arial"/>
                <w:sz w:val="20"/>
                <w:lang w:val="en-CA"/>
              </w:rPr>
              <w:t xml:space="preserve">Natalie </w:t>
            </w:r>
            <w:proofErr w:type="spellStart"/>
            <w:r w:rsidRPr="00722F88">
              <w:rPr>
                <w:rFonts w:ascii="Arial" w:hAnsi="Arial"/>
                <w:sz w:val="20"/>
                <w:lang w:val="en-CA"/>
              </w:rPr>
              <w:t>Specogna</w:t>
            </w:r>
            <w:proofErr w:type="spellEnd"/>
          </w:p>
        </w:tc>
        <w:tc>
          <w:tcPr>
            <w:tcW w:w="1260" w:type="dxa"/>
          </w:tcPr>
          <w:p w14:paraId="19A3AEF2" w14:textId="3CDE99DF" w:rsidR="00A837B4" w:rsidRPr="00722F88" w:rsidRDefault="00722F88">
            <w:pPr>
              <w:pStyle w:val="BodyText"/>
              <w:keepNext/>
              <w:keepLines/>
              <w:rPr>
                <w:rFonts w:ascii="Arial" w:hAnsi="Arial"/>
                <w:sz w:val="20"/>
                <w:lang w:val="en-CA"/>
              </w:rPr>
            </w:pPr>
            <w:r w:rsidRPr="00722F88">
              <w:rPr>
                <w:rFonts w:ascii="Arial" w:hAnsi="Arial"/>
                <w:sz w:val="20"/>
                <w:lang w:val="en-CA"/>
              </w:rPr>
              <w:t>4</w:t>
            </w:r>
            <w:r w:rsidR="00483AF3" w:rsidRPr="00722F88">
              <w:rPr>
                <w:rFonts w:ascii="Arial" w:hAnsi="Arial"/>
                <w:sz w:val="20"/>
                <w:lang w:val="en-CA"/>
              </w:rPr>
              <w:t>00,000 common shares</w:t>
            </w:r>
          </w:p>
        </w:tc>
        <w:tc>
          <w:tcPr>
            <w:tcW w:w="1260" w:type="dxa"/>
          </w:tcPr>
          <w:p w14:paraId="377B290B" w14:textId="23E03A13" w:rsidR="00A837B4" w:rsidRPr="00722F88" w:rsidRDefault="00722F88">
            <w:pPr>
              <w:pStyle w:val="BodyText"/>
              <w:keepNext/>
              <w:keepLines/>
              <w:rPr>
                <w:rFonts w:ascii="Arial" w:hAnsi="Arial"/>
                <w:sz w:val="20"/>
                <w:lang w:val="en-CA"/>
              </w:rPr>
            </w:pPr>
            <w:r w:rsidRPr="00722F88">
              <w:rPr>
                <w:rFonts w:ascii="Arial" w:hAnsi="Arial"/>
                <w:sz w:val="20"/>
                <w:lang w:val="en-CA"/>
              </w:rPr>
              <w:t>Deemed value of $0.07</w:t>
            </w:r>
            <w:r w:rsidR="00483AF3" w:rsidRPr="00722F88">
              <w:rPr>
                <w:rFonts w:ascii="Arial" w:hAnsi="Arial"/>
                <w:sz w:val="20"/>
                <w:lang w:val="en-CA"/>
              </w:rPr>
              <w:t>5</w:t>
            </w:r>
            <w:r w:rsidR="00A837B4" w:rsidRPr="00722F88">
              <w:rPr>
                <w:rFonts w:ascii="Arial" w:hAnsi="Arial"/>
                <w:sz w:val="20"/>
                <w:lang w:val="en-CA"/>
              </w:rPr>
              <w:t xml:space="preserve"> per common share</w:t>
            </w:r>
          </w:p>
        </w:tc>
        <w:tc>
          <w:tcPr>
            <w:tcW w:w="1440" w:type="dxa"/>
          </w:tcPr>
          <w:p w14:paraId="0AE26E81" w14:textId="7B82F279" w:rsidR="00A837B4" w:rsidRPr="00722F88" w:rsidRDefault="00A837B4">
            <w:pPr>
              <w:pStyle w:val="BodyText"/>
              <w:keepNext/>
              <w:keepLines/>
              <w:rPr>
                <w:rFonts w:ascii="Arial" w:hAnsi="Arial"/>
                <w:sz w:val="20"/>
                <w:lang w:val="en-CA"/>
              </w:rPr>
            </w:pPr>
            <w:r w:rsidRPr="00722F88">
              <w:rPr>
                <w:rFonts w:ascii="Arial" w:hAnsi="Arial"/>
                <w:sz w:val="20"/>
                <w:lang w:val="en-CA"/>
              </w:rPr>
              <w:t>N/A</w:t>
            </w:r>
          </w:p>
        </w:tc>
        <w:tc>
          <w:tcPr>
            <w:tcW w:w="1440" w:type="dxa"/>
          </w:tcPr>
          <w:p w14:paraId="2BB606BC" w14:textId="1253B670" w:rsidR="00A837B4" w:rsidRPr="00722F88" w:rsidRDefault="00A837B4">
            <w:pPr>
              <w:pStyle w:val="BodyText"/>
              <w:keepNext/>
              <w:keepLines/>
              <w:rPr>
                <w:rFonts w:ascii="Arial" w:hAnsi="Arial"/>
                <w:sz w:val="20"/>
                <w:lang w:val="en-CA"/>
              </w:rPr>
            </w:pPr>
            <w:r w:rsidRPr="00722F88">
              <w:rPr>
                <w:rFonts w:ascii="Arial" w:hAnsi="Arial"/>
                <w:sz w:val="20"/>
                <w:lang w:val="en-CA"/>
              </w:rPr>
              <w:t>2.13(2) of NI 45-106</w:t>
            </w:r>
          </w:p>
        </w:tc>
        <w:tc>
          <w:tcPr>
            <w:tcW w:w="1620" w:type="dxa"/>
          </w:tcPr>
          <w:p w14:paraId="012D12CC" w14:textId="308A9811" w:rsidR="00A837B4" w:rsidRPr="00722F88" w:rsidRDefault="00A837B4">
            <w:pPr>
              <w:pStyle w:val="BodyText"/>
              <w:keepNext/>
              <w:keepLines/>
              <w:rPr>
                <w:rFonts w:ascii="Arial" w:hAnsi="Arial"/>
                <w:sz w:val="20"/>
                <w:lang w:val="en-CA"/>
              </w:rPr>
            </w:pPr>
            <w:r w:rsidRPr="00722F88">
              <w:rPr>
                <w:rFonts w:ascii="Arial" w:hAnsi="Arial"/>
                <w:sz w:val="20"/>
                <w:lang w:val="en-CA"/>
              </w:rPr>
              <w:t>None</w:t>
            </w:r>
          </w:p>
        </w:tc>
        <w:tc>
          <w:tcPr>
            <w:tcW w:w="1530" w:type="dxa"/>
          </w:tcPr>
          <w:p w14:paraId="3936CDF0" w14:textId="4FF8928D" w:rsidR="00A837B4" w:rsidRPr="00722F88" w:rsidRDefault="00A837B4">
            <w:pPr>
              <w:pStyle w:val="BodyText"/>
              <w:keepNext/>
              <w:keepLines/>
              <w:rPr>
                <w:rFonts w:ascii="Arial" w:hAnsi="Arial"/>
                <w:sz w:val="20"/>
                <w:lang w:val="en-CA"/>
              </w:rPr>
            </w:pPr>
            <w:r w:rsidRPr="00722F88">
              <w:rPr>
                <w:rFonts w:ascii="Arial" w:hAnsi="Arial"/>
                <w:sz w:val="20"/>
                <w:lang w:val="en-CA"/>
              </w:rPr>
              <w:t>Non-related</w:t>
            </w:r>
          </w:p>
        </w:tc>
      </w:tr>
      <w:tr w:rsidR="00722F88" w14:paraId="2B003370" w14:textId="77777777" w:rsidTr="00722F88">
        <w:trPr>
          <w:trHeight w:hRule="exact" w:val="1695"/>
        </w:trPr>
        <w:tc>
          <w:tcPr>
            <w:tcW w:w="1440" w:type="dxa"/>
          </w:tcPr>
          <w:p w14:paraId="7F5A8396" w14:textId="0B672F68" w:rsidR="00722F88" w:rsidRDefault="00722F88" w:rsidP="00483AF3">
            <w:pPr>
              <w:pStyle w:val="BodyText"/>
              <w:keepNext/>
              <w:keepLines/>
              <w:rPr>
                <w:rFonts w:ascii="Arial" w:hAnsi="Arial"/>
                <w:sz w:val="20"/>
                <w:lang w:val="en-CA"/>
              </w:rPr>
            </w:pPr>
            <w:r>
              <w:rPr>
                <w:rFonts w:ascii="Arial" w:hAnsi="Arial"/>
                <w:sz w:val="20"/>
                <w:lang w:val="en-CA"/>
              </w:rPr>
              <w:t>Canal Front Investments Inc. (Blair Naughty)</w:t>
            </w:r>
          </w:p>
        </w:tc>
        <w:tc>
          <w:tcPr>
            <w:tcW w:w="1260" w:type="dxa"/>
          </w:tcPr>
          <w:p w14:paraId="4E771870" w14:textId="690ACCC9" w:rsidR="00722F88" w:rsidRDefault="00722F88">
            <w:pPr>
              <w:pStyle w:val="BodyText"/>
              <w:keepNext/>
              <w:keepLines/>
              <w:rPr>
                <w:rFonts w:ascii="Arial" w:hAnsi="Arial"/>
                <w:sz w:val="20"/>
                <w:lang w:val="en-CA"/>
              </w:rPr>
            </w:pPr>
            <w:r w:rsidRPr="00722F88">
              <w:rPr>
                <w:rFonts w:ascii="Arial" w:hAnsi="Arial"/>
                <w:sz w:val="20"/>
                <w:lang w:val="en-CA"/>
              </w:rPr>
              <w:t>400,000 common shares</w:t>
            </w:r>
          </w:p>
        </w:tc>
        <w:tc>
          <w:tcPr>
            <w:tcW w:w="1260" w:type="dxa"/>
          </w:tcPr>
          <w:p w14:paraId="49F15FC5" w14:textId="5E5F203F" w:rsidR="00722F88" w:rsidRDefault="00722F88">
            <w:pPr>
              <w:pStyle w:val="BodyText"/>
              <w:keepNext/>
              <w:keepLines/>
              <w:rPr>
                <w:rFonts w:ascii="Arial" w:hAnsi="Arial"/>
                <w:sz w:val="20"/>
                <w:lang w:val="en-CA"/>
              </w:rPr>
            </w:pPr>
            <w:r w:rsidRPr="00722F88">
              <w:rPr>
                <w:rFonts w:ascii="Arial" w:hAnsi="Arial"/>
                <w:sz w:val="20"/>
                <w:lang w:val="en-CA"/>
              </w:rPr>
              <w:t>Deemed value of $0.075 per common share</w:t>
            </w:r>
          </w:p>
        </w:tc>
        <w:tc>
          <w:tcPr>
            <w:tcW w:w="1440" w:type="dxa"/>
          </w:tcPr>
          <w:p w14:paraId="4BF3F5A9" w14:textId="0264F9F1" w:rsidR="00722F88" w:rsidRDefault="00722F88">
            <w:pPr>
              <w:pStyle w:val="BodyText"/>
              <w:keepNext/>
              <w:keepLines/>
              <w:rPr>
                <w:rFonts w:ascii="Arial" w:hAnsi="Arial"/>
                <w:lang w:val="en-CA"/>
              </w:rPr>
            </w:pPr>
            <w:r w:rsidRPr="00722F88">
              <w:rPr>
                <w:rFonts w:ascii="Arial" w:hAnsi="Arial"/>
                <w:sz w:val="20"/>
                <w:lang w:val="en-CA"/>
              </w:rPr>
              <w:t>N/A</w:t>
            </w:r>
          </w:p>
        </w:tc>
        <w:tc>
          <w:tcPr>
            <w:tcW w:w="1440" w:type="dxa"/>
          </w:tcPr>
          <w:p w14:paraId="69244037" w14:textId="76D538FC" w:rsidR="00722F88" w:rsidRDefault="00722F88">
            <w:pPr>
              <w:pStyle w:val="BodyText"/>
              <w:keepNext/>
              <w:keepLines/>
              <w:rPr>
                <w:rFonts w:ascii="Arial" w:hAnsi="Arial"/>
                <w:sz w:val="20"/>
                <w:lang w:val="en-CA"/>
              </w:rPr>
            </w:pPr>
            <w:r w:rsidRPr="00722F88">
              <w:rPr>
                <w:rFonts w:ascii="Arial" w:hAnsi="Arial"/>
                <w:sz w:val="20"/>
                <w:lang w:val="en-CA"/>
              </w:rPr>
              <w:t>2.13(2) of NI 45-106</w:t>
            </w:r>
          </w:p>
        </w:tc>
        <w:tc>
          <w:tcPr>
            <w:tcW w:w="1620" w:type="dxa"/>
          </w:tcPr>
          <w:p w14:paraId="2EC0666F" w14:textId="6CF822B8" w:rsidR="00722F88" w:rsidRDefault="00722F88">
            <w:pPr>
              <w:pStyle w:val="BodyText"/>
              <w:keepNext/>
              <w:keepLines/>
              <w:rPr>
                <w:rFonts w:ascii="Arial" w:hAnsi="Arial"/>
                <w:sz w:val="20"/>
                <w:lang w:val="en-CA"/>
              </w:rPr>
            </w:pPr>
            <w:r w:rsidRPr="00722F88">
              <w:rPr>
                <w:rFonts w:ascii="Arial" w:hAnsi="Arial"/>
                <w:sz w:val="20"/>
                <w:lang w:val="en-CA"/>
              </w:rPr>
              <w:t>None</w:t>
            </w:r>
          </w:p>
        </w:tc>
        <w:tc>
          <w:tcPr>
            <w:tcW w:w="1530" w:type="dxa"/>
          </w:tcPr>
          <w:p w14:paraId="26266BBF" w14:textId="0658D17A" w:rsidR="00722F88" w:rsidRDefault="00722F88">
            <w:pPr>
              <w:pStyle w:val="BodyText"/>
              <w:keepNext/>
              <w:keepLines/>
              <w:rPr>
                <w:rFonts w:ascii="Arial" w:hAnsi="Arial"/>
                <w:sz w:val="20"/>
                <w:lang w:val="en-CA"/>
              </w:rPr>
            </w:pPr>
            <w:r w:rsidRPr="00722F88">
              <w:rPr>
                <w:rFonts w:ascii="Arial" w:hAnsi="Arial"/>
                <w:sz w:val="20"/>
                <w:lang w:val="en-CA"/>
              </w:rPr>
              <w:t>Non-related</w:t>
            </w:r>
          </w:p>
        </w:tc>
      </w:tr>
    </w:tbl>
    <w:p w14:paraId="45C67EBA"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9BE3681" w14:textId="1B24A80B" w:rsidR="00EA4133" w:rsidRDefault="00EA4133" w:rsidP="00A837B4">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A837B4">
        <w:rPr>
          <w:rFonts w:ascii="Arial" w:hAnsi="Arial"/>
          <w:color w:val="000000"/>
          <w:u w:val="single"/>
        </w:rPr>
        <w:t>Represented and warranted on Agreement.</w:t>
      </w:r>
    </w:p>
    <w:p w14:paraId="713DE846" w14:textId="0114A219"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A837B4">
        <w:rPr>
          <w:rFonts w:ascii="Arial" w:hAnsi="Arial"/>
        </w:rPr>
        <w:t xml:space="preserve"> </w:t>
      </w:r>
    </w:p>
    <w:p w14:paraId="00F786D1" w14:textId="77777777" w:rsidR="00483AF3" w:rsidRDefault="00EA4133">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p>
    <w:p w14:paraId="6F04B778" w14:textId="59E461E8" w:rsidR="00EA4133" w:rsidRDefault="00483AF3">
      <w:pPr>
        <w:pStyle w:val="List"/>
        <w:tabs>
          <w:tab w:val="left" w:pos="2160"/>
          <w:tab w:val="left" w:pos="9180"/>
        </w:tabs>
        <w:ind w:left="2160"/>
        <w:jc w:val="both"/>
        <w:rPr>
          <w:rFonts w:ascii="Arial" w:hAnsi="Arial"/>
          <w:u w:val="single"/>
        </w:rPr>
      </w:pPr>
      <w:r>
        <w:rPr>
          <w:rFonts w:ascii="Arial" w:hAnsi="Arial"/>
        </w:rPr>
        <w:tab/>
      </w:r>
      <w:r w:rsidR="00722F88">
        <w:rPr>
          <w:rFonts w:ascii="Arial" w:hAnsi="Arial"/>
          <w:u w:val="single"/>
        </w:rPr>
        <w:t>N/A</w:t>
      </w:r>
    </w:p>
    <w:p w14:paraId="22FF621E"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Pr>
          <w:rFonts w:ascii="Arial" w:hAnsi="Arial"/>
          <w:u w:val="single"/>
        </w:rPr>
        <w:tab/>
      </w:r>
      <w:r>
        <w:rPr>
          <w:rFonts w:ascii="Arial" w:hAnsi="Arial"/>
        </w:rPr>
        <w:t xml:space="preserve"> .</w:t>
      </w:r>
      <w:proofErr w:type="gramEnd"/>
    </w:p>
    <w:p w14:paraId="3A63E58D" w14:textId="1CE9F87C"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722F88">
        <w:rPr>
          <w:rFonts w:ascii="Arial" w:hAnsi="Arial"/>
          <w:u w:val="single"/>
        </w:rPr>
        <w:tab/>
      </w:r>
    </w:p>
    <w:p w14:paraId="256A2518"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 xml:space="preserve">Other </w:t>
      </w:r>
      <w:r>
        <w:rPr>
          <w:rFonts w:ascii="Arial" w:hAnsi="Arial"/>
          <w:u w:val="single"/>
        </w:rPr>
        <w:tab/>
      </w:r>
      <w:r>
        <w:rPr>
          <w:rFonts w:ascii="Arial" w:hAnsi="Arial"/>
        </w:rPr>
        <w:t xml:space="preserve"> .</w:t>
      </w:r>
      <w:proofErr w:type="gramEnd"/>
    </w:p>
    <w:p w14:paraId="741DDF82"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9147D9B"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6223750E" w14:textId="77777777" w:rsidR="00CF2A90" w:rsidRDefault="00CF2A90" w:rsidP="00CF2A90">
      <w:pPr>
        <w:pStyle w:val="List"/>
        <w:tabs>
          <w:tab w:val="left" w:pos="9180"/>
        </w:tabs>
        <w:ind w:left="0" w:firstLine="0"/>
        <w:rPr>
          <w:rFonts w:ascii="Arial" w:hAnsi="Arial"/>
          <w:color w:val="000000"/>
        </w:rPr>
      </w:pPr>
    </w:p>
    <w:p w14:paraId="054E7A73" w14:textId="162B82A8"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A837B4" w:rsidRPr="00A837B4">
        <w:rPr>
          <w:rFonts w:ascii="Arial" w:hAnsi="Arial"/>
          <w:color w:val="000000"/>
          <w:u w:val="single"/>
        </w:rPr>
        <w:t>N/A</w:t>
      </w:r>
    </w:p>
    <w:p w14:paraId="028CE8E0" w14:textId="202B3206" w:rsidR="00EA4133" w:rsidRDefault="00EA4133" w:rsidP="00A837B4">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A837B4">
        <w:rPr>
          <w:rFonts w:ascii="Arial" w:hAnsi="Arial"/>
          <w:color w:val="000000"/>
          <w:u w:val="single"/>
        </w:rPr>
        <w:t>N/A</w:t>
      </w:r>
    </w:p>
    <w:p w14:paraId="72CE7F49" w14:textId="77777777" w:rsidR="001F219B" w:rsidRDefault="001F219B">
      <w:pPr>
        <w:pStyle w:val="List"/>
        <w:tabs>
          <w:tab w:val="left" w:pos="1080"/>
        </w:tabs>
        <w:ind w:left="0" w:firstLine="0"/>
        <w:rPr>
          <w:rFonts w:ascii="Arial" w:hAnsi="Arial"/>
          <w:b/>
        </w:rPr>
      </w:pPr>
    </w:p>
    <w:p w14:paraId="76F61046" w14:textId="77777777" w:rsidR="001F219B" w:rsidRDefault="001F219B">
      <w:pPr>
        <w:pStyle w:val="List"/>
        <w:tabs>
          <w:tab w:val="left" w:pos="1080"/>
        </w:tabs>
        <w:ind w:left="0" w:firstLine="0"/>
        <w:rPr>
          <w:rFonts w:ascii="Arial" w:hAnsi="Arial"/>
          <w:b/>
        </w:rPr>
      </w:pPr>
    </w:p>
    <w:p w14:paraId="58DB4ED4" w14:textId="77777777" w:rsidR="001F219B" w:rsidRDefault="001F219B">
      <w:pPr>
        <w:pStyle w:val="List"/>
        <w:tabs>
          <w:tab w:val="left" w:pos="1080"/>
        </w:tabs>
        <w:ind w:left="0" w:firstLine="0"/>
        <w:rPr>
          <w:rFonts w:ascii="Arial" w:hAnsi="Arial"/>
          <w:b/>
        </w:rPr>
      </w:pPr>
    </w:p>
    <w:p w14:paraId="706C0F87" w14:textId="77777777" w:rsidR="001F219B" w:rsidRDefault="001F219B">
      <w:pPr>
        <w:pStyle w:val="List"/>
        <w:tabs>
          <w:tab w:val="left" w:pos="1080"/>
        </w:tabs>
        <w:ind w:left="0" w:firstLine="0"/>
        <w:rPr>
          <w:rFonts w:ascii="Arial" w:hAnsi="Arial"/>
          <w:b/>
        </w:rPr>
      </w:pPr>
    </w:p>
    <w:p w14:paraId="7C9C9930" w14:textId="77777777" w:rsidR="001F219B" w:rsidRDefault="001F219B">
      <w:pPr>
        <w:pStyle w:val="List"/>
        <w:tabs>
          <w:tab w:val="left" w:pos="1080"/>
        </w:tabs>
        <w:ind w:left="0" w:firstLine="0"/>
        <w:rPr>
          <w:rFonts w:ascii="Arial" w:hAnsi="Arial"/>
          <w:b/>
        </w:rPr>
      </w:pPr>
    </w:p>
    <w:p w14:paraId="1EADBD0D" w14:textId="77777777" w:rsidR="001F219B" w:rsidRDefault="001F219B">
      <w:pPr>
        <w:pStyle w:val="List"/>
        <w:tabs>
          <w:tab w:val="left" w:pos="1080"/>
        </w:tabs>
        <w:ind w:left="0" w:firstLine="0"/>
        <w:rPr>
          <w:rFonts w:ascii="Arial" w:hAnsi="Arial"/>
          <w:b/>
        </w:rPr>
      </w:pPr>
    </w:p>
    <w:p w14:paraId="0A3A63E2" w14:textId="77777777" w:rsidR="001F219B" w:rsidRDefault="001F219B">
      <w:pPr>
        <w:pStyle w:val="List"/>
        <w:tabs>
          <w:tab w:val="left" w:pos="1080"/>
        </w:tabs>
        <w:ind w:left="0" w:firstLine="0"/>
        <w:rPr>
          <w:rFonts w:ascii="Arial" w:hAnsi="Arial"/>
          <w:b/>
        </w:rPr>
      </w:pPr>
    </w:p>
    <w:p w14:paraId="7D168580" w14:textId="77777777" w:rsidR="001F219B" w:rsidRDefault="001F219B">
      <w:pPr>
        <w:pStyle w:val="List"/>
        <w:tabs>
          <w:tab w:val="left" w:pos="1080"/>
        </w:tabs>
        <w:ind w:left="0" w:firstLine="0"/>
        <w:rPr>
          <w:rFonts w:ascii="Arial" w:hAnsi="Arial"/>
          <w:b/>
        </w:rPr>
      </w:pPr>
    </w:p>
    <w:p w14:paraId="640C8CBD" w14:textId="77777777" w:rsidR="001F219B" w:rsidRDefault="001F219B">
      <w:pPr>
        <w:pStyle w:val="List"/>
        <w:tabs>
          <w:tab w:val="left" w:pos="1080"/>
        </w:tabs>
        <w:ind w:left="0" w:firstLine="0"/>
        <w:rPr>
          <w:rFonts w:ascii="Arial" w:hAnsi="Arial"/>
          <w:b/>
        </w:rPr>
      </w:pPr>
    </w:p>
    <w:p w14:paraId="508017A2" w14:textId="77777777" w:rsidR="001F219B" w:rsidRDefault="001F219B">
      <w:pPr>
        <w:pStyle w:val="List"/>
        <w:tabs>
          <w:tab w:val="left" w:pos="1080"/>
        </w:tabs>
        <w:ind w:left="0" w:firstLine="0"/>
        <w:rPr>
          <w:rFonts w:ascii="Arial" w:hAnsi="Arial"/>
          <w:b/>
        </w:rPr>
      </w:pPr>
    </w:p>
    <w:p w14:paraId="5D178E0C" w14:textId="77777777" w:rsidR="001F219B" w:rsidRDefault="001F219B">
      <w:pPr>
        <w:pStyle w:val="List"/>
        <w:tabs>
          <w:tab w:val="left" w:pos="1080"/>
        </w:tabs>
        <w:ind w:left="0" w:firstLine="0"/>
        <w:rPr>
          <w:rFonts w:ascii="Arial" w:hAnsi="Arial"/>
          <w:b/>
        </w:rPr>
      </w:pPr>
    </w:p>
    <w:p w14:paraId="6BB14749" w14:textId="77777777" w:rsidR="001F219B" w:rsidRDefault="001F219B">
      <w:pPr>
        <w:pStyle w:val="List"/>
        <w:tabs>
          <w:tab w:val="left" w:pos="1080"/>
        </w:tabs>
        <w:ind w:left="0" w:firstLine="0"/>
        <w:rPr>
          <w:rFonts w:ascii="Arial" w:hAnsi="Arial"/>
          <w:b/>
        </w:rPr>
      </w:pPr>
    </w:p>
    <w:p w14:paraId="6A5F8A56" w14:textId="77777777" w:rsidR="002051C8" w:rsidRDefault="002051C8">
      <w:pPr>
        <w:pStyle w:val="List"/>
        <w:tabs>
          <w:tab w:val="left" w:pos="1080"/>
        </w:tabs>
        <w:ind w:left="0" w:firstLine="0"/>
        <w:rPr>
          <w:rFonts w:ascii="Arial" w:hAnsi="Arial"/>
          <w:b/>
        </w:rPr>
      </w:pPr>
    </w:p>
    <w:p w14:paraId="7D3E3F42" w14:textId="77777777" w:rsidR="002051C8" w:rsidRDefault="002051C8">
      <w:pPr>
        <w:pStyle w:val="List"/>
        <w:tabs>
          <w:tab w:val="left" w:pos="1080"/>
        </w:tabs>
        <w:ind w:left="0" w:firstLine="0"/>
        <w:rPr>
          <w:rFonts w:ascii="Arial" w:hAnsi="Arial"/>
          <w:b/>
        </w:rPr>
      </w:pPr>
    </w:p>
    <w:p w14:paraId="580DB9B1" w14:textId="77777777" w:rsidR="002051C8" w:rsidRDefault="002051C8">
      <w:pPr>
        <w:pStyle w:val="List"/>
        <w:tabs>
          <w:tab w:val="left" w:pos="1080"/>
        </w:tabs>
        <w:ind w:left="0" w:firstLine="0"/>
        <w:rPr>
          <w:rFonts w:ascii="Arial" w:hAnsi="Arial"/>
          <w:b/>
        </w:rPr>
      </w:pPr>
    </w:p>
    <w:p w14:paraId="56EE7FD7" w14:textId="77777777" w:rsidR="00722F88" w:rsidRDefault="00722F88">
      <w:pPr>
        <w:pStyle w:val="List"/>
        <w:tabs>
          <w:tab w:val="left" w:pos="1080"/>
        </w:tabs>
        <w:ind w:left="0" w:firstLine="0"/>
        <w:rPr>
          <w:rFonts w:ascii="Arial" w:hAnsi="Arial"/>
          <w:b/>
        </w:rPr>
      </w:pPr>
    </w:p>
    <w:p w14:paraId="16AB504C" w14:textId="77777777" w:rsidR="00722F88" w:rsidRDefault="00722F88">
      <w:pPr>
        <w:pStyle w:val="List"/>
        <w:tabs>
          <w:tab w:val="left" w:pos="1080"/>
        </w:tabs>
        <w:ind w:left="0" w:firstLine="0"/>
        <w:rPr>
          <w:rFonts w:ascii="Arial" w:hAnsi="Arial"/>
          <w:b/>
        </w:rPr>
      </w:pPr>
    </w:p>
    <w:p w14:paraId="45342A62" w14:textId="77777777" w:rsidR="00722F88" w:rsidRDefault="00722F88">
      <w:pPr>
        <w:pStyle w:val="List"/>
        <w:tabs>
          <w:tab w:val="left" w:pos="1080"/>
        </w:tabs>
        <w:ind w:left="0" w:firstLine="0"/>
        <w:rPr>
          <w:rFonts w:ascii="Arial" w:hAnsi="Arial"/>
          <w:b/>
        </w:rPr>
      </w:pPr>
    </w:p>
    <w:p w14:paraId="7D4AC2F8" w14:textId="77777777" w:rsidR="00722F88" w:rsidRDefault="00722F88">
      <w:pPr>
        <w:pStyle w:val="List"/>
        <w:tabs>
          <w:tab w:val="left" w:pos="1080"/>
        </w:tabs>
        <w:ind w:left="0" w:firstLine="0"/>
        <w:rPr>
          <w:rFonts w:ascii="Arial" w:hAnsi="Arial"/>
          <w:b/>
        </w:rPr>
      </w:pPr>
    </w:p>
    <w:p w14:paraId="3826AE56" w14:textId="77777777" w:rsidR="00722F88" w:rsidRDefault="00722F88">
      <w:pPr>
        <w:pStyle w:val="List"/>
        <w:tabs>
          <w:tab w:val="left" w:pos="1080"/>
        </w:tabs>
        <w:ind w:left="0" w:firstLine="0"/>
        <w:rPr>
          <w:rFonts w:ascii="Arial" w:hAnsi="Arial"/>
          <w:b/>
        </w:rPr>
      </w:pPr>
    </w:p>
    <w:p w14:paraId="51D85E59" w14:textId="77777777"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74A84FB9" w14:textId="77777777" w:rsidR="00EA4133" w:rsidRDefault="00EA4133">
      <w:pPr>
        <w:pStyle w:val="BodyText"/>
        <w:rPr>
          <w:rFonts w:ascii="Arial" w:hAnsi="Arial"/>
        </w:rPr>
      </w:pPr>
      <w:r>
        <w:rPr>
          <w:rFonts w:ascii="Arial" w:hAnsi="Arial"/>
        </w:rPr>
        <w:t>The undersigned hereby certifies that:</w:t>
      </w:r>
    </w:p>
    <w:p w14:paraId="780772C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0CB1ED3" w14:textId="77777777" w:rsidR="00EA4133" w:rsidRDefault="00EA4133">
      <w:pPr>
        <w:pStyle w:val="List"/>
        <w:numPr>
          <w:ilvl w:val="0"/>
          <w:numId w:val="7"/>
        </w:numPr>
        <w:jc w:val="both"/>
        <w:rPr>
          <w:rFonts w:ascii="Arial" w:hAnsi="Arial"/>
        </w:rPr>
      </w:pPr>
      <w:r>
        <w:rPr>
          <w:rFonts w:ascii="Arial" w:hAnsi="Arial"/>
        </w:rPr>
        <w:t xml:space="preserve">As of the date hereof there is not material information concerning the </w:t>
      </w:r>
      <w:proofErr w:type="gramStart"/>
      <w:r>
        <w:rPr>
          <w:rFonts w:ascii="Arial" w:hAnsi="Arial"/>
        </w:rPr>
        <w:t>Issuer which</w:t>
      </w:r>
      <w:proofErr w:type="gramEnd"/>
      <w:r>
        <w:rPr>
          <w:rFonts w:ascii="Arial" w:hAnsi="Arial"/>
        </w:rPr>
        <w:t xml:space="preserve"> has not been publicly disclosed.</w:t>
      </w:r>
    </w:p>
    <w:p w14:paraId="1B6A5919"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59E8E2C1"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564FFBAD" w14:textId="3D09F5C4"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722F88">
        <w:rPr>
          <w:rFonts w:ascii="Arial" w:hAnsi="Arial"/>
          <w:u w:val="single"/>
        </w:rPr>
        <w:t>March 13</w:t>
      </w:r>
      <w:bookmarkStart w:id="4" w:name="_GoBack"/>
      <w:bookmarkEnd w:id="4"/>
      <w:r w:rsidR="00483AF3">
        <w:rPr>
          <w:rFonts w:ascii="Arial" w:hAnsi="Arial"/>
          <w:u w:val="single"/>
        </w:rPr>
        <w:t>, 2017</w:t>
      </w:r>
    </w:p>
    <w:p w14:paraId="5576F576" w14:textId="77777777" w:rsidR="00EA4133" w:rsidRDefault="00EA4133">
      <w:pPr>
        <w:pStyle w:val="List"/>
        <w:tabs>
          <w:tab w:val="left" w:pos="9180"/>
        </w:tabs>
        <w:ind w:left="5760" w:hanging="5760"/>
        <w:rPr>
          <w:rFonts w:ascii="Arial" w:hAnsi="Arial"/>
        </w:rPr>
      </w:pPr>
      <w:r>
        <w:rPr>
          <w:rFonts w:ascii="Arial" w:hAnsi="Arial"/>
        </w:rPr>
        <w:tab/>
      </w:r>
      <w:r w:rsidR="001F219B">
        <w:rPr>
          <w:rFonts w:ascii="Arial" w:hAnsi="Arial"/>
          <w:u w:val="single"/>
        </w:rPr>
        <w:t>Keith Anderson</w:t>
      </w:r>
      <w:r w:rsidR="001F219B">
        <w:rPr>
          <w:rFonts w:ascii="Arial" w:hAnsi="Arial"/>
          <w:u w:val="single"/>
        </w:rPr>
        <w:tab/>
      </w:r>
      <w:r>
        <w:rPr>
          <w:rFonts w:ascii="Arial" w:hAnsi="Arial"/>
          <w:u w:val="single"/>
        </w:rPr>
        <w:br/>
      </w:r>
      <w:r>
        <w:rPr>
          <w:rFonts w:ascii="Arial" w:hAnsi="Arial"/>
        </w:rPr>
        <w:t>Name of Director or Senior Officer</w:t>
      </w:r>
    </w:p>
    <w:p w14:paraId="4FB392FF" w14:textId="77777777" w:rsidR="00EA4133" w:rsidRDefault="00EA4133">
      <w:pPr>
        <w:pStyle w:val="List"/>
        <w:tabs>
          <w:tab w:val="left" w:pos="9180"/>
          <w:tab w:val="left" w:pos="9360"/>
        </w:tabs>
        <w:ind w:left="5760" w:hanging="5760"/>
        <w:rPr>
          <w:rFonts w:ascii="Arial" w:hAnsi="Arial"/>
        </w:rPr>
      </w:pPr>
      <w:r>
        <w:rPr>
          <w:rFonts w:ascii="Arial" w:hAnsi="Arial"/>
        </w:rPr>
        <w:tab/>
      </w:r>
      <w:r w:rsidR="001F219B">
        <w:rPr>
          <w:rFonts w:ascii="Arial" w:hAnsi="Arial"/>
        </w:rPr>
        <w:t>“</w:t>
      </w:r>
      <w:r w:rsidR="001F219B" w:rsidRPr="001F219B">
        <w:rPr>
          <w:rFonts w:ascii="Arial" w:hAnsi="Arial"/>
          <w:i/>
          <w:u w:val="single"/>
        </w:rPr>
        <w:t>Keith Anderson</w:t>
      </w:r>
      <w:r w:rsidR="001F219B">
        <w:rPr>
          <w:rFonts w:ascii="Arial" w:hAnsi="Arial"/>
        </w:rPr>
        <w:t>”</w:t>
      </w:r>
      <w:r>
        <w:rPr>
          <w:rFonts w:ascii="Arial" w:hAnsi="Arial"/>
          <w:u w:val="single"/>
        </w:rPr>
        <w:tab/>
      </w:r>
      <w:r>
        <w:rPr>
          <w:rFonts w:ascii="Arial" w:hAnsi="Arial"/>
        </w:rPr>
        <w:br/>
        <w:t>Signature</w:t>
      </w:r>
    </w:p>
    <w:p w14:paraId="371B2664" w14:textId="77777777" w:rsidR="00EA4133" w:rsidRDefault="00EA4133">
      <w:pPr>
        <w:pStyle w:val="List"/>
        <w:tabs>
          <w:tab w:val="left" w:pos="9180"/>
          <w:tab w:val="left" w:pos="9360"/>
        </w:tabs>
        <w:ind w:left="5760" w:hanging="5760"/>
        <w:rPr>
          <w:rFonts w:ascii="Arial" w:hAnsi="Arial"/>
        </w:rPr>
      </w:pPr>
      <w:r>
        <w:rPr>
          <w:rFonts w:ascii="Arial" w:hAnsi="Arial"/>
        </w:rPr>
        <w:tab/>
      </w:r>
      <w:r w:rsidR="001F219B">
        <w:rPr>
          <w:rFonts w:ascii="Arial" w:hAnsi="Arial"/>
          <w:u w:val="single"/>
        </w:rPr>
        <w:t>President &amp; CEO</w:t>
      </w:r>
      <w:r w:rsidR="001F219B">
        <w:rPr>
          <w:rFonts w:ascii="Arial" w:hAnsi="Arial"/>
          <w:u w:val="single"/>
        </w:rPr>
        <w:tab/>
      </w:r>
      <w:r>
        <w:rPr>
          <w:rFonts w:ascii="Arial" w:hAnsi="Arial"/>
        </w:rPr>
        <w:br/>
        <w:t>Official Capacity</w:t>
      </w:r>
    </w:p>
    <w:p w14:paraId="0A5E2514" w14:textId="77777777" w:rsidR="00054C99" w:rsidRDefault="00054C99">
      <w:pPr>
        <w:pStyle w:val="List"/>
        <w:tabs>
          <w:tab w:val="left" w:pos="9180"/>
          <w:tab w:val="left" w:pos="9360"/>
        </w:tabs>
        <w:ind w:left="5760" w:hanging="5760"/>
        <w:rPr>
          <w:rFonts w:ascii="Arial" w:hAnsi="Arial"/>
        </w:rPr>
      </w:pPr>
    </w:p>
    <w:p w14:paraId="34910A41" w14:textId="77777777" w:rsidR="00054C99" w:rsidRDefault="00054C99" w:rsidP="00A837B4">
      <w:pPr>
        <w:pStyle w:val="List"/>
        <w:tabs>
          <w:tab w:val="left" w:pos="9180"/>
          <w:tab w:val="left" w:pos="9360"/>
        </w:tabs>
        <w:ind w:left="0" w:firstLine="0"/>
        <w:rPr>
          <w:rFonts w:ascii="Arial" w:hAnsi="Arial"/>
        </w:rPr>
      </w:pPr>
    </w:p>
    <w:sectPr w:rsidR="00054C99"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49E13" w14:textId="77777777" w:rsidR="00A45ADB" w:rsidRDefault="00A45ADB">
      <w:r>
        <w:separator/>
      </w:r>
    </w:p>
  </w:endnote>
  <w:endnote w:type="continuationSeparator" w:id="0">
    <w:p w14:paraId="22116630" w14:textId="77777777" w:rsidR="00A45ADB" w:rsidRDefault="00A4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91B6" w14:textId="77777777" w:rsidR="00A45ADB" w:rsidRDefault="00A45ADB"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25F4C4DF" wp14:editId="3A317900">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14:paraId="667DA6BE" w14:textId="77777777" w:rsidR="00A45ADB" w:rsidRDefault="00A45ADB" w:rsidP="008003B9">
    <w:pPr>
      <w:tabs>
        <w:tab w:val="center" w:pos="4674"/>
        <w:tab w:val="left" w:pos="8460"/>
      </w:tabs>
      <w:jc w:val="center"/>
      <w:rPr>
        <w:rStyle w:val="PageNumber"/>
        <w:rFonts w:ascii="Arial" w:hAnsi="Arial" w:cs="Arial"/>
        <w:b/>
      </w:rPr>
    </w:pPr>
    <w:r>
      <w:rPr>
        <w:rFonts w:ascii="Arial" w:hAnsi="Arial" w:cs="Arial"/>
        <w:b/>
      </w:rPr>
      <w:t>LISTED SECURITIES</w:t>
    </w:r>
  </w:p>
  <w:p w14:paraId="7D72A6A1" w14:textId="77777777" w:rsidR="00A45ADB" w:rsidRDefault="00A45ADB"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26F6600" w14:textId="77777777" w:rsidR="00A45ADB" w:rsidRPr="002557FD" w:rsidRDefault="00A45ADB"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722F88">
      <w:rPr>
        <w:rStyle w:val="PageNumber"/>
        <w:rFonts w:ascii="Arial" w:hAnsi="Arial" w:cs="Arial"/>
        <w:noProof/>
        <w:sz w:val="16"/>
        <w:szCs w:val="16"/>
      </w:rPr>
      <w:t>5</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0766" w14:textId="77777777" w:rsidR="00A45ADB" w:rsidRDefault="00A45ADB">
    <w:pPr>
      <w:pStyle w:val="Footer"/>
    </w:pPr>
    <w:fldSimple w:instr=" DOCPROPERTY FOOTERPATH \* MERGEFORMAT ">
      <w:r>
        <w:t>3214.001\0180</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C976E" w14:textId="77777777" w:rsidR="00A45ADB" w:rsidRDefault="00A45ADB">
      <w:r>
        <w:separator/>
      </w:r>
    </w:p>
  </w:footnote>
  <w:footnote w:type="continuationSeparator" w:id="0">
    <w:p w14:paraId="2D57E039" w14:textId="77777777" w:rsidR="00A45ADB" w:rsidRDefault="00A45A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EF61DC3"/>
    <w:multiLevelType w:val="hybridMultilevel"/>
    <w:tmpl w:val="DD2A1FD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nsid w:val="462D6D6D"/>
    <w:multiLevelType w:val="hybridMultilevel"/>
    <w:tmpl w:val="928227B2"/>
    <w:lvl w:ilvl="0" w:tplc="0409000F">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1">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2">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3">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4"/>
  </w:num>
  <w:num w:numId="3">
    <w:abstractNumId w:val="11"/>
  </w:num>
  <w:num w:numId="4">
    <w:abstractNumId w:val="15"/>
  </w:num>
  <w:num w:numId="5">
    <w:abstractNumId w:val="13"/>
  </w:num>
  <w:num w:numId="6">
    <w:abstractNumId w:val="0"/>
  </w:num>
  <w:num w:numId="7">
    <w:abstractNumId w:val="12"/>
  </w:num>
  <w:num w:numId="8">
    <w:abstractNumId w:val="6"/>
  </w:num>
  <w:num w:numId="9">
    <w:abstractNumId w:val="8"/>
  </w:num>
  <w:num w:numId="10">
    <w:abstractNumId w:val="5"/>
  </w:num>
  <w:num w:numId="11">
    <w:abstractNumId w:val="16"/>
  </w:num>
  <w:num w:numId="12">
    <w:abstractNumId w:val="18"/>
  </w:num>
  <w:num w:numId="13">
    <w:abstractNumId w:val="4"/>
  </w:num>
  <w:num w:numId="14">
    <w:abstractNumId w:val="10"/>
  </w:num>
  <w:num w:numId="15">
    <w:abstractNumId w:val="1"/>
  </w:num>
  <w:num w:numId="16">
    <w:abstractNumId w:val="17"/>
  </w:num>
  <w:num w:numId="17">
    <w:abstractNumId w:val="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54C99"/>
    <w:rsid w:val="00057027"/>
    <w:rsid w:val="000B64EF"/>
    <w:rsid w:val="000E7B73"/>
    <w:rsid w:val="00116314"/>
    <w:rsid w:val="00173F0B"/>
    <w:rsid w:val="00186DA5"/>
    <w:rsid w:val="001B7CCD"/>
    <w:rsid w:val="001F219B"/>
    <w:rsid w:val="002051C8"/>
    <w:rsid w:val="00236840"/>
    <w:rsid w:val="002557FD"/>
    <w:rsid w:val="0029761B"/>
    <w:rsid w:val="002D393D"/>
    <w:rsid w:val="002F0416"/>
    <w:rsid w:val="002F3707"/>
    <w:rsid w:val="00326D55"/>
    <w:rsid w:val="00456624"/>
    <w:rsid w:val="004567D5"/>
    <w:rsid w:val="00473FAF"/>
    <w:rsid w:val="00483AF3"/>
    <w:rsid w:val="004A1403"/>
    <w:rsid w:val="004B214D"/>
    <w:rsid w:val="005C65EF"/>
    <w:rsid w:val="00617A0E"/>
    <w:rsid w:val="0062717F"/>
    <w:rsid w:val="00702563"/>
    <w:rsid w:val="00722F88"/>
    <w:rsid w:val="007568B3"/>
    <w:rsid w:val="0079260F"/>
    <w:rsid w:val="007B0425"/>
    <w:rsid w:val="008003B9"/>
    <w:rsid w:val="008C5D1D"/>
    <w:rsid w:val="008F27FF"/>
    <w:rsid w:val="00902C13"/>
    <w:rsid w:val="009136E7"/>
    <w:rsid w:val="009466F0"/>
    <w:rsid w:val="0097763E"/>
    <w:rsid w:val="00A00C54"/>
    <w:rsid w:val="00A10285"/>
    <w:rsid w:val="00A41350"/>
    <w:rsid w:val="00A45ADB"/>
    <w:rsid w:val="00A837B4"/>
    <w:rsid w:val="00A90670"/>
    <w:rsid w:val="00A93530"/>
    <w:rsid w:val="00A9392C"/>
    <w:rsid w:val="00AD6CCD"/>
    <w:rsid w:val="00B923F6"/>
    <w:rsid w:val="00BE76E7"/>
    <w:rsid w:val="00C24E59"/>
    <w:rsid w:val="00C473F3"/>
    <w:rsid w:val="00CF076A"/>
    <w:rsid w:val="00CF2A90"/>
    <w:rsid w:val="00D11ACF"/>
    <w:rsid w:val="00DB640C"/>
    <w:rsid w:val="00E55E58"/>
    <w:rsid w:val="00E97C13"/>
    <w:rsid w:val="00EA4133"/>
    <w:rsid w:val="00EA4AE0"/>
    <w:rsid w:val="00F114A0"/>
    <w:rsid w:val="00FD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18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link w:val="TitleChar"/>
    <w:uiPriority w:val="10"/>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TitleChar">
    <w:name w:val="Title Char"/>
    <w:link w:val="Title"/>
    <w:uiPriority w:val="10"/>
    <w:rsid w:val="005C65EF"/>
    <w:rPr>
      <w:rFonts w:ascii="Arial" w:hAnsi="Arial"/>
      <w:b/>
      <w:sz w:val="4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link w:val="TitleChar"/>
    <w:uiPriority w:val="10"/>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TitleChar">
    <w:name w:val="Title Char"/>
    <w:link w:val="Title"/>
    <w:uiPriority w:val="10"/>
    <w:rsid w:val="005C65EF"/>
    <w:rPr>
      <w:rFonts w:ascii="Arial" w:hAnsi="Arial"/>
      <w:b/>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9499">
      <w:bodyDiv w:val="1"/>
      <w:marLeft w:val="0"/>
      <w:marRight w:val="0"/>
      <w:marTop w:val="0"/>
      <w:marBottom w:val="0"/>
      <w:divBdr>
        <w:top w:val="none" w:sz="0" w:space="0" w:color="auto"/>
        <w:left w:val="none" w:sz="0" w:space="0" w:color="auto"/>
        <w:bottom w:val="none" w:sz="0" w:space="0" w:color="auto"/>
        <w:right w:val="none" w:sz="0" w:space="0" w:color="auto"/>
      </w:divBdr>
    </w:div>
    <w:div w:id="144321967">
      <w:bodyDiv w:val="1"/>
      <w:marLeft w:val="0"/>
      <w:marRight w:val="0"/>
      <w:marTop w:val="0"/>
      <w:marBottom w:val="0"/>
      <w:divBdr>
        <w:top w:val="none" w:sz="0" w:space="0" w:color="auto"/>
        <w:left w:val="none" w:sz="0" w:space="0" w:color="auto"/>
        <w:bottom w:val="none" w:sz="0" w:space="0" w:color="auto"/>
        <w:right w:val="none" w:sz="0" w:space="0" w:color="auto"/>
      </w:divBdr>
    </w:div>
    <w:div w:id="287011677">
      <w:bodyDiv w:val="1"/>
      <w:marLeft w:val="0"/>
      <w:marRight w:val="0"/>
      <w:marTop w:val="0"/>
      <w:marBottom w:val="0"/>
      <w:divBdr>
        <w:top w:val="none" w:sz="0" w:space="0" w:color="auto"/>
        <w:left w:val="none" w:sz="0" w:space="0" w:color="auto"/>
        <w:bottom w:val="none" w:sz="0" w:space="0" w:color="auto"/>
        <w:right w:val="none" w:sz="0" w:space="0" w:color="auto"/>
      </w:divBdr>
    </w:div>
    <w:div w:id="370228412">
      <w:bodyDiv w:val="1"/>
      <w:marLeft w:val="0"/>
      <w:marRight w:val="0"/>
      <w:marTop w:val="0"/>
      <w:marBottom w:val="0"/>
      <w:divBdr>
        <w:top w:val="none" w:sz="0" w:space="0" w:color="auto"/>
        <w:left w:val="none" w:sz="0" w:space="0" w:color="auto"/>
        <w:bottom w:val="none" w:sz="0" w:space="0" w:color="auto"/>
        <w:right w:val="none" w:sz="0" w:space="0" w:color="auto"/>
      </w:divBdr>
    </w:div>
    <w:div w:id="437795801">
      <w:bodyDiv w:val="1"/>
      <w:marLeft w:val="0"/>
      <w:marRight w:val="0"/>
      <w:marTop w:val="0"/>
      <w:marBottom w:val="0"/>
      <w:divBdr>
        <w:top w:val="none" w:sz="0" w:space="0" w:color="auto"/>
        <w:left w:val="none" w:sz="0" w:space="0" w:color="auto"/>
        <w:bottom w:val="none" w:sz="0" w:space="0" w:color="auto"/>
        <w:right w:val="none" w:sz="0" w:space="0" w:color="auto"/>
      </w:divBdr>
    </w:div>
    <w:div w:id="452596412">
      <w:bodyDiv w:val="1"/>
      <w:marLeft w:val="0"/>
      <w:marRight w:val="0"/>
      <w:marTop w:val="0"/>
      <w:marBottom w:val="0"/>
      <w:divBdr>
        <w:top w:val="none" w:sz="0" w:space="0" w:color="auto"/>
        <w:left w:val="none" w:sz="0" w:space="0" w:color="auto"/>
        <w:bottom w:val="none" w:sz="0" w:space="0" w:color="auto"/>
        <w:right w:val="none" w:sz="0" w:space="0" w:color="auto"/>
      </w:divBdr>
    </w:div>
    <w:div w:id="492338840">
      <w:bodyDiv w:val="1"/>
      <w:marLeft w:val="0"/>
      <w:marRight w:val="0"/>
      <w:marTop w:val="0"/>
      <w:marBottom w:val="0"/>
      <w:divBdr>
        <w:top w:val="none" w:sz="0" w:space="0" w:color="auto"/>
        <w:left w:val="none" w:sz="0" w:space="0" w:color="auto"/>
        <w:bottom w:val="none" w:sz="0" w:space="0" w:color="auto"/>
        <w:right w:val="none" w:sz="0" w:space="0" w:color="auto"/>
      </w:divBdr>
    </w:div>
    <w:div w:id="610283780">
      <w:bodyDiv w:val="1"/>
      <w:marLeft w:val="0"/>
      <w:marRight w:val="0"/>
      <w:marTop w:val="0"/>
      <w:marBottom w:val="0"/>
      <w:divBdr>
        <w:top w:val="none" w:sz="0" w:space="0" w:color="auto"/>
        <w:left w:val="none" w:sz="0" w:space="0" w:color="auto"/>
        <w:bottom w:val="none" w:sz="0" w:space="0" w:color="auto"/>
        <w:right w:val="none" w:sz="0" w:space="0" w:color="auto"/>
      </w:divBdr>
    </w:div>
    <w:div w:id="821965481">
      <w:bodyDiv w:val="1"/>
      <w:marLeft w:val="0"/>
      <w:marRight w:val="0"/>
      <w:marTop w:val="0"/>
      <w:marBottom w:val="0"/>
      <w:divBdr>
        <w:top w:val="none" w:sz="0" w:space="0" w:color="auto"/>
        <w:left w:val="none" w:sz="0" w:space="0" w:color="auto"/>
        <w:bottom w:val="none" w:sz="0" w:space="0" w:color="auto"/>
        <w:right w:val="none" w:sz="0" w:space="0" w:color="auto"/>
      </w:divBdr>
    </w:div>
    <w:div w:id="1087113911">
      <w:bodyDiv w:val="1"/>
      <w:marLeft w:val="0"/>
      <w:marRight w:val="0"/>
      <w:marTop w:val="0"/>
      <w:marBottom w:val="0"/>
      <w:divBdr>
        <w:top w:val="none" w:sz="0" w:space="0" w:color="auto"/>
        <w:left w:val="none" w:sz="0" w:space="0" w:color="auto"/>
        <w:bottom w:val="none" w:sz="0" w:space="0" w:color="auto"/>
        <w:right w:val="none" w:sz="0" w:space="0" w:color="auto"/>
      </w:divBdr>
    </w:div>
    <w:div w:id="1345743563">
      <w:bodyDiv w:val="1"/>
      <w:marLeft w:val="0"/>
      <w:marRight w:val="0"/>
      <w:marTop w:val="0"/>
      <w:marBottom w:val="0"/>
      <w:divBdr>
        <w:top w:val="none" w:sz="0" w:space="0" w:color="auto"/>
        <w:left w:val="none" w:sz="0" w:space="0" w:color="auto"/>
        <w:bottom w:val="none" w:sz="0" w:space="0" w:color="auto"/>
        <w:right w:val="none" w:sz="0" w:space="0" w:color="auto"/>
      </w:divBdr>
    </w:div>
    <w:div w:id="1399591195">
      <w:bodyDiv w:val="1"/>
      <w:marLeft w:val="0"/>
      <w:marRight w:val="0"/>
      <w:marTop w:val="0"/>
      <w:marBottom w:val="0"/>
      <w:divBdr>
        <w:top w:val="none" w:sz="0" w:space="0" w:color="auto"/>
        <w:left w:val="none" w:sz="0" w:space="0" w:color="auto"/>
        <w:bottom w:val="none" w:sz="0" w:space="0" w:color="auto"/>
        <w:right w:val="none" w:sz="0" w:space="0" w:color="auto"/>
      </w:divBdr>
    </w:div>
    <w:div w:id="1428579421">
      <w:bodyDiv w:val="1"/>
      <w:marLeft w:val="0"/>
      <w:marRight w:val="0"/>
      <w:marTop w:val="0"/>
      <w:marBottom w:val="0"/>
      <w:divBdr>
        <w:top w:val="none" w:sz="0" w:space="0" w:color="auto"/>
        <w:left w:val="none" w:sz="0" w:space="0" w:color="auto"/>
        <w:bottom w:val="none" w:sz="0" w:space="0" w:color="auto"/>
        <w:right w:val="none" w:sz="0" w:space="0" w:color="auto"/>
      </w:divBdr>
    </w:div>
    <w:div w:id="1466121368">
      <w:bodyDiv w:val="1"/>
      <w:marLeft w:val="0"/>
      <w:marRight w:val="0"/>
      <w:marTop w:val="0"/>
      <w:marBottom w:val="0"/>
      <w:divBdr>
        <w:top w:val="none" w:sz="0" w:space="0" w:color="auto"/>
        <w:left w:val="none" w:sz="0" w:space="0" w:color="auto"/>
        <w:bottom w:val="none" w:sz="0" w:space="0" w:color="auto"/>
        <w:right w:val="none" w:sz="0" w:space="0" w:color="auto"/>
      </w:divBdr>
    </w:div>
    <w:div w:id="1484080118">
      <w:bodyDiv w:val="1"/>
      <w:marLeft w:val="0"/>
      <w:marRight w:val="0"/>
      <w:marTop w:val="0"/>
      <w:marBottom w:val="0"/>
      <w:divBdr>
        <w:top w:val="none" w:sz="0" w:space="0" w:color="auto"/>
        <w:left w:val="none" w:sz="0" w:space="0" w:color="auto"/>
        <w:bottom w:val="none" w:sz="0" w:space="0" w:color="auto"/>
        <w:right w:val="none" w:sz="0" w:space="0" w:color="auto"/>
      </w:divBdr>
    </w:div>
    <w:div w:id="1706326107">
      <w:bodyDiv w:val="1"/>
      <w:marLeft w:val="0"/>
      <w:marRight w:val="0"/>
      <w:marTop w:val="0"/>
      <w:marBottom w:val="0"/>
      <w:divBdr>
        <w:top w:val="none" w:sz="0" w:space="0" w:color="auto"/>
        <w:left w:val="none" w:sz="0" w:space="0" w:color="auto"/>
        <w:bottom w:val="none" w:sz="0" w:space="0" w:color="auto"/>
        <w:right w:val="none" w:sz="0" w:space="0" w:color="auto"/>
      </w:divBdr>
    </w:div>
    <w:div w:id="1928539018">
      <w:bodyDiv w:val="1"/>
      <w:marLeft w:val="0"/>
      <w:marRight w:val="0"/>
      <w:marTop w:val="0"/>
      <w:marBottom w:val="0"/>
      <w:divBdr>
        <w:top w:val="none" w:sz="0" w:space="0" w:color="auto"/>
        <w:left w:val="none" w:sz="0" w:space="0" w:color="auto"/>
        <w:bottom w:val="none" w:sz="0" w:space="0" w:color="auto"/>
        <w:right w:val="none" w:sz="0" w:space="0" w:color="auto"/>
      </w:divBdr>
    </w:div>
    <w:div w:id="19355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1310</Words>
  <Characters>7469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2004-05-20T20:47:00Z</cp:lastPrinted>
  <dcterms:created xsi:type="dcterms:W3CDTF">2017-03-13T19:11:00Z</dcterms:created>
  <dcterms:modified xsi:type="dcterms:W3CDTF">2017-03-13T19:11:00Z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