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2489" w14:textId="77777777" w:rsidR="00EA4133" w:rsidRPr="0001060A" w:rsidRDefault="00EA4133">
      <w:pPr>
        <w:pStyle w:val="Title"/>
        <w:spacing w:before="0"/>
        <w:rPr>
          <w:sz w:val="28"/>
          <w:lang w:val="en-CA"/>
        </w:rPr>
      </w:pPr>
      <w:r w:rsidRPr="0001060A">
        <w:rPr>
          <w:sz w:val="28"/>
          <w:lang w:val="en-CA"/>
        </w:rPr>
        <w:t>FORM 9</w:t>
      </w:r>
    </w:p>
    <w:p w14:paraId="1F6D75C3"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454B7316"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8AE423" w14:textId="77777777" w:rsidR="00EA4133" w:rsidRDefault="00EA4133">
      <w:pPr>
        <w:pStyle w:val="BodyText"/>
        <w:rPr>
          <w:rFonts w:ascii="Arial" w:hAnsi="Arial"/>
          <w:lang w:val="en-CA"/>
        </w:rPr>
      </w:pPr>
      <w:r>
        <w:rPr>
          <w:rFonts w:ascii="Arial" w:hAnsi="Arial"/>
          <w:lang w:val="en-CA"/>
        </w:rPr>
        <w:t>Please complete the following:</w:t>
      </w:r>
    </w:p>
    <w:p w14:paraId="3D5F080E" w14:textId="0C4753DD"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2F3707">
        <w:rPr>
          <w:rFonts w:ascii="Arial" w:hAnsi="Arial"/>
          <w:u w:val="single"/>
          <w:lang w:val="en-CA"/>
        </w:rPr>
        <w:t>Alchemist Mining Incorporated</w:t>
      </w:r>
      <w:r w:rsidR="001F219B">
        <w:rPr>
          <w:rFonts w:ascii="Arial" w:hAnsi="Arial"/>
          <w:u w:val="single"/>
          <w:lang w:val="en-CA"/>
        </w:rPr>
        <w:t xml:space="preserve"> </w:t>
      </w:r>
      <w:r w:rsidR="001F219B">
        <w:rPr>
          <w:rFonts w:ascii="Arial" w:hAnsi="Arial"/>
          <w:lang w:val="en-CA"/>
        </w:rPr>
        <w:t>(the “Issuer”)</w:t>
      </w:r>
    </w:p>
    <w:p w14:paraId="01C4C5F3" w14:textId="77777777" w:rsidR="00EA4133" w:rsidRDefault="00EA4133">
      <w:pPr>
        <w:pStyle w:val="BodyText"/>
        <w:rPr>
          <w:rFonts w:ascii="Arial" w:hAnsi="Arial"/>
          <w:lang w:val="en-CA"/>
        </w:rPr>
      </w:pPr>
      <w:r>
        <w:rPr>
          <w:rFonts w:ascii="Arial" w:hAnsi="Arial"/>
          <w:lang w:val="en-CA"/>
        </w:rPr>
        <w:t xml:space="preserve">Trading Symbol:  </w:t>
      </w:r>
      <w:r w:rsidR="001F219B" w:rsidRPr="001F219B">
        <w:rPr>
          <w:rFonts w:ascii="Arial" w:hAnsi="Arial"/>
          <w:u w:val="single"/>
          <w:lang w:val="en-CA"/>
        </w:rPr>
        <w:t>AMS</w:t>
      </w:r>
    </w:p>
    <w:p w14:paraId="74EAABFA" w14:textId="682C76A2"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79260F">
        <w:rPr>
          <w:rFonts w:ascii="Arial" w:hAnsi="Arial"/>
          <w:u w:val="single"/>
          <w:lang w:val="en-CA"/>
        </w:rPr>
        <w:t>March 7, 2017</w:t>
      </w:r>
      <w:r w:rsidR="001F219B">
        <w:rPr>
          <w:rFonts w:ascii="Arial" w:hAnsi="Arial"/>
          <w:lang w:val="en-CA"/>
        </w:rPr>
        <w:t xml:space="preserve"> </w:t>
      </w:r>
    </w:p>
    <w:p w14:paraId="69D49892" w14:textId="37F61339"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A41350">
        <w:rPr>
          <w:rFonts w:ascii="Arial" w:hAnsi="Arial"/>
          <w:lang w:val="en-CA"/>
        </w:rPr>
        <w:t xml:space="preserve"> </w:t>
      </w:r>
      <w:r w:rsidR="002F3707">
        <w:rPr>
          <w:rFonts w:ascii="ＭＳ ゴシック" w:eastAsia="ＭＳ ゴシック" w:hAnsi="ＭＳ ゴシック" w:hint="eastAsia"/>
          <w:lang w:val="en-CA"/>
        </w:rPr>
        <w:t>☐</w:t>
      </w:r>
      <w:r>
        <w:rPr>
          <w:rFonts w:ascii="Arial" w:hAnsi="Arial"/>
          <w:lang w:val="en-CA"/>
        </w:rPr>
        <w:t>Yes</w:t>
      </w:r>
      <w:r>
        <w:rPr>
          <w:rFonts w:ascii="Arial" w:hAnsi="Arial"/>
          <w:lang w:val="en-CA"/>
        </w:rPr>
        <w:tab/>
      </w:r>
      <w:r>
        <w:rPr>
          <w:rFonts w:ascii="Arial" w:hAnsi="Arial"/>
          <w:lang w:val="en-CA"/>
        </w:rPr>
        <w:tab/>
      </w:r>
      <w:r w:rsidR="002F3707">
        <w:rPr>
          <w:rFonts w:ascii="Wingdings" w:hAnsi="Wingdings"/>
          <w:lang w:val="en-CA"/>
        </w:rPr>
        <w:t></w:t>
      </w:r>
      <w:r w:rsidR="001F219B">
        <w:rPr>
          <w:rFonts w:ascii="Arial" w:hAnsi="Arial"/>
          <w:lang w:val="en-CA"/>
        </w:rPr>
        <w:t>No</w:t>
      </w:r>
    </w:p>
    <w:p w14:paraId="1BEE0876" w14:textId="764C3AE9" w:rsidR="00EA4133" w:rsidRDefault="00EA4133">
      <w:pPr>
        <w:pStyle w:val="BodyText"/>
        <w:tabs>
          <w:tab w:val="left" w:pos="9180"/>
        </w:tabs>
        <w:spacing w:before="0" w:after="240"/>
        <w:rPr>
          <w:rFonts w:ascii="Arial" w:hAnsi="Arial"/>
          <w:lang w:val="en-CA"/>
        </w:rPr>
      </w:pPr>
      <w:r>
        <w:rPr>
          <w:rFonts w:ascii="Arial" w:hAnsi="Arial"/>
          <w:lang w:val="en-CA"/>
        </w:rPr>
        <w:t xml:space="preserve">If yes provide date(s) of prior Notices: </w:t>
      </w:r>
    </w:p>
    <w:p w14:paraId="15C74E2B" w14:textId="24E5E165"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001F219B">
        <w:rPr>
          <w:rFonts w:ascii="Arial" w:hAnsi="Arial"/>
          <w:lang w:val="en-CA"/>
        </w:rPr>
        <w:t xml:space="preserve">:  </w:t>
      </w:r>
      <w:r w:rsidR="0079260F">
        <w:rPr>
          <w:rFonts w:ascii="Arial" w:hAnsi="Arial"/>
          <w:u w:val="single"/>
          <w:lang w:val="en-CA"/>
        </w:rPr>
        <w:t>23,343,100</w:t>
      </w:r>
    </w:p>
    <w:p w14:paraId="1A0E7D0C" w14:textId="25FBB9DF"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79260F">
        <w:rPr>
          <w:rFonts w:ascii="Arial" w:hAnsi="Arial"/>
          <w:u w:val="single"/>
          <w:lang w:val="en-CA"/>
        </w:rPr>
        <w:t>March 6, 2017</w:t>
      </w:r>
    </w:p>
    <w:p w14:paraId="38DFFC64" w14:textId="068A7D32"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057027">
        <w:rPr>
          <w:rFonts w:ascii="Arial" w:hAnsi="Arial"/>
          <w:u w:val="single"/>
          <w:lang w:val="en-CA"/>
        </w:rPr>
        <w:t>$0.0</w:t>
      </w:r>
      <w:r w:rsidR="0079260F">
        <w:rPr>
          <w:rFonts w:ascii="Arial" w:hAnsi="Arial"/>
          <w:u w:val="single"/>
          <w:lang w:val="en-CA"/>
        </w:rPr>
        <w:t>85</w:t>
      </w:r>
    </w:p>
    <w:p w14:paraId="03E269AA" w14:textId="23DCA4A0" w:rsidR="00A4135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w:t>
      </w:r>
      <w:r w:rsidR="00A41350">
        <w:rPr>
          <w:rFonts w:ascii="Arial" w:hAnsi="Arial"/>
          <w:b/>
          <w:lang w:val="en-CA"/>
        </w:rPr>
        <w:t>eed to Part 2 of this form</w:t>
      </w:r>
      <w:proofErr w:type="gramStart"/>
      <w:r w:rsidR="00A41350">
        <w:rPr>
          <w:rFonts w:ascii="Arial" w:hAnsi="Arial"/>
          <w:b/>
          <w:lang w:val="en-CA"/>
        </w:rPr>
        <w:t xml:space="preserve">) </w:t>
      </w:r>
      <w:r w:rsidR="00057027">
        <w:rPr>
          <w:rFonts w:ascii="Arial" w:hAnsi="Arial"/>
          <w:b/>
          <w:lang w:val="en-CA"/>
        </w:rPr>
        <w:t xml:space="preserve"> N</w:t>
      </w:r>
      <w:proofErr w:type="gramEnd"/>
      <w:r w:rsidR="00057027">
        <w:rPr>
          <w:rFonts w:ascii="Arial" w:hAnsi="Arial"/>
          <w:b/>
          <w:lang w:val="en-CA"/>
        </w:rPr>
        <w:t>/A</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302"/>
        <w:gridCol w:w="1376"/>
        <w:gridCol w:w="1376"/>
        <w:gridCol w:w="1742"/>
        <w:gridCol w:w="1100"/>
        <w:gridCol w:w="1100"/>
      </w:tblGrid>
      <w:tr w:rsidR="00A41350" w14:paraId="03754E53" w14:textId="77777777" w:rsidTr="00C24E59">
        <w:trPr>
          <w:trHeight w:val="1965"/>
        </w:trPr>
        <w:tc>
          <w:tcPr>
            <w:tcW w:w="1526" w:type="dxa"/>
          </w:tcPr>
          <w:p w14:paraId="1FFC505D" w14:textId="77777777" w:rsidR="00A41350" w:rsidRDefault="00A41350" w:rsidP="00A41350">
            <w:pPr>
              <w:pStyle w:val="BodyText"/>
              <w:spacing w:before="0" w:line="280" w:lineRule="exact"/>
              <w:jc w:val="center"/>
              <w:rPr>
                <w:rFonts w:ascii="Arial" w:hAnsi="Arial"/>
                <w:b/>
                <w:sz w:val="20"/>
                <w:lang w:val="en-CA"/>
              </w:rPr>
            </w:pPr>
          </w:p>
          <w:p w14:paraId="2DA3BCB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134" w:type="dxa"/>
          </w:tcPr>
          <w:p w14:paraId="7D8B12B7" w14:textId="77777777" w:rsidR="00A41350" w:rsidRDefault="00A41350" w:rsidP="00A41350">
            <w:pPr>
              <w:pStyle w:val="BodyText"/>
              <w:spacing w:before="0" w:line="280" w:lineRule="exact"/>
              <w:jc w:val="center"/>
              <w:rPr>
                <w:rFonts w:ascii="Arial" w:hAnsi="Arial"/>
                <w:b/>
                <w:sz w:val="20"/>
                <w:lang w:val="en-CA"/>
              </w:rPr>
            </w:pPr>
          </w:p>
          <w:p w14:paraId="5B59E1B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302" w:type="dxa"/>
          </w:tcPr>
          <w:p w14:paraId="22348D89" w14:textId="77777777" w:rsidR="00A41350" w:rsidRDefault="00A41350" w:rsidP="00A41350">
            <w:pPr>
              <w:pStyle w:val="BodyText"/>
              <w:spacing w:before="0" w:line="280" w:lineRule="exact"/>
              <w:jc w:val="center"/>
              <w:rPr>
                <w:rFonts w:ascii="Arial" w:hAnsi="Arial"/>
                <w:b/>
                <w:sz w:val="20"/>
                <w:lang w:val="en-CA"/>
              </w:rPr>
            </w:pPr>
          </w:p>
          <w:p w14:paraId="55267DC3"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0B37622" w14:textId="77777777" w:rsidR="00A41350" w:rsidRDefault="00A41350" w:rsidP="00A41350">
            <w:pPr>
              <w:pStyle w:val="BodyText"/>
              <w:spacing w:before="0" w:line="280" w:lineRule="exact"/>
              <w:jc w:val="center"/>
              <w:rPr>
                <w:rFonts w:ascii="Arial" w:hAnsi="Arial"/>
                <w:b/>
                <w:sz w:val="20"/>
                <w:lang w:val="en-CA"/>
              </w:rPr>
            </w:pPr>
          </w:p>
          <w:p w14:paraId="3FC7DD7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Conversion</w:t>
            </w:r>
          </w:p>
          <w:p w14:paraId="7187829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Price (if</w:t>
            </w:r>
          </w:p>
          <w:p w14:paraId="76A966FE"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5BE10898" w14:textId="77777777" w:rsidR="00A41350" w:rsidRDefault="00A41350" w:rsidP="00A41350">
            <w:pPr>
              <w:pStyle w:val="BodyText"/>
              <w:spacing w:before="0" w:line="280" w:lineRule="exact"/>
              <w:jc w:val="center"/>
              <w:rPr>
                <w:rFonts w:ascii="Arial" w:hAnsi="Arial"/>
                <w:b/>
                <w:sz w:val="20"/>
                <w:lang w:val="en-CA"/>
              </w:rPr>
            </w:pPr>
          </w:p>
          <w:p w14:paraId="6313A5D4"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03CDA477"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w:t>
            </w:r>
          </w:p>
        </w:tc>
        <w:tc>
          <w:tcPr>
            <w:tcW w:w="1100" w:type="dxa"/>
          </w:tcPr>
          <w:p w14:paraId="032B12AB" w14:textId="77777777" w:rsidR="00A41350" w:rsidRDefault="00A41350" w:rsidP="00A41350">
            <w:pPr>
              <w:pStyle w:val="BodyText"/>
              <w:spacing w:before="0" w:line="280" w:lineRule="exact"/>
              <w:jc w:val="center"/>
              <w:rPr>
                <w:rFonts w:ascii="Arial" w:hAnsi="Arial"/>
                <w:b/>
                <w:sz w:val="20"/>
                <w:lang w:val="en-CA"/>
              </w:rPr>
            </w:pPr>
          </w:p>
          <w:p w14:paraId="2677EEC2" w14:textId="77777777" w:rsidR="00A41350" w:rsidRDefault="00A41350" w:rsidP="00A41350">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620F4AA4" w14:textId="77777777" w:rsidR="00A41350" w:rsidRDefault="00A41350" w:rsidP="00A41350">
            <w:pPr>
              <w:pStyle w:val="BodyText"/>
              <w:spacing w:before="0" w:line="280" w:lineRule="exact"/>
              <w:jc w:val="center"/>
              <w:rPr>
                <w:rFonts w:ascii="Arial" w:hAnsi="Arial"/>
                <w:b/>
                <w:color w:val="000000"/>
                <w:sz w:val="20"/>
                <w:lang w:val="en-CA"/>
              </w:rPr>
            </w:pPr>
          </w:p>
          <w:p w14:paraId="7FAF4EF7" w14:textId="77777777" w:rsidR="00A41350" w:rsidRDefault="00A41350" w:rsidP="00A41350">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bl>
    <w:p w14:paraId="12827124" w14:textId="77777777" w:rsidR="00A41350" w:rsidRDefault="00A41350">
      <w:pPr>
        <w:pStyle w:val="BodyText"/>
        <w:spacing w:before="0" w:after="240"/>
        <w:rPr>
          <w:rFonts w:ascii="Arial" w:hAnsi="Arial"/>
          <w:b/>
          <w:lang w:val="en-CA"/>
        </w:rPr>
      </w:pPr>
    </w:p>
    <w:p w14:paraId="313B3943"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14:paraId="4810883F" w14:textId="77777777"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35B75BAD" w14:textId="77777777" w:rsidR="00A41350" w:rsidRPr="00A41350" w:rsidRDefault="00A41350" w:rsidP="00A41350">
      <w:pPr>
        <w:pStyle w:val="BodyText"/>
        <w:rPr>
          <w:rFonts w:ascii="Arial" w:hAnsi="Arial" w:cs="Arial"/>
          <w:sz w:val="20"/>
        </w:rPr>
      </w:pPr>
    </w:p>
    <w:p w14:paraId="5644BDD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6348733" w14:textId="54A74330" w:rsidR="00EA4133" w:rsidRDefault="00EA4133">
      <w:pPr>
        <w:pStyle w:val="List"/>
        <w:tabs>
          <w:tab w:val="left" w:pos="9162"/>
        </w:tabs>
        <w:rPr>
          <w:rFonts w:ascii="Arial" w:hAnsi="Arial"/>
        </w:rPr>
      </w:pPr>
      <w:r>
        <w:rPr>
          <w:rFonts w:ascii="Arial" w:hAnsi="Arial"/>
        </w:rPr>
        <w:lastRenderedPageBreak/>
        <w:t>1.</w:t>
      </w:r>
      <w:r>
        <w:rPr>
          <w:rFonts w:ascii="Arial" w:hAnsi="Arial"/>
        </w:rPr>
        <w:tab/>
        <w:t xml:space="preserve">Total amount of funds to be raised: </w:t>
      </w:r>
    </w:p>
    <w:p w14:paraId="4833870B" w14:textId="67BF8A14" w:rsidR="00EA4133" w:rsidRDefault="00EA4133" w:rsidP="008C5D1D">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7BD090D3" w14:textId="23B2C4DE" w:rsidR="00EA4133" w:rsidRDefault="00EA4133" w:rsidP="008C5D1D">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p>
    <w:p w14:paraId="0B50FB12" w14:textId="1C373724" w:rsidR="00EA4133" w:rsidRDefault="00EA4133" w:rsidP="008C5D1D">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1F219B">
        <w:rPr>
          <w:rFonts w:ascii="Arial" w:hAnsi="Arial"/>
        </w:rPr>
        <w:t xml:space="preserve"> </w:t>
      </w:r>
    </w:p>
    <w:p w14:paraId="3CBCA44D"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BF7F1BE" w14:textId="63A89FAE"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057027">
        <w:rPr>
          <w:rFonts w:ascii="Arial" w:hAnsi="Arial"/>
          <w:u w:val="single"/>
        </w:rPr>
        <w:tab/>
      </w:r>
      <w:r>
        <w:rPr>
          <w:rFonts w:ascii="Arial" w:hAnsi="Arial"/>
        </w:rPr>
        <w:t xml:space="preserve"> </w:t>
      </w:r>
    </w:p>
    <w:p w14:paraId="6201E2B5" w14:textId="5702B957"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 xml:space="preserve">Number </w:t>
      </w:r>
      <w:r w:rsidR="00057027">
        <w:rPr>
          <w:rFonts w:ascii="Arial" w:hAnsi="Arial"/>
          <w:u w:val="single"/>
        </w:rPr>
        <w:tab/>
      </w:r>
    </w:p>
    <w:p w14:paraId="7D632E0A" w14:textId="1E8D245C"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 xml:space="preserve">Price per security </w:t>
      </w:r>
      <w:r w:rsidR="00057027">
        <w:rPr>
          <w:rFonts w:ascii="Arial" w:hAnsi="Arial"/>
          <w:u w:val="single"/>
        </w:rPr>
        <w:tab/>
      </w:r>
    </w:p>
    <w:p w14:paraId="60EA323D" w14:textId="27B8AA86" w:rsidR="00EA4133" w:rsidRPr="00057027" w:rsidRDefault="00EA4133">
      <w:pPr>
        <w:pStyle w:val="BodyText"/>
        <w:tabs>
          <w:tab w:val="left" w:pos="1080"/>
          <w:tab w:val="left" w:pos="1440"/>
          <w:tab w:val="left" w:pos="2160"/>
          <w:tab w:val="left" w:pos="9180"/>
        </w:tabs>
        <w:rPr>
          <w:rFonts w:ascii="Arial" w:hAnsi="Arial"/>
          <w:u w:val="single"/>
        </w:rPr>
      </w:pPr>
      <w:r>
        <w:rPr>
          <w:rFonts w:ascii="Arial" w:hAnsi="Arial"/>
        </w:rPr>
        <w:tab/>
        <w:t>(d)</w:t>
      </w:r>
      <w:r>
        <w:rPr>
          <w:rFonts w:ascii="Arial" w:hAnsi="Arial"/>
        </w:rPr>
        <w:tab/>
      </w:r>
      <w:r>
        <w:rPr>
          <w:rFonts w:ascii="Arial" w:hAnsi="Arial"/>
        </w:rPr>
        <w:tab/>
        <w:t xml:space="preserve">Voting rights </w:t>
      </w:r>
      <w:r w:rsidR="00057027">
        <w:rPr>
          <w:rFonts w:ascii="Arial" w:hAnsi="Arial"/>
          <w:u w:val="single"/>
        </w:rPr>
        <w:tab/>
      </w:r>
    </w:p>
    <w:p w14:paraId="13962AB3"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02F0D505" w14:textId="3463961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57027">
        <w:rPr>
          <w:rFonts w:ascii="Arial" w:hAnsi="Arial"/>
          <w:u w:val="single"/>
        </w:rPr>
        <w:tab/>
      </w:r>
      <w:r w:rsidR="00057027">
        <w:rPr>
          <w:rFonts w:ascii="Arial" w:hAnsi="Arial"/>
        </w:rPr>
        <w:tab/>
      </w:r>
    </w:p>
    <w:p w14:paraId="6C28D8EF" w14:textId="6B80E583" w:rsidR="00EA4133" w:rsidRDefault="00EA4133" w:rsidP="001F219B">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r w:rsidR="00057027">
        <w:rPr>
          <w:rFonts w:ascii="Arial" w:hAnsi="Arial"/>
          <w:u w:val="single"/>
        </w:rPr>
        <w:tab/>
      </w:r>
      <w:r>
        <w:rPr>
          <w:rFonts w:ascii="Arial" w:hAnsi="Arial"/>
        </w:rPr>
        <w:t xml:space="preserve">  </w:t>
      </w:r>
    </w:p>
    <w:p w14:paraId="76174AE6" w14:textId="0958424C" w:rsidR="00EA4133" w:rsidRPr="00057027" w:rsidRDefault="00EA4133">
      <w:pPr>
        <w:pStyle w:val="List"/>
        <w:tabs>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Exercise price</w:t>
      </w:r>
      <w:r w:rsidR="008C5D1D">
        <w:rPr>
          <w:rFonts w:ascii="Arial" w:hAnsi="Arial"/>
          <w:u w:val="single"/>
        </w:rPr>
        <w:t xml:space="preserve"> </w:t>
      </w:r>
      <w:r w:rsidR="00057027">
        <w:rPr>
          <w:rFonts w:ascii="Arial" w:hAnsi="Arial"/>
          <w:u w:val="single"/>
        </w:rPr>
        <w:tab/>
      </w:r>
    </w:p>
    <w:p w14:paraId="76A1570E" w14:textId="44A79A80" w:rsidR="00EA4133" w:rsidRPr="00057027" w:rsidRDefault="00EA4133">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 xml:space="preserve">Expiry date </w:t>
      </w:r>
      <w:r w:rsidR="00057027">
        <w:rPr>
          <w:rFonts w:ascii="Arial" w:hAnsi="Arial"/>
          <w:u w:val="single"/>
        </w:rPr>
        <w:tab/>
      </w:r>
      <w:r w:rsidR="00057027">
        <w:rPr>
          <w:rFonts w:ascii="Arial" w:hAnsi="Arial"/>
          <w:u w:val="single"/>
        </w:rPr>
        <w:tab/>
      </w:r>
      <w:r w:rsidR="00057027">
        <w:rPr>
          <w:rFonts w:ascii="Arial" w:hAnsi="Arial"/>
          <w:u w:val="single"/>
        </w:rPr>
        <w:tab/>
      </w:r>
      <w:r w:rsidR="00057027">
        <w:rPr>
          <w:rFonts w:ascii="Arial" w:hAnsi="Arial"/>
          <w:u w:val="single"/>
        </w:rPr>
        <w:tab/>
      </w:r>
    </w:p>
    <w:p w14:paraId="3FE78EDA" w14:textId="6BD84A55" w:rsidR="00EA4133" w:rsidRDefault="001F219B" w:rsidP="008C5D1D">
      <w:pPr>
        <w:pStyle w:val="List"/>
        <w:tabs>
          <w:tab w:val="left" w:pos="1440"/>
          <w:tab w:val="left" w:pos="2160"/>
          <w:tab w:val="left" w:pos="3600"/>
          <w:tab w:val="left" w:pos="5040"/>
          <w:tab w:val="left" w:pos="7560"/>
          <w:tab w:val="left" w:pos="9180"/>
        </w:tabs>
        <w:rPr>
          <w:b/>
        </w:rPr>
      </w:pPr>
      <w:r w:rsidRPr="001F219B">
        <w:rPr>
          <w:rFonts w:ascii="Arial" w:hAnsi="Arial"/>
          <w:lang w:val="en-US"/>
        </w:rPr>
        <w:tab/>
      </w:r>
      <w:bookmarkStart w:id="0" w:name="_Toc370788682"/>
      <w:bookmarkStart w:id="1" w:name="_Toc398005538"/>
      <w:bookmarkStart w:id="2" w:name="_Toc412279955"/>
      <w:bookmarkStart w:id="3" w:name="_Toc419096451"/>
      <w:r w:rsidR="00EA4133">
        <w:rPr>
          <w:b/>
        </w:rPr>
        <w:t>Provide the following information if debt securities are to be issued:</w:t>
      </w:r>
      <w:bookmarkEnd w:id="0"/>
      <w:bookmarkEnd w:id="1"/>
      <w:bookmarkEnd w:id="2"/>
      <w:bookmarkEnd w:id="3"/>
      <w:r>
        <w:rPr>
          <w:b/>
        </w:rPr>
        <w:t xml:space="preserve"> </w:t>
      </w:r>
    </w:p>
    <w:p w14:paraId="316014E4"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Pr>
          <w:rFonts w:ascii="Arial" w:hAnsi="Arial"/>
          <w:u w:val="single"/>
        </w:rPr>
        <w:tab/>
      </w:r>
      <w:r>
        <w:rPr>
          <w:rFonts w:ascii="Arial" w:hAnsi="Arial"/>
        </w:rPr>
        <w:t xml:space="preserve"> .</w:t>
      </w:r>
      <w:proofErr w:type="gramEnd"/>
    </w:p>
    <w:p w14:paraId="4E0E448C"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w:t>
      </w:r>
      <w:proofErr w:type="gramStart"/>
      <w:r>
        <w:rPr>
          <w:rFonts w:ascii="Arial" w:hAnsi="Arial"/>
        </w:rPr>
        <w:t xml:space="preserve">date </w:t>
      </w:r>
      <w:r>
        <w:rPr>
          <w:rFonts w:ascii="Arial" w:hAnsi="Arial"/>
          <w:u w:val="single"/>
        </w:rPr>
        <w:tab/>
      </w:r>
      <w:r>
        <w:rPr>
          <w:rFonts w:ascii="Arial" w:hAnsi="Arial"/>
        </w:rPr>
        <w:t xml:space="preserve"> .</w:t>
      </w:r>
      <w:proofErr w:type="gramEnd"/>
    </w:p>
    <w:p w14:paraId="146880E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w:t>
      </w:r>
      <w:proofErr w:type="gramStart"/>
      <w:r>
        <w:rPr>
          <w:rFonts w:ascii="Arial" w:hAnsi="Arial"/>
        </w:rPr>
        <w:t xml:space="preserve">rate </w:t>
      </w:r>
      <w:r>
        <w:rPr>
          <w:rFonts w:ascii="Arial" w:hAnsi="Arial"/>
          <w:u w:val="single"/>
        </w:rPr>
        <w:tab/>
      </w:r>
      <w:r>
        <w:rPr>
          <w:rFonts w:ascii="Arial" w:hAnsi="Arial"/>
        </w:rPr>
        <w:t xml:space="preserve"> .</w:t>
      </w:r>
      <w:proofErr w:type="gramEnd"/>
    </w:p>
    <w:p w14:paraId="38C603CA" w14:textId="2DC1798D"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w:t>
      </w:r>
      <w:proofErr w:type="gramStart"/>
      <w:r>
        <w:rPr>
          <w:rFonts w:ascii="Arial" w:hAnsi="Arial"/>
        </w:rPr>
        <w:t xml:space="preserve">terms </w:t>
      </w:r>
      <w:r>
        <w:rPr>
          <w:rFonts w:ascii="Arial" w:hAnsi="Arial"/>
          <w:u w:val="single"/>
        </w:rPr>
        <w:tab/>
      </w:r>
      <w:r>
        <w:rPr>
          <w:rFonts w:ascii="Arial" w:hAnsi="Arial"/>
        </w:rPr>
        <w:t xml:space="preserve"> .</w:t>
      </w:r>
      <w:proofErr w:type="gramEnd"/>
    </w:p>
    <w:p w14:paraId="1F8C2A0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w:t>
      </w:r>
      <w:proofErr w:type="gramStart"/>
      <w:r>
        <w:rPr>
          <w:rFonts w:ascii="Arial" w:hAnsi="Arial"/>
        </w:rPr>
        <w:t xml:space="preserve">provisions </w:t>
      </w:r>
      <w:r>
        <w:rPr>
          <w:rFonts w:ascii="Arial" w:hAnsi="Arial"/>
          <w:u w:val="single"/>
        </w:rPr>
        <w:tab/>
      </w:r>
      <w:r>
        <w:rPr>
          <w:rFonts w:ascii="Arial" w:hAnsi="Arial"/>
        </w:rPr>
        <w:t xml:space="preserve"> .</w:t>
      </w:r>
      <w:proofErr w:type="gramEnd"/>
    </w:p>
    <w:p w14:paraId="5F346F75" w14:textId="3EA0C9EF"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1F219B">
        <w:rPr>
          <w:rFonts w:ascii="Arial" w:hAnsi="Arial"/>
        </w:rPr>
        <w:t xml:space="preserve"> </w:t>
      </w:r>
    </w:p>
    <w:p w14:paraId="79A4C872" w14:textId="2535865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41AAC1AA" w14:textId="6CDEE97A" w:rsidR="00EA4133" w:rsidRPr="00054C99" w:rsidRDefault="00EA4133" w:rsidP="008C5D1D">
      <w:pPr>
        <w:pStyle w:val="List"/>
        <w:tabs>
          <w:tab w:val="left" w:pos="2160"/>
          <w:tab w:val="left" w:pos="9180"/>
        </w:tabs>
        <w:ind w:left="2160"/>
        <w:rPr>
          <w:rFonts w:ascii="Arial" w:hAnsi="Arial"/>
          <w:u w:val="single"/>
        </w:rPr>
      </w:pPr>
      <w:r>
        <w:rPr>
          <w:rFonts w:ascii="Arial" w:hAnsi="Arial"/>
        </w:rPr>
        <w:t>(b)</w:t>
      </w:r>
      <w:r>
        <w:rPr>
          <w:rFonts w:ascii="Arial" w:hAnsi="Arial"/>
        </w:rPr>
        <w:tab/>
        <w:t>Cash</w:t>
      </w:r>
      <w:r w:rsidR="004567D5">
        <w:rPr>
          <w:rFonts w:ascii="Arial" w:hAnsi="Arial"/>
          <w:u w:val="single"/>
        </w:rPr>
        <w:t xml:space="preserve">: </w:t>
      </w:r>
    </w:p>
    <w:p w14:paraId="16DB5DB5" w14:textId="3EAFEA60" w:rsidR="004567D5" w:rsidRPr="008C5D1D" w:rsidRDefault="00EA4133" w:rsidP="008C5D1D">
      <w:pPr>
        <w:pStyle w:val="List"/>
        <w:tabs>
          <w:tab w:val="left" w:pos="2160"/>
          <w:tab w:val="left" w:pos="9180"/>
        </w:tabs>
        <w:ind w:left="2160"/>
        <w:rPr>
          <w:rFonts w:ascii="Arial" w:hAnsi="Arial"/>
        </w:rPr>
      </w:pPr>
      <w:r>
        <w:rPr>
          <w:rFonts w:ascii="Arial" w:hAnsi="Arial"/>
        </w:rPr>
        <w:t>(c)</w:t>
      </w:r>
      <w:r>
        <w:rPr>
          <w:rFonts w:ascii="Arial" w:hAnsi="Arial"/>
        </w:rPr>
        <w:tab/>
        <w:t>Securities</w:t>
      </w:r>
      <w:r w:rsidR="004567D5" w:rsidRPr="002051C8">
        <w:rPr>
          <w:rFonts w:ascii="Arial" w:hAnsi="Arial"/>
          <w:u w:val="single"/>
        </w:rPr>
        <w:t>:</w:t>
      </w:r>
      <w:r w:rsidR="008C5D1D" w:rsidRPr="002051C8">
        <w:rPr>
          <w:rFonts w:ascii="Arial" w:hAnsi="Arial"/>
          <w:u w:val="single"/>
        </w:rPr>
        <w:t xml:space="preserve"> </w:t>
      </w:r>
    </w:p>
    <w:p w14:paraId="44A049E5" w14:textId="7DBF44DB"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
    <w:p w14:paraId="543FB486" w14:textId="2F54DECE"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4567D5">
        <w:rPr>
          <w:rFonts w:ascii="Arial" w:hAnsi="Arial"/>
          <w:u w:val="single"/>
        </w:rPr>
        <w:t xml:space="preserve"> </w:t>
      </w:r>
    </w:p>
    <w:p w14:paraId="2AFD6CD2" w14:textId="65F45B4D"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5AD8B75E" w14:textId="072F1DCE" w:rsidR="00EA4133" w:rsidRPr="00054C99" w:rsidRDefault="00EA4133" w:rsidP="00054C9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46FF7ADF"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A796588" w14:textId="5DA1E2AB" w:rsidR="00EA4133" w:rsidRPr="00A837B4" w:rsidRDefault="00EA4133" w:rsidP="00A837B4">
      <w:pPr>
        <w:pStyle w:val="List"/>
        <w:numPr>
          <w:ilvl w:val="0"/>
          <w:numId w:val="10"/>
        </w:numPr>
        <w:rPr>
          <w:rFonts w:ascii="Arial" w:hAnsi="Arial"/>
        </w:rPr>
      </w:pPr>
      <w:r>
        <w:rPr>
          <w:rFonts w:ascii="Arial" w:hAnsi="Arial"/>
        </w:rPr>
        <w:t>State whether the private placement will result in a change of control.</w:t>
      </w:r>
    </w:p>
    <w:p w14:paraId="6E38CC79" w14:textId="77777777" w:rsidR="00EA4133" w:rsidRDefault="00EA4133">
      <w:pPr>
        <w:pStyle w:val="List"/>
        <w:tabs>
          <w:tab w:val="left" w:pos="9180"/>
        </w:tabs>
        <w:spacing w:before="0"/>
        <w:jc w:val="both"/>
        <w:rPr>
          <w:rFonts w:ascii="Arial" w:hAnsi="Arial"/>
        </w:rPr>
      </w:pPr>
    </w:p>
    <w:p w14:paraId="2B68FA9A" w14:textId="31DDF32D" w:rsidR="00EA4133" w:rsidRDefault="00EA4133" w:rsidP="00054C99">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p>
    <w:p w14:paraId="7562A67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6498BF67" w14:textId="0D6EEB3C"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054C99">
        <w:rPr>
          <w:rFonts w:ascii="Arial" w:hAnsi="Arial"/>
        </w:rPr>
        <w:t>Instrument 45-102.</w:t>
      </w:r>
    </w:p>
    <w:p w14:paraId="52F3B7A5" w14:textId="2A1C89BB"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1F219B">
        <w:rPr>
          <w:rFonts w:ascii="Arial" w:hAnsi="Arial"/>
          <w:b/>
          <w:color w:val="000000"/>
        </w:rPr>
        <w:t xml:space="preserve"> </w:t>
      </w:r>
    </w:p>
    <w:p w14:paraId="6AD91DFD" w14:textId="77777777" w:rsidR="00EA4133" w:rsidRDefault="00EA4133">
      <w:pPr>
        <w:pStyle w:val="List"/>
        <w:tabs>
          <w:tab w:val="left" w:pos="9180"/>
        </w:tabs>
        <w:spacing w:before="0"/>
        <w:ind w:left="0" w:firstLine="0"/>
        <w:jc w:val="both"/>
        <w:rPr>
          <w:rFonts w:ascii="Arial" w:hAnsi="Arial"/>
          <w:color w:val="000000"/>
        </w:rPr>
      </w:pPr>
    </w:p>
    <w:p w14:paraId="097F2E14" w14:textId="336FFE0B" w:rsidR="00057027" w:rsidRPr="00D76BB4" w:rsidRDefault="00EA4133" w:rsidP="00057027">
      <w:pPr>
        <w:pStyle w:val="List"/>
        <w:numPr>
          <w:ilvl w:val="0"/>
          <w:numId w:val="14"/>
        </w:numPr>
        <w:tabs>
          <w:tab w:val="clear" w:pos="360"/>
          <w:tab w:val="num" w:pos="1080"/>
          <w:tab w:val="left" w:pos="9180"/>
        </w:tabs>
        <w:spacing w:before="0"/>
        <w:ind w:left="1080" w:hanging="1080"/>
        <w:jc w:val="both"/>
        <w:rPr>
          <w:rFonts w:ascii="Arial" w:hAnsi="Arial"/>
          <w:color w:val="000000"/>
          <w:u w:val="single"/>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F114A0">
        <w:rPr>
          <w:rFonts w:ascii="Arial" w:hAnsi="Arial"/>
          <w:color w:val="000000"/>
        </w:rPr>
        <w:t xml:space="preserve"> 22</w:t>
      </w:r>
      <w:r w:rsidR="00057027" w:rsidRPr="00D76BB4">
        <w:rPr>
          <w:rFonts w:ascii="Arial" w:hAnsi="Arial"/>
          <w:color w:val="000000"/>
          <w:u w:val="single"/>
        </w:rPr>
        <w:t xml:space="preserve"> mineral claims</w:t>
      </w:r>
      <w:r w:rsidR="00057027">
        <w:rPr>
          <w:rFonts w:ascii="Arial" w:hAnsi="Arial"/>
          <w:color w:val="000000"/>
          <w:u w:val="single"/>
        </w:rPr>
        <w:t xml:space="preserve">, consisting of </w:t>
      </w:r>
      <w:r w:rsidR="00F114A0">
        <w:rPr>
          <w:rFonts w:ascii="Arial" w:hAnsi="Arial"/>
          <w:color w:val="000000"/>
          <w:u w:val="single"/>
        </w:rPr>
        <w:t>1232 acres</w:t>
      </w:r>
      <w:r w:rsidR="00057027">
        <w:rPr>
          <w:rFonts w:ascii="Arial" w:hAnsi="Arial"/>
          <w:color w:val="000000"/>
          <w:u w:val="single"/>
        </w:rPr>
        <w:t xml:space="preserve">, </w:t>
      </w:r>
      <w:r w:rsidR="00057027" w:rsidRPr="00D76BB4">
        <w:rPr>
          <w:rFonts w:ascii="Arial" w:hAnsi="Arial"/>
          <w:color w:val="000000"/>
          <w:u w:val="single"/>
        </w:rPr>
        <w:t xml:space="preserve">located in </w:t>
      </w:r>
      <w:r w:rsidR="00F114A0">
        <w:rPr>
          <w:rFonts w:ascii="Arial" w:hAnsi="Arial"/>
          <w:color w:val="000000"/>
          <w:u w:val="single"/>
        </w:rPr>
        <w:t xml:space="preserve">the Urban Barry Gold Camp, </w:t>
      </w:r>
      <w:r w:rsidR="00057027">
        <w:rPr>
          <w:rFonts w:ascii="Arial" w:hAnsi="Arial"/>
          <w:color w:val="000000"/>
          <w:u w:val="single"/>
        </w:rPr>
        <w:t xml:space="preserve">Quebec, Canada </w:t>
      </w:r>
      <w:r w:rsidR="00057027" w:rsidRPr="00D76BB4">
        <w:rPr>
          <w:rFonts w:ascii="Arial" w:hAnsi="Arial"/>
          <w:color w:val="000000"/>
          <w:u w:val="single"/>
        </w:rPr>
        <w:t>(the “</w:t>
      </w:r>
      <w:proofErr w:type="spellStart"/>
      <w:r w:rsidR="00F114A0">
        <w:rPr>
          <w:rFonts w:ascii="Arial" w:hAnsi="Arial"/>
          <w:color w:val="000000"/>
          <w:u w:val="single"/>
        </w:rPr>
        <w:t>Aubaine</w:t>
      </w:r>
      <w:proofErr w:type="spellEnd"/>
      <w:r w:rsidR="00057027" w:rsidRPr="00D76BB4">
        <w:rPr>
          <w:rFonts w:ascii="Arial" w:hAnsi="Arial"/>
          <w:color w:val="000000"/>
          <w:u w:val="single"/>
        </w:rPr>
        <w:t xml:space="preserve"> Property”</w:t>
      </w:r>
      <w:r w:rsidR="00057027">
        <w:rPr>
          <w:rFonts w:ascii="Arial" w:hAnsi="Arial"/>
          <w:color w:val="000000"/>
          <w:u w:val="single"/>
        </w:rPr>
        <w:t xml:space="preserve"> or the “Property”</w:t>
      </w:r>
      <w:r w:rsidR="00057027" w:rsidRPr="00D76BB4">
        <w:rPr>
          <w:rFonts w:ascii="Arial" w:hAnsi="Arial"/>
          <w:color w:val="000000"/>
          <w:u w:val="single"/>
        </w:rPr>
        <w:t>).</w:t>
      </w:r>
    </w:p>
    <w:p w14:paraId="5B38C7C9" w14:textId="6F176644" w:rsidR="00EA4133" w:rsidRDefault="00EA4133" w:rsidP="00057027">
      <w:pPr>
        <w:pStyle w:val="List"/>
        <w:tabs>
          <w:tab w:val="left" w:pos="9180"/>
        </w:tabs>
        <w:spacing w:before="0"/>
        <w:ind w:left="0" w:firstLine="0"/>
        <w:jc w:val="both"/>
        <w:rPr>
          <w:rFonts w:ascii="Arial" w:hAnsi="Arial"/>
          <w:color w:val="000000"/>
        </w:rPr>
      </w:pPr>
    </w:p>
    <w:p w14:paraId="2C553E8A" w14:textId="438E60B6"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5D4D09C6" w14:textId="77C9813C" w:rsidR="00EA4133" w:rsidRDefault="00057027" w:rsidP="00057027">
      <w:pPr>
        <w:pStyle w:val="List"/>
        <w:tabs>
          <w:tab w:val="left" w:pos="9180"/>
        </w:tabs>
        <w:ind w:left="1134" w:firstLine="0"/>
        <w:jc w:val="both"/>
        <w:rPr>
          <w:rFonts w:ascii="Arial" w:hAnsi="Arial"/>
          <w:color w:val="000000"/>
        </w:rPr>
      </w:pPr>
      <w:r>
        <w:rPr>
          <w:rFonts w:ascii="Arial" w:hAnsi="Arial"/>
          <w:color w:val="000000"/>
          <w:u w:val="single"/>
        </w:rPr>
        <w:t>T</w:t>
      </w:r>
      <w:r w:rsidRPr="00D76BB4">
        <w:rPr>
          <w:rFonts w:ascii="Arial" w:hAnsi="Arial"/>
          <w:color w:val="000000"/>
          <w:u w:val="single"/>
        </w:rPr>
        <w:t xml:space="preserve">he Company entered into a Property Option Agreement dated </w:t>
      </w:r>
      <w:r w:rsidR="00F114A0">
        <w:rPr>
          <w:rFonts w:ascii="Arial" w:hAnsi="Arial"/>
          <w:color w:val="000000"/>
          <w:u w:val="single"/>
        </w:rPr>
        <w:t xml:space="preserve">March 3, 2017 </w:t>
      </w:r>
      <w:r w:rsidRPr="00D76BB4">
        <w:rPr>
          <w:rFonts w:ascii="Arial" w:hAnsi="Arial"/>
          <w:color w:val="000000"/>
          <w:u w:val="single"/>
        </w:rPr>
        <w:t xml:space="preserve">with respect to the Property, with </w:t>
      </w:r>
      <w:r w:rsidR="00F114A0">
        <w:rPr>
          <w:rFonts w:ascii="Arial" w:hAnsi="Arial"/>
          <w:color w:val="000000"/>
          <w:u w:val="single"/>
        </w:rPr>
        <w:t>Doctors Investment Group Ltd.</w:t>
      </w:r>
      <w:r w:rsidRPr="00D76BB4">
        <w:rPr>
          <w:rFonts w:ascii="Arial" w:hAnsi="Arial"/>
          <w:color w:val="000000"/>
          <w:u w:val="single"/>
        </w:rPr>
        <w:t xml:space="preserve"> (the “Vendor”) to </w:t>
      </w:r>
      <w:r w:rsidR="00F114A0">
        <w:rPr>
          <w:rFonts w:ascii="Arial" w:hAnsi="Arial"/>
          <w:color w:val="000000"/>
          <w:u w:val="single"/>
          <w:lang w:val="en-CA"/>
        </w:rPr>
        <w:t>acquire a 100</w:t>
      </w:r>
      <w:r w:rsidRPr="00057027">
        <w:rPr>
          <w:rFonts w:ascii="Arial" w:hAnsi="Arial"/>
          <w:color w:val="000000"/>
          <w:u w:val="single"/>
          <w:lang w:val="en-CA"/>
        </w:rPr>
        <w:t>% inte</w:t>
      </w:r>
      <w:r w:rsidR="00F114A0">
        <w:rPr>
          <w:rFonts w:ascii="Arial" w:hAnsi="Arial"/>
          <w:color w:val="000000"/>
          <w:u w:val="single"/>
          <w:lang w:val="en-CA"/>
        </w:rPr>
        <w:t>rest by issuing an aggregate 2,0</w:t>
      </w:r>
      <w:r w:rsidRPr="00057027">
        <w:rPr>
          <w:rFonts w:ascii="Arial" w:hAnsi="Arial"/>
          <w:color w:val="000000"/>
          <w:u w:val="single"/>
          <w:lang w:val="en-CA"/>
        </w:rPr>
        <w:t>00,000 common shares and paying a tot</w:t>
      </w:r>
      <w:r w:rsidR="00F114A0">
        <w:rPr>
          <w:rFonts w:ascii="Arial" w:hAnsi="Arial"/>
          <w:color w:val="000000"/>
          <w:u w:val="single"/>
          <w:lang w:val="en-CA"/>
        </w:rPr>
        <w:t>al of $190,000 over a two</w:t>
      </w:r>
      <w:r w:rsidRPr="00057027">
        <w:rPr>
          <w:rFonts w:ascii="Arial" w:hAnsi="Arial"/>
          <w:color w:val="000000"/>
          <w:u w:val="single"/>
          <w:lang w:val="en-CA"/>
        </w:rPr>
        <w:t>-year term.  The Company would als</w:t>
      </w:r>
      <w:r w:rsidR="00F114A0">
        <w:rPr>
          <w:rFonts w:ascii="Arial" w:hAnsi="Arial"/>
          <w:color w:val="000000"/>
          <w:u w:val="single"/>
          <w:lang w:val="en-CA"/>
        </w:rPr>
        <w:t>o need to spend a minimum of $50</w:t>
      </w:r>
      <w:r w:rsidRPr="00057027">
        <w:rPr>
          <w:rFonts w:ascii="Arial" w:hAnsi="Arial"/>
          <w:color w:val="000000"/>
          <w:u w:val="single"/>
          <w:lang w:val="en-CA"/>
        </w:rPr>
        <w:t>0,000 in e</w:t>
      </w:r>
      <w:r w:rsidR="00F114A0">
        <w:rPr>
          <w:rFonts w:ascii="Arial" w:hAnsi="Arial"/>
          <w:color w:val="000000"/>
          <w:u w:val="single"/>
          <w:lang w:val="en-CA"/>
        </w:rPr>
        <w:t>xploration expenditures by the third</w:t>
      </w:r>
      <w:r w:rsidRPr="00057027">
        <w:rPr>
          <w:rFonts w:ascii="Arial" w:hAnsi="Arial"/>
          <w:color w:val="000000"/>
          <w:u w:val="single"/>
          <w:lang w:val="en-CA"/>
        </w:rPr>
        <w:t xml:space="preserve"> year anniversary.  </w:t>
      </w:r>
      <w:r w:rsidR="00702563">
        <w:rPr>
          <w:rFonts w:ascii="Arial" w:hAnsi="Arial"/>
          <w:color w:val="000000"/>
          <w:u w:val="single"/>
          <w:lang w:val="en-CA"/>
        </w:rPr>
        <w:t>The Vendor shall retain a 3% NSR Royalty which the Company can buy 1% for $1,000,000 for a period of 6 years.</w:t>
      </w:r>
    </w:p>
    <w:p w14:paraId="6F7CE25E" w14:textId="17415FAB"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w:t>
      </w:r>
      <w:r w:rsidR="00D11ACF">
        <w:rPr>
          <w:rFonts w:ascii="Arial" w:hAnsi="Arial"/>
          <w:color w:val="000000"/>
        </w:rPr>
        <w:t xml:space="preserve"> and any required work commitmen</w:t>
      </w:r>
      <w:r>
        <w:rPr>
          <w:rFonts w:ascii="Arial" w:hAnsi="Arial"/>
          <w:color w:val="000000"/>
        </w:rPr>
        <w:t>ts:</w:t>
      </w:r>
    </w:p>
    <w:tbl>
      <w:tblPr>
        <w:tblpPr w:leftFromText="180" w:rightFromText="180" w:vertAnchor="text" w:horzAnchor="page" w:tblpX="2170" w:tblpY="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394"/>
        <w:gridCol w:w="2394"/>
        <w:gridCol w:w="2394"/>
      </w:tblGrid>
      <w:tr w:rsidR="00A837B4" w:rsidRPr="009E6D78" w14:paraId="3D02CA33" w14:textId="77777777" w:rsidTr="0079260F">
        <w:tc>
          <w:tcPr>
            <w:tcW w:w="1566" w:type="dxa"/>
          </w:tcPr>
          <w:p w14:paraId="1C15A401" w14:textId="77777777" w:rsidR="00A837B4" w:rsidRPr="009E6D78" w:rsidRDefault="00A837B4" w:rsidP="0079260F">
            <w:pPr>
              <w:pStyle w:val="List"/>
              <w:ind w:left="0" w:firstLine="0"/>
              <w:rPr>
                <w:color w:val="000000"/>
                <w:u w:val="single"/>
              </w:rPr>
            </w:pPr>
          </w:p>
        </w:tc>
        <w:tc>
          <w:tcPr>
            <w:tcW w:w="2394" w:type="dxa"/>
          </w:tcPr>
          <w:p w14:paraId="05416873" w14:textId="77777777" w:rsidR="00A837B4" w:rsidRPr="009E6D78" w:rsidRDefault="00A837B4" w:rsidP="0079260F">
            <w:pPr>
              <w:pStyle w:val="List"/>
              <w:ind w:left="0" w:firstLine="0"/>
              <w:rPr>
                <w:color w:val="000000"/>
                <w:u w:val="single"/>
              </w:rPr>
            </w:pPr>
            <w:r w:rsidRPr="009E6D78">
              <w:rPr>
                <w:color w:val="000000"/>
                <w:u w:val="single"/>
              </w:rPr>
              <w:t xml:space="preserve">Cash </w:t>
            </w:r>
          </w:p>
        </w:tc>
        <w:tc>
          <w:tcPr>
            <w:tcW w:w="2394" w:type="dxa"/>
          </w:tcPr>
          <w:p w14:paraId="3950AC17" w14:textId="77777777" w:rsidR="00A837B4" w:rsidRPr="009E6D78" w:rsidRDefault="00A837B4" w:rsidP="0079260F">
            <w:pPr>
              <w:pStyle w:val="List"/>
              <w:ind w:left="0" w:firstLine="0"/>
              <w:rPr>
                <w:color w:val="000000"/>
                <w:u w:val="single"/>
              </w:rPr>
            </w:pPr>
            <w:r w:rsidRPr="009E6D78">
              <w:rPr>
                <w:color w:val="000000"/>
                <w:u w:val="single"/>
              </w:rPr>
              <w:t>Securities</w:t>
            </w:r>
          </w:p>
        </w:tc>
        <w:tc>
          <w:tcPr>
            <w:tcW w:w="2394" w:type="dxa"/>
          </w:tcPr>
          <w:p w14:paraId="66E6BD8D" w14:textId="77777777" w:rsidR="00A837B4" w:rsidRPr="009E6D78" w:rsidRDefault="00A837B4" w:rsidP="0079260F">
            <w:pPr>
              <w:pStyle w:val="List"/>
              <w:ind w:left="0" w:firstLine="0"/>
              <w:rPr>
                <w:color w:val="000000"/>
                <w:u w:val="single"/>
              </w:rPr>
            </w:pPr>
            <w:r w:rsidRPr="009E6D78">
              <w:rPr>
                <w:color w:val="000000"/>
                <w:u w:val="single"/>
              </w:rPr>
              <w:t>Exploration or Other Work Commitments</w:t>
            </w:r>
          </w:p>
        </w:tc>
      </w:tr>
      <w:tr w:rsidR="00A837B4" w:rsidRPr="009E6D78" w14:paraId="716659A7" w14:textId="77777777" w:rsidTr="0079260F">
        <w:tc>
          <w:tcPr>
            <w:tcW w:w="1566" w:type="dxa"/>
          </w:tcPr>
          <w:p w14:paraId="2F13E9A9" w14:textId="77777777" w:rsidR="00A837B4" w:rsidRPr="009E6D78" w:rsidRDefault="00A837B4" w:rsidP="0079260F">
            <w:pPr>
              <w:pStyle w:val="List"/>
              <w:ind w:left="0" w:firstLine="0"/>
              <w:rPr>
                <w:color w:val="000000"/>
                <w:u w:val="single"/>
              </w:rPr>
            </w:pPr>
            <w:r w:rsidRPr="009E6D78">
              <w:rPr>
                <w:color w:val="000000"/>
                <w:u w:val="single"/>
              </w:rPr>
              <w:t>Year 1</w:t>
            </w:r>
          </w:p>
        </w:tc>
        <w:tc>
          <w:tcPr>
            <w:tcW w:w="2394" w:type="dxa"/>
          </w:tcPr>
          <w:p w14:paraId="29F7B7C9" w14:textId="4667FE5D" w:rsidR="00A837B4" w:rsidRDefault="00702563" w:rsidP="0079260F">
            <w:pPr>
              <w:pStyle w:val="List"/>
              <w:ind w:left="0" w:firstLine="0"/>
              <w:rPr>
                <w:color w:val="000000"/>
                <w:u w:val="single"/>
              </w:rPr>
            </w:pPr>
            <w:r>
              <w:rPr>
                <w:color w:val="000000"/>
                <w:u w:val="single"/>
              </w:rPr>
              <w:t>$10</w:t>
            </w:r>
            <w:r w:rsidR="00A837B4">
              <w:rPr>
                <w:color w:val="000000"/>
                <w:u w:val="single"/>
              </w:rPr>
              <w:t>,000 upon execution of the Agreement</w:t>
            </w:r>
          </w:p>
          <w:p w14:paraId="374AE694" w14:textId="1C7DF5BD" w:rsidR="00A837B4" w:rsidRPr="009E6D78" w:rsidRDefault="00702563" w:rsidP="00702563">
            <w:pPr>
              <w:pStyle w:val="List"/>
              <w:ind w:left="0" w:firstLine="0"/>
              <w:rPr>
                <w:color w:val="000000"/>
                <w:u w:val="single"/>
              </w:rPr>
            </w:pPr>
            <w:r>
              <w:rPr>
                <w:color w:val="000000"/>
                <w:u w:val="single"/>
              </w:rPr>
              <w:t>$30,000 upon the Company closing a financing of a minimum of $100,000 but no later than May 27, 2017</w:t>
            </w:r>
          </w:p>
        </w:tc>
        <w:tc>
          <w:tcPr>
            <w:tcW w:w="2394" w:type="dxa"/>
          </w:tcPr>
          <w:p w14:paraId="4F7C9F32" w14:textId="6B85F53C" w:rsidR="00A837B4" w:rsidRDefault="00702563" w:rsidP="0079260F">
            <w:pPr>
              <w:pStyle w:val="List"/>
              <w:ind w:left="0" w:firstLine="0"/>
              <w:rPr>
                <w:color w:val="000000"/>
                <w:u w:val="single"/>
              </w:rPr>
            </w:pPr>
            <w:r>
              <w:rPr>
                <w:color w:val="000000"/>
                <w:u w:val="single"/>
              </w:rPr>
              <w:t>2,0</w:t>
            </w:r>
            <w:r w:rsidR="00A837B4">
              <w:rPr>
                <w:color w:val="000000"/>
                <w:u w:val="single"/>
              </w:rPr>
              <w:t xml:space="preserve">00,000 common shares </w:t>
            </w:r>
            <w:r>
              <w:rPr>
                <w:color w:val="000000"/>
                <w:u w:val="single"/>
              </w:rPr>
              <w:t xml:space="preserve">upon </w:t>
            </w:r>
            <w:r w:rsidR="00483AF3">
              <w:rPr>
                <w:color w:val="000000"/>
                <w:u w:val="single"/>
              </w:rPr>
              <w:t>execution of the Agreement</w:t>
            </w:r>
          </w:p>
          <w:p w14:paraId="7AF41C6C" w14:textId="18057A42" w:rsidR="00A837B4" w:rsidRPr="009E6D78" w:rsidRDefault="00A837B4" w:rsidP="0079260F">
            <w:pPr>
              <w:pStyle w:val="List"/>
              <w:ind w:left="0" w:firstLine="0"/>
              <w:rPr>
                <w:color w:val="000000"/>
                <w:u w:val="single"/>
              </w:rPr>
            </w:pPr>
          </w:p>
        </w:tc>
        <w:tc>
          <w:tcPr>
            <w:tcW w:w="2394" w:type="dxa"/>
          </w:tcPr>
          <w:p w14:paraId="01F36495" w14:textId="39CE3C4E" w:rsidR="00A837B4" w:rsidRPr="000945F6"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r>
      <w:tr w:rsidR="00A837B4" w:rsidRPr="009E6D78" w14:paraId="2E72B46D" w14:textId="77777777" w:rsidTr="0079260F">
        <w:tc>
          <w:tcPr>
            <w:tcW w:w="1566" w:type="dxa"/>
          </w:tcPr>
          <w:p w14:paraId="7E8A5E57" w14:textId="77777777" w:rsidR="00A837B4" w:rsidRPr="009E6D78" w:rsidRDefault="00A837B4" w:rsidP="0079260F">
            <w:pPr>
              <w:pStyle w:val="List"/>
              <w:ind w:left="0" w:firstLine="0"/>
              <w:rPr>
                <w:color w:val="000000"/>
                <w:u w:val="single"/>
              </w:rPr>
            </w:pPr>
            <w:r w:rsidRPr="009E6D78">
              <w:rPr>
                <w:color w:val="000000"/>
                <w:u w:val="single"/>
              </w:rPr>
              <w:t>Year 2</w:t>
            </w:r>
          </w:p>
        </w:tc>
        <w:tc>
          <w:tcPr>
            <w:tcW w:w="2394" w:type="dxa"/>
          </w:tcPr>
          <w:p w14:paraId="2B25A6AF" w14:textId="77777777" w:rsidR="00A837B4" w:rsidRDefault="00702563" w:rsidP="0079260F">
            <w:pPr>
              <w:pStyle w:val="List"/>
              <w:ind w:left="0" w:firstLine="0"/>
              <w:rPr>
                <w:color w:val="000000"/>
                <w:u w:val="single"/>
              </w:rPr>
            </w:pPr>
            <w:r>
              <w:rPr>
                <w:color w:val="000000"/>
                <w:u w:val="single"/>
              </w:rPr>
              <w:t xml:space="preserve">$25,000 on the first anniversary of execution of the Agreement </w:t>
            </w:r>
          </w:p>
          <w:p w14:paraId="1D523E7F" w14:textId="4835D419" w:rsidR="00702563" w:rsidRPr="009E6D78" w:rsidRDefault="00702563" w:rsidP="0079260F">
            <w:pPr>
              <w:pStyle w:val="List"/>
              <w:ind w:left="0" w:firstLine="0"/>
              <w:rPr>
                <w:color w:val="000000"/>
                <w:u w:val="single"/>
              </w:rPr>
            </w:pPr>
            <w:r>
              <w:rPr>
                <w:color w:val="000000"/>
                <w:u w:val="single"/>
              </w:rPr>
              <w:t>$25,000 within 18 months after execution of the Agreement</w:t>
            </w:r>
          </w:p>
        </w:tc>
        <w:tc>
          <w:tcPr>
            <w:tcW w:w="2394" w:type="dxa"/>
          </w:tcPr>
          <w:p w14:paraId="77345098" w14:textId="22F84B4C" w:rsidR="00A837B4" w:rsidRPr="009E6D78"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2D04DBD8" w14:textId="4509FC6C" w:rsidR="00A837B4" w:rsidRPr="009E6D78" w:rsidRDefault="00702563" w:rsidP="0079260F">
            <w:pPr>
              <w:pStyle w:val="List"/>
              <w:ind w:left="0" w:firstLine="0"/>
              <w:rPr>
                <w:color w:val="000000"/>
                <w:u w:val="single"/>
              </w:rPr>
            </w:pPr>
            <w:proofErr w:type="gramStart"/>
            <w:r>
              <w:rPr>
                <w:color w:val="000000"/>
                <w:u w:val="single"/>
              </w:rPr>
              <w:t>n</w:t>
            </w:r>
            <w:proofErr w:type="gramEnd"/>
            <w:r>
              <w:rPr>
                <w:color w:val="000000"/>
                <w:u w:val="single"/>
              </w:rPr>
              <w:t>/a</w:t>
            </w:r>
          </w:p>
        </w:tc>
      </w:tr>
      <w:tr w:rsidR="00A837B4" w:rsidRPr="009E6D78" w14:paraId="6BBC6CEE" w14:textId="77777777" w:rsidTr="0079260F">
        <w:trPr>
          <w:trHeight w:val="849"/>
        </w:trPr>
        <w:tc>
          <w:tcPr>
            <w:tcW w:w="1566" w:type="dxa"/>
          </w:tcPr>
          <w:p w14:paraId="018093F7" w14:textId="77777777" w:rsidR="00A837B4" w:rsidRPr="009E6D78" w:rsidRDefault="00A837B4" w:rsidP="0079260F">
            <w:pPr>
              <w:pStyle w:val="List"/>
              <w:ind w:left="0" w:firstLine="0"/>
              <w:rPr>
                <w:color w:val="000000"/>
                <w:u w:val="single"/>
              </w:rPr>
            </w:pPr>
            <w:r>
              <w:rPr>
                <w:color w:val="000000"/>
                <w:u w:val="single"/>
              </w:rPr>
              <w:lastRenderedPageBreak/>
              <w:t>Year 3</w:t>
            </w:r>
          </w:p>
        </w:tc>
        <w:tc>
          <w:tcPr>
            <w:tcW w:w="2394" w:type="dxa"/>
          </w:tcPr>
          <w:p w14:paraId="3CB92074" w14:textId="54169C9F" w:rsidR="00A837B4" w:rsidRPr="009E6D78" w:rsidRDefault="00702563" w:rsidP="0079260F">
            <w:pPr>
              <w:pStyle w:val="List"/>
              <w:ind w:left="0" w:firstLine="0"/>
              <w:rPr>
                <w:color w:val="000000"/>
                <w:u w:val="single"/>
              </w:rPr>
            </w:pPr>
            <w:r>
              <w:rPr>
                <w:color w:val="000000"/>
                <w:u w:val="single"/>
              </w:rPr>
              <w:t>$100,000 on the second anniversary of execution of the Agreement</w:t>
            </w:r>
          </w:p>
        </w:tc>
        <w:tc>
          <w:tcPr>
            <w:tcW w:w="2394" w:type="dxa"/>
          </w:tcPr>
          <w:p w14:paraId="251EE50D" w14:textId="77777777" w:rsidR="00A837B4" w:rsidRPr="009E6D78" w:rsidRDefault="00A837B4" w:rsidP="0079260F">
            <w:pPr>
              <w:pStyle w:val="List"/>
              <w:ind w:left="0" w:firstLine="0"/>
              <w:rPr>
                <w:color w:val="000000"/>
                <w:u w:val="single"/>
              </w:rPr>
            </w:pPr>
            <w:proofErr w:type="gramStart"/>
            <w:r>
              <w:rPr>
                <w:color w:val="000000"/>
                <w:u w:val="single"/>
              </w:rPr>
              <w:t>n</w:t>
            </w:r>
            <w:proofErr w:type="gramEnd"/>
            <w:r>
              <w:rPr>
                <w:color w:val="000000"/>
                <w:u w:val="single"/>
              </w:rPr>
              <w:t>/a</w:t>
            </w:r>
          </w:p>
        </w:tc>
        <w:tc>
          <w:tcPr>
            <w:tcW w:w="2394" w:type="dxa"/>
          </w:tcPr>
          <w:p w14:paraId="2D45D9AC" w14:textId="47C99C4C" w:rsidR="00A837B4" w:rsidRPr="009E6D78" w:rsidRDefault="00702563" w:rsidP="00702563">
            <w:pPr>
              <w:pStyle w:val="List"/>
              <w:ind w:left="0" w:firstLine="0"/>
              <w:rPr>
                <w:color w:val="000000"/>
                <w:u w:val="single"/>
              </w:rPr>
            </w:pPr>
            <w:r>
              <w:rPr>
                <w:color w:val="000000"/>
                <w:u w:val="single"/>
              </w:rPr>
              <w:t>$50</w:t>
            </w:r>
            <w:r w:rsidR="00A837B4">
              <w:rPr>
                <w:color w:val="000000"/>
                <w:u w:val="single"/>
              </w:rPr>
              <w:t xml:space="preserve">0,000 on or before 3 year anniversary of </w:t>
            </w:r>
            <w:r>
              <w:rPr>
                <w:color w:val="000000"/>
                <w:u w:val="single"/>
              </w:rPr>
              <w:t>execution of the Agreement</w:t>
            </w:r>
          </w:p>
        </w:tc>
      </w:tr>
    </w:tbl>
    <w:p w14:paraId="3CD5124C" w14:textId="77777777" w:rsidR="00D11ACF" w:rsidRDefault="00D11ACF" w:rsidP="00D11ACF">
      <w:pPr>
        <w:pStyle w:val="List"/>
        <w:ind w:left="0" w:firstLine="0"/>
        <w:jc w:val="both"/>
        <w:rPr>
          <w:rFonts w:ascii="Arial" w:hAnsi="Arial"/>
          <w:color w:val="000000"/>
        </w:rPr>
      </w:pPr>
    </w:p>
    <w:p w14:paraId="552BB5FD" w14:textId="77777777" w:rsidR="00D11ACF" w:rsidRDefault="00D11ACF" w:rsidP="00D11ACF">
      <w:pPr>
        <w:pStyle w:val="List"/>
        <w:jc w:val="both"/>
        <w:rPr>
          <w:rFonts w:ascii="Arial" w:hAnsi="Arial"/>
          <w:color w:val="000000"/>
        </w:rPr>
      </w:pPr>
    </w:p>
    <w:p w14:paraId="23A2AF05" w14:textId="77777777" w:rsidR="00D11ACF" w:rsidRDefault="00D11ACF" w:rsidP="00D11ACF">
      <w:pPr>
        <w:pStyle w:val="List"/>
        <w:ind w:left="0" w:firstLine="0"/>
        <w:jc w:val="both"/>
        <w:rPr>
          <w:rFonts w:ascii="Arial" w:hAnsi="Arial"/>
          <w:color w:val="000000"/>
        </w:rPr>
      </w:pPr>
    </w:p>
    <w:p w14:paraId="4ECE6CEA" w14:textId="0DA9A8CA" w:rsidR="00EA4133" w:rsidRDefault="00A837B4" w:rsidP="00A837B4">
      <w:pPr>
        <w:pStyle w:val="List"/>
        <w:numPr>
          <w:ilvl w:val="0"/>
          <w:numId w:val="16"/>
        </w:numPr>
        <w:tabs>
          <w:tab w:val="left" w:pos="9180"/>
        </w:tabs>
        <w:rPr>
          <w:rFonts w:ascii="Arial" w:hAnsi="Arial"/>
          <w:color w:val="000000"/>
        </w:rPr>
      </w:pPr>
      <w:proofErr w:type="spellStart"/>
      <w:r>
        <w:rPr>
          <w:rFonts w:ascii="Arial" w:hAnsi="Arial"/>
          <w:color w:val="000000"/>
        </w:rPr>
        <w:t>S</w:t>
      </w:r>
      <w:r w:rsidR="00EA4133" w:rsidRPr="00A837B4">
        <w:rPr>
          <w:rFonts w:ascii="Arial" w:hAnsi="Arial"/>
          <w:color w:val="000000"/>
        </w:rPr>
        <w:t>State</w:t>
      </w:r>
      <w:proofErr w:type="spellEnd"/>
      <w:r w:rsidR="00EA4133" w:rsidRPr="00A837B4">
        <w:rPr>
          <w:rFonts w:ascii="Arial" w:hAnsi="Arial"/>
          <w:color w:val="000000"/>
        </w:rPr>
        <w:t xml:space="preserve"> how the purchase or sale price was determined (e.g. arm’s-length negotiation, independent committee of the Board, third party valuation </w:t>
      </w:r>
      <w:proofErr w:type="spellStart"/>
      <w:r w:rsidR="00EA4133" w:rsidRPr="00A837B4">
        <w:rPr>
          <w:rFonts w:ascii="Arial" w:hAnsi="Arial"/>
          <w:color w:val="000000"/>
        </w:rPr>
        <w:t>etc</w:t>
      </w:r>
      <w:proofErr w:type="spellEnd"/>
      <w:r w:rsidR="00EA4133" w:rsidRPr="00A837B4">
        <w:rPr>
          <w:rFonts w:ascii="Arial" w:hAnsi="Arial"/>
          <w:color w:val="000000"/>
        </w:rPr>
        <w:t>).</w:t>
      </w:r>
    </w:p>
    <w:p w14:paraId="2FFEB0C4" w14:textId="411A46D4" w:rsidR="00A837B4" w:rsidRPr="00A837B4" w:rsidRDefault="00A837B4" w:rsidP="00A837B4">
      <w:pPr>
        <w:pStyle w:val="List"/>
        <w:tabs>
          <w:tab w:val="left" w:pos="9180"/>
        </w:tabs>
        <w:ind w:left="709" w:firstLine="425"/>
        <w:rPr>
          <w:rFonts w:ascii="Arial" w:hAnsi="Arial"/>
          <w:color w:val="000000"/>
        </w:rPr>
      </w:pPr>
      <w:r w:rsidRPr="00A619A3">
        <w:rPr>
          <w:rFonts w:ascii="Arial" w:hAnsi="Arial"/>
          <w:color w:val="000000"/>
          <w:u w:val="single"/>
        </w:rPr>
        <w:t>Arm’s-length negotiation and approval by the board of directors</w:t>
      </w:r>
      <w:r>
        <w:rPr>
          <w:rFonts w:ascii="Arial" w:hAnsi="Arial"/>
          <w:color w:val="000000"/>
          <w:u w:val="single"/>
        </w:rPr>
        <w:t>.</w:t>
      </w:r>
    </w:p>
    <w:p w14:paraId="7170CC64" w14:textId="57317EB6" w:rsidR="00EA4133" w:rsidRDefault="00EA4133" w:rsidP="00A837B4">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A837B4">
        <w:rPr>
          <w:rFonts w:ascii="Arial" w:hAnsi="Arial"/>
          <w:color w:val="000000"/>
          <w:u w:val="single"/>
        </w:rPr>
        <w:t>n/a</w:t>
      </w:r>
    </w:p>
    <w:p w14:paraId="0F5E06ED"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25DD25F" w14:textId="77777777">
        <w:tc>
          <w:tcPr>
            <w:tcW w:w="1440" w:type="dxa"/>
          </w:tcPr>
          <w:p w14:paraId="253C6979" w14:textId="77777777" w:rsidR="00EA4133" w:rsidRDefault="00EA4133">
            <w:pPr>
              <w:pStyle w:val="BodyText"/>
              <w:keepNext/>
              <w:keepLines/>
              <w:spacing w:before="0" w:line="280" w:lineRule="exact"/>
              <w:jc w:val="center"/>
              <w:rPr>
                <w:rFonts w:ascii="Arial" w:hAnsi="Arial"/>
                <w:b/>
                <w:sz w:val="20"/>
                <w:lang w:val="en-CA"/>
              </w:rPr>
            </w:pPr>
          </w:p>
          <w:p w14:paraId="19A7035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738569B" w14:textId="77777777" w:rsidR="00EA4133" w:rsidRDefault="00EA4133">
            <w:pPr>
              <w:pStyle w:val="BodyText"/>
              <w:keepNext/>
              <w:keepLines/>
              <w:spacing w:before="0" w:line="280" w:lineRule="exact"/>
              <w:jc w:val="center"/>
              <w:rPr>
                <w:rFonts w:ascii="Arial" w:hAnsi="Arial"/>
                <w:b/>
                <w:sz w:val="20"/>
                <w:lang w:val="en-CA"/>
              </w:rPr>
            </w:pPr>
          </w:p>
          <w:p w14:paraId="075F5A0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00D1FE5" w14:textId="77777777" w:rsidR="00EA4133" w:rsidRDefault="00EA4133">
            <w:pPr>
              <w:pStyle w:val="BodyText"/>
              <w:keepNext/>
              <w:keepLines/>
              <w:spacing w:before="0" w:line="280" w:lineRule="exact"/>
              <w:jc w:val="center"/>
              <w:rPr>
                <w:rFonts w:ascii="Arial" w:hAnsi="Arial"/>
                <w:b/>
                <w:sz w:val="20"/>
                <w:lang w:val="en-CA"/>
              </w:rPr>
            </w:pPr>
          </w:p>
          <w:p w14:paraId="428D893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D66BC8" w14:textId="77777777" w:rsidR="00EA4133" w:rsidRDefault="00EA4133">
            <w:pPr>
              <w:pStyle w:val="BodyText"/>
              <w:keepNext/>
              <w:keepLines/>
              <w:spacing w:before="0" w:line="280" w:lineRule="exact"/>
              <w:jc w:val="center"/>
              <w:rPr>
                <w:rFonts w:ascii="Arial" w:hAnsi="Arial"/>
                <w:b/>
                <w:sz w:val="20"/>
                <w:lang w:val="en-CA"/>
              </w:rPr>
            </w:pPr>
          </w:p>
          <w:p w14:paraId="1EF1BF3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B412F24" w14:textId="77777777" w:rsidR="00EA4133" w:rsidRDefault="00EA4133">
            <w:pPr>
              <w:pStyle w:val="BodyText"/>
              <w:keepNext/>
              <w:keepLines/>
              <w:spacing w:before="0" w:line="280" w:lineRule="exact"/>
              <w:jc w:val="center"/>
              <w:rPr>
                <w:rFonts w:ascii="Arial" w:hAnsi="Arial"/>
                <w:b/>
                <w:sz w:val="20"/>
                <w:lang w:val="en-CA"/>
              </w:rPr>
            </w:pPr>
          </w:p>
          <w:p w14:paraId="4EBA5E9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ECB402F" w14:textId="77777777" w:rsidR="00EA4133" w:rsidRDefault="00EA4133">
            <w:pPr>
              <w:pStyle w:val="BodyText"/>
              <w:keepNext/>
              <w:keepLines/>
              <w:spacing w:before="0" w:line="280" w:lineRule="exact"/>
              <w:jc w:val="center"/>
              <w:rPr>
                <w:rFonts w:ascii="Arial" w:hAnsi="Arial"/>
                <w:b/>
                <w:sz w:val="20"/>
              </w:rPr>
            </w:pPr>
          </w:p>
          <w:p w14:paraId="366A44E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 by Party</w:t>
            </w:r>
          </w:p>
        </w:tc>
        <w:tc>
          <w:tcPr>
            <w:tcW w:w="1530" w:type="dxa"/>
          </w:tcPr>
          <w:p w14:paraId="25E25F76" w14:textId="77777777" w:rsidR="00EA4133" w:rsidRDefault="00EA4133">
            <w:pPr>
              <w:pStyle w:val="BodyText"/>
              <w:keepNext/>
              <w:keepLines/>
              <w:spacing w:before="0" w:line="280" w:lineRule="exact"/>
              <w:jc w:val="center"/>
              <w:rPr>
                <w:rFonts w:ascii="Arial" w:hAnsi="Arial"/>
                <w:b/>
                <w:color w:val="000000"/>
                <w:sz w:val="20"/>
                <w:lang w:val="en-CA"/>
              </w:rPr>
            </w:pPr>
          </w:p>
          <w:p w14:paraId="7874E9E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83E8AC1" w14:textId="77777777" w:rsidR="00EA4133" w:rsidRDefault="00EA4133">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A837B4" w14:paraId="06874204" w14:textId="77777777" w:rsidTr="002D393D">
        <w:trPr>
          <w:trHeight w:hRule="exact" w:val="2915"/>
        </w:trPr>
        <w:tc>
          <w:tcPr>
            <w:tcW w:w="1440" w:type="dxa"/>
          </w:tcPr>
          <w:p w14:paraId="745C728E" w14:textId="07D65DF6" w:rsidR="00A837B4" w:rsidRPr="00A837B4" w:rsidRDefault="00483AF3" w:rsidP="00483AF3">
            <w:pPr>
              <w:pStyle w:val="BodyText"/>
              <w:keepNext/>
              <w:keepLines/>
              <w:rPr>
                <w:rFonts w:ascii="Arial" w:hAnsi="Arial"/>
                <w:sz w:val="20"/>
                <w:lang w:val="en-CA"/>
              </w:rPr>
            </w:pPr>
            <w:r>
              <w:rPr>
                <w:rFonts w:ascii="Arial" w:hAnsi="Arial"/>
                <w:sz w:val="20"/>
                <w:lang w:val="en-CA"/>
              </w:rPr>
              <w:t>Doctors Investment Group Ltd.</w:t>
            </w:r>
            <w:r w:rsidR="002D393D">
              <w:rPr>
                <w:rFonts w:ascii="Arial" w:hAnsi="Arial"/>
                <w:sz w:val="20"/>
                <w:lang w:val="en-CA"/>
              </w:rPr>
              <w:t xml:space="preserve"> (insiders: </w:t>
            </w:r>
            <w:r>
              <w:rPr>
                <w:rFonts w:ascii="Arial" w:hAnsi="Arial"/>
                <w:sz w:val="20"/>
                <w:lang w:val="en-CA"/>
              </w:rPr>
              <w:t>Michael Taylor</w:t>
            </w:r>
            <w:r w:rsidR="002D393D">
              <w:rPr>
                <w:rFonts w:ascii="Arial" w:hAnsi="Arial"/>
                <w:sz w:val="20"/>
                <w:lang w:val="en-CA"/>
              </w:rPr>
              <w:t>)</w:t>
            </w:r>
          </w:p>
        </w:tc>
        <w:tc>
          <w:tcPr>
            <w:tcW w:w="1260" w:type="dxa"/>
          </w:tcPr>
          <w:p w14:paraId="19A3AEF2" w14:textId="50F22A29" w:rsidR="00A837B4" w:rsidRPr="00A837B4" w:rsidRDefault="00483AF3">
            <w:pPr>
              <w:pStyle w:val="BodyText"/>
              <w:keepNext/>
              <w:keepLines/>
              <w:rPr>
                <w:rFonts w:ascii="Arial" w:hAnsi="Arial"/>
                <w:sz w:val="20"/>
                <w:lang w:val="en-CA"/>
              </w:rPr>
            </w:pPr>
            <w:r>
              <w:rPr>
                <w:rFonts w:ascii="Arial" w:hAnsi="Arial"/>
                <w:sz w:val="20"/>
                <w:lang w:val="en-CA"/>
              </w:rPr>
              <w:t>2,000,000 common shares</w:t>
            </w:r>
            <w:bookmarkStart w:id="4" w:name="_GoBack"/>
            <w:bookmarkEnd w:id="4"/>
          </w:p>
        </w:tc>
        <w:tc>
          <w:tcPr>
            <w:tcW w:w="1260" w:type="dxa"/>
          </w:tcPr>
          <w:p w14:paraId="377B290B" w14:textId="2441883F" w:rsidR="00A837B4" w:rsidRPr="00A837B4" w:rsidRDefault="00483AF3">
            <w:pPr>
              <w:pStyle w:val="BodyText"/>
              <w:keepNext/>
              <w:keepLines/>
              <w:rPr>
                <w:rFonts w:ascii="Arial" w:hAnsi="Arial"/>
                <w:sz w:val="20"/>
                <w:lang w:val="en-CA"/>
              </w:rPr>
            </w:pPr>
            <w:r>
              <w:rPr>
                <w:rFonts w:ascii="Arial" w:hAnsi="Arial"/>
                <w:sz w:val="20"/>
                <w:lang w:val="en-CA"/>
              </w:rPr>
              <w:t>Deemed value of $0.085</w:t>
            </w:r>
            <w:r w:rsidR="00A837B4" w:rsidRPr="00A837B4">
              <w:rPr>
                <w:rFonts w:ascii="Arial" w:hAnsi="Arial"/>
                <w:sz w:val="20"/>
                <w:lang w:val="en-CA"/>
              </w:rPr>
              <w:t xml:space="preserve"> per common share</w:t>
            </w:r>
          </w:p>
        </w:tc>
        <w:tc>
          <w:tcPr>
            <w:tcW w:w="1440" w:type="dxa"/>
          </w:tcPr>
          <w:p w14:paraId="0AE26E81" w14:textId="7B82F279" w:rsidR="00A837B4" w:rsidRDefault="00A837B4">
            <w:pPr>
              <w:pStyle w:val="BodyText"/>
              <w:keepNext/>
              <w:keepLines/>
              <w:rPr>
                <w:rFonts w:ascii="Arial" w:hAnsi="Arial"/>
                <w:lang w:val="en-CA"/>
              </w:rPr>
            </w:pPr>
            <w:r>
              <w:rPr>
                <w:rFonts w:ascii="Arial" w:hAnsi="Arial"/>
                <w:lang w:val="en-CA"/>
              </w:rPr>
              <w:t>N/A</w:t>
            </w:r>
          </w:p>
        </w:tc>
        <w:tc>
          <w:tcPr>
            <w:tcW w:w="1440" w:type="dxa"/>
          </w:tcPr>
          <w:p w14:paraId="2BB606BC" w14:textId="1253B670" w:rsidR="00A837B4" w:rsidRDefault="00A837B4">
            <w:pPr>
              <w:pStyle w:val="BodyText"/>
              <w:keepNext/>
              <w:keepLines/>
              <w:rPr>
                <w:rFonts w:ascii="Arial" w:hAnsi="Arial"/>
                <w:lang w:val="en-CA"/>
              </w:rPr>
            </w:pPr>
            <w:r>
              <w:rPr>
                <w:rFonts w:ascii="Arial" w:hAnsi="Arial"/>
                <w:sz w:val="20"/>
                <w:lang w:val="en-CA"/>
              </w:rPr>
              <w:t>2.13(2) of NI 45-106</w:t>
            </w:r>
          </w:p>
        </w:tc>
        <w:tc>
          <w:tcPr>
            <w:tcW w:w="1620" w:type="dxa"/>
          </w:tcPr>
          <w:p w14:paraId="012D12CC" w14:textId="308A9811" w:rsidR="00A837B4" w:rsidRDefault="00A837B4">
            <w:pPr>
              <w:pStyle w:val="BodyText"/>
              <w:keepNext/>
              <w:keepLines/>
              <w:rPr>
                <w:rFonts w:ascii="Arial" w:hAnsi="Arial"/>
                <w:lang w:val="en-CA"/>
              </w:rPr>
            </w:pPr>
            <w:r>
              <w:rPr>
                <w:rFonts w:ascii="Arial" w:hAnsi="Arial"/>
                <w:sz w:val="20"/>
                <w:lang w:val="en-CA"/>
              </w:rPr>
              <w:t>None</w:t>
            </w:r>
          </w:p>
        </w:tc>
        <w:tc>
          <w:tcPr>
            <w:tcW w:w="1530" w:type="dxa"/>
          </w:tcPr>
          <w:p w14:paraId="3936CDF0" w14:textId="4FF8928D" w:rsidR="00A837B4" w:rsidRDefault="00A837B4">
            <w:pPr>
              <w:pStyle w:val="BodyText"/>
              <w:keepNext/>
              <w:keepLines/>
              <w:rPr>
                <w:rFonts w:ascii="Arial" w:hAnsi="Arial"/>
                <w:lang w:val="en-CA"/>
              </w:rPr>
            </w:pPr>
            <w:r>
              <w:rPr>
                <w:rFonts w:ascii="Arial" w:hAnsi="Arial"/>
                <w:sz w:val="20"/>
                <w:lang w:val="en-CA"/>
              </w:rPr>
              <w:t>Non-related</w:t>
            </w:r>
          </w:p>
        </w:tc>
      </w:tr>
    </w:tbl>
    <w:p w14:paraId="45C67EBA"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9BE3681" w14:textId="1B24A80B" w:rsidR="00EA4133" w:rsidRDefault="00EA4133" w:rsidP="00A837B4">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A837B4">
        <w:rPr>
          <w:rFonts w:ascii="Arial" w:hAnsi="Arial"/>
          <w:color w:val="000000"/>
          <w:u w:val="single"/>
        </w:rPr>
        <w:t>Represented and warranted on Agreement.</w:t>
      </w:r>
    </w:p>
    <w:p w14:paraId="713DE846" w14:textId="0114A219"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A837B4">
        <w:rPr>
          <w:rFonts w:ascii="Arial" w:hAnsi="Arial"/>
        </w:rPr>
        <w:t xml:space="preserve"> </w:t>
      </w:r>
    </w:p>
    <w:p w14:paraId="00F786D1" w14:textId="77777777" w:rsidR="00483AF3" w:rsidRDefault="00EA4133">
      <w:pPr>
        <w:pStyle w:val="List"/>
        <w:tabs>
          <w:tab w:val="left" w:pos="2160"/>
          <w:tab w:val="left" w:pos="9180"/>
        </w:tabs>
        <w:ind w:left="2160"/>
        <w:jc w:val="both"/>
        <w:rPr>
          <w:rFonts w:ascii="Arial" w:hAnsi="Arial"/>
        </w:rPr>
      </w:pPr>
      <w:r>
        <w:rPr>
          <w:rFonts w:ascii="Arial" w:hAnsi="Arial"/>
        </w:rPr>
        <w:lastRenderedPageBreak/>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p>
    <w:p w14:paraId="6F04B778" w14:textId="7C523145" w:rsidR="00EA4133" w:rsidRDefault="00483AF3">
      <w:pPr>
        <w:pStyle w:val="List"/>
        <w:tabs>
          <w:tab w:val="left" w:pos="2160"/>
          <w:tab w:val="left" w:pos="9180"/>
        </w:tabs>
        <w:ind w:left="2160"/>
        <w:jc w:val="both"/>
        <w:rPr>
          <w:rFonts w:ascii="Arial" w:hAnsi="Arial"/>
          <w:u w:val="single"/>
        </w:rPr>
      </w:pPr>
      <w:r>
        <w:rPr>
          <w:rFonts w:ascii="Arial" w:hAnsi="Arial"/>
        </w:rPr>
        <w:tab/>
      </w:r>
      <w:r w:rsidRPr="00483AF3">
        <w:rPr>
          <w:rFonts w:ascii="Arial" w:hAnsi="Arial"/>
          <w:u w:val="single"/>
        </w:rPr>
        <w:t>Canal Front Investments Inc. (Blair Naughty), Port Moody, BC</w:t>
      </w:r>
    </w:p>
    <w:p w14:paraId="22FF621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r>
        <w:rPr>
          <w:rFonts w:ascii="Arial" w:hAnsi="Arial"/>
        </w:rPr>
        <w:t xml:space="preserve"> .</w:t>
      </w:r>
      <w:proofErr w:type="gramEnd"/>
    </w:p>
    <w:p w14:paraId="3A63E58D" w14:textId="15FE69D2"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83AF3">
        <w:rPr>
          <w:rFonts w:ascii="Arial" w:hAnsi="Arial"/>
          <w:u w:val="single"/>
        </w:rPr>
        <w:t>200,000 common shares</w:t>
      </w:r>
      <w:r>
        <w:rPr>
          <w:rFonts w:ascii="Arial" w:hAnsi="Arial"/>
        </w:rPr>
        <w:t>.</w:t>
      </w:r>
    </w:p>
    <w:p w14:paraId="256A251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Pr>
          <w:rFonts w:ascii="Arial" w:hAnsi="Arial"/>
          <w:u w:val="single"/>
        </w:rPr>
        <w:tab/>
      </w:r>
      <w:r>
        <w:rPr>
          <w:rFonts w:ascii="Arial" w:hAnsi="Arial"/>
        </w:rPr>
        <w:t xml:space="preserve"> .</w:t>
      </w:r>
      <w:proofErr w:type="gramEnd"/>
    </w:p>
    <w:p w14:paraId="741DDF82"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9147D9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223750E" w14:textId="77777777" w:rsidR="00CF2A90" w:rsidRDefault="00CF2A90" w:rsidP="00CF2A90">
      <w:pPr>
        <w:pStyle w:val="List"/>
        <w:tabs>
          <w:tab w:val="left" w:pos="9180"/>
        </w:tabs>
        <w:ind w:left="0" w:firstLine="0"/>
        <w:rPr>
          <w:rFonts w:ascii="Arial" w:hAnsi="Arial"/>
          <w:color w:val="000000"/>
        </w:rPr>
      </w:pPr>
    </w:p>
    <w:p w14:paraId="054E7A73" w14:textId="162B82A8"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A837B4" w:rsidRPr="00A837B4">
        <w:rPr>
          <w:rFonts w:ascii="Arial" w:hAnsi="Arial"/>
          <w:color w:val="000000"/>
          <w:u w:val="single"/>
        </w:rPr>
        <w:t>N/A</w:t>
      </w:r>
    </w:p>
    <w:p w14:paraId="028CE8E0" w14:textId="202B3206" w:rsidR="00EA4133" w:rsidRDefault="00EA4133" w:rsidP="00A837B4">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837B4">
        <w:rPr>
          <w:rFonts w:ascii="Arial" w:hAnsi="Arial"/>
          <w:color w:val="000000"/>
          <w:u w:val="single"/>
        </w:rPr>
        <w:t>N/A</w:t>
      </w:r>
    </w:p>
    <w:p w14:paraId="72CE7F49" w14:textId="77777777" w:rsidR="001F219B" w:rsidRDefault="001F219B">
      <w:pPr>
        <w:pStyle w:val="List"/>
        <w:tabs>
          <w:tab w:val="left" w:pos="1080"/>
        </w:tabs>
        <w:ind w:left="0" w:firstLine="0"/>
        <w:rPr>
          <w:rFonts w:ascii="Arial" w:hAnsi="Arial"/>
          <w:b/>
        </w:rPr>
      </w:pPr>
    </w:p>
    <w:p w14:paraId="76F61046" w14:textId="77777777" w:rsidR="001F219B" w:rsidRDefault="001F219B">
      <w:pPr>
        <w:pStyle w:val="List"/>
        <w:tabs>
          <w:tab w:val="left" w:pos="1080"/>
        </w:tabs>
        <w:ind w:left="0" w:firstLine="0"/>
        <w:rPr>
          <w:rFonts w:ascii="Arial" w:hAnsi="Arial"/>
          <w:b/>
        </w:rPr>
      </w:pPr>
    </w:p>
    <w:p w14:paraId="58DB4ED4" w14:textId="77777777" w:rsidR="001F219B" w:rsidRDefault="001F219B">
      <w:pPr>
        <w:pStyle w:val="List"/>
        <w:tabs>
          <w:tab w:val="left" w:pos="1080"/>
        </w:tabs>
        <w:ind w:left="0" w:firstLine="0"/>
        <w:rPr>
          <w:rFonts w:ascii="Arial" w:hAnsi="Arial"/>
          <w:b/>
        </w:rPr>
      </w:pPr>
    </w:p>
    <w:p w14:paraId="706C0F87" w14:textId="77777777" w:rsidR="001F219B" w:rsidRDefault="001F219B">
      <w:pPr>
        <w:pStyle w:val="List"/>
        <w:tabs>
          <w:tab w:val="left" w:pos="1080"/>
        </w:tabs>
        <w:ind w:left="0" w:firstLine="0"/>
        <w:rPr>
          <w:rFonts w:ascii="Arial" w:hAnsi="Arial"/>
          <w:b/>
        </w:rPr>
      </w:pPr>
    </w:p>
    <w:p w14:paraId="7C9C9930" w14:textId="77777777" w:rsidR="001F219B" w:rsidRDefault="001F219B">
      <w:pPr>
        <w:pStyle w:val="List"/>
        <w:tabs>
          <w:tab w:val="left" w:pos="1080"/>
        </w:tabs>
        <w:ind w:left="0" w:firstLine="0"/>
        <w:rPr>
          <w:rFonts w:ascii="Arial" w:hAnsi="Arial"/>
          <w:b/>
        </w:rPr>
      </w:pPr>
    </w:p>
    <w:p w14:paraId="1EADBD0D" w14:textId="77777777" w:rsidR="001F219B" w:rsidRDefault="001F219B">
      <w:pPr>
        <w:pStyle w:val="List"/>
        <w:tabs>
          <w:tab w:val="left" w:pos="1080"/>
        </w:tabs>
        <w:ind w:left="0" w:firstLine="0"/>
        <w:rPr>
          <w:rFonts w:ascii="Arial" w:hAnsi="Arial"/>
          <w:b/>
        </w:rPr>
      </w:pPr>
    </w:p>
    <w:p w14:paraId="0A3A63E2" w14:textId="77777777" w:rsidR="001F219B" w:rsidRDefault="001F219B">
      <w:pPr>
        <w:pStyle w:val="List"/>
        <w:tabs>
          <w:tab w:val="left" w:pos="1080"/>
        </w:tabs>
        <w:ind w:left="0" w:firstLine="0"/>
        <w:rPr>
          <w:rFonts w:ascii="Arial" w:hAnsi="Arial"/>
          <w:b/>
        </w:rPr>
      </w:pPr>
    </w:p>
    <w:p w14:paraId="7D168580" w14:textId="77777777" w:rsidR="001F219B" w:rsidRDefault="001F219B">
      <w:pPr>
        <w:pStyle w:val="List"/>
        <w:tabs>
          <w:tab w:val="left" w:pos="1080"/>
        </w:tabs>
        <w:ind w:left="0" w:firstLine="0"/>
        <w:rPr>
          <w:rFonts w:ascii="Arial" w:hAnsi="Arial"/>
          <w:b/>
        </w:rPr>
      </w:pPr>
    </w:p>
    <w:p w14:paraId="640C8CBD" w14:textId="77777777" w:rsidR="001F219B" w:rsidRDefault="001F219B">
      <w:pPr>
        <w:pStyle w:val="List"/>
        <w:tabs>
          <w:tab w:val="left" w:pos="1080"/>
        </w:tabs>
        <w:ind w:left="0" w:firstLine="0"/>
        <w:rPr>
          <w:rFonts w:ascii="Arial" w:hAnsi="Arial"/>
          <w:b/>
        </w:rPr>
      </w:pPr>
    </w:p>
    <w:p w14:paraId="508017A2" w14:textId="77777777" w:rsidR="001F219B" w:rsidRDefault="001F219B">
      <w:pPr>
        <w:pStyle w:val="List"/>
        <w:tabs>
          <w:tab w:val="left" w:pos="1080"/>
        </w:tabs>
        <w:ind w:left="0" w:firstLine="0"/>
        <w:rPr>
          <w:rFonts w:ascii="Arial" w:hAnsi="Arial"/>
          <w:b/>
        </w:rPr>
      </w:pPr>
    </w:p>
    <w:p w14:paraId="5D178E0C" w14:textId="77777777" w:rsidR="001F219B" w:rsidRDefault="001F219B">
      <w:pPr>
        <w:pStyle w:val="List"/>
        <w:tabs>
          <w:tab w:val="left" w:pos="1080"/>
        </w:tabs>
        <w:ind w:left="0" w:firstLine="0"/>
        <w:rPr>
          <w:rFonts w:ascii="Arial" w:hAnsi="Arial"/>
          <w:b/>
        </w:rPr>
      </w:pPr>
    </w:p>
    <w:p w14:paraId="6BB14749" w14:textId="77777777" w:rsidR="001F219B" w:rsidRDefault="001F219B">
      <w:pPr>
        <w:pStyle w:val="List"/>
        <w:tabs>
          <w:tab w:val="left" w:pos="1080"/>
        </w:tabs>
        <w:ind w:left="0" w:firstLine="0"/>
        <w:rPr>
          <w:rFonts w:ascii="Arial" w:hAnsi="Arial"/>
          <w:b/>
        </w:rPr>
      </w:pPr>
    </w:p>
    <w:p w14:paraId="6A5F8A56" w14:textId="77777777" w:rsidR="002051C8" w:rsidRDefault="002051C8">
      <w:pPr>
        <w:pStyle w:val="List"/>
        <w:tabs>
          <w:tab w:val="left" w:pos="1080"/>
        </w:tabs>
        <w:ind w:left="0" w:firstLine="0"/>
        <w:rPr>
          <w:rFonts w:ascii="Arial" w:hAnsi="Arial"/>
          <w:b/>
        </w:rPr>
      </w:pPr>
    </w:p>
    <w:p w14:paraId="7D3E3F42" w14:textId="77777777" w:rsidR="002051C8" w:rsidRDefault="002051C8">
      <w:pPr>
        <w:pStyle w:val="List"/>
        <w:tabs>
          <w:tab w:val="left" w:pos="1080"/>
        </w:tabs>
        <w:ind w:left="0" w:firstLine="0"/>
        <w:rPr>
          <w:rFonts w:ascii="Arial" w:hAnsi="Arial"/>
          <w:b/>
        </w:rPr>
      </w:pPr>
    </w:p>
    <w:p w14:paraId="580DB9B1" w14:textId="77777777" w:rsidR="002051C8" w:rsidRDefault="002051C8">
      <w:pPr>
        <w:pStyle w:val="List"/>
        <w:tabs>
          <w:tab w:val="left" w:pos="1080"/>
        </w:tabs>
        <w:ind w:left="0" w:firstLine="0"/>
        <w:rPr>
          <w:rFonts w:ascii="Arial" w:hAnsi="Arial"/>
          <w:b/>
        </w:rPr>
      </w:pPr>
    </w:p>
    <w:p w14:paraId="51D85E59"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4A84FB9" w14:textId="77777777" w:rsidR="00EA4133" w:rsidRDefault="00EA4133">
      <w:pPr>
        <w:pStyle w:val="BodyText"/>
        <w:rPr>
          <w:rFonts w:ascii="Arial" w:hAnsi="Arial"/>
        </w:rPr>
      </w:pPr>
      <w:r>
        <w:rPr>
          <w:rFonts w:ascii="Arial" w:hAnsi="Arial"/>
        </w:rPr>
        <w:t>The undersigned hereby certifies that:</w:t>
      </w:r>
    </w:p>
    <w:p w14:paraId="780772C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0CB1ED3" w14:textId="77777777" w:rsidR="00EA4133" w:rsidRDefault="00EA4133">
      <w:pPr>
        <w:pStyle w:val="List"/>
        <w:numPr>
          <w:ilvl w:val="0"/>
          <w:numId w:val="7"/>
        </w:numPr>
        <w:jc w:val="both"/>
        <w:rPr>
          <w:rFonts w:ascii="Arial" w:hAnsi="Arial"/>
        </w:rPr>
      </w:pPr>
      <w:r>
        <w:rPr>
          <w:rFonts w:ascii="Arial" w:hAnsi="Arial"/>
        </w:rPr>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14:paraId="1B6A591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9E8E2C1"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564FFBAD" w14:textId="774AA778"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83AF3">
        <w:rPr>
          <w:rFonts w:ascii="Arial" w:hAnsi="Arial"/>
          <w:u w:val="single"/>
        </w:rPr>
        <w:t>March 7, 2017</w:t>
      </w:r>
    </w:p>
    <w:p w14:paraId="5576F576" w14:textId="77777777" w:rsidR="00EA4133" w:rsidRDefault="00EA4133">
      <w:pPr>
        <w:pStyle w:val="List"/>
        <w:tabs>
          <w:tab w:val="left" w:pos="9180"/>
        </w:tabs>
        <w:ind w:left="5760" w:hanging="5760"/>
        <w:rPr>
          <w:rFonts w:ascii="Arial" w:hAnsi="Arial"/>
        </w:rPr>
      </w:pPr>
      <w:r>
        <w:rPr>
          <w:rFonts w:ascii="Arial" w:hAnsi="Arial"/>
        </w:rPr>
        <w:tab/>
      </w:r>
      <w:r w:rsidR="001F219B">
        <w:rPr>
          <w:rFonts w:ascii="Arial" w:hAnsi="Arial"/>
          <w:u w:val="single"/>
        </w:rPr>
        <w:t>Keith Anderson</w:t>
      </w:r>
      <w:r w:rsidR="001F219B">
        <w:rPr>
          <w:rFonts w:ascii="Arial" w:hAnsi="Arial"/>
          <w:u w:val="single"/>
        </w:rPr>
        <w:tab/>
      </w:r>
      <w:r>
        <w:rPr>
          <w:rFonts w:ascii="Arial" w:hAnsi="Arial"/>
          <w:u w:val="single"/>
        </w:rPr>
        <w:br/>
      </w:r>
      <w:r>
        <w:rPr>
          <w:rFonts w:ascii="Arial" w:hAnsi="Arial"/>
        </w:rPr>
        <w:t>Name of Director or Senior Officer</w:t>
      </w:r>
    </w:p>
    <w:p w14:paraId="4FB392FF"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rPr>
        <w:t>“</w:t>
      </w:r>
      <w:r w:rsidR="001F219B" w:rsidRPr="001F219B">
        <w:rPr>
          <w:rFonts w:ascii="Arial" w:hAnsi="Arial"/>
          <w:i/>
          <w:u w:val="single"/>
        </w:rPr>
        <w:t>Keith Anderson</w:t>
      </w:r>
      <w:r w:rsidR="001F219B">
        <w:rPr>
          <w:rFonts w:ascii="Arial" w:hAnsi="Arial"/>
        </w:rPr>
        <w:t>”</w:t>
      </w:r>
      <w:r>
        <w:rPr>
          <w:rFonts w:ascii="Arial" w:hAnsi="Arial"/>
          <w:u w:val="single"/>
        </w:rPr>
        <w:tab/>
      </w:r>
      <w:r>
        <w:rPr>
          <w:rFonts w:ascii="Arial" w:hAnsi="Arial"/>
        </w:rPr>
        <w:br/>
        <w:t>Signature</w:t>
      </w:r>
    </w:p>
    <w:p w14:paraId="371B2664" w14:textId="77777777" w:rsidR="00EA4133" w:rsidRDefault="00EA4133">
      <w:pPr>
        <w:pStyle w:val="List"/>
        <w:tabs>
          <w:tab w:val="left" w:pos="9180"/>
          <w:tab w:val="left" w:pos="9360"/>
        </w:tabs>
        <w:ind w:left="5760" w:hanging="5760"/>
        <w:rPr>
          <w:rFonts w:ascii="Arial" w:hAnsi="Arial"/>
        </w:rPr>
      </w:pPr>
      <w:r>
        <w:rPr>
          <w:rFonts w:ascii="Arial" w:hAnsi="Arial"/>
        </w:rPr>
        <w:tab/>
      </w:r>
      <w:r w:rsidR="001F219B">
        <w:rPr>
          <w:rFonts w:ascii="Arial" w:hAnsi="Arial"/>
          <w:u w:val="single"/>
        </w:rPr>
        <w:t>President &amp; CEO</w:t>
      </w:r>
      <w:r w:rsidR="001F219B">
        <w:rPr>
          <w:rFonts w:ascii="Arial" w:hAnsi="Arial"/>
          <w:u w:val="single"/>
        </w:rPr>
        <w:tab/>
      </w:r>
      <w:r>
        <w:rPr>
          <w:rFonts w:ascii="Arial" w:hAnsi="Arial"/>
        </w:rPr>
        <w:br/>
        <w:t>Official Capacity</w:t>
      </w:r>
    </w:p>
    <w:p w14:paraId="0A5E2514" w14:textId="77777777" w:rsidR="00054C99" w:rsidRDefault="00054C99">
      <w:pPr>
        <w:pStyle w:val="List"/>
        <w:tabs>
          <w:tab w:val="left" w:pos="9180"/>
          <w:tab w:val="left" w:pos="9360"/>
        </w:tabs>
        <w:ind w:left="5760" w:hanging="5760"/>
        <w:rPr>
          <w:rFonts w:ascii="Arial" w:hAnsi="Arial"/>
        </w:rPr>
      </w:pPr>
    </w:p>
    <w:p w14:paraId="34910A41" w14:textId="77777777" w:rsidR="00054C99" w:rsidRDefault="00054C99" w:rsidP="00A837B4">
      <w:pPr>
        <w:pStyle w:val="List"/>
        <w:tabs>
          <w:tab w:val="left" w:pos="9180"/>
          <w:tab w:val="left" w:pos="9360"/>
        </w:tabs>
        <w:ind w:left="0" w:firstLine="0"/>
        <w:rPr>
          <w:rFonts w:ascii="Arial" w:hAnsi="Arial"/>
        </w:rPr>
      </w:pPr>
    </w:p>
    <w:sectPr w:rsidR="00054C99"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9E13" w14:textId="77777777" w:rsidR="00702563" w:rsidRDefault="00702563">
      <w:r>
        <w:separator/>
      </w:r>
    </w:p>
  </w:endnote>
  <w:endnote w:type="continuationSeparator" w:id="0">
    <w:p w14:paraId="22116630" w14:textId="77777777" w:rsidR="00702563" w:rsidRDefault="0070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91B6" w14:textId="77777777" w:rsidR="00702563" w:rsidRDefault="00702563"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25F4C4DF" wp14:editId="3A317900">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667DA6BE" w14:textId="77777777" w:rsidR="00702563" w:rsidRDefault="00702563" w:rsidP="008003B9">
    <w:pPr>
      <w:tabs>
        <w:tab w:val="center" w:pos="4674"/>
        <w:tab w:val="left" w:pos="8460"/>
      </w:tabs>
      <w:jc w:val="center"/>
      <w:rPr>
        <w:rStyle w:val="PageNumber"/>
        <w:rFonts w:ascii="Arial" w:hAnsi="Arial" w:cs="Arial"/>
        <w:b/>
      </w:rPr>
    </w:pPr>
    <w:r>
      <w:rPr>
        <w:rFonts w:ascii="Arial" w:hAnsi="Arial" w:cs="Arial"/>
        <w:b/>
      </w:rPr>
      <w:t>LISTED SECURITIES</w:t>
    </w:r>
  </w:p>
  <w:p w14:paraId="7D72A6A1" w14:textId="77777777" w:rsidR="00702563" w:rsidRDefault="0070256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26F6600" w14:textId="77777777" w:rsidR="00702563" w:rsidRPr="002557FD" w:rsidRDefault="00702563"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483AF3">
      <w:rPr>
        <w:rStyle w:val="PageNumber"/>
        <w:rFonts w:ascii="Arial" w:hAnsi="Arial" w:cs="Arial"/>
        <w:noProof/>
        <w:sz w:val="16"/>
        <w:szCs w:val="16"/>
      </w:rPr>
      <w:t>2</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0766" w14:textId="77777777" w:rsidR="00702563" w:rsidRDefault="00702563">
    <w:pPr>
      <w:pStyle w:val="Footer"/>
    </w:pPr>
    <w:fldSimple w:instr=" DOCPROPERTY FOOTERPATH \* MERGEFORMAT ">
      <w:r>
        <w:t>3214.001\0180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C976E" w14:textId="77777777" w:rsidR="00702563" w:rsidRDefault="00702563">
      <w:r>
        <w:separator/>
      </w:r>
    </w:p>
  </w:footnote>
  <w:footnote w:type="continuationSeparator" w:id="0">
    <w:p w14:paraId="2D57E039" w14:textId="77777777" w:rsidR="00702563" w:rsidRDefault="00702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EF61DC3"/>
    <w:multiLevelType w:val="hybridMultilevel"/>
    <w:tmpl w:val="DD2A1FD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462D6D6D"/>
    <w:multiLevelType w:val="hybridMultilevel"/>
    <w:tmpl w:val="928227B2"/>
    <w:lvl w:ilvl="0" w:tplc="0409000F">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54C99"/>
    <w:rsid w:val="00057027"/>
    <w:rsid w:val="000B64EF"/>
    <w:rsid w:val="000E7B73"/>
    <w:rsid w:val="00116314"/>
    <w:rsid w:val="00173F0B"/>
    <w:rsid w:val="00186DA5"/>
    <w:rsid w:val="001B7CCD"/>
    <w:rsid w:val="001F219B"/>
    <w:rsid w:val="002051C8"/>
    <w:rsid w:val="00236840"/>
    <w:rsid w:val="002557FD"/>
    <w:rsid w:val="0029761B"/>
    <w:rsid w:val="002D393D"/>
    <w:rsid w:val="002F0416"/>
    <w:rsid w:val="002F3707"/>
    <w:rsid w:val="00326D55"/>
    <w:rsid w:val="00456624"/>
    <w:rsid w:val="004567D5"/>
    <w:rsid w:val="00473FAF"/>
    <w:rsid w:val="00483AF3"/>
    <w:rsid w:val="004A1403"/>
    <w:rsid w:val="004B214D"/>
    <w:rsid w:val="005C65EF"/>
    <w:rsid w:val="00617A0E"/>
    <w:rsid w:val="0062717F"/>
    <w:rsid w:val="00702563"/>
    <w:rsid w:val="007568B3"/>
    <w:rsid w:val="0079260F"/>
    <w:rsid w:val="007B0425"/>
    <w:rsid w:val="008003B9"/>
    <w:rsid w:val="008C5D1D"/>
    <w:rsid w:val="008F27FF"/>
    <w:rsid w:val="00902C13"/>
    <w:rsid w:val="009136E7"/>
    <w:rsid w:val="009466F0"/>
    <w:rsid w:val="0097763E"/>
    <w:rsid w:val="00A00C54"/>
    <w:rsid w:val="00A10285"/>
    <w:rsid w:val="00A41350"/>
    <w:rsid w:val="00A837B4"/>
    <w:rsid w:val="00A90670"/>
    <w:rsid w:val="00A93530"/>
    <w:rsid w:val="00A9392C"/>
    <w:rsid w:val="00AD6CCD"/>
    <w:rsid w:val="00B923F6"/>
    <w:rsid w:val="00BE76E7"/>
    <w:rsid w:val="00C24E59"/>
    <w:rsid w:val="00C473F3"/>
    <w:rsid w:val="00CF076A"/>
    <w:rsid w:val="00CF2A90"/>
    <w:rsid w:val="00D11ACF"/>
    <w:rsid w:val="00DB640C"/>
    <w:rsid w:val="00E55E58"/>
    <w:rsid w:val="00E97C13"/>
    <w:rsid w:val="00EA4133"/>
    <w:rsid w:val="00EA4AE0"/>
    <w:rsid w:val="00F1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18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link w:val="TitleChar"/>
    <w:uiPriority w:val="10"/>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TitleChar">
    <w:name w:val="Title Char"/>
    <w:link w:val="Title"/>
    <w:uiPriority w:val="10"/>
    <w:rsid w:val="005C65EF"/>
    <w:rPr>
      <w:rFonts w:ascii="Arial" w:hAnsi="Arial"/>
      <w:b/>
      <w:sz w:val="4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link w:val="TitleChar"/>
    <w:uiPriority w:val="10"/>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TitleChar">
    <w:name w:val="Title Char"/>
    <w:link w:val="Title"/>
    <w:uiPriority w:val="10"/>
    <w:rsid w:val="005C65EF"/>
    <w:rPr>
      <w:rFonts w:ascii="Arial" w:hAnsi="Arial"/>
      <w:b/>
      <w:sz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499">
      <w:bodyDiv w:val="1"/>
      <w:marLeft w:val="0"/>
      <w:marRight w:val="0"/>
      <w:marTop w:val="0"/>
      <w:marBottom w:val="0"/>
      <w:divBdr>
        <w:top w:val="none" w:sz="0" w:space="0" w:color="auto"/>
        <w:left w:val="none" w:sz="0" w:space="0" w:color="auto"/>
        <w:bottom w:val="none" w:sz="0" w:space="0" w:color="auto"/>
        <w:right w:val="none" w:sz="0" w:space="0" w:color="auto"/>
      </w:divBdr>
    </w:div>
    <w:div w:id="144321967">
      <w:bodyDiv w:val="1"/>
      <w:marLeft w:val="0"/>
      <w:marRight w:val="0"/>
      <w:marTop w:val="0"/>
      <w:marBottom w:val="0"/>
      <w:divBdr>
        <w:top w:val="none" w:sz="0" w:space="0" w:color="auto"/>
        <w:left w:val="none" w:sz="0" w:space="0" w:color="auto"/>
        <w:bottom w:val="none" w:sz="0" w:space="0" w:color="auto"/>
        <w:right w:val="none" w:sz="0" w:space="0" w:color="auto"/>
      </w:divBdr>
    </w:div>
    <w:div w:id="287011677">
      <w:bodyDiv w:val="1"/>
      <w:marLeft w:val="0"/>
      <w:marRight w:val="0"/>
      <w:marTop w:val="0"/>
      <w:marBottom w:val="0"/>
      <w:divBdr>
        <w:top w:val="none" w:sz="0" w:space="0" w:color="auto"/>
        <w:left w:val="none" w:sz="0" w:space="0" w:color="auto"/>
        <w:bottom w:val="none" w:sz="0" w:space="0" w:color="auto"/>
        <w:right w:val="none" w:sz="0" w:space="0" w:color="auto"/>
      </w:divBdr>
    </w:div>
    <w:div w:id="370228412">
      <w:bodyDiv w:val="1"/>
      <w:marLeft w:val="0"/>
      <w:marRight w:val="0"/>
      <w:marTop w:val="0"/>
      <w:marBottom w:val="0"/>
      <w:divBdr>
        <w:top w:val="none" w:sz="0" w:space="0" w:color="auto"/>
        <w:left w:val="none" w:sz="0" w:space="0" w:color="auto"/>
        <w:bottom w:val="none" w:sz="0" w:space="0" w:color="auto"/>
        <w:right w:val="none" w:sz="0" w:space="0" w:color="auto"/>
      </w:divBdr>
    </w:div>
    <w:div w:id="437795801">
      <w:bodyDiv w:val="1"/>
      <w:marLeft w:val="0"/>
      <w:marRight w:val="0"/>
      <w:marTop w:val="0"/>
      <w:marBottom w:val="0"/>
      <w:divBdr>
        <w:top w:val="none" w:sz="0" w:space="0" w:color="auto"/>
        <w:left w:val="none" w:sz="0" w:space="0" w:color="auto"/>
        <w:bottom w:val="none" w:sz="0" w:space="0" w:color="auto"/>
        <w:right w:val="none" w:sz="0" w:space="0" w:color="auto"/>
      </w:divBdr>
    </w:div>
    <w:div w:id="452596412">
      <w:bodyDiv w:val="1"/>
      <w:marLeft w:val="0"/>
      <w:marRight w:val="0"/>
      <w:marTop w:val="0"/>
      <w:marBottom w:val="0"/>
      <w:divBdr>
        <w:top w:val="none" w:sz="0" w:space="0" w:color="auto"/>
        <w:left w:val="none" w:sz="0" w:space="0" w:color="auto"/>
        <w:bottom w:val="none" w:sz="0" w:space="0" w:color="auto"/>
        <w:right w:val="none" w:sz="0" w:space="0" w:color="auto"/>
      </w:divBdr>
    </w:div>
    <w:div w:id="492338840">
      <w:bodyDiv w:val="1"/>
      <w:marLeft w:val="0"/>
      <w:marRight w:val="0"/>
      <w:marTop w:val="0"/>
      <w:marBottom w:val="0"/>
      <w:divBdr>
        <w:top w:val="none" w:sz="0" w:space="0" w:color="auto"/>
        <w:left w:val="none" w:sz="0" w:space="0" w:color="auto"/>
        <w:bottom w:val="none" w:sz="0" w:space="0" w:color="auto"/>
        <w:right w:val="none" w:sz="0" w:space="0" w:color="auto"/>
      </w:divBdr>
    </w:div>
    <w:div w:id="610283780">
      <w:bodyDiv w:val="1"/>
      <w:marLeft w:val="0"/>
      <w:marRight w:val="0"/>
      <w:marTop w:val="0"/>
      <w:marBottom w:val="0"/>
      <w:divBdr>
        <w:top w:val="none" w:sz="0" w:space="0" w:color="auto"/>
        <w:left w:val="none" w:sz="0" w:space="0" w:color="auto"/>
        <w:bottom w:val="none" w:sz="0" w:space="0" w:color="auto"/>
        <w:right w:val="none" w:sz="0" w:space="0" w:color="auto"/>
      </w:divBdr>
    </w:div>
    <w:div w:id="821965481">
      <w:bodyDiv w:val="1"/>
      <w:marLeft w:val="0"/>
      <w:marRight w:val="0"/>
      <w:marTop w:val="0"/>
      <w:marBottom w:val="0"/>
      <w:divBdr>
        <w:top w:val="none" w:sz="0" w:space="0" w:color="auto"/>
        <w:left w:val="none" w:sz="0" w:space="0" w:color="auto"/>
        <w:bottom w:val="none" w:sz="0" w:space="0" w:color="auto"/>
        <w:right w:val="none" w:sz="0" w:space="0" w:color="auto"/>
      </w:divBdr>
    </w:div>
    <w:div w:id="1087113911">
      <w:bodyDiv w:val="1"/>
      <w:marLeft w:val="0"/>
      <w:marRight w:val="0"/>
      <w:marTop w:val="0"/>
      <w:marBottom w:val="0"/>
      <w:divBdr>
        <w:top w:val="none" w:sz="0" w:space="0" w:color="auto"/>
        <w:left w:val="none" w:sz="0" w:space="0" w:color="auto"/>
        <w:bottom w:val="none" w:sz="0" w:space="0" w:color="auto"/>
        <w:right w:val="none" w:sz="0" w:space="0" w:color="auto"/>
      </w:divBdr>
    </w:div>
    <w:div w:id="1345743563">
      <w:bodyDiv w:val="1"/>
      <w:marLeft w:val="0"/>
      <w:marRight w:val="0"/>
      <w:marTop w:val="0"/>
      <w:marBottom w:val="0"/>
      <w:divBdr>
        <w:top w:val="none" w:sz="0" w:space="0" w:color="auto"/>
        <w:left w:val="none" w:sz="0" w:space="0" w:color="auto"/>
        <w:bottom w:val="none" w:sz="0" w:space="0" w:color="auto"/>
        <w:right w:val="none" w:sz="0" w:space="0" w:color="auto"/>
      </w:divBdr>
    </w:div>
    <w:div w:id="1399591195">
      <w:bodyDiv w:val="1"/>
      <w:marLeft w:val="0"/>
      <w:marRight w:val="0"/>
      <w:marTop w:val="0"/>
      <w:marBottom w:val="0"/>
      <w:divBdr>
        <w:top w:val="none" w:sz="0" w:space="0" w:color="auto"/>
        <w:left w:val="none" w:sz="0" w:space="0" w:color="auto"/>
        <w:bottom w:val="none" w:sz="0" w:space="0" w:color="auto"/>
        <w:right w:val="none" w:sz="0" w:space="0" w:color="auto"/>
      </w:divBdr>
    </w:div>
    <w:div w:id="1428579421">
      <w:bodyDiv w:val="1"/>
      <w:marLeft w:val="0"/>
      <w:marRight w:val="0"/>
      <w:marTop w:val="0"/>
      <w:marBottom w:val="0"/>
      <w:divBdr>
        <w:top w:val="none" w:sz="0" w:space="0" w:color="auto"/>
        <w:left w:val="none" w:sz="0" w:space="0" w:color="auto"/>
        <w:bottom w:val="none" w:sz="0" w:space="0" w:color="auto"/>
        <w:right w:val="none" w:sz="0" w:space="0" w:color="auto"/>
      </w:divBdr>
    </w:div>
    <w:div w:id="1466121368">
      <w:bodyDiv w:val="1"/>
      <w:marLeft w:val="0"/>
      <w:marRight w:val="0"/>
      <w:marTop w:val="0"/>
      <w:marBottom w:val="0"/>
      <w:divBdr>
        <w:top w:val="none" w:sz="0" w:space="0" w:color="auto"/>
        <w:left w:val="none" w:sz="0" w:space="0" w:color="auto"/>
        <w:bottom w:val="none" w:sz="0" w:space="0" w:color="auto"/>
        <w:right w:val="none" w:sz="0" w:space="0" w:color="auto"/>
      </w:divBdr>
    </w:div>
    <w:div w:id="1484080118">
      <w:bodyDiv w:val="1"/>
      <w:marLeft w:val="0"/>
      <w:marRight w:val="0"/>
      <w:marTop w:val="0"/>
      <w:marBottom w:val="0"/>
      <w:divBdr>
        <w:top w:val="none" w:sz="0" w:space="0" w:color="auto"/>
        <w:left w:val="none" w:sz="0" w:space="0" w:color="auto"/>
        <w:bottom w:val="none" w:sz="0" w:space="0" w:color="auto"/>
        <w:right w:val="none" w:sz="0" w:space="0" w:color="auto"/>
      </w:divBdr>
    </w:div>
    <w:div w:id="1706326107">
      <w:bodyDiv w:val="1"/>
      <w:marLeft w:val="0"/>
      <w:marRight w:val="0"/>
      <w:marTop w:val="0"/>
      <w:marBottom w:val="0"/>
      <w:divBdr>
        <w:top w:val="none" w:sz="0" w:space="0" w:color="auto"/>
        <w:left w:val="none" w:sz="0" w:space="0" w:color="auto"/>
        <w:bottom w:val="none" w:sz="0" w:space="0" w:color="auto"/>
        <w:right w:val="none" w:sz="0" w:space="0" w:color="auto"/>
      </w:divBdr>
    </w:div>
    <w:div w:id="1928539018">
      <w:bodyDiv w:val="1"/>
      <w:marLeft w:val="0"/>
      <w:marRight w:val="0"/>
      <w:marTop w:val="0"/>
      <w:marBottom w:val="0"/>
      <w:divBdr>
        <w:top w:val="none" w:sz="0" w:space="0" w:color="auto"/>
        <w:left w:val="none" w:sz="0" w:space="0" w:color="auto"/>
        <w:bottom w:val="none" w:sz="0" w:space="0" w:color="auto"/>
        <w:right w:val="none" w:sz="0" w:space="0" w:color="auto"/>
      </w:divBdr>
    </w:div>
    <w:div w:id="19355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2004-05-20T20:47:00Z</cp:lastPrinted>
  <dcterms:created xsi:type="dcterms:W3CDTF">2017-03-07T21:47:00Z</dcterms:created>
  <dcterms:modified xsi:type="dcterms:W3CDTF">2017-03-07T21:47:00Z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