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276" w:lineRule="auto"/>
        <w:jc w:val="center"/>
        <w:rPr>
          <w:rFonts w:ascii="Arial" w:hAnsi="Arial"/>
          <w:b w:val="1"/>
          <w:bCs w:val="1"/>
          <w:sz w:val="22"/>
          <w:szCs w:val="22"/>
        </w:rPr>
      </w:pPr>
      <w:r>
        <w:rPr>
          <w:rFonts w:ascii="Arial" w:hAnsi="Arial"/>
          <w:b w:val="1"/>
          <w:bCs w:val="1"/>
          <w:sz w:val="22"/>
          <w:szCs w:val="22"/>
        </w:rPr>
        <w:drawing xmlns:a="http://schemas.openxmlformats.org/drawingml/2006/main">
          <wp:anchor distT="114300" distB="114300" distL="114300" distR="114300" simplePos="0" relativeHeight="251659264" behindDoc="0" locked="0" layoutInCell="1" allowOverlap="1">
            <wp:simplePos x="0" y="0"/>
            <wp:positionH relativeFrom="page">
              <wp:posOffset>2617784</wp:posOffset>
            </wp:positionH>
            <wp:positionV relativeFrom="line">
              <wp:posOffset>0</wp:posOffset>
            </wp:positionV>
            <wp:extent cx="2524125" cy="547287"/>
            <wp:effectExtent l="0" t="0" r="0" b="0"/>
            <wp:wrapSquare wrapText="bothSides" distL="114300" distR="114300" distT="114300" distB="11430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2524125" cy="547287"/>
                    </a:xfrm>
                    <a:prstGeom prst="rect">
                      <a:avLst/>
                    </a:prstGeom>
                    <a:ln w="12700" cap="flat">
                      <a:noFill/>
                      <a:miter lim="400000"/>
                    </a:ln>
                    <a:effectLst/>
                  </pic:spPr>
                </pic:pic>
              </a:graphicData>
            </a:graphic>
          </wp:anchor>
        </w:drawing>
      </w:r>
    </w:p>
    <w:p>
      <w:pPr>
        <w:pStyle w:val="Default"/>
        <w:spacing w:before="0" w:line="276" w:lineRule="auto"/>
        <w:jc w:val="center"/>
        <w:rPr>
          <w:rFonts w:ascii="Arial" w:hAnsi="Arial"/>
          <w:b w:val="1"/>
          <w:bCs w:val="1"/>
          <w:sz w:val="22"/>
          <w:szCs w:val="22"/>
        </w:rPr>
      </w:pPr>
    </w:p>
    <w:p>
      <w:pPr>
        <w:pStyle w:val="Default"/>
        <w:spacing w:before="0" w:line="276" w:lineRule="auto"/>
        <w:jc w:val="center"/>
        <w:rPr>
          <w:rFonts w:ascii="Arial" w:hAnsi="Arial"/>
          <w:b w:val="1"/>
          <w:bCs w:val="1"/>
          <w:sz w:val="22"/>
          <w:szCs w:val="22"/>
        </w:rPr>
      </w:pPr>
    </w:p>
    <w:p>
      <w:pPr>
        <w:pStyle w:val="Default"/>
        <w:spacing w:before="0" w:line="276" w:lineRule="auto"/>
        <w:jc w:val="center"/>
        <w:rPr>
          <w:rFonts w:ascii="Arial" w:hAnsi="Arial"/>
          <w:b w:val="1"/>
          <w:bCs w:val="1"/>
          <w:sz w:val="22"/>
          <w:szCs w:val="22"/>
        </w:rPr>
      </w:pPr>
    </w:p>
    <w:p>
      <w:pPr>
        <w:pStyle w:val="Default"/>
        <w:spacing w:before="0"/>
        <w:jc w:val="center"/>
        <w:rPr>
          <w:rFonts w:ascii="Arial" w:hAnsi="Arial"/>
          <w:b w:val="1"/>
          <w:bCs w:val="1"/>
          <w:outline w:val="0"/>
          <w:color w:val="232323"/>
          <w:sz w:val="22"/>
          <w:szCs w:val="22"/>
          <w:u w:color="232323"/>
          <w14:textFill>
            <w14:solidFill>
              <w14:srgbClr w14:val="232323"/>
            </w14:solidFill>
          </w14:textFill>
        </w:rPr>
      </w:pPr>
    </w:p>
    <w:p>
      <w:pPr>
        <w:pStyle w:val="Default"/>
        <w:spacing w:before="0"/>
        <w:jc w:val="center"/>
        <w:rPr>
          <w:rFonts w:ascii="Arial" w:hAnsi="Arial"/>
          <w:b w:val="1"/>
          <w:bCs w:val="1"/>
          <w:outline w:val="0"/>
          <w:color w:val="232323"/>
          <w:sz w:val="22"/>
          <w:szCs w:val="22"/>
          <w:u w:color="232323"/>
          <w14:textFill>
            <w14:solidFill>
              <w14:srgbClr w14:val="232323"/>
            </w14:solidFill>
          </w14:textFill>
        </w:rPr>
      </w:pPr>
    </w:p>
    <w:p>
      <w:pPr>
        <w:pStyle w:val="Default"/>
        <w:spacing w:before="0"/>
        <w:jc w:val="center"/>
      </w:pPr>
      <w:bookmarkStart w:name="_Hlk67412179" w:id="0"/>
      <w:r>
        <w:rPr>
          <w:rFonts w:ascii="Arial" w:hAnsi="Arial"/>
          <w:b w:val="1"/>
          <w:bCs w:val="1"/>
          <w:kern w:val="36"/>
          <w:sz w:val="22"/>
          <w:szCs w:val="22"/>
          <w:rtl w:val="0"/>
          <w:lang w:val="en-US"/>
        </w:rPr>
        <w:t xml:space="preserve">Flower One Provides Reminder to Debentureholders to Complete Forms of Proxy </w:t>
      </w:r>
      <w:bookmarkEnd w:id="0"/>
      <w:r>
        <w:rPr>
          <w:rFonts w:ascii="Arial" w:hAnsi="Arial"/>
          <w:b w:val="1"/>
          <w:bCs w:val="1"/>
          <w:kern w:val="36"/>
          <w:sz w:val="22"/>
          <w:szCs w:val="22"/>
          <w:rtl w:val="0"/>
          <w:lang w:val="en-US"/>
        </w:rPr>
        <w:t xml:space="preserve"> </w:t>
      </w:r>
    </w:p>
    <w:p>
      <w:pPr>
        <w:pStyle w:val="Default"/>
        <w:spacing w:before="0" w:after="20"/>
        <w:rPr>
          <w:rFonts w:ascii="Arial" w:cs="Arial" w:hAnsi="Arial" w:eastAsia="Arial"/>
          <w:b w:val="1"/>
          <w:bCs w:val="1"/>
          <w:outline w:val="0"/>
          <w:color w:val="232323"/>
          <w:sz w:val="22"/>
          <w:szCs w:val="22"/>
          <w:u w:color="232323"/>
          <w14:textFill>
            <w14:solidFill>
              <w14:srgbClr w14:val="232323"/>
            </w14:solidFill>
          </w14:textFill>
        </w:rPr>
      </w:pPr>
    </w:p>
    <w:p>
      <w:pPr>
        <w:pStyle w:val="Default"/>
        <w:numPr>
          <w:ilvl w:val="0"/>
          <w:numId w:val="2"/>
        </w:numPr>
        <w:bidi w:val="0"/>
        <w:spacing w:before="0"/>
        <w:ind w:right="0"/>
        <w:jc w:val="left"/>
        <w:rPr>
          <w:rFonts w:ascii="Helvetica" w:hAnsi="Helvetica"/>
          <w:outline w:val="0"/>
          <w:color w:val="5c5c5c"/>
          <w:sz w:val="22"/>
          <w:szCs w:val="22"/>
          <w:rtl w:val="0"/>
          <w:lang w:val="en-US"/>
          <w14:textFill>
            <w14:solidFill>
              <w14:srgbClr w14:val="5C5C5C"/>
            </w14:solidFill>
          </w14:textFill>
        </w:rPr>
      </w:pPr>
      <w:r>
        <w:rPr>
          <w:rFonts w:ascii="Helvetica" w:hAnsi="Helvetica"/>
          <w:outline w:val="0"/>
          <w:color w:val="000000"/>
          <w:sz w:val="22"/>
          <w:szCs w:val="22"/>
          <w:rtl w:val="0"/>
          <w:lang w:val="en-US"/>
          <w14:textFill>
            <w14:solidFill>
              <w14:srgbClr w14:val="000000"/>
            </w14:solidFill>
          </w14:textFill>
        </w:rPr>
        <w:t>The Board of Directors of Flower One unanimously recommends that Debentureholders vote for the proposed resolutions.</w:t>
      </w:r>
    </w:p>
    <w:p>
      <w:pPr>
        <w:pStyle w:val="Default"/>
        <w:numPr>
          <w:ilvl w:val="0"/>
          <w:numId w:val="3"/>
        </w:numPr>
        <w:bidi w:val="0"/>
        <w:spacing w:before="0"/>
        <w:ind w:right="0"/>
        <w:jc w:val="left"/>
        <w:rPr>
          <w:rFonts w:ascii="Helvetica" w:hAnsi="Helvetica"/>
          <w:sz w:val="22"/>
          <w:szCs w:val="22"/>
          <w:rtl w:val="0"/>
          <w:lang w:val="en-US"/>
        </w:rPr>
      </w:pPr>
      <w:r>
        <w:rPr>
          <w:rStyle w:val="None A"/>
          <w:rFonts w:ascii="Helvetica" w:hAnsi="Helvetica"/>
          <w:sz w:val="22"/>
          <w:szCs w:val="22"/>
          <w:rtl w:val="0"/>
          <w:lang w:val="en-US"/>
        </w:rPr>
        <w:t>Debentureholders who have questions or require voting assistance may contact Laurel Hill Advisory Group toll free in North America at 1-877-452-7184 (416-304-0211 outside North America), or by email at assistance@laurelhill.com.</w:t>
      </w:r>
    </w:p>
    <w:p>
      <w:pPr>
        <w:pStyle w:val="Default"/>
        <w:spacing w:before="0"/>
        <w:rPr>
          <w:rFonts w:ascii="Helvetica" w:cs="Helvetica" w:hAnsi="Helvetica" w:eastAsia="Helvetica"/>
          <w:sz w:val="22"/>
          <w:szCs w:val="22"/>
        </w:rPr>
      </w:pPr>
    </w:p>
    <w:p>
      <w:pPr>
        <w:pStyle w:val="Default"/>
        <w:spacing w:before="0"/>
        <w:jc w:val="both"/>
        <w:rPr>
          <w:rFonts w:ascii="Arial" w:cs="Arial" w:hAnsi="Arial" w:eastAsia="Arial"/>
          <w:sz w:val="22"/>
          <w:szCs w:val="22"/>
        </w:rPr>
      </w:pPr>
      <w:r>
        <w:rPr>
          <w:rFonts w:ascii="Arial" w:hAnsi="Arial"/>
          <w:sz w:val="22"/>
          <w:szCs w:val="22"/>
          <w:rtl w:val="0"/>
          <w:lang w:val="en-US"/>
        </w:rPr>
        <w:t xml:space="preserve">Las Vegas, Nevada and Toronto, Ontario </w:t>
      </w:r>
      <w:r>
        <w:rPr>
          <w:rFonts w:ascii="Arial" w:hAnsi="Arial" w:hint="default"/>
          <w:sz w:val="22"/>
          <w:szCs w:val="22"/>
          <w:rtl w:val="0"/>
          <w:lang w:val="en-US"/>
        </w:rPr>
        <w:t xml:space="preserve">– </w:t>
      </w:r>
      <w:r>
        <w:rPr>
          <w:rFonts w:ascii="Arial" w:hAnsi="Arial"/>
          <w:sz w:val="22"/>
          <w:szCs w:val="22"/>
          <w:rtl w:val="0"/>
          <w:lang w:val="en-US"/>
        </w:rPr>
        <w:t xml:space="preserve">April 6, 2021 </w:t>
      </w:r>
      <w:r>
        <w:rPr>
          <w:rFonts w:ascii="Arial" w:hAnsi="Arial" w:hint="default"/>
          <w:sz w:val="22"/>
          <w:szCs w:val="22"/>
          <w:rtl w:val="0"/>
          <w:lang w:val="en-US"/>
        </w:rPr>
        <w:t xml:space="preserve">– </w:t>
      </w:r>
      <w:r>
        <w:rPr>
          <w:rFonts w:ascii="Arial" w:hAnsi="Arial"/>
          <w:sz w:val="22"/>
          <w:szCs w:val="22"/>
          <w:rtl w:val="0"/>
          <w:lang w:val="en-US"/>
        </w:rPr>
        <w:t>Flower One Holdings Inc. (</w:t>
      </w:r>
      <w:r>
        <w:rPr>
          <w:rFonts w:ascii="Arial" w:hAnsi="Arial" w:hint="default"/>
          <w:sz w:val="22"/>
          <w:szCs w:val="22"/>
          <w:rtl w:val="0"/>
          <w:lang w:val="en-US"/>
        </w:rPr>
        <w:t>“</w:t>
      </w:r>
      <w:r>
        <w:rPr>
          <w:rFonts w:ascii="Arial" w:hAnsi="Arial"/>
          <w:b w:val="1"/>
          <w:bCs w:val="1"/>
          <w:sz w:val="22"/>
          <w:szCs w:val="22"/>
          <w:rtl w:val="0"/>
          <w:lang w:val="en-US"/>
        </w:rPr>
        <w:t>Flower One</w:t>
      </w:r>
      <w:r>
        <w:rPr>
          <w:rFonts w:ascii="Arial" w:hAnsi="Arial" w:hint="default"/>
          <w:sz w:val="22"/>
          <w:szCs w:val="22"/>
          <w:rtl w:val="0"/>
          <w:lang w:val="en-US"/>
        </w:rPr>
        <w:t xml:space="preserve">” </w:t>
      </w:r>
      <w:r>
        <w:rPr>
          <w:rFonts w:ascii="Arial" w:hAnsi="Arial"/>
          <w:sz w:val="22"/>
          <w:szCs w:val="22"/>
          <w:rtl w:val="0"/>
          <w:lang w:val="en-US"/>
        </w:rPr>
        <w:t xml:space="preserve">or the </w:t>
      </w:r>
      <w:r>
        <w:rPr>
          <w:rFonts w:ascii="Arial" w:hAnsi="Arial" w:hint="default"/>
          <w:sz w:val="22"/>
          <w:szCs w:val="22"/>
          <w:rtl w:val="0"/>
          <w:lang w:val="en-US"/>
        </w:rPr>
        <w:t>“</w:t>
      </w:r>
      <w:r>
        <w:rPr>
          <w:rFonts w:ascii="Arial" w:hAnsi="Arial"/>
          <w:b w:val="1"/>
          <w:bCs w:val="1"/>
          <w:sz w:val="22"/>
          <w:szCs w:val="22"/>
          <w:rtl w:val="0"/>
          <w:lang w:val="en-US"/>
        </w:rPr>
        <w:t>Company</w:t>
      </w:r>
      <w:r>
        <w:rPr>
          <w:rFonts w:ascii="Arial" w:hAnsi="Arial" w:hint="default"/>
          <w:sz w:val="22"/>
          <w:szCs w:val="22"/>
          <w:rtl w:val="0"/>
          <w:lang w:val="en-US"/>
        </w:rPr>
        <w:t>”</w:t>
      </w:r>
      <w:r>
        <w:rPr>
          <w:rFonts w:ascii="Arial" w:hAnsi="Arial"/>
          <w:sz w:val="22"/>
          <w:szCs w:val="22"/>
          <w:rtl w:val="0"/>
          <w:lang w:val="en-US"/>
        </w:rPr>
        <w:t>) (CSE: FONE) (OTCQX: FLOOF) (FSE: F11), a leading cannabis cultivator and producer in Nevada, reminds holders of the Company</w:t>
      </w:r>
      <w:r>
        <w:rPr>
          <w:rFonts w:ascii="Arial" w:hAnsi="Arial" w:hint="default"/>
          <w:sz w:val="22"/>
          <w:szCs w:val="22"/>
          <w:rtl w:val="0"/>
          <w:lang w:val="en-US"/>
        </w:rPr>
        <w:t>’</w:t>
      </w:r>
      <w:r>
        <w:rPr>
          <w:rFonts w:ascii="Arial" w:hAnsi="Arial"/>
          <w:sz w:val="22"/>
          <w:szCs w:val="22"/>
          <w:rtl w:val="0"/>
          <w:lang w:val="en-US"/>
        </w:rPr>
        <w:t xml:space="preserve">s convertible debentures due March 28, 2022 (the </w:t>
      </w:r>
      <w:r>
        <w:rPr>
          <w:rFonts w:ascii="Arial" w:hAnsi="Arial" w:hint="default"/>
          <w:sz w:val="22"/>
          <w:szCs w:val="22"/>
          <w:rtl w:val="0"/>
          <w:lang w:val="en-US"/>
        </w:rPr>
        <w:t>“</w:t>
      </w:r>
      <w:r>
        <w:rPr>
          <w:rFonts w:ascii="Arial" w:hAnsi="Arial"/>
          <w:b w:val="1"/>
          <w:bCs w:val="1"/>
          <w:sz w:val="22"/>
          <w:szCs w:val="22"/>
          <w:rtl w:val="0"/>
          <w:lang w:val="en-US"/>
        </w:rPr>
        <w:t>March Convertible Debentures</w:t>
      </w:r>
      <w:r>
        <w:rPr>
          <w:rFonts w:ascii="Arial" w:hAnsi="Arial" w:hint="default"/>
          <w:sz w:val="22"/>
          <w:szCs w:val="22"/>
          <w:rtl w:val="0"/>
          <w:lang w:val="en-US"/>
        </w:rPr>
        <w:t>”</w:t>
      </w:r>
      <w:r>
        <w:rPr>
          <w:rFonts w:ascii="Arial" w:hAnsi="Arial"/>
          <w:sz w:val="22"/>
          <w:szCs w:val="22"/>
          <w:rtl w:val="0"/>
          <w:lang w:val="en-US"/>
        </w:rPr>
        <w:t>) and holders of the Company</w:t>
      </w:r>
      <w:r>
        <w:rPr>
          <w:rFonts w:ascii="Arial" w:hAnsi="Arial" w:hint="default"/>
          <w:sz w:val="22"/>
          <w:szCs w:val="22"/>
          <w:rtl w:val="0"/>
          <w:lang w:val="en-US"/>
        </w:rPr>
        <w:t>’</w:t>
      </w:r>
      <w:r>
        <w:rPr>
          <w:rFonts w:ascii="Arial" w:hAnsi="Arial"/>
          <w:sz w:val="22"/>
          <w:szCs w:val="22"/>
          <w:rtl w:val="0"/>
          <w:lang w:val="en-US"/>
        </w:rPr>
        <w:t xml:space="preserve">s convertible debentures due November 15, 2022 (the </w:t>
      </w:r>
      <w:r>
        <w:rPr>
          <w:rFonts w:ascii="Arial" w:hAnsi="Arial" w:hint="default"/>
          <w:sz w:val="22"/>
          <w:szCs w:val="22"/>
          <w:rtl w:val="0"/>
          <w:lang w:val="en-US"/>
        </w:rPr>
        <w:t>“</w:t>
      </w:r>
      <w:r>
        <w:rPr>
          <w:rFonts w:ascii="Arial" w:hAnsi="Arial"/>
          <w:b w:val="1"/>
          <w:bCs w:val="1"/>
          <w:sz w:val="22"/>
          <w:szCs w:val="22"/>
          <w:rtl w:val="0"/>
          <w:lang w:val="en-US"/>
        </w:rPr>
        <w:t>November Convertible Debentures</w:t>
      </w:r>
      <w:r>
        <w:rPr>
          <w:rFonts w:ascii="Arial" w:hAnsi="Arial" w:hint="default"/>
          <w:sz w:val="22"/>
          <w:szCs w:val="22"/>
          <w:rtl w:val="0"/>
          <w:lang w:val="en-US"/>
        </w:rPr>
        <w:t>”</w:t>
      </w:r>
      <w:r>
        <w:rPr>
          <w:rFonts w:ascii="Arial" w:hAnsi="Arial"/>
          <w:sz w:val="22"/>
          <w:szCs w:val="22"/>
          <w:rtl w:val="0"/>
          <w:lang w:val="en-US"/>
        </w:rPr>
        <w:t xml:space="preserve">) (together, the </w:t>
      </w:r>
      <w:r>
        <w:rPr>
          <w:rFonts w:ascii="Arial" w:hAnsi="Arial" w:hint="default"/>
          <w:b w:val="1"/>
          <w:bCs w:val="1"/>
          <w:sz w:val="22"/>
          <w:szCs w:val="22"/>
          <w:rtl w:val="0"/>
          <w:lang w:val="en-US"/>
        </w:rPr>
        <w:t>“</w:t>
      </w:r>
      <w:r>
        <w:rPr>
          <w:rFonts w:ascii="Arial" w:hAnsi="Arial"/>
          <w:b w:val="1"/>
          <w:bCs w:val="1"/>
          <w:sz w:val="22"/>
          <w:szCs w:val="22"/>
          <w:rtl w:val="0"/>
          <w:lang w:val="en-US"/>
        </w:rPr>
        <w:t>Debentureholders</w:t>
      </w:r>
      <w:r>
        <w:rPr>
          <w:rFonts w:ascii="Arial" w:hAnsi="Arial" w:hint="default"/>
          <w:b w:val="1"/>
          <w:bCs w:val="1"/>
          <w:sz w:val="22"/>
          <w:szCs w:val="22"/>
          <w:rtl w:val="0"/>
          <w:lang w:val="en-US"/>
        </w:rPr>
        <w:t>”</w:t>
      </w:r>
      <w:r>
        <w:rPr>
          <w:rFonts w:ascii="Arial" w:hAnsi="Arial"/>
          <w:sz w:val="22"/>
          <w:szCs w:val="22"/>
          <w:rtl w:val="0"/>
          <w:lang w:val="en-US"/>
        </w:rPr>
        <w:t xml:space="preserve">) to complete their  Form of Proxy to vote in favor of, and consent in writing to, certain proposed amendments to the terms of the Debentures (the </w:t>
      </w:r>
      <w:r>
        <w:rPr>
          <w:rFonts w:ascii="Arial" w:hAnsi="Arial" w:hint="default"/>
          <w:b w:val="1"/>
          <w:bCs w:val="1"/>
          <w:sz w:val="22"/>
          <w:szCs w:val="22"/>
          <w:rtl w:val="0"/>
          <w:lang w:val="en-US"/>
        </w:rPr>
        <w:t>“</w:t>
      </w:r>
      <w:r>
        <w:rPr>
          <w:rFonts w:ascii="Arial" w:hAnsi="Arial"/>
          <w:b w:val="1"/>
          <w:bCs w:val="1"/>
          <w:sz w:val="22"/>
          <w:szCs w:val="22"/>
          <w:rtl w:val="0"/>
          <w:lang w:val="en-US"/>
        </w:rPr>
        <w:t>Debenture Amendments</w:t>
      </w:r>
      <w:r>
        <w:rPr>
          <w:rFonts w:ascii="Arial" w:hAnsi="Arial" w:hint="default"/>
          <w:b w:val="1"/>
          <w:bCs w:val="1"/>
          <w:sz w:val="22"/>
          <w:szCs w:val="22"/>
          <w:rtl w:val="0"/>
          <w:lang w:val="en-US"/>
        </w:rPr>
        <w:t>”</w:t>
      </w:r>
      <w:r>
        <w:rPr>
          <w:rFonts w:ascii="Arial" w:hAnsi="Arial"/>
          <w:sz w:val="22"/>
          <w:szCs w:val="22"/>
          <w:rtl w:val="0"/>
          <w:lang w:val="en-US"/>
        </w:rPr>
        <w:t>). The deadline to return a completed Form of Proxy is April 13, 2021 at 10:00 am PT for the November Convertible Debentures  and April 13, 2021 at 10:30 am PT for the March Convertible Debentures.</w:t>
      </w:r>
    </w:p>
    <w:p>
      <w:pPr>
        <w:pStyle w:val="Default"/>
        <w:spacing w:before="0"/>
        <w:rPr>
          <w:rFonts w:ascii="Arial" w:cs="Arial" w:hAnsi="Arial" w:eastAsia="Arial"/>
          <w:sz w:val="22"/>
          <w:szCs w:val="22"/>
        </w:rPr>
      </w:pPr>
    </w:p>
    <w:p>
      <w:pPr>
        <w:pStyle w:val="Default"/>
        <w:spacing w:before="0"/>
        <w:jc w:val="center"/>
        <w:rPr>
          <w:rFonts w:ascii="Arial" w:cs="Arial" w:hAnsi="Arial" w:eastAsia="Arial"/>
          <w:b w:val="1"/>
          <w:bCs w:val="1"/>
          <w:sz w:val="22"/>
          <w:szCs w:val="22"/>
        </w:rPr>
      </w:pPr>
      <w:r>
        <w:rPr>
          <w:rFonts w:ascii="Arial" w:hAnsi="Arial"/>
          <w:b w:val="1"/>
          <w:bCs w:val="1"/>
          <w:sz w:val="22"/>
          <w:szCs w:val="22"/>
          <w:rtl w:val="0"/>
          <w:lang w:val="en-US"/>
        </w:rPr>
        <w:t xml:space="preserve">YOUR VOTE IS IMPORTANT </w:t>
      </w:r>
      <w:r>
        <w:rPr>
          <w:rFonts w:ascii="Arial" w:hAnsi="Arial" w:hint="default"/>
          <w:b w:val="1"/>
          <w:bCs w:val="1"/>
          <w:sz w:val="22"/>
          <w:szCs w:val="22"/>
          <w:rtl w:val="0"/>
          <w:lang w:val="en-US"/>
        </w:rPr>
        <w:t xml:space="preserve">– </w:t>
      </w:r>
      <w:r>
        <w:rPr>
          <w:rFonts w:ascii="Arial" w:hAnsi="Arial"/>
          <w:b w:val="1"/>
          <w:bCs w:val="1"/>
          <w:sz w:val="22"/>
          <w:szCs w:val="22"/>
          <w:rtl w:val="0"/>
          <w:lang w:val="en-US"/>
        </w:rPr>
        <w:t>PLEASE VOTE TODAY</w:t>
      </w:r>
      <w:r>
        <w:rPr>
          <w:rFonts w:ascii="Arial" w:cs="Arial" w:hAnsi="Arial" w:eastAsia="Arial"/>
          <w:b w:val="1"/>
          <w:bCs w:val="1"/>
          <w:sz w:val="22"/>
          <w:szCs w:val="22"/>
        </w:rPr>
        <w:br w:type="textWrapping"/>
      </w:r>
      <w:r>
        <w:rPr>
          <w:rFonts w:ascii="Arial" w:hAnsi="Arial"/>
          <w:b w:val="1"/>
          <w:bCs w:val="1"/>
          <w:sz w:val="22"/>
          <w:szCs w:val="22"/>
          <w:rtl w:val="0"/>
          <w:lang w:val="en-US"/>
        </w:rPr>
        <w:t>The Board of Directors unanimously recommends that Debentureholders vote FOR all proposed resolutions.</w:t>
      </w:r>
    </w:p>
    <w:p>
      <w:pPr>
        <w:pStyle w:val="Default"/>
        <w:spacing w:before="0"/>
        <w:rPr>
          <w:rFonts w:ascii="Arial" w:cs="Arial" w:hAnsi="Arial" w:eastAsia="Arial"/>
          <w:sz w:val="22"/>
          <w:szCs w:val="22"/>
        </w:rPr>
      </w:pPr>
    </w:p>
    <w:p>
      <w:pPr>
        <w:pStyle w:val="Default"/>
        <w:spacing w:before="0"/>
        <w:jc w:val="both"/>
        <w:rPr>
          <w:rStyle w:val="None"/>
          <w:rFonts w:ascii="Arial" w:cs="Arial" w:hAnsi="Arial" w:eastAsia="Arial"/>
          <w:sz w:val="22"/>
          <w:szCs w:val="22"/>
        </w:rPr>
      </w:pPr>
      <w:r>
        <w:rPr>
          <w:rFonts w:ascii="Arial" w:hAnsi="Arial"/>
          <w:sz w:val="22"/>
          <w:szCs w:val="22"/>
          <w:rtl w:val="0"/>
          <w:lang w:val="en-US"/>
        </w:rPr>
        <w:t>Debentureholders are encouraged to read the materials for the meetings and to vote, and consent in writing, in advance of the meetings by mail, telephone or internet in the manner set out in the management information circulars, copies of which have been filed on the Company</w:t>
      </w:r>
      <w:r>
        <w:rPr>
          <w:rFonts w:ascii="Arial" w:hAnsi="Arial" w:hint="default"/>
          <w:sz w:val="22"/>
          <w:szCs w:val="22"/>
          <w:rtl w:val="0"/>
          <w:lang w:val="en-US"/>
        </w:rPr>
        <w:t>’</w:t>
      </w:r>
      <w:r>
        <w:rPr>
          <w:rFonts w:ascii="Arial" w:hAnsi="Arial"/>
          <w:sz w:val="22"/>
          <w:szCs w:val="22"/>
          <w:rtl w:val="0"/>
          <w:lang w:val="en-US"/>
        </w:rPr>
        <w:t>s SEDAR profile at www.sedar.com and uploaded to the Company</w:t>
      </w:r>
      <w:r>
        <w:rPr>
          <w:rFonts w:ascii="Arial" w:hAnsi="Arial" w:hint="default"/>
          <w:sz w:val="22"/>
          <w:szCs w:val="22"/>
          <w:rtl w:val="0"/>
          <w:lang w:val="en-US"/>
        </w:rPr>
        <w:t>’</w:t>
      </w:r>
      <w:r>
        <w:rPr>
          <w:rFonts w:ascii="Arial" w:hAnsi="Arial"/>
          <w:sz w:val="22"/>
          <w:szCs w:val="22"/>
          <w:rtl w:val="0"/>
          <w:lang w:val="en-US"/>
        </w:rPr>
        <w:t xml:space="preserve">s website at: </w:t>
      </w:r>
      <w:r>
        <w:rPr>
          <w:rStyle w:val="Hyperlink.0"/>
        </w:rPr>
        <w:fldChar w:fldCharType="begin" w:fldLock="0"/>
      </w:r>
      <w:r>
        <w:rPr>
          <w:rStyle w:val="Hyperlink.0"/>
        </w:rPr>
        <w:instrText xml:space="preserve"> HYPERLINK "https://flowerone.com"</w:instrText>
      </w:r>
      <w:r>
        <w:rPr>
          <w:rStyle w:val="Hyperlink.0"/>
        </w:rPr>
        <w:fldChar w:fldCharType="separate" w:fldLock="0"/>
      </w:r>
      <w:r>
        <w:rPr>
          <w:rStyle w:val="Hyperlink.0"/>
          <w:rtl w:val="0"/>
          <w:lang w:val="en-US"/>
        </w:rPr>
        <w:t>https://flowerone.com</w:t>
      </w:r>
      <w:r>
        <w:rPr/>
        <w:fldChar w:fldCharType="end" w:fldLock="0"/>
      </w:r>
      <w:r>
        <w:rPr>
          <w:rStyle w:val="None"/>
          <w:rFonts w:ascii="Arial" w:hAnsi="Arial"/>
          <w:sz w:val="22"/>
          <w:szCs w:val="22"/>
          <w:rtl w:val="0"/>
          <w:lang w:val="en-US"/>
        </w:rPr>
        <w:t>. These management information circulars describe in detail the Company</w:t>
      </w:r>
      <w:r>
        <w:rPr>
          <w:rStyle w:val="None"/>
          <w:rFonts w:ascii="Arial" w:hAnsi="Arial" w:hint="default"/>
          <w:sz w:val="22"/>
          <w:szCs w:val="22"/>
          <w:rtl w:val="0"/>
          <w:lang w:val="en-US"/>
        </w:rPr>
        <w:t>’</w:t>
      </w:r>
      <w:r>
        <w:rPr>
          <w:rStyle w:val="None"/>
          <w:rFonts w:ascii="Arial" w:hAnsi="Arial"/>
          <w:sz w:val="22"/>
          <w:szCs w:val="22"/>
          <w:rtl w:val="0"/>
          <w:lang w:val="en-US"/>
        </w:rPr>
        <w:t>s proposed restructuring involving amendments to the Debentures, and include the form of resolution to be voted on in connection therewith.</w:t>
      </w:r>
    </w:p>
    <w:p>
      <w:pPr>
        <w:pStyle w:val="Default"/>
        <w:spacing w:before="0"/>
        <w:rPr>
          <w:rStyle w:val="None"/>
          <w:rFonts w:ascii="Arial" w:cs="Arial" w:hAnsi="Arial" w:eastAsia="Arial"/>
          <w:sz w:val="22"/>
          <w:szCs w:val="22"/>
        </w:rPr>
      </w:pPr>
    </w:p>
    <w:p>
      <w:pPr>
        <w:pStyle w:val="Default"/>
        <w:spacing w:before="0"/>
        <w:rPr>
          <w:rStyle w:val="None"/>
          <w:rFonts w:ascii="Arial" w:cs="Arial" w:hAnsi="Arial" w:eastAsia="Arial"/>
          <w:sz w:val="22"/>
          <w:szCs w:val="22"/>
        </w:rPr>
      </w:pPr>
      <w:r>
        <w:rPr>
          <w:rStyle w:val="None"/>
          <w:rFonts w:ascii="Arial" w:hAnsi="Arial"/>
          <w:b w:val="1"/>
          <w:bCs w:val="1"/>
          <w:sz w:val="22"/>
          <w:szCs w:val="22"/>
          <w:rtl w:val="0"/>
          <w:lang w:val="en-US"/>
        </w:rPr>
        <w:t xml:space="preserve">Debentureholder Questions or Voting Assistance </w:t>
      </w:r>
    </w:p>
    <w:p>
      <w:pPr>
        <w:pStyle w:val="Default"/>
        <w:spacing w:before="0"/>
        <w:jc w:val="both"/>
        <w:rPr>
          <w:rStyle w:val="None"/>
          <w:rFonts w:ascii="Arial" w:cs="Arial" w:hAnsi="Arial" w:eastAsia="Arial"/>
          <w:sz w:val="22"/>
          <w:szCs w:val="22"/>
        </w:rPr>
      </w:pPr>
      <w:r>
        <w:rPr>
          <w:rStyle w:val="None"/>
          <w:rFonts w:ascii="Arial" w:hAnsi="Arial"/>
          <w:sz w:val="22"/>
          <w:szCs w:val="22"/>
          <w:rtl w:val="0"/>
          <w:lang w:val="en-US"/>
        </w:rPr>
        <w:t>Debentureholders who have questions or need assistance with voting can contact the Company</w:t>
      </w:r>
      <w:r>
        <w:rPr>
          <w:rStyle w:val="None"/>
          <w:rFonts w:ascii="Arial" w:hAnsi="Arial" w:hint="default"/>
          <w:sz w:val="22"/>
          <w:szCs w:val="22"/>
          <w:rtl w:val="0"/>
          <w:lang w:val="en-US"/>
        </w:rPr>
        <w:t>’</w:t>
      </w:r>
      <w:r>
        <w:rPr>
          <w:rStyle w:val="None"/>
          <w:rFonts w:ascii="Arial" w:hAnsi="Arial"/>
          <w:sz w:val="22"/>
          <w:szCs w:val="22"/>
          <w:rtl w:val="0"/>
          <w:lang w:val="en-US"/>
        </w:rPr>
        <w:t>s proxy solicitation agent, Laurel Hill Advisory Group, as follows:</w:t>
      </w:r>
    </w:p>
    <w:p>
      <w:pPr>
        <w:pStyle w:val="Default"/>
        <w:spacing w:before="0"/>
        <w:rPr>
          <w:rStyle w:val="None"/>
          <w:rFonts w:ascii="Arial" w:cs="Arial" w:hAnsi="Arial" w:eastAsia="Arial"/>
          <w:sz w:val="22"/>
          <w:szCs w:val="22"/>
        </w:rPr>
      </w:pPr>
    </w:p>
    <w:p>
      <w:pPr>
        <w:pStyle w:val="Default"/>
        <w:spacing w:before="0"/>
        <w:rPr>
          <w:rStyle w:val="None"/>
          <w:rFonts w:ascii="Arial" w:cs="Arial" w:hAnsi="Arial" w:eastAsia="Arial"/>
          <w:sz w:val="22"/>
          <w:szCs w:val="22"/>
        </w:rPr>
      </w:pPr>
      <w:r>
        <w:rPr>
          <w:rStyle w:val="None"/>
          <w:rFonts w:ascii="Arial" w:hAnsi="Arial"/>
          <w:sz w:val="22"/>
          <w:szCs w:val="22"/>
          <w:rtl w:val="0"/>
          <w:lang w:val="en-US"/>
        </w:rPr>
        <w:t>Laurel Hill Advisory Group</w:t>
      </w:r>
    </w:p>
    <w:p>
      <w:pPr>
        <w:pStyle w:val="Default"/>
        <w:spacing w:before="0"/>
        <w:rPr>
          <w:rStyle w:val="None"/>
          <w:rFonts w:ascii="Arial" w:cs="Arial" w:hAnsi="Arial" w:eastAsia="Arial"/>
          <w:sz w:val="22"/>
          <w:szCs w:val="22"/>
        </w:rPr>
      </w:pPr>
      <w:r>
        <w:rPr>
          <w:rStyle w:val="None"/>
          <w:rFonts w:ascii="Arial" w:hAnsi="Arial"/>
          <w:sz w:val="22"/>
          <w:szCs w:val="22"/>
          <w:rtl w:val="0"/>
          <w:lang w:val="en-US"/>
        </w:rPr>
        <w:t>North America Toll Free: 1-877-452-7184</w:t>
      </w:r>
    </w:p>
    <w:p>
      <w:pPr>
        <w:pStyle w:val="Default"/>
        <w:spacing w:before="0"/>
        <w:rPr>
          <w:rStyle w:val="None"/>
          <w:rFonts w:ascii="Arial" w:cs="Arial" w:hAnsi="Arial" w:eastAsia="Arial"/>
          <w:sz w:val="22"/>
          <w:szCs w:val="22"/>
        </w:rPr>
      </w:pPr>
      <w:r>
        <w:rPr>
          <w:rStyle w:val="None"/>
          <w:rFonts w:ascii="Arial" w:hAnsi="Arial"/>
          <w:sz w:val="22"/>
          <w:szCs w:val="22"/>
          <w:rtl w:val="0"/>
          <w:lang w:val="en-US"/>
        </w:rPr>
        <w:t>Outside North America: 1-416-304-0211</w:t>
      </w:r>
    </w:p>
    <w:p>
      <w:pPr>
        <w:pStyle w:val="Default"/>
        <w:spacing w:before="0"/>
        <w:rPr>
          <w:rStyle w:val="None"/>
          <w:rFonts w:ascii="Arial" w:cs="Arial" w:hAnsi="Arial" w:eastAsia="Arial"/>
          <w:b w:val="1"/>
          <w:bCs w:val="1"/>
          <w:outline w:val="0"/>
          <w:color w:val="759f51"/>
          <w:sz w:val="32"/>
          <w:szCs w:val="32"/>
          <w:u w:color="759f51"/>
          <w14:textFill>
            <w14:solidFill>
              <w14:srgbClr w14:val="759F51"/>
            </w14:solidFill>
          </w14:textFill>
        </w:rPr>
      </w:pPr>
      <w:r>
        <w:rPr>
          <w:rStyle w:val="None"/>
          <w:rFonts w:ascii="Arial" w:hAnsi="Arial"/>
          <w:sz w:val="22"/>
          <w:szCs w:val="22"/>
          <w:rtl w:val="0"/>
          <w:lang w:val="en-US"/>
        </w:rPr>
        <w:t xml:space="preserve">Email: </w:t>
      </w:r>
      <w:r>
        <w:rPr>
          <w:rStyle w:val="Hyperlink.1"/>
        </w:rPr>
        <w:fldChar w:fldCharType="begin" w:fldLock="0"/>
      </w:r>
      <w:r>
        <w:rPr>
          <w:rStyle w:val="Hyperlink.1"/>
        </w:rPr>
        <w:instrText xml:space="preserve"> HYPERLINK "mailto:assistance@laurelhill.com"</w:instrText>
      </w:r>
      <w:r>
        <w:rPr>
          <w:rStyle w:val="Hyperlink.1"/>
        </w:rPr>
        <w:fldChar w:fldCharType="separate" w:fldLock="0"/>
      </w:r>
      <w:r>
        <w:rPr>
          <w:rStyle w:val="Hyperlink.1"/>
          <w:rtl w:val="0"/>
          <w:lang w:val="en-US"/>
        </w:rPr>
        <w:t>assistance@laurelhill.com</w:t>
      </w:r>
      <w:r>
        <w:rPr/>
        <w:fldChar w:fldCharType="end" w:fldLock="0"/>
      </w:r>
    </w:p>
    <w:p>
      <w:pPr>
        <w:pStyle w:val="Default"/>
        <w:spacing w:before="0" w:after="20"/>
        <w:jc w:val="both"/>
        <w:rPr>
          <w:rStyle w:val="None"/>
          <w:rFonts w:ascii="Arial" w:cs="Arial" w:hAnsi="Arial" w:eastAsia="Arial"/>
          <w:outline w:val="0"/>
          <w:color w:val="232323"/>
          <w:sz w:val="22"/>
          <w:szCs w:val="22"/>
          <w:u w:color="232323"/>
          <w14:textFill>
            <w14:solidFill>
              <w14:srgbClr w14:val="232323"/>
            </w14:solidFill>
          </w14:textFill>
        </w:rPr>
      </w:pPr>
    </w:p>
    <w:p>
      <w:pPr>
        <w:pStyle w:val="Default"/>
        <w:spacing w:before="0" w:after="20"/>
        <w:jc w:val="both"/>
        <w:rPr>
          <w:rStyle w:val="None"/>
          <w:rFonts w:ascii="Arial" w:cs="Arial" w:hAnsi="Arial" w:eastAsia="Arial"/>
          <w:b w:val="1"/>
          <w:bCs w:val="1"/>
          <w:outline w:val="0"/>
          <w:color w:val="232323"/>
          <w:sz w:val="22"/>
          <w:szCs w:val="22"/>
          <w:u w:color="232323"/>
          <w14:textFill>
            <w14:solidFill>
              <w14:srgbClr w14:val="232323"/>
            </w14:solidFill>
          </w14:textFill>
        </w:rPr>
      </w:pPr>
      <w:r>
        <w:rPr>
          <w:rStyle w:val="None"/>
          <w:rFonts w:ascii="Arial" w:hAnsi="Arial"/>
          <w:b w:val="1"/>
          <w:bCs w:val="1"/>
          <w:outline w:val="0"/>
          <w:color w:val="232323"/>
          <w:sz w:val="22"/>
          <w:szCs w:val="22"/>
          <w:u w:color="232323"/>
          <w:rtl w:val="0"/>
          <w:lang w:val="en-US"/>
          <w14:textFill>
            <w14:solidFill>
              <w14:srgbClr w14:val="232323"/>
            </w14:solidFill>
          </w14:textFill>
        </w:rPr>
        <w:t>About Flower One Holdings Inc.</w:t>
      </w:r>
    </w:p>
    <w:p>
      <w:pPr>
        <w:pStyle w:val="Default"/>
        <w:spacing w:before="0" w:after="20"/>
        <w:jc w:val="both"/>
        <w:rPr>
          <w:rStyle w:val="None"/>
          <w:rFonts w:ascii="Arial" w:cs="Arial" w:hAnsi="Arial" w:eastAsia="Arial"/>
          <w:outline w:val="0"/>
          <w:color w:val="232323"/>
          <w:sz w:val="22"/>
          <w:szCs w:val="22"/>
          <w:u w:color="444444"/>
          <w:shd w:val="clear" w:color="auto" w:fill="ffffff"/>
          <w14:textFill>
            <w14:solidFill>
              <w14:srgbClr w14:val="232323"/>
            </w14:solidFill>
          </w14:textFill>
        </w:rPr>
      </w:pPr>
      <w:r>
        <w:rPr>
          <w:rStyle w:val="None"/>
          <w:rFonts w:ascii="Arial" w:hAnsi="Arial"/>
          <w:outline w:val="0"/>
          <w:color w:val="232323"/>
          <w:sz w:val="22"/>
          <w:szCs w:val="22"/>
          <w:u w:color="444444"/>
          <w:shd w:val="clear" w:color="auto" w:fill="ffffff"/>
          <w:rtl w:val="0"/>
          <w:lang w:val="en-US"/>
          <w14:textFill>
            <w14:solidFill>
              <w14:srgbClr w14:val="232323"/>
            </w14:solidFill>
          </w14:textFill>
        </w:rPr>
        <w:t>Flower One is the largest cannabis cultivator, producer, and full-service brand fulfillment partner in the state of Nevada. By combining more than 20 years of greenhouse operational excellence with best-in-class cannabis operators, Flower One offers consistent, reliable, and scalable fulfillment to a growing number of industry-leading cannabis brands (Cookies, Kiva, 22Red Old Pal, Heavy Hitters, Lift Ticket</w:t>
      </w:r>
      <w:r>
        <w:rPr>
          <w:rStyle w:val="None"/>
          <w:rFonts w:ascii="Arial" w:hAnsi="Arial" w:hint="default"/>
          <w:outline w:val="0"/>
          <w:color w:val="232323"/>
          <w:sz w:val="22"/>
          <w:szCs w:val="22"/>
          <w:u w:color="444444"/>
          <w:shd w:val="clear" w:color="auto" w:fill="ffffff"/>
          <w:rtl w:val="0"/>
          <w:lang w:val="en-US"/>
          <w14:textFill>
            <w14:solidFill>
              <w14:srgbClr w14:val="232323"/>
            </w14:solidFill>
          </w14:textFill>
        </w:rPr>
        <w:t>’</w:t>
      </w:r>
      <w:r>
        <w:rPr>
          <w:rStyle w:val="None"/>
          <w:rFonts w:ascii="Arial" w:hAnsi="Arial"/>
          <w:outline w:val="0"/>
          <w:color w:val="232323"/>
          <w:sz w:val="22"/>
          <w:szCs w:val="22"/>
          <w:u w:color="444444"/>
          <w:shd w:val="clear" w:color="auto" w:fill="ffffff"/>
          <w:rtl w:val="0"/>
          <w:lang w:val="en-US"/>
          <w14:textFill>
            <w14:solidFill>
              <w14:srgbClr w14:val="232323"/>
            </w14:solidFill>
          </w14:textFill>
        </w:rPr>
        <w:t>s, Huxton, The Clear, and Flower One</w:t>
      </w:r>
      <w:r>
        <w:rPr>
          <w:rStyle w:val="None"/>
          <w:rFonts w:ascii="Arial" w:hAnsi="Arial" w:hint="default"/>
          <w:outline w:val="0"/>
          <w:color w:val="232323"/>
          <w:sz w:val="22"/>
          <w:szCs w:val="22"/>
          <w:u w:color="444444"/>
          <w:shd w:val="clear" w:color="auto" w:fill="ffffff"/>
          <w:rtl w:val="0"/>
          <w:lang w:val="en-US"/>
          <w14:textFill>
            <w14:solidFill>
              <w14:srgbClr w14:val="232323"/>
            </w14:solidFill>
          </w14:textFill>
        </w:rPr>
        <w:t>’</w:t>
      </w:r>
      <w:r>
        <w:rPr>
          <w:rStyle w:val="None"/>
          <w:rFonts w:ascii="Arial" w:hAnsi="Arial"/>
          <w:outline w:val="0"/>
          <w:color w:val="232323"/>
          <w:sz w:val="22"/>
          <w:szCs w:val="22"/>
          <w:u w:color="444444"/>
          <w:shd w:val="clear" w:color="auto" w:fill="ffffff"/>
          <w:rtl w:val="0"/>
          <w:lang w:val="en-US"/>
          <w14:textFill>
            <w14:solidFill>
              <w14:srgbClr w14:val="232323"/>
            </w14:solidFill>
          </w14:textFill>
        </w:rPr>
        <w:t>s leading in-house brand, NLVO, and more). Flower One currently produces a wide range of products from flower, full-spectrum oils, and distillates to finished consumer packaged goods, including a variety of: pre-rolls, concentrates, edibles, topicals, and more for top-performing brands in cannabis. Flower One</w:t>
      </w:r>
      <w:r>
        <w:rPr>
          <w:rStyle w:val="None"/>
          <w:rFonts w:ascii="Arial" w:hAnsi="Arial" w:hint="default"/>
          <w:outline w:val="0"/>
          <w:color w:val="232323"/>
          <w:sz w:val="22"/>
          <w:szCs w:val="22"/>
          <w:u w:color="444444"/>
          <w:shd w:val="clear" w:color="auto" w:fill="ffffff"/>
          <w:rtl w:val="0"/>
          <w:lang w:val="en-US"/>
          <w14:textFill>
            <w14:solidFill>
              <w14:srgbClr w14:val="232323"/>
            </w14:solidFill>
          </w14:textFill>
        </w:rPr>
        <w:t>’</w:t>
      </w:r>
      <w:r>
        <w:rPr>
          <w:rStyle w:val="None"/>
          <w:rFonts w:ascii="Arial" w:hAnsi="Arial"/>
          <w:outline w:val="0"/>
          <w:color w:val="232323"/>
          <w:sz w:val="22"/>
          <w:szCs w:val="22"/>
          <w:u w:color="444444"/>
          <w:shd w:val="clear" w:color="auto" w:fill="ffffff"/>
          <w:rtl w:val="0"/>
          <w:lang w:val="en-US"/>
          <w14:textFill>
            <w14:solidFill>
              <w14:srgbClr w14:val="232323"/>
            </w14:solidFill>
          </w14:textFill>
        </w:rPr>
        <w:t>s Nevada footprint includes the Company</w:t>
      </w:r>
      <w:r>
        <w:rPr>
          <w:rStyle w:val="None"/>
          <w:rFonts w:ascii="Arial" w:hAnsi="Arial" w:hint="default"/>
          <w:outline w:val="0"/>
          <w:color w:val="232323"/>
          <w:sz w:val="22"/>
          <w:szCs w:val="22"/>
          <w:u w:color="444444"/>
          <w:shd w:val="clear" w:color="auto" w:fill="ffffff"/>
          <w:rtl w:val="0"/>
          <w:lang w:val="en-US"/>
          <w14:textFill>
            <w14:solidFill>
              <w14:srgbClr w14:val="232323"/>
            </w14:solidFill>
          </w14:textFill>
        </w:rPr>
        <w:t>’</w:t>
      </w:r>
      <w:r>
        <w:rPr>
          <w:rStyle w:val="None"/>
          <w:rFonts w:ascii="Arial" w:hAnsi="Arial"/>
          <w:outline w:val="0"/>
          <w:color w:val="232323"/>
          <w:sz w:val="22"/>
          <w:szCs w:val="22"/>
          <w:u w:color="444444"/>
          <w:shd w:val="clear" w:color="auto" w:fill="ffffff"/>
          <w:rtl w:val="0"/>
          <w:lang w:val="en-US"/>
          <w14:textFill>
            <w14:solidFill>
              <w14:srgbClr w14:val="232323"/>
            </w14:solidFill>
          </w14:textFill>
        </w:rPr>
        <w:t>s flagship facility, a 400,000 square-foot high-tech greenhouse and 55,000 square-foot production facility, as well as a second site with a 25,000 square-foot indoor cultivation facility and commercial kitchen. Flower One has built an industry-leading team focused on becoming the first high-quality, low-cost brand fulfillment partner.</w:t>
      </w:r>
    </w:p>
    <w:p>
      <w:pPr>
        <w:pStyle w:val="Default"/>
        <w:spacing w:before="0" w:after="20"/>
        <w:jc w:val="both"/>
        <w:rPr>
          <w:rStyle w:val="None"/>
          <w:rFonts w:ascii="Arial" w:cs="Arial" w:hAnsi="Arial" w:eastAsia="Arial"/>
          <w:outline w:val="0"/>
          <w:color w:val="232323"/>
          <w:sz w:val="22"/>
          <w:szCs w:val="22"/>
          <w:u w:color="201f1e"/>
          <w:shd w:val="clear" w:color="auto" w:fill="ffffff"/>
          <w14:textFill>
            <w14:solidFill>
              <w14:srgbClr w14:val="232323"/>
            </w14:solidFill>
          </w14:textFill>
        </w:rPr>
      </w:pPr>
    </w:p>
    <w:p>
      <w:pPr>
        <w:pStyle w:val="Default"/>
        <w:spacing w:before="0" w:after="20"/>
        <w:jc w:val="both"/>
        <w:rPr>
          <w:rStyle w:val="None"/>
          <w:rFonts w:ascii="Arial" w:cs="Arial" w:hAnsi="Arial" w:eastAsia="Arial"/>
          <w:outline w:val="0"/>
          <w:color w:val="232323"/>
          <w:sz w:val="22"/>
          <w:szCs w:val="22"/>
          <w:u w:color="444444"/>
          <w:shd w:val="clear" w:color="auto" w:fill="f9f8f8"/>
          <w14:textFill>
            <w14:solidFill>
              <w14:srgbClr w14:val="232323"/>
            </w14:solidFill>
          </w14:textFill>
        </w:rPr>
      </w:pPr>
      <w:r>
        <w:rPr>
          <w:rStyle w:val="None"/>
          <w:rFonts w:ascii="Arial" w:hAnsi="Arial"/>
          <w:outline w:val="0"/>
          <w:color w:val="232323"/>
          <w:sz w:val="22"/>
          <w:szCs w:val="22"/>
          <w:u w:color="444444"/>
          <w:shd w:val="clear" w:color="auto" w:fill="ffffff"/>
          <w:rtl w:val="0"/>
          <w:lang w:val="en-US"/>
          <w14:textFill>
            <w14:solidFill>
              <w14:srgbClr w14:val="232323"/>
            </w14:solidFill>
          </w14:textFill>
        </w:rPr>
        <w:t>The Company</w:t>
      </w:r>
      <w:r>
        <w:rPr>
          <w:rStyle w:val="None"/>
          <w:rFonts w:ascii="Arial" w:hAnsi="Arial" w:hint="default"/>
          <w:outline w:val="0"/>
          <w:color w:val="232323"/>
          <w:sz w:val="22"/>
          <w:szCs w:val="22"/>
          <w:u w:color="444444"/>
          <w:shd w:val="clear" w:color="auto" w:fill="ffffff"/>
          <w:rtl w:val="0"/>
          <w:lang w:val="en-US"/>
          <w14:textFill>
            <w14:solidFill>
              <w14:srgbClr w14:val="232323"/>
            </w14:solidFill>
          </w14:textFill>
        </w:rPr>
        <w:t>’</w:t>
      </w:r>
      <w:r>
        <w:rPr>
          <w:rStyle w:val="None"/>
          <w:rFonts w:ascii="Arial" w:hAnsi="Arial"/>
          <w:outline w:val="0"/>
          <w:color w:val="232323"/>
          <w:sz w:val="22"/>
          <w:szCs w:val="22"/>
          <w:u w:color="444444"/>
          <w:shd w:val="clear" w:color="auto" w:fill="ffffff"/>
          <w:rtl w:val="0"/>
          <w:lang w:val="en-US"/>
          <w14:textFill>
            <w14:solidFill>
              <w14:srgbClr w14:val="232323"/>
            </w14:solidFill>
          </w14:textFill>
        </w:rPr>
        <w:t>s common shares are traded on the Canadian Securities Exchange under the Company</w:t>
      </w:r>
      <w:r>
        <w:rPr>
          <w:rStyle w:val="None"/>
          <w:rFonts w:ascii="Arial" w:hAnsi="Arial" w:hint="default"/>
          <w:outline w:val="0"/>
          <w:color w:val="232323"/>
          <w:sz w:val="22"/>
          <w:szCs w:val="22"/>
          <w:u w:color="444444"/>
          <w:shd w:val="clear" w:color="auto" w:fill="ffffff"/>
          <w:rtl w:val="0"/>
          <w:lang w:val="en-US"/>
          <w14:textFill>
            <w14:solidFill>
              <w14:srgbClr w14:val="232323"/>
            </w14:solidFill>
          </w14:textFill>
        </w:rPr>
        <w:t>’</w:t>
      </w:r>
      <w:r>
        <w:rPr>
          <w:rStyle w:val="None"/>
          <w:rFonts w:ascii="Arial" w:hAnsi="Arial"/>
          <w:outline w:val="0"/>
          <w:color w:val="232323"/>
          <w:sz w:val="22"/>
          <w:szCs w:val="22"/>
          <w:u w:color="444444"/>
          <w:shd w:val="clear" w:color="auto" w:fill="ffffff"/>
          <w:rtl w:val="0"/>
          <w:lang w:val="en-US"/>
          <w14:textFill>
            <w14:solidFill>
              <w14:srgbClr w14:val="232323"/>
            </w14:solidFill>
          </w14:textFill>
        </w:rPr>
        <w:t xml:space="preserve">s symbol </w:t>
      </w:r>
      <w:r>
        <w:rPr>
          <w:rStyle w:val="None"/>
          <w:rFonts w:ascii="Arial" w:hAnsi="Arial" w:hint="default"/>
          <w:outline w:val="0"/>
          <w:color w:val="232323"/>
          <w:sz w:val="22"/>
          <w:szCs w:val="22"/>
          <w:u w:color="444444"/>
          <w:shd w:val="clear" w:color="auto" w:fill="ffffff"/>
          <w:rtl w:val="0"/>
          <w:lang w:val="en-US"/>
          <w14:textFill>
            <w14:solidFill>
              <w14:srgbClr w14:val="232323"/>
            </w14:solidFill>
          </w14:textFill>
        </w:rPr>
        <w:t>“</w:t>
      </w:r>
      <w:r>
        <w:rPr>
          <w:rStyle w:val="None"/>
          <w:rFonts w:ascii="Arial" w:hAnsi="Arial"/>
          <w:outline w:val="0"/>
          <w:color w:val="232323"/>
          <w:sz w:val="22"/>
          <w:szCs w:val="22"/>
          <w:u w:color="444444"/>
          <w:shd w:val="clear" w:color="auto" w:fill="ffffff"/>
          <w:rtl w:val="0"/>
          <w:lang w:val="en-US"/>
          <w14:textFill>
            <w14:solidFill>
              <w14:srgbClr w14:val="232323"/>
            </w14:solidFill>
          </w14:textFill>
        </w:rPr>
        <w:t>FONE</w:t>
      </w:r>
      <w:r>
        <w:rPr>
          <w:rStyle w:val="None"/>
          <w:rFonts w:ascii="Arial" w:hAnsi="Arial" w:hint="default"/>
          <w:outline w:val="0"/>
          <w:color w:val="232323"/>
          <w:sz w:val="22"/>
          <w:szCs w:val="22"/>
          <w:u w:color="444444"/>
          <w:shd w:val="clear" w:color="auto" w:fill="ffffff"/>
          <w:rtl w:val="0"/>
          <w:lang w:val="en-US"/>
          <w14:textFill>
            <w14:solidFill>
              <w14:srgbClr w14:val="232323"/>
            </w14:solidFill>
          </w14:textFill>
        </w:rPr>
        <w:t>”</w:t>
      </w:r>
      <w:r>
        <w:rPr>
          <w:rStyle w:val="None"/>
          <w:rFonts w:ascii="Arial" w:hAnsi="Arial"/>
          <w:outline w:val="0"/>
          <w:color w:val="232323"/>
          <w:sz w:val="22"/>
          <w:szCs w:val="22"/>
          <w:u w:color="444444"/>
          <w:shd w:val="clear" w:color="auto" w:fill="ffffff"/>
          <w:rtl w:val="0"/>
          <w:lang w:val="en-US"/>
          <w14:textFill>
            <w14:solidFill>
              <w14:srgbClr w14:val="232323"/>
            </w14:solidFill>
          </w14:textFill>
        </w:rPr>
        <w:t xml:space="preserve">, in the United States on the OTCQX Best Market under the symbol </w:t>
      </w:r>
      <w:r>
        <w:rPr>
          <w:rStyle w:val="None"/>
          <w:rFonts w:ascii="Arial" w:hAnsi="Arial" w:hint="default"/>
          <w:outline w:val="0"/>
          <w:color w:val="232323"/>
          <w:sz w:val="22"/>
          <w:szCs w:val="22"/>
          <w:u w:color="444444"/>
          <w:shd w:val="clear" w:color="auto" w:fill="ffffff"/>
          <w:rtl w:val="0"/>
          <w:lang w:val="en-US"/>
          <w14:textFill>
            <w14:solidFill>
              <w14:srgbClr w14:val="232323"/>
            </w14:solidFill>
          </w14:textFill>
        </w:rPr>
        <w:t>“</w:t>
      </w:r>
      <w:r>
        <w:rPr>
          <w:rStyle w:val="None"/>
          <w:rFonts w:ascii="Arial" w:hAnsi="Arial"/>
          <w:outline w:val="0"/>
          <w:color w:val="232323"/>
          <w:sz w:val="22"/>
          <w:szCs w:val="22"/>
          <w:u w:color="444444"/>
          <w:shd w:val="clear" w:color="auto" w:fill="ffffff"/>
          <w:rtl w:val="0"/>
          <w:lang w:val="en-US"/>
          <w14:textFill>
            <w14:solidFill>
              <w14:srgbClr w14:val="232323"/>
            </w14:solidFill>
          </w14:textFill>
        </w:rPr>
        <w:t>FLOOF</w:t>
      </w:r>
      <w:r>
        <w:rPr>
          <w:rStyle w:val="None"/>
          <w:rFonts w:ascii="Arial" w:hAnsi="Arial" w:hint="default"/>
          <w:outline w:val="0"/>
          <w:color w:val="232323"/>
          <w:sz w:val="22"/>
          <w:szCs w:val="22"/>
          <w:u w:color="444444"/>
          <w:shd w:val="clear" w:color="auto" w:fill="ffffff"/>
          <w:rtl w:val="0"/>
          <w:lang w:val="en-US"/>
          <w14:textFill>
            <w14:solidFill>
              <w14:srgbClr w14:val="232323"/>
            </w14:solidFill>
          </w14:textFill>
        </w:rPr>
        <w:t xml:space="preserve">” </w:t>
      </w:r>
      <w:r>
        <w:rPr>
          <w:rStyle w:val="None"/>
          <w:rFonts w:ascii="Arial" w:hAnsi="Arial"/>
          <w:outline w:val="0"/>
          <w:color w:val="232323"/>
          <w:sz w:val="22"/>
          <w:szCs w:val="22"/>
          <w:u w:color="444444"/>
          <w:shd w:val="clear" w:color="auto" w:fill="ffffff"/>
          <w:rtl w:val="0"/>
          <w:lang w:val="en-US"/>
          <w14:textFill>
            <w14:solidFill>
              <w14:srgbClr w14:val="232323"/>
            </w14:solidFill>
          </w14:textFill>
        </w:rPr>
        <w:t xml:space="preserve">and on the Frankfurt Stock Exchange under the symbol </w:t>
      </w:r>
      <w:r>
        <w:rPr>
          <w:rStyle w:val="None"/>
          <w:rFonts w:ascii="Arial" w:hAnsi="Arial" w:hint="default"/>
          <w:outline w:val="0"/>
          <w:color w:val="232323"/>
          <w:sz w:val="22"/>
          <w:szCs w:val="22"/>
          <w:u w:color="444444"/>
          <w:shd w:val="clear" w:color="auto" w:fill="ffffff"/>
          <w:rtl w:val="0"/>
          <w:lang w:val="en-US"/>
          <w14:textFill>
            <w14:solidFill>
              <w14:srgbClr w14:val="232323"/>
            </w14:solidFill>
          </w14:textFill>
        </w:rPr>
        <w:t>“</w:t>
      </w:r>
      <w:r>
        <w:rPr>
          <w:rStyle w:val="None"/>
          <w:rFonts w:ascii="Arial" w:hAnsi="Arial"/>
          <w:outline w:val="0"/>
          <w:color w:val="232323"/>
          <w:sz w:val="22"/>
          <w:szCs w:val="22"/>
          <w:u w:color="444444"/>
          <w:shd w:val="clear" w:color="auto" w:fill="ffffff"/>
          <w:rtl w:val="0"/>
          <w:lang w:val="en-US"/>
          <w14:textFill>
            <w14:solidFill>
              <w14:srgbClr w14:val="232323"/>
            </w14:solidFill>
          </w14:textFill>
        </w:rPr>
        <w:t>F11</w:t>
      </w:r>
      <w:r>
        <w:rPr>
          <w:rStyle w:val="None"/>
          <w:rFonts w:ascii="Arial" w:hAnsi="Arial" w:hint="default"/>
          <w:outline w:val="0"/>
          <w:color w:val="232323"/>
          <w:sz w:val="22"/>
          <w:szCs w:val="22"/>
          <w:u w:color="444444"/>
          <w:shd w:val="clear" w:color="auto" w:fill="ffffff"/>
          <w:rtl w:val="0"/>
          <w:lang w:val="en-US"/>
          <w14:textFill>
            <w14:solidFill>
              <w14:srgbClr w14:val="232323"/>
            </w14:solidFill>
          </w14:textFill>
        </w:rPr>
        <w:t>”</w:t>
      </w:r>
      <w:r>
        <w:rPr>
          <w:rStyle w:val="None"/>
          <w:rFonts w:ascii="Arial" w:hAnsi="Arial"/>
          <w:outline w:val="0"/>
          <w:color w:val="232323"/>
          <w:sz w:val="22"/>
          <w:szCs w:val="22"/>
          <w:u w:color="444444"/>
          <w:shd w:val="clear" w:color="auto" w:fill="ffffff"/>
          <w:rtl w:val="0"/>
          <w:lang w:val="en-US"/>
          <w14:textFill>
            <w14:solidFill>
              <w14:srgbClr w14:val="232323"/>
            </w14:solidFill>
          </w14:textFill>
        </w:rPr>
        <w:t>. For more information, visit:</w:t>
      </w:r>
      <w:r>
        <w:rPr>
          <w:rStyle w:val="None"/>
          <w:rFonts w:ascii="Arial" w:hAnsi="Arial" w:hint="default"/>
          <w:outline w:val="0"/>
          <w:color w:val="232323"/>
          <w:sz w:val="22"/>
          <w:szCs w:val="22"/>
          <w:u w:color="444444"/>
          <w:shd w:val="clear" w:color="auto" w:fill="ffffff"/>
          <w:rtl w:val="0"/>
          <w:lang w:val="en-US"/>
          <w14:textFill>
            <w14:solidFill>
              <w14:srgbClr w14:val="232323"/>
            </w14:solidFill>
          </w14:textFill>
        </w:rPr>
        <w:t> </w:t>
      </w:r>
      <w:r>
        <w:rPr>
          <w:rStyle w:val="Hyperlink.2"/>
        </w:rPr>
        <w:fldChar w:fldCharType="begin" w:fldLock="0"/>
      </w:r>
      <w:r>
        <w:rPr>
          <w:rStyle w:val="Hyperlink.2"/>
        </w:rPr>
        <w:instrText xml:space="preserve"> HYPERLINK "https://cts.businesswire.com/ct/CT?id=smartlink&amp;url=https%252525252525252525252525252525252525252525252525252525253A%252525252525252525252525252525252525252525252525252525252F%252525252525252525252525252525252525252525252525252525252Fflowerone.com&amp;esheet=52370977&amp;newsitemid=20210201005299&amp;lan=en-US&amp;anchor=https%252525252525252525252525252525252525252525252525252525253A%252525252525252525252525252525252525252525252525252525252F%252525252525252525252525252525252525252525252525252525252Fflowerone.com&amp;index=2&amp;md5=cb01c0d77340eb766af0d4d3b4a26cb8"</w:instrText>
      </w:r>
      <w:r>
        <w:rPr>
          <w:rStyle w:val="Hyperlink.2"/>
        </w:rPr>
        <w:fldChar w:fldCharType="separate" w:fldLock="0"/>
      </w:r>
      <w:r>
        <w:rPr>
          <w:rStyle w:val="Hyperlink.2"/>
          <w:rtl w:val="0"/>
          <w:lang w:val="en-US"/>
        </w:rPr>
        <w:t>https://flowerone.com</w:t>
      </w:r>
      <w:r>
        <w:rPr/>
        <w:fldChar w:fldCharType="end" w:fldLock="0"/>
      </w:r>
      <w:r>
        <w:rPr>
          <w:rStyle w:val="None"/>
          <w:rFonts w:ascii="Arial" w:hAnsi="Arial"/>
          <w:outline w:val="0"/>
          <w:color w:val="232323"/>
          <w:sz w:val="22"/>
          <w:szCs w:val="22"/>
          <w:u w:color="444444"/>
          <w:shd w:val="clear" w:color="auto" w:fill="ffffff"/>
          <w:rtl w:val="0"/>
          <w:lang w:val="en-US"/>
          <w14:textFill>
            <w14:solidFill>
              <w14:srgbClr w14:val="232323"/>
            </w14:solidFill>
          </w14:textFill>
        </w:rPr>
        <w:t>.</w:t>
      </w:r>
    </w:p>
    <w:p>
      <w:pPr>
        <w:pStyle w:val="Body A"/>
        <w:spacing w:after="20"/>
        <w:jc w:val="both"/>
        <w:rPr>
          <w:rStyle w:val="None"/>
          <w:rFonts w:ascii="Arial" w:cs="Arial" w:hAnsi="Arial" w:eastAsia="Arial"/>
          <w:outline w:val="0"/>
          <w:color w:val="232323"/>
          <w:sz w:val="22"/>
          <w:szCs w:val="22"/>
          <w:u w:color="232323"/>
          <w14:textFill>
            <w14:solidFill>
              <w14:srgbClr w14:val="232323"/>
            </w14:solidFill>
          </w14:textFill>
        </w:rPr>
      </w:pPr>
    </w:p>
    <w:p>
      <w:pPr>
        <w:pStyle w:val="Default"/>
        <w:spacing w:before="0" w:after="20"/>
        <w:jc w:val="both"/>
        <w:rPr>
          <w:rStyle w:val="None"/>
          <w:rFonts w:ascii="Arial" w:cs="Arial" w:hAnsi="Arial" w:eastAsia="Arial"/>
          <w:outline w:val="0"/>
          <w:color w:val="232323"/>
          <w:sz w:val="22"/>
          <w:szCs w:val="22"/>
          <w:u w:color="232323"/>
          <w14:textFill>
            <w14:solidFill>
              <w14:srgbClr w14:val="232323"/>
            </w14:solidFill>
          </w14:textFill>
        </w:rPr>
      </w:pPr>
      <w:r>
        <w:rPr>
          <w:rStyle w:val="None"/>
          <w:rFonts w:ascii="Arial" w:hAnsi="Arial"/>
          <w:b w:val="1"/>
          <w:bCs w:val="1"/>
          <w:outline w:val="0"/>
          <w:color w:val="232323"/>
          <w:sz w:val="22"/>
          <w:szCs w:val="22"/>
          <w:u w:color="232323"/>
          <w:rtl w:val="0"/>
          <w:lang w:val="en-US"/>
          <w14:textFill>
            <w14:solidFill>
              <w14:srgbClr w14:val="232323"/>
            </w14:solidFill>
          </w14:textFill>
        </w:rPr>
        <w:t xml:space="preserve">Cautionary Note Regarding Forward-Looking Information </w:t>
      </w:r>
      <w:r>
        <w:rPr>
          <w:rStyle w:val="None"/>
          <w:rFonts w:ascii="Arial" w:hAnsi="Arial"/>
          <w:outline w:val="0"/>
          <w:color w:val="232323"/>
          <w:sz w:val="22"/>
          <w:szCs w:val="22"/>
          <w:u w:color="232323"/>
          <w:rtl w:val="0"/>
          <w:lang w:val="en-US"/>
          <w14:textFill>
            <w14:solidFill>
              <w14:srgbClr w14:val="232323"/>
            </w14:solidFill>
          </w14:textFill>
        </w:rPr>
        <w:t>Statements in this press release that are not statements of historical or current fact constitute "forward-looking information" within the meaning of Canadian securities laws and "forward-looking statements" within the meaning of United States securities laws (collectively, "forward-looking statements"). Such forward-looking statements involve known and unknown risks, uncertainties, and other unknown factors that could cause the actual results of the Company to be materially different from historical results or from any future actual results expressed or implied by such forward-looking statements. In addition to statements which explicitly describe such risks and uncertainties, readers are urged to consider statements labeled with the terms "believes," "belief," "expects," "intends," "anticipates," "potential," "should," "may," "will," "plans," "continue" or other similar expressions to be uncertain and forward-looking.</w:t>
      </w:r>
    </w:p>
    <w:p>
      <w:pPr>
        <w:pStyle w:val="Default"/>
        <w:spacing w:before="0" w:after="20"/>
        <w:jc w:val="both"/>
        <w:rPr>
          <w:rStyle w:val="None"/>
          <w:rFonts w:ascii="Arial" w:cs="Arial" w:hAnsi="Arial" w:eastAsia="Arial"/>
          <w:outline w:val="0"/>
          <w:color w:val="232323"/>
          <w:sz w:val="22"/>
          <w:szCs w:val="22"/>
          <w:u w:color="232323"/>
          <w14:textFill>
            <w14:solidFill>
              <w14:srgbClr w14:val="232323"/>
            </w14:solidFill>
          </w14:textFill>
        </w:rPr>
      </w:pPr>
    </w:p>
    <w:p>
      <w:pPr>
        <w:pStyle w:val="Default"/>
        <w:spacing w:before="0" w:after="20"/>
        <w:jc w:val="both"/>
        <w:rPr>
          <w:rStyle w:val="None"/>
          <w:rFonts w:ascii="Arial" w:cs="Arial" w:hAnsi="Arial" w:eastAsia="Arial"/>
          <w:outline w:val="0"/>
          <w:color w:val="232323"/>
          <w:sz w:val="22"/>
          <w:szCs w:val="22"/>
          <w:u w:color="232323"/>
          <w14:textFill>
            <w14:solidFill>
              <w14:srgbClr w14:val="232323"/>
            </w14:solidFill>
          </w14:textFill>
        </w:rPr>
      </w:pPr>
      <w:r>
        <w:rPr>
          <w:rStyle w:val="None"/>
          <w:rFonts w:ascii="Arial" w:hAnsi="Arial"/>
          <w:outline w:val="0"/>
          <w:color w:val="232323"/>
          <w:sz w:val="22"/>
          <w:szCs w:val="22"/>
          <w:u w:color="232323"/>
          <w:rtl w:val="0"/>
          <w:lang w:val="en-US"/>
          <w14:textFill>
            <w14:solidFill>
              <w14:srgbClr w14:val="232323"/>
            </w14:solidFill>
          </w14:textFill>
        </w:rPr>
        <w:t>Forward-looking statements may include, without limitation, the Debenture Amendments;; the meetings to be held in connection with the Debenture Amendments; the Company</w:t>
      </w:r>
      <w:r>
        <w:rPr>
          <w:rStyle w:val="None"/>
          <w:rFonts w:ascii="Arial" w:hAnsi="Arial" w:hint="default"/>
          <w:outline w:val="0"/>
          <w:color w:val="232323"/>
          <w:sz w:val="22"/>
          <w:szCs w:val="22"/>
          <w:u w:color="232323"/>
          <w:rtl w:val="0"/>
          <w:lang w:val="en-US"/>
          <w14:textFill>
            <w14:solidFill>
              <w14:srgbClr w14:val="232323"/>
            </w14:solidFill>
          </w14:textFill>
        </w:rPr>
        <w:t>’</w:t>
      </w:r>
      <w:r>
        <w:rPr>
          <w:rStyle w:val="None"/>
          <w:rFonts w:ascii="Arial" w:hAnsi="Arial"/>
          <w:outline w:val="0"/>
          <w:color w:val="232323"/>
          <w:sz w:val="22"/>
          <w:szCs w:val="22"/>
          <w:u w:color="232323"/>
          <w:rtl w:val="0"/>
          <w:lang w:val="en-US"/>
          <w14:textFill>
            <w14:solidFill>
              <w14:srgbClr w14:val="232323"/>
            </w14:solidFill>
          </w14:textFill>
        </w:rPr>
        <w:t>s leadership as a cannabis cultivator, producer, innovator and full-service brand fulfillment partner; the Company</w:t>
      </w:r>
      <w:r>
        <w:rPr>
          <w:rStyle w:val="None"/>
          <w:rFonts w:ascii="Arial" w:hAnsi="Arial" w:hint="default"/>
          <w:outline w:val="0"/>
          <w:color w:val="232323"/>
          <w:sz w:val="22"/>
          <w:szCs w:val="22"/>
          <w:u w:color="232323"/>
          <w:rtl w:val="0"/>
          <w:lang w:val="en-US"/>
          <w14:textFill>
            <w14:solidFill>
              <w14:srgbClr w14:val="232323"/>
            </w14:solidFill>
          </w14:textFill>
        </w:rPr>
        <w:t>’</w:t>
      </w:r>
      <w:r>
        <w:rPr>
          <w:rStyle w:val="None"/>
          <w:rFonts w:ascii="Arial" w:hAnsi="Arial"/>
          <w:outline w:val="0"/>
          <w:color w:val="232323"/>
          <w:sz w:val="22"/>
          <w:szCs w:val="22"/>
          <w:u w:color="232323"/>
          <w:rtl w:val="0"/>
          <w:lang w:val="en-US"/>
          <w14:textFill>
            <w14:solidFill>
              <w14:srgbClr w14:val="232323"/>
            </w14:solidFill>
          </w14:textFill>
        </w:rPr>
        <w:t>s ability to offer consistent, reliable and scalable fulfilment to a growing number of industry-leading brand partners; and the production of a wide range of products for the nation</w:t>
      </w:r>
      <w:r>
        <w:rPr>
          <w:rStyle w:val="None"/>
          <w:rFonts w:ascii="Arial" w:hAnsi="Arial" w:hint="default"/>
          <w:outline w:val="0"/>
          <w:color w:val="232323"/>
          <w:sz w:val="22"/>
          <w:szCs w:val="22"/>
          <w:u w:color="232323"/>
          <w:rtl w:val="0"/>
          <w:lang w:val="en-US"/>
          <w14:textFill>
            <w14:solidFill>
              <w14:srgbClr w14:val="232323"/>
            </w14:solidFill>
          </w14:textFill>
        </w:rPr>
        <w:t>’</w:t>
      </w:r>
      <w:r>
        <w:rPr>
          <w:rStyle w:val="None"/>
          <w:rFonts w:ascii="Arial" w:hAnsi="Arial"/>
          <w:outline w:val="0"/>
          <w:color w:val="232323"/>
          <w:sz w:val="22"/>
          <w:szCs w:val="22"/>
          <w:u w:color="232323"/>
          <w:rtl w:val="0"/>
          <w:lang w:val="en-US"/>
          <w14:textFill>
            <w14:solidFill>
              <w14:srgbClr w14:val="232323"/>
            </w14:solidFill>
          </w14:textFill>
        </w:rPr>
        <w:t>s top-performing brands.</w:t>
      </w:r>
    </w:p>
    <w:p>
      <w:pPr>
        <w:pStyle w:val="Default"/>
        <w:spacing w:before="0" w:after="20"/>
        <w:jc w:val="both"/>
        <w:rPr>
          <w:rStyle w:val="None"/>
          <w:rFonts w:ascii="Arial" w:cs="Arial" w:hAnsi="Arial" w:eastAsia="Arial"/>
          <w:outline w:val="0"/>
          <w:color w:val="232323"/>
          <w:sz w:val="22"/>
          <w:szCs w:val="22"/>
          <w:u w:color="232323"/>
          <w14:textFill>
            <w14:solidFill>
              <w14:srgbClr w14:val="232323"/>
            </w14:solidFill>
          </w14:textFill>
        </w:rPr>
      </w:pPr>
    </w:p>
    <w:p>
      <w:pPr>
        <w:pStyle w:val="Default"/>
        <w:spacing w:before="0" w:after="20"/>
        <w:jc w:val="both"/>
        <w:rPr>
          <w:rStyle w:val="None"/>
          <w:rFonts w:ascii="Arial" w:cs="Arial" w:hAnsi="Arial" w:eastAsia="Arial"/>
          <w:outline w:val="0"/>
          <w:color w:val="232323"/>
          <w:sz w:val="22"/>
          <w:szCs w:val="22"/>
          <w:u w:color="232323"/>
          <w14:textFill>
            <w14:solidFill>
              <w14:srgbClr w14:val="232323"/>
            </w14:solidFill>
          </w14:textFill>
        </w:rPr>
      </w:pPr>
      <w:r>
        <w:rPr>
          <w:rStyle w:val="None"/>
          <w:rFonts w:ascii="Arial" w:hAnsi="Arial"/>
          <w:outline w:val="0"/>
          <w:color w:val="232323"/>
          <w:sz w:val="22"/>
          <w:szCs w:val="22"/>
          <w:u w:color="232323"/>
          <w:rtl w:val="0"/>
          <w:lang w:val="en-US"/>
          <w14:textFill>
            <w14:solidFill>
              <w14:srgbClr w14:val="232323"/>
            </w14:solidFill>
          </w14:textFill>
        </w:rPr>
        <w:t>The Company is indirectly involved in the manufacture, possession, use, sale and distribution of cannabis in the recreational and medicinal cannabis marketplaces in the United States through its subsidiary Cana Nevada Corp. Local state laws where Cana Nevada Corp. operates permit such activities; however, these activities are currently illegal under United States federal law. Additional information regarding this and other risks and uncertainties relating to the Company</w:t>
      </w:r>
      <w:r>
        <w:rPr>
          <w:rStyle w:val="None"/>
          <w:rFonts w:ascii="Arial" w:hAnsi="Arial" w:hint="default"/>
          <w:outline w:val="0"/>
          <w:color w:val="232323"/>
          <w:sz w:val="22"/>
          <w:szCs w:val="22"/>
          <w:u w:color="232323"/>
          <w:rtl w:val="0"/>
          <w:lang w:val="en-US"/>
          <w14:textFill>
            <w14:solidFill>
              <w14:srgbClr w14:val="232323"/>
            </w14:solidFill>
          </w14:textFill>
        </w:rPr>
        <w:t>’</w:t>
      </w:r>
      <w:r>
        <w:rPr>
          <w:rStyle w:val="None"/>
          <w:rFonts w:ascii="Arial" w:hAnsi="Arial"/>
          <w:outline w:val="0"/>
          <w:color w:val="232323"/>
          <w:sz w:val="22"/>
          <w:szCs w:val="22"/>
          <w:u w:color="232323"/>
          <w:rtl w:val="0"/>
          <w:lang w:val="en-US"/>
          <w14:textFill>
            <w14:solidFill>
              <w14:srgbClr w14:val="232323"/>
            </w14:solidFill>
          </w14:textFill>
        </w:rPr>
        <w:t>s business are contained under the heading "Risk Factors" in the Company</w:t>
      </w:r>
      <w:r>
        <w:rPr>
          <w:rStyle w:val="None"/>
          <w:rFonts w:ascii="Arial" w:hAnsi="Arial" w:hint="default"/>
          <w:outline w:val="0"/>
          <w:color w:val="232323"/>
          <w:sz w:val="22"/>
          <w:szCs w:val="22"/>
          <w:u w:color="232323"/>
          <w:rtl w:val="0"/>
          <w:lang w:val="en-US"/>
          <w14:textFill>
            <w14:solidFill>
              <w14:srgbClr w14:val="232323"/>
            </w14:solidFill>
          </w14:textFill>
        </w:rPr>
        <w:t>’</w:t>
      </w:r>
      <w:r>
        <w:rPr>
          <w:rStyle w:val="None"/>
          <w:rFonts w:ascii="Arial" w:hAnsi="Arial"/>
          <w:outline w:val="0"/>
          <w:color w:val="232323"/>
          <w:sz w:val="22"/>
          <w:szCs w:val="22"/>
          <w:u w:color="232323"/>
          <w:rtl w:val="0"/>
          <w:lang w:val="en-US"/>
          <w14:textFill>
            <w14:solidFill>
              <w14:srgbClr w14:val="232323"/>
            </w14:solidFill>
          </w14:textFill>
        </w:rPr>
        <w:t>s management</w:t>
      </w:r>
      <w:r>
        <w:rPr>
          <w:rStyle w:val="None"/>
          <w:rFonts w:ascii="Arial" w:hAnsi="Arial" w:hint="default"/>
          <w:outline w:val="0"/>
          <w:color w:val="232323"/>
          <w:sz w:val="22"/>
          <w:szCs w:val="22"/>
          <w:u w:color="232323"/>
          <w:rtl w:val="0"/>
          <w:lang w:val="en-US"/>
          <w14:textFill>
            <w14:solidFill>
              <w14:srgbClr w14:val="232323"/>
            </w14:solidFill>
          </w14:textFill>
        </w:rPr>
        <w:t>’</w:t>
      </w:r>
      <w:r>
        <w:rPr>
          <w:rStyle w:val="None"/>
          <w:rFonts w:ascii="Arial" w:hAnsi="Arial"/>
          <w:outline w:val="0"/>
          <w:color w:val="232323"/>
          <w:sz w:val="22"/>
          <w:szCs w:val="22"/>
          <w:u w:color="232323"/>
          <w:rtl w:val="0"/>
          <w:lang w:val="en-US"/>
          <w14:textFill>
            <w14:solidFill>
              <w14:srgbClr w14:val="232323"/>
            </w14:solidFill>
          </w14:textFill>
        </w:rPr>
        <w:t>s discussion and analysis for the nine and three months ended September 30, 2020 (the "MD&amp;A").</w:t>
      </w:r>
    </w:p>
    <w:p>
      <w:pPr>
        <w:pStyle w:val="Default"/>
        <w:spacing w:before="0" w:after="20"/>
        <w:jc w:val="both"/>
        <w:rPr>
          <w:rStyle w:val="None"/>
          <w:rFonts w:ascii="Arial" w:cs="Arial" w:hAnsi="Arial" w:eastAsia="Arial"/>
          <w:outline w:val="0"/>
          <w:color w:val="232323"/>
          <w:sz w:val="22"/>
          <w:szCs w:val="22"/>
          <w:u w:color="232323"/>
          <w14:textFill>
            <w14:solidFill>
              <w14:srgbClr w14:val="232323"/>
            </w14:solidFill>
          </w14:textFill>
        </w:rPr>
      </w:pPr>
      <w:r>
        <w:rPr>
          <w:rStyle w:val="None"/>
          <w:rFonts w:ascii="Arial" w:hAnsi="Arial"/>
          <w:outline w:val="0"/>
          <w:color w:val="232323"/>
          <w:sz w:val="22"/>
          <w:szCs w:val="22"/>
          <w:u w:color="232323"/>
          <w:rtl w:val="0"/>
          <w:lang w:val="en-US"/>
          <w14:textFill>
            <w14:solidFill>
              <w14:srgbClr w14:val="232323"/>
            </w14:solidFill>
          </w14:textFill>
        </w:rPr>
        <w:t>The forward-looking statements contained in this press release are expressly qualified in their entirety by this cautionary statement, the "Forward-Looking Statements" section contained in the MD&amp;A. All forward-looking statements in this press release are made as of the date of this press release. The forward-looking statements contained herein are also subject generally to assumptions and risks and uncertainties that are described from time to time in the Company</w:t>
      </w:r>
      <w:r>
        <w:rPr>
          <w:rStyle w:val="None"/>
          <w:rFonts w:ascii="Arial" w:hAnsi="Arial" w:hint="default"/>
          <w:outline w:val="0"/>
          <w:color w:val="232323"/>
          <w:sz w:val="22"/>
          <w:szCs w:val="22"/>
          <w:u w:color="232323"/>
          <w:rtl w:val="0"/>
          <w:lang w:val="en-US"/>
          <w14:textFill>
            <w14:solidFill>
              <w14:srgbClr w14:val="232323"/>
            </w14:solidFill>
          </w14:textFill>
        </w:rPr>
        <w:t>’</w:t>
      </w:r>
      <w:r>
        <w:rPr>
          <w:rStyle w:val="None"/>
          <w:rFonts w:ascii="Arial" w:hAnsi="Arial"/>
          <w:outline w:val="0"/>
          <w:color w:val="232323"/>
          <w:sz w:val="22"/>
          <w:szCs w:val="22"/>
          <w:u w:color="232323"/>
          <w:rtl w:val="0"/>
          <w:lang w:val="en-US"/>
          <w14:textFill>
            <w14:solidFill>
              <w14:srgbClr w14:val="232323"/>
            </w14:solidFill>
          </w14:textFill>
        </w:rPr>
        <w:t>s public securities filings with the Canadian securities commissions, including the Company</w:t>
      </w:r>
      <w:r>
        <w:rPr>
          <w:rStyle w:val="None"/>
          <w:rFonts w:ascii="Arial" w:hAnsi="Arial" w:hint="default"/>
          <w:outline w:val="0"/>
          <w:color w:val="232323"/>
          <w:sz w:val="22"/>
          <w:szCs w:val="22"/>
          <w:u w:color="232323"/>
          <w:rtl w:val="0"/>
          <w:lang w:val="en-US"/>
          <w14:textFill>
            <w14:solidFill>
              <w14:srgbClr w14:val="232323"/>
            </w14:solidFill>
          </w14:textFill>
        </w:rPr>
        <w:t>’</w:t>
      </w:r>
      <w:r>
        <w:rPr>
          <w:rStyle w:val="None"/>
          <w:rFonts w:ascii="Arial" w:hAnsi="Arial"/>
          <w:outline w:val="0"/>
          <w:color w:val="232323"/>
          <w:sz w:val="22"/>
          <w:szCs w:val="22"/>
          <w:u w:color="232323"/>
          <w:rtl w:val="0"/>
          <w:lang w:val="en-US"/>
          <w14:textFill>
            <w14:solidFill>
              <w14:srgbClr w14:val="232323"/>
            </w14:solidFill>
          </w14:textFill>
        </w:rPr>
        <w:t>s MD&amp;A.</w:t>
      </w:r>
    </w:p>
    <w:p>
      <w:pPr>
        <w:pStyle w:val="Default"/>
        <w:spacing w:before="0" w:after="20"/>
        <w:jc w:val="both"/>
        <w:rPr>
          <w:rStyle w:val="None"/>
          <w:rFonts w:ascii="Arial" w:cs="Arial" w:hAnsi="Arial" w:eastAsia="Arial"/>
          <w:outline w:val="0"/>
          <w:color w:val="232323"/>
          <w:sz w:val="22"/>
          <w:szCs w:val="22"/>
          <w:u w:color="232323"/>
          <w14:textFill>
            <w14:solidFill>
              <w14:srgbClr w14:val="232323"/>
            </w14:solidFill>
          </w14:textFill>
        </w:rPr>
      </w:pPr>
    </w:p>
    <w:p>
      <w:pPr>
        <w:pStyle w:val="Default"/>
        <w:spacing w:before="0" w:after="20"/>
        <w:jc w:val="both"/>
        <w:rPr>
          <w:rStyle w:val="None"/>
          <w:rFonts w:ascii="Arial" w:cs="Arial" w:hAnsi="Arial" w:eastAsia="Arial"/>
          <w:outline w:val="0"/>
          <w:color w:val="232323"/>
          <w:sz w:val="22"/>
          <w:szCs w:val="22"/>
          <w:u w:color="232323"/>
          <w14:textFill>
            <w14:solidFill>
              <w14:srgbClr w14:val="232323"/>
            </w14:solidFill>
          </w14:textFill>
        </w:rPr>
      </w:pPr>
      <w:r>
        <w:rPr>
          <w:rStyle w:val="None"/>
          <w:rFonts w:ascii="Arial" w:hAnsi="Arial"/>
          <w:outline w:val="0"/>
          <w:color w:val="232323"/>
          <w:sz w:val="22"/>
          <w:szCs w:val="22"/>
          <w:u w:color="232323"/>
          <w:rtl w:val="0"/>
          <w:lang w:val="en-US"/>
          <w14:textFill>
            <w14:solidFill>
              <w14:srgbClr w14:val="232323"/>
            </w14:solidFill>
          </w14:textFill>
        </w:rPr>
        <w:t>Although Flower One has attempted to identify important factors that could cause actual results, performance or achievements to differ materially from those contained in the forward-looking statements, there can be other factors that cause results, performance or achievements not to be as anticipated, estimated or intended, including, but not limited to: dependence on obtaining debentureholder and regulatory approvals; satisfying the conditions precedent to the Support Agreement;  investing in target companies or projects that are engaged in activities currently considered illegal under United States federal law; changes in laws; limited operating history; reliance on management; requirements for additional financing; competition; hindering market growth and state adoption due to inconsistent public opinion and perception of the medical-use and adult-use marijuana industry and; regulatory or political change.</w:t>
      </w:r>
    </w:p>
    <w:p>
      <w:pPr>
        <w:pStyle w:val="Default"/>
        <w:spacing w:before="0" w:after="20"/>
        <w:jc w:val="both"/>
        <w:rPr>
          <w:rStyle w:val="None"/>
          <w:rFonts w:ascii="Arial" w:cs="Arial" w:hAnsi="Arial" w:eastAsia="Arial"/>
          <w:outline w:val="0"/>
          <w:color w:val="232323"/>
          <w:sz w:val="22"/>
          <w:szCs w:val="22"/>
          <w:u w:color="232323"/>
          <w14:textFill>
            <w14:solidFill>
              <w14:srgbClr w14:val="232323"/>
            </w14:solidFill>
          </w14:textFill>
        </w:rPr>
      </w:pPr>
    </w:p>
    <w:p>
      <w:pPr>
        <w:pStyle w:val="Default"/>
        <w:spacing w:before="0" w:after="20"/>
        <w:jc w:val="both"/>
        <w:rPr>
          <w:rStyle w:val="None"/>
          <w:rFonts w:ascii="Arial" w:cs="Arial" w:hAnsi="Arial" w:eastAsia="Arial"/>
          <w:outline w:val="0"/>
          <w:color w:val="232323"/>
          <w:sz w:val="22"/>
          <w:szCs w:val="22"/>
          <w:u w:color="232323"/>
          <w14:textFill>
            <w14:solidFill>
              <w14:srgbClr w14:val="232323"/>
            </w14:solidFill>
          </w14:textFill>
        </w:rPr>
      </w:pPr>
      <w:r>
        <w:rPr>
          <w:rStyle w:val="None"/>
          <w:rFonts w:ascii="Arial" w:hAnsi="Arial"/>
          <w:outline w:val="0"/>
          <w:color w:val="232323"/>
          <w:sz w:val="22"/>
          <w:szCs w:val="22"/>
          <w:u w:color="232323"/>
          <w:rtl w:val="0"/>
          <w:lang w:val="en-US"/>
          <w14:textFill>
            <w14:solidFill>
              <w14:srgbClr w14:val="232323"/>
            </w14:solidFill>
          </w14:textFill>
        </w:rPr>
        <w:t>Accordingly, readers should not place undue reliance on forward-looking statements. The forward-looking statements in this news release are made as of the date of this release. Flower One disclaims and does not undertake any intention or obligation to update or revise any such forward-looking statements, whether as a result of new information, future events or otherwise, except as required by applicable law.</w:t>
      </w:r>
    </w:p>
    <w:p>
      <w:pPr>
        <w:pStyle w:val="Default"/>
        <w:spacing w:before="0" w:after="20"/>
        <w:jc w:val="both"/>
        <w:rPr>
          <w:rStyle w:val="None"/>
          <w:rFonts w:ascii="Arial" w:cs="Arial" w:hAnsi="Arial" w:eastAsia="Arial"/>
          <w:outline w:val="0"/>
          <w:color w:val="232323"/>
          <w:sz w:val="22"/>
          <w:szCs w:val="22"/>
          <w:u w:color="232323"/>
          <w14:textFill>
            <w14:solidFill>
              <w14:srgbClr w14:val="232323"/>
            </w14:solidFill>
          </w14:textFill>
        </w:rPr>
      </w:pPr>
    </w:p>
    <w:p>
      <w:pPr>
        <w:pStyle w:val="Default"/>
        <w:spacing w:before="0" w:after="20"/>
        <w:jc w:val="both"/>
        <w:rPr>
          <w:rStyle w:val="None"/>
          <w:rFonts w:ascii="Arial" w:cs="Arial" w:hAnsi="Arial" w:eastAsia="Arial"/>
          <w:outline w:val="0"/>
          <w:color w:val="232323"/>
          <w:sz w:val="22"/>
          <w:szCs w:val="22"/>
          <w:u w:color="232323"/>
          <w14:textFill>
            <w14:solidFill>
              <w14:srgbClr w14:val="232323"/>
            </w14:solidFill>
          </w14:textFill>
        </w:rPr>
      </w:pPr>
      <w:r>
        <w:rPr>
          <w:rStyle w:val="None"/>
          <w:rFonts w:ascii="Arial" w:hAnsi="Arial"/>
          <w:outline w:val="0"/>
          <w:color w:val="232323"/>
          <w:sz w:val="22"/>
          <w:szCs w:val="22"/>
          <w:u w:color="232323"/>
          <w:rtl w:val="0"/>
          <w:lang w:val="en-US"/>
          <w14:textFill>
            <w14:solidFill>
              <w14:srgbClr w14:val="232323"/>
            </w14:solidFill>
          </w14:textFill>
        </w:rPr>
        <w:t>NEITHER THE CANADIAN SECURITIES EXCHANGE NOR THEIR REGULATIONS SERVICES PROVIDER HAVE REVIEWED OR ACCEPT RESPONSIBILITY FOR THE ADEQUACY OR ACCURACY OF THIS RELEASE.</w:t>
      </w:r>
    </w:p>
    <w:p>
      <w:pPr>
        <w:pStyle w:val="Default"/>
        <w:spacing w:before="0" w:after="20"/>
        <w:jc w:val="both"/>
        <w:rPr>
          <w:rStyle w:val="None"/>
          <w:rFonts w:ascii="Arial" w:cs="Arial" w:hAnsi="Arial" w:eastAsia="Arial"/>
          <w:outline w:val="0"/>
          <w:color w:val="232323"/>
          <w:sz w:val="22"/>
          <w:szCs w:val="22"/>
          <w:u w:color="232323"/>
          <w14:textFill>
            <w14:solidFill>
              <w14:srgbClr w14:val="232323"/>
            </w14:solidFill>
          </w14:textFill>
        </w:rPr>
      </w:pPr>
    </w:p>
    <w:p>
      <w:pPr>
        <w:pStyle w:val="Default"/>
        <w:spacing w:before="0" w:after="20"/>
        <w:rPr>
          <w:rStyle w:val="None"/>
          <w:rFonts w:ascii="Arial" w:cs="Arial" w:hAnsi="Arial" w:eastAsia="Arial"/>
          <w:outline w:val="0"/>
          <w:color w:val="232323"/>
          <w:sz w:val="22"/>
          <w:szCs w:val="22"/>
          <w:u w:color="232323"/>
          <w14:textFill>
            <w14:solidFill>
              <w14:srgbClr w14:val="232323"/>
            </w14:solidFill>
          </w14:textFill>
        </w:rPr>
      </w:pPr>
      <w:r>
        <w:rPr>
          <w:rStyle w:val="None"/>
          <w:rFonts w:ascii="Arial" w:hAnsi="Arial"/>
          <w:outline w:val="0"/>
          <w:color w:val="232323"/>
          <w:sz w:val="22"/>
          <w:szCs w:val="22"/>
          <w:u w:color="232323"/>
          <w:rtl w:val="0"/>
          <w:lang w:val="en-US"/>
          <w14:textFill>
            <w14:solidFill>
              <w14:srgbClr w14:val="232323"/>
            </w14:solidFill>
          </w14:textFill>
        </w:rPr>
        <w:t>Contacts:</w:t>
      </w:r>
    </w:p>
    <w:p>
      <w:pPr>
        <w:pStyle w:val="Default"/>
        <w:spacing w:before="0" w:after="20"/>
        <w:rPr>
          <w:rStyle w:val="None"/>
          <w:rFonts w:ascii="Arial" w:cs="Arial" w:hAnsi="Arial" w:eastAsia="Arial"/>
          <w:outline w:val="0"/>
          <w:color w:val="232323"/>
          <w:sz w:val="22"/>
          <w:szCs w:val="22"/>
          <w:u w:color="232323"/>
          <w14:textFill>
            <w14:solidFill>
              <w14:srgbClr w14:val="232323"/>
            </w14:solidFill>
          </w14:textFill>
        </w:rPr>
      </w:pPr>
    </w:p>
    <w:p>
      <w:pPr>
        <w:pStyle w:val="Default"/>
        <w:spacing w:before="0" w:after="20"/>
        <w:rPr>
          <w:rStyle w:val="None"/>
          <w:rFonts w:ascii="Arial" w:cs="Arial" w:hAnsi="Arial" w:eastAsia="Arial"/>
          <w:outline w:val="0"/>
          <w:color w:val="232323"/>
          <w:sz w:val="22"/>
          <w:szCs w:val="22"/>
          <w:u w:color="232323"/>
          <w14:textFill>
            <w14:solidFill>
              <w14:srgbClr w14:val="232323"/>
            </w14:solidFill>
          </w14:textFill>
        </w:rPr>
      </w:pPr>
      <w:r>
        <w:rPr>
          <w:rStyle w:val="None"/>
          <w:rFonts w:ascii="Arial" w:hAnsi="Arial"/>
          <w:outline w:val="0"/>
          <w:color w:val="232323"/>
          <w:sz w:val="22"/>
          <w:szCs w:val="22"/>
          <w:u w:color="232323"/>
          <w:rtl w:val="0"/>
          <w:lang w:val="en-US"/>
          <w14:textFill>
            <w14:solidFill>
              <w14:srgbClr w14:val="232323"/>
            </w14:solidFill>
          </w14:textFill>
        </w:rPr>
        <w:t>Flower One Investor Relations</w:t>
      </w:r>
    </w:p>
    <w:p>
      <w:pPr>
        <w:pStyle w:val="Default"/>
        <w:spacing w:before="0" w:after="20"/>
        <w:rPr>
          <w:rStyle w:val="None"/>
          <w:rFonts w:ascii="Arial" w:cs="Arial" w:hAnsi="Arial" w:eastAsia="Arial"/>
          <w:outline w:val="0"/>
          <w:color w:val="232323"/>
          <w:sz w:val="22"/>
          <w:szCs w:val="22"/>
          <w:u w:color="232323"/>
          <w14:textFill>
            <w14:solidFill>
              <w14:srgbClr w14:val="232323"/>
            </w14:solidFill>
          </w14:textFill>
        </w:rPr>
      </w:pPr>
      <w:r>
        <w:rPr>
          <w:rStyle w:val="Hyperlink.3"/>
        </w:rPr>
        <w:fldChar w:fldCharType="begin" w:fldLock="0"/>
      </w:r>
      <w:r>
        <w:rPr>
          <w:rStyle w:val="Hyperlink.3"/>
        </w:rPr>
        <w:instrText xml:space="preserve"> HYPERLINK "mailto:ir@flowerone.com"</w:instrText>
      </w:r>
      <w:r>
        <w:rPr>
          <w:rStyle w:val="Hyperlink.3"/>
        </w:rPr>
        <w:fldChar w:fldCharType="separate" w:fldLock="0"/>
      </w:r>
      <w:r>
        <w:rPr>
          <w:rStyle w:val="Hyperlink.3"/>
          <w:rtl w:val="0"/>
          <w:lang w:val="en-US"/>
        </w:rPr>
        <w:t>ir@flowerone.com</w:t>
      </w:r>
      <w:r>
        <w:rPr/>
        <w:fldChar w:fldCharType="end" w:fldLock="0"/>
      </w:r>
    </w:p>
    <w:p>
      <w:pPr>
        <w:pStyle w:val="Default"/>
        <w:spacing w:before="0" w:after="20"/>
        <w:rPr>
          <w:rStyle w:val="None"/>
          <w:rFonts w:ascii="Arial" w:cs="Arial" w:hAnsi="Arial" w:eastAsia="Arial"/>
          <w:outline w:val="0"/>
          <w:color w:val="232323"/>
          <w:sz w:val="22"/>
          <w:szCs w:val="22"/>
          <w:u w:color="232323"/>
          <w14:textFill>
            <w14:solidFill>
              <w14:srgbClr w14:val="232323"/>
            </w14:solidFill>
          </w14:textFill>
        </w:rPr>
      </w:pPr>
      <w:r>
        <w:rPr>
          <w:rStyle w:val="None"/>
          <w:rFonts w:ascii="Arial" w:hAnsi="Arial"/>
          <w:outline w:val="0"/>
          <w:color w:val="232323"/>
          <w:sz w:val="22"/>
          <w:szCs w:val="22"/>
          <w:u w:color="232323"/>
          <w:rtl w:val="0"/>
          <w:lang w:val="en-US"/>
          <w14:textFill>
            <w14:solidFill>
              <w14:srgbClr w14:val="232323"/>
            </w14:solidFill>
          </w14:textFill>
        </w:rPr>
        <w:t>702.660.7775</w:t>
      </w:r>
    </w:p>
    <w:p>
      <w:pPr>
        <w:pStyle w:val="Default"/>
        <w:spacing w:before="0" w:after="20"/>
        <w:rPr>
          <w:rStyle w:val="None"/>
          <w:rFonts w:ascii="Arial" w:cs="Arial" w:hAnsi="Arial" w:eastAsia="Arial"/>
          <w:outline w:val="0"/>
          <w:color w:val="232323"/>
          <w:sz w:val="22"/>
          <w:szCs w:val="22"/>
          <w:u w:color="232323"/>
          <w14:textFill>
            <w14:solidFill>
              <w14:srgbClr w14:val="232323"/>
            </w14:solidFill>
          </w14:textFill>
        </w:rPr>
      </w:pPr>
    </w:p>
    <w:p>
      <w:pPr>
        <w:pStyle w:val="Default"/>
        <w:spacing w:before="0" w:after="20"/>
        <w:rPr>
          <w:rStyle w:val="None"/>
          <w:rFonts w:ascii="Arial" w:cs="Arial" w:hAnsi="Arial" w:eastAsia="Arial"/>
          <w:outline w:val="0"/>
          <w:color w:val="232323"/>
          <w:sz w:val="22"/>
          <w:szCs w:val="22"/>
          <w:u w:color="232323"/>
          <w14:textFill>
            <w14:solidFill>
              <w14:srgbClr w14:val="232323"/>
            </w14:solidFill>
          </w14:textFill>
        </w:rPr>
      </w:pPr>
      <w:r>
        <w:rPr>
          <w:rStyle w:val="None"/>
          <w:rFonts w:ascii="Arial" w:hAnsi="Arial"/>
          <w:outline w:val="0"/>
          <w:color w:val="232323"/>
          <w:sz w:val="22"/>
          <w:szCs w:val="22"/>
          <w:u w:color="232323"/>
          <w:rtl w:val="0"/>
          <w:lang w:val="en-US"/>
          <w14:textFill>
            <w14:solidFill>
              <w14:srgbClr w14:val="232323"/>
            </w14:solidFill>
          </w14:textFill>
        </w:rPr>
        <w:t>Flower One Media</w:t>
      </w:r>
    </w:p>
    <w:p>
      <w:pPr>
        <w:pStyle w:val="Default"/>
        <w:spacing w:before="0" w:after="20"/>
      </w:pPr>
      <w:r>
        <w:rPr>
          <w:rStyle w:val="None"/>
          <w:rFonts w:ascii="Arial" w:hAnsi="Arial"/>
          <w:outline w:val="0"/>
          <w:color w:val="232323"/>
          <w:sz w:val="22"/>
          <w:szCs w:val="22"/>
          <w:u w:color="232323"/>
          <w:rtl w:val="0"/>
          <w:lang w:val="en-US"/>
          <w14:textFill>
            <w14:solidFill>
              <w14:srgbClr w14:val="232323"/>
            </w14:solidFill>
          </w14:textFill>
        </w:rPr>
        <w:t>media@flowerone.com</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5b5b5b"/>
        <w:spacing w:val="0"/>
        <w:w w:val="100"/>
        <w:kern w:val="0"/>
        <w:position w:val="0"/>
        <w:highlight w:val="none"/>
        <w:vertAlign w:val="baseline"/>
      </w:rPr>
    </w:lvl>
    <w:lvl w:ilvl="1">
      <w:start w:val="1"/>
      <w:numFmt w:val="bullet"/>
      <w:suff w:val="tab"/>
      <w:lvlText w:val="•"/>
      <w:lvlJc w:val="left"/>
      <w:pPr>
        <w:ind w:left="940" w:hanging="500"/>
      </w:pPr>
      <w:rPr>
        <w:rFonts w:ascii="Helvetica" w:cs="Helvetica" w:hAnsi="Helvetica" w:eastAsia="Helvetica"/>
        <w:b w:val="0"/>
        <w:bCs w:val="0"/>
        <w:i w:val="0"/>
        <w:iCs w:val="0"/>
        <w:caps w:val="0"/>
        <w:smallCaps w:val="0"/>
        <w:strike w:val="0"/>
        <w:dstrike w:val="0"/>
        <w:outline w:val="0"/>
        <w:emboss w:val="0"/>
        <w:imprint w:val="0"/>
        <w:color w:val="5b5b5b"/>
        <w:spacing w:val="0"/>
        <w:w w:val="100"/>
        <w:kern w:val="0"/>
        <w:position w:val="0"/>
        <w:highlight w:val="none"/>
        <w:vertAlign w:val="baseline"/>
      </w:rPr>
    </w:lvl>
    <w:lvl w:ilvl="2">
      <w:start w:val="1"/>
      <w:numFmt w:val="bullet"/>
      <w:suff w:val="tab"/>
      <w:lvlText w:val="•"/>
      <w:lvlJc w:val="left"/>
      <w:pPr>
        <w:ind w:left="1160" w:hanging="500"/>
      </w:pPr>
      <w:rPr>
        <w:rFonts w:ascii="Helvetica" w:cs="Helvetica" w:hAnsi="Helvetica" w:eastAsia="Helvetica"/>
        <w:b w:val="0"/>
        <w:bCs w:val="0"/>
        <w:i w:val="0"/>
        <w:iCs w:val="0"/>
        <w:caps w:val="0"/>
        <w:smallCaps w:val="0"/>
        <w:strike w:val="0"/>
        <w:dstrike w:val="0"/>
        <w:outline w:val="0"/>
        <w:emboss w:val="0"/>
        <w:imprint w:val="0"/>
        <w:color w:val="5b5b5b"/>
        <w:spacing w:val="0"/>
        <w:w w:val="100"/>
        <w:kern w:val="0"/>
        <w:position w:val="0"/>
        <w:highlight w:val="none"/>
        <w:vertAlign w:val="baseline"/>
      </w:rPr>
    </w:lvl>
    <w:lvl w:ilvl="3">
      <w:start w:val="1"/>
      <w:numFmt w:val="bullet"/>
      <w:suff w:val="tab"/>
      <w:lvlText w:val="•"/>
      <w:lvlJc w:val="left"/>
      <w:pPr>
        <w:ind w:left="1380" w:hanging="500"/>
      </w:pPr>
      <w:rPr>
        <w:rFonts w:ascii="Helvetica" w:cs="Helvetica" w:hAnsi="Helvetica" w:eastAsia="Helvetica"/>
        <w:b w:val="0"/>
        <w:bCs w:val="0"/>
        <w:i w:val="0"/>
        <w:iCs w:val="0"/>
        <w:caps w:val="0"/>
        <w:smallCaps w:val="0"/>
        <w:strike w:val="0"/>
        <w:dstrike w:val="0"/>
        <w:outline w:val="0"/>
        <w:emboss w:val="0"/>
        <w:imprint w:val="0"/>
        <w:color w:val="5b5b5b"/>
        <w:spacing w:val="0"/>
        <w:w w:val="100"/>
        <w:kern w:val="0"/>
        <w:position w:val="0"/>
        <w:highlight w:val="none"/>
        <w:vertAlign w:val="baseline"/>
      </w:rPr>
    </w:lvl>
    <w:lvl w:ilvl="4">
      <w:start w:val="1"/>
      <w:numFmt w:val="bullet"/>
      <w:suff w:val="tab"/>
      <w:lvlText w:val="•"/>
      <w:lvlJc w:val="left"/>
      <w:pPr>
        <w:ind w:left="1600" w:hanging="500"/>
      </w:pPr>
      <w:rPr>
        <w:rFonts w:ascii="Helvetica" w:cs="Helvetica" w:hAnsi="Helvetica" w:eastAsia="Helvetica"/>
        <w:b w:val="0"/>
        <w:bCs w:val="0"/>
        <w:i w:val="0"/>
        <w:iCs w:val="0"/>
        <w:caps w:val="0"/>
        <w:smallCaps w:val="0"/>
        <w:strike w:val="0"/>
        <w:dstrike w:val="0"/>
        <w:outline w:val="0"/>
        <w:emboss w:val="0"/>
        <w:imprint w:val="0"/>
        <w:color w:val="5b5b5b"/>
        <w:spacing w:val="0"/>
        <w:w w:val="100"/>
        <w:kern w:val="0"/>
        <w:position w:val="0"/>
        <w:highlight w:val="none"/>
        <w:vertAlign w:val="baseline"/>
      </w:rPr>
    </w:lvl>
    <w:lvl w:ilvl="5">
      <w:start w:val="1"/>
      <w:numFmt w:val="bullet"/>
      <w:suff w:val="tab"/>
      <w:lvlText w:val="•"/>
      <w:lvlJc w:val="left"/>
      <w:pPr>
        <w:ind w:left="1820" w:hanging="500"/>
      </w:pPr>
      <w:rPr>
        <w:rFonts w:ascii="Helvetica" w:cs="Helvetica" w:hAnsi="Helvetica" w:eastAsia="Helvetica"/>
        <w:b w:val="0"/>
        <w:bCs w:val="0"/>
        <w:i w:val="0"/>
        <w:iCs w:val="0"/>
        <w:caps w:val="0"/>
        <w:smallCaps w:val="0"/>
        <w:strike w:val="0"/>
        <w:dstrike w:val="0"/>
        <w:outline w:val="0"/>
        <w:emboss w:val="0"/>
        <w:imprint w:val="0"/>
        <w:color w:val="5b5b5b"/>
        <w:spacing w:val="0"/>
        <w:w w:val="100"/>
        <w:kern w:val="0"/>
        <w:position w:val="0"/>
        <w:highlight w:val="none"/>
        <w:vertAlign w:val="baseline"/>
      </w:rPr>
    </w:lvl>
    <w:lvl w:ilvl="6">
      <w:start w:val="1"/>
      <w:numFmt w:val="bullet"/>
      <w:suff w:val="tab"/>
      <w:lvlText w:val="•"/>
      <w:lvlJc w:val="left"/>
      <w:pPr>
        <w:ind w:left="2040" w:hanging="500"/>
      </w:pPr>
      <w:rPr>
        <w:rFonts w:ascii="Helvetica" w:cs="Helvetica" w:hAnsi="Helvetica" w:eastAsia="Helvetica"/>
        <w:b w:val="0"/>
        <w:bCs w:val="0"/>
        <w:i w:val="0"/>
        <w:iCs w:val="0"/>
        <w:caps w:val="0"/>
        <w:smallCaps w:val="0"/>
        <w:strike w:val="0"/>
        <w:dstrike w:val="0"/>
        <w:outline w:val="0"/>
        <w:emboss w:val="0"/>
        <w:imprint w:val="0"/>
        <w:color w:val="5b5b5b"/>
        <w:spacing w:val="0"/>
        <w:w w:val="100"/>
        <w:kern w:val="0"/>
        <w:position w:val="0"/>
        <w:highlight w:val="none"/>
        <w:vertAlign w:val="baseline"/>
      </w:rPr>
    </w:lvl>
    <w:lvl w:ilvl="7">
      <w:start w:val="1"/>
      <w:numFmt w:val="bullet"/>
      <w:suff w:val="tab"/>
      <w:lvlText w:val="•"/>
      <w:lvlJc w:val="left"/>
      <w:pPr>
        <w:ind w:left="2260" w:hanging="500"/>
      </w:pPr>
      <w:rPr>
        <w:rFonts w:ascii="Helvetica" w:cs="Helvetica" w:hAnsi="Helvetica" w:eastAsia="Helvetica"/>
        <w:b w:val="0"/>
        <w:bCs w:val="0"/>
        <w:i w:val="0"/>
        <w:iCs w:val="0"/>
        <w:caps w:val="0"/>
        <w:smallCaps w:val="0"/>
        <w:strike w:val="0"/>
        <w:dstrike w:val="0"/>
        <w:outline w:val="0"/>
        <w:emboss w:val="0"/>
        <w:imprint w:val="0"/>
        <w:color w:val="5b5b5b"/>
        <w:spacing w:val="0"/>
        <w:w w:val="100"/>
        <w:kern w:val="0"/>
        <w:position w:val="0"/>
        <w:highlight w:val="none"/>
        <w:vertAlign w:val="baseline"/>
      </w:rPr>
    </w:lvl>
    <w:lvl w:ilvl="8">
      <w:start w:val="1"/>
      <w:numFmt w:val="bullet"/>
      <w:suff w:val="tab"/>
      <w:lvlText w:val="•"/>
      <w:lvlJc w:val="left"/>
      <w:pPr>
        <w:ind w:left="2480" w:hanging="500"/>
      </w:pPr>
      <w:rPr>
        <w:rFonts w:ascii="Helvetica" w:cs="Helvetica" w:hAnsi="Helvetica" w:eastAsia="Helvetica"/>
        <w:b w:val="0"/>
        <w:bCs w:val="0"/>
        <w:i w:val="0"/>
        <w:iCs w:val="0"/>
        <w:caps w:val="0"/>
        <w:smallCaps w:val="0"/>
        <w:strike w:val="0"/>
        <w:dstrike w:val="0"/>
        <w:outline w:val="0"/>
        <w:emboss w:val="0"/>
        <w:imprint w:val="0"/>
        <w:color w:val="5b5b5b"/>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5b5b5b"/>
          <w:spacing w:val="0"/>
          <w:w w:val="100"/>
          <w:kern w:val="0"/>
          <w:position w:val="0"/>
          <w:highlight w:val="none"/>
          <w:vertAlign w:val="baseline"/>
        </w:rPr>
      </w:lvl>
    </w:lvlOverride>
    <w:lvlOverride w:ilvl="1">
      <w:lvl w:ilvl="1">
        <w:start w:val="1"/>
        <w:numFmt w:val="bullet"/>
        <w:suff w:val="tab"/>
        <w:lvlText w:val="•"/>
        <w:lvlJc w:val="left"/>
        <w:pPr>
          <w:ind w:left="784" w:hanging="344"/>
        </w:pPr>
        <w:rPr>
          <w:rFonts w:ascii="Helvetica" w:cs="Helvetica" w:hAnsi="Helvetica" w:eastAsia="Helvetica"/>
          <w:b w:val="0"/>
          <w:bCs w:val="0"/>
          <w:i w:val="0"/>
          <w:iCs w:val="0"/>
          <w:caps w:val="0"/>
          <w:smallCaps w:val="0"/>
          <w:strike w:val="0"/>
          <w:dstrike w:val="0"/>
          <w:outline w:val="0"/>
          <w:emboss w:val="0"/>
          <w:imprint w:val="0"/>
          <w:color w:val="5b5b5b"/>
          <w:spacing w:val="0"/>
          <w:w w:val="100"/>
          <w:kern w:val="0"/>
          <w:position w:val="0"/>
          <w:highlight w:val="none"/>
          <w:vertAlign w:val="baseline"/>
        </w:rPr>
      </w:lvl>
    </w:lvlOverride>
    <w:lvlOverride w:ilvl="2">
      <w:lvl w:ilvl="2">
        <w:start w:val="1"/>
        <w:numFmt w:val="bullet"/>
        <w:suff w:val="tab"/>
        <w:lvlText w:val="•"/>
        <w:lvlJc w:val="left"/>
        <w:pPr>
          <w:ind w:left="1004" w:hanging="344"/>
        </w:pPr>
        <w:rPr>
          <w:rFonts w:ascii="Helvetica" w:cs="Helvetica" w:hAnsi="Helvetica" w:eastAsia="Helvetica"/>
          <w:b w:val="0"/>
          <w:bCs w:val="0"/>
          <w:i w:val="0"/>
          <w:iCs w:val="0"/>
          <w:caps w:val="0"/>
          <w:smallCaps w:val="0"/>
          <w:strike w:val="0"/>
          <w:dstrike w:val="0"/>
          <w:outline w:val="0"/>
          <w:emboss w:val="0"/>
          <w:imprint w:val="0"/>
          <w:color w:val="5b5b5b"/>
          <w:spacing w:val="0"/>
          <w:w w:val="100"/>
          <w:kern w:val="0"/>
          <w:position w:val="0"/>
          <w:highlight w:val="none"/>
          <w:vertAlign w:val="baseline"/>
        </w:rPr>
      </w:lvl>
    </w:lvlOverride>
    <w:lvlOverride w:ilvl="3">
      <w:lvl w:ilvl="3">
        <w:start w:val="1"/>
        <w:numFmt w:val="bullet"/>
        <w:suff w:val="tab"/>
        <w:lvlText w:val="•"/>
        <w:lvlJc w:val="left"/>
        <w:pPr>
          <w:ind w:left="1224" w:hanging="344"/>
        </w:pPr>
        <w:rPr>
          <w:rFonts w:ascii="Helvetica" w:cs="Helvetica" w:hAnsi="Helvetica" w:eastAsia="Helvetica"/>
          <w:b w:val="0"/>
          <w:bCs w:val="0"/>
          <w:i w:val="0"/>
          <w:iCs w:val="0"/>
          <w:caps w:val="0"/>
          <w:smallCaps w:val="0"/>
          <w:strike w:val="0"/>
          <w:dstrike w:val="0"/>
          <w:outline w:val="0"/>
          <w:emboss w:val="0"/>
          <w:imprint w:val="0"/>
          <w:color w:val="5b5b5b"/>
          <w:spacing w:val="0"/>
          <w:w w:val="100"/>
          <w:kern w:val="0"/>
          <w:position w:val="0"/>
          <w:highlight w:val="none"/>
          <w:vertAlign w:val="baseline"/>
        </w:rPr>
      </w:lvl>
    </w:lvlOverride>
    <w:lvlOverride w:ilvl="4">
      <w:lvl w:ilvl="4">
        <w:start w:val="1"/>
        <w:numFmt w:val="bullet"/>
        <w:suff w:val="tab"/>
        <w:lvlText w:val="•"/>
        <w:lvlJc w:val="left"/>
        <w:pPr>
          <w:ind w:left="1444" w:hanging="344"/>
        </w:pPr>
        <w:rPr>
          <w:rFonts w:ascii="Helvetica" w:cs="Helvetica" w:hAnsi="Helvetica" w:eastAsia="Helvetica"/>
          <w:b w:val="0"/>
          <w:bCs w:val="0"/>
          <w:i w:val="0"/>
          <w:iCs w:val="0"/>
          <w:caps w:val="0"/>
          <w:smallCaps w:val="0"/>
          <w:strike w:val="0"/>
          <w:dstrike w:val="0"/>
          <w:outline w:val="0"/>
          <w:emboss w:val="0"/>
          <w:imprint w:val="0"/>
          <w:color w:val="5b5b5b"/>
          <w:spacing w:val="0"/>
          <w:w w:val="100"/>
          <w:kern w:val="0"/>
          <w:position w:val="0"/>
          <w:highlight w:val="none"/>
          <w:vertAlign w:val="baseline"/>
        </w:rPr>
      </w:lvl>
    </w:lvlOverride>
    <w:lvlOverride w:ilvl="5">
      <w:lvl w:ilvl="5">
        <w:start w:val="1"/>
        <w:numFmt w:val="bullet"/>
        <w:suff w:val="tab"/>
        <w:lvlText w:val="•"/>
        <w:lvlJc w:val="left"/>
        <w:pPr>
          <w:ind w:left="1664" w:hanging="344"/>
        </w:pPr>
        <w:rPr>
          <w:rFonts w:ascii="Helvetica" w:cs="Helvetica" w:hAnsi="Helvetica" w:eastAsia="Helvetica"/>
          <w:b w:val="0"/>
          <w:bCs w:val="0"/>
          <w:i w:val="0"/>
          <w:iCs w:val="0"/>
          <w:caps w:val="0"/>
          <w:smallCaps w:val="0"/>
          <w:strike w:val="0"/>
          <w:dstrike w:val="0"/>
          <w:outline w:val="0"/>
          <w:emboss w:val="0"/>
          <w:imprint w:val="0"/>
          <w:color w:val="5b5b5b"/>
          <w:spacing w:val="0"/>
          <w:w w:val="100"/>
          <w:kern w:val="0"/>
          <w:position w:val="0"/>
          <w:highlight w:val="none"/>
          <w:vertAlign w:val="baseline"/>
        </w:rPr>
      </w:lvl>
    </w:lvlOverride>
    <w:lvlOverride w:ilvl="6">
      <w:lvl w:ilvl="6">
        <w:start w:val="1"/>
        <w:numFmt w:val="bullet"/>
        <w:suff w:val="tab"/>
        <w:lvlText w:val="•"/>
        <w:lvlJc w:val="left"/>
        <w:pPr>
          <w:ind w:left="1884" w:hanging="344"/>
        </w:pPr>
        <w:rPr>
          <w:rFonts w:ascii="Helvetica" w:cs="Helvetica" w:hAnsi="Helvetica" w:eastAsia="Helvetica"/>
          <w:b w:val="0"/>
          <w:bCs w:val="0"/>
          <w:i w:val="0"/>
          <w:iCs w:val="0"/>
          <w:caps w:val="0"/>
          <w:smallCaps w:val="0"/>
          <w:strike w:val="0"/>
          <w:dstrike w:val="0"/>
          <w:outline w:val="0"/>
          <w:emboss w:val="0"/>
          <w:imprint w:val="0"/>
          <w:color w:val="5b5b5b"/>
          <w:spacing w:val="0"/>
          <w:w w:val="100"/>
          <w:kern w:val="0"/>
          <w:position w:val="0"/>
          <w:highlight w:val="none"/>
          <w:vertAlign w:val="baseline"/>
        </w:rPr>
      </w:lvl>
    </w:lvlOverride>
    <w:lvlOverride w:ilvl="7">
      <w:lvl w:ilvl="7">
        <w:start w:val="1"/>
        <w:numFmt w:val="bullet"/>
        <w:suff w:val="tab"/>
        <w:lvlText w:val="•"/>
        <w:lvlJc w:val="left"/>
        <w:pPr>
          <w:ind w:left="2104" w:hanging="344"/>
        </w:pPr>
        <w:rPr>
          <w:rFonts w:ascii="Helvetica" w:cs="Helvetica" w:hAnsi="Helvetica" w:eastAsia="Helvetica"/>
          <w:b w:val="0"/>
          <w:bCs w:val="0"/>
          <w:i w:val="0"/>
          <w:iCs w:val="0"/>
          <w:caps w:val="0"/>
          <w:smallCaps w:val="0"/>
          <w:strike w:val="0"/>
          <w:dstrike w:val="0"/>
          <w:outline w:val="0"/>
          <w:emboss w:val="0"/>
          <w:imprint w:val="0"/>
          <w:color w:val="5b5b5b"/>
          <w:spacing w:val="0"/>
          <w:w w:val="100"/>
          <w:kern w:val="0"/>
          <w:position w:val="0"/>
          <w:highlight w:val="none"/>
          <w:vertAlign w:val="baseline"/>
        </w:rPr>
      </w:lvl>
    </w:lvlOverride>
    <w:lvlOverride w:ilvl="8">
      <w:lvl w:ilvl="8">
        <w:start w:val="1"/>
        <w:numFmt w:val="bullet"/>
        <w:suff w:val="tab"/>
        <w:lvlText w:val="•"/>
        <w:lvlJc w:val="left"/>
        <w:pPr>
          <w:ind w:left="2324" w:hanging="344"/>
        </w:pPr>
        <w:rPr>
          <w:rFonts w:ascii="Helvetica" w:cs="Helvetica" w:hAnsi="Helvetica" w:eastAsia="Helvetica"/>
          <w:b w:val="0"/>
          <w:bCs w:val="0"/>
          <w:i w:val="0"/>
          <w:iCs w:val="0"/>
          <w:caps w:val="0"/>
          <w:smallCaps w:val="0"/>
          <w:strike w:val="0"/>
          <w:dstrike w:val="0"/>
          <w:outline w:val="0"/>
          <w:emboss w:val="0"/>
          <w:imprint w:val="0"/>
          <w:color w:val="5b5b5b"/>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s">
    <w:name w:val="Bullets"/>
    <w:pPr>
      <w:numPr>
        <w:numId w:val="1"/>
      </w:numPr>
    </w:pPr>
  </w:style>
  <w:style w:type="character" w:styleId="None A">
    <w:name w:val="None A"/>
    <w:rPr>
      <w:lang w:val="en-US"/>
    </w:rPr>
  </w:style>
  <w:style w:type="character" w:styleId="None">
    <w:name w:val="None"/>
  </w:style>
  <w:style w:type="character" w:styleId="Hyperlink.0">
    <w:name w:val="Hyperlink.0"/>
    <w:basedOn w:val="None"/>
    <w:next w:val="Hyperlink.0"/>
    <w:rPr>
      <w:rFonts w:ascii="Arial" w:cs="Arial" w:hAnsi="Arial" w:eastAsia="Arial"/>
      <w:outline w:val="0"/>
      <w:color w:val="0000ff"/>
      <w:sz w:val="22"/>
      <w:szCs w:val="22"/>
      <w:u w:val="single" w:color="0000ff"/>
      <w14:textFill>
        <w14:solidFill>
          <w14:srgbClr w14:val="0000FF"/>
        </w14:solidFill>
      </w14:textFill>
    </w:rPr>
  </w:style>
  <w:style w:type="character" w:styleId="Hyperlink.1">
    <w:name w:val="Hyperlink.1"/>
    <w:basedOn w:val="None"/>
    <w:next w:val="Hyperlink.1"/>
    <w:rPr>
      <w:rFonts w:ascii="Arial" w:cs="Arial" w:hAnsi="Arial" w:eastAsia="Arial"/>
      <w:b w:val="1"/>
      <w:bCs w:val="1"/>
      <w:outline w:val="0"/>
      <w:color w:val="000000"/>
      <w:sz w:val="22"/>
      <w:szCs w:val="22"/>
      <w:u w:val="single" w:color="000000"/>
      <w14:textFill>
        <w14:solidFill>
          <w14:srgbClr w14:val="000000"/>
        </w14:solidFill>
      </w14:textFill>
    </w:rPr>
  </w:style>
  <w:style w:type="character" w:styleId="Hyperlink.2">
    <w:name w:val="Hyperlink.2"/>
    <w:basedOn w:val="None"/>
    <w:next w:val="Hyperlink.2"/>
    <w:rPr>
      <w:rFonts w:ascii="Arial" w:cs="Arial" w:hAnsi="Arial" w:eastAsia="Arial"/>
      <w:outline w:val="0"/>
      <w:color w:val="232323"/>
      <w:sz w:val="22"/>
      <w:szCs w:val="22"/>
      <w:u w:val="single" w:color="232323"/>
      <w:shd w:val="clear" w:color="auto" w:fill="ffffff"/>
      <w14:textFill>
        <w14:solidFill>
          <w14:srgbClr w14:val="232323"/>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3">
    <w:name w:val="Hyperlink.3"/>
    <w:basedOn w:val="None"/>
    <w:next w:val="Hyperlink.3"/>
    <w:rPr>
      <w:rFonts w:ascii="Arial" w:cs="Arial" w:hAnsi="Arial" w:eastAsia="Arial"/>
      <w:outline w:val="0"/>
      <w:color w:val="232323"/>
      <w:sz w:val="22"/>
      <w:szCs w:val="22"/>
      <w:u w:val="single" w:color="232323"/>
      <w14:textFill>
        <w14:solidFill>
          <w14:srgbClr w14:val="232323"/>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