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AD14"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4AEB434" w14:textId="7FD0CD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20D2A" w:rsidRPr="00220D2A">
        <w:rPr>
          <w:rFonts w:ascii="Arial" w:hAnsi="Arial"/>
          <w:color w:val="000000"/>
          <w:u w:val="single"/>
        </w:rPr>
        <w:t>Nutritional High International Inc.</w:t>
      </w:r>
      <w:r>
        <w:rPr>
          <w:rFonts w:ascii="Arial" w:hAnsi="Arial"/>
          <w:color w:val="000000"/>
          <w:u w:val="single"/>
        </w:rPr>
        <w:tab/>
      </w:r>
      <w:r>
        <w:rPr>
          <w:rFonts w:ascii="Arial" w:hAnsi="Arial"/>
          <w:color w:val="000000"/>
          <w:u w:val="single"/>
        </w:rPr>
        <w:tab/>
      </w:r>
      <w:r>
        <w:rPr>
          <w:rFonts w:ascii="Arial" w:hAnsi="Arial"/>
          <w:color w:val="000000"/>
        </w:rPr>
        <w:t>(the “Issuer”).</w:t>
      </w:r>
    </w:p>
    <w:p w14:paraId="2D4403DC" w14:textId="434973A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20D2A" w:rsidRPr="00220D2A">
        <w:rPr>
          <w:rFonts w:ascii="Arial" w:hAnsi="Arial"/>
          <w:color w:val="000000"/>
          <w:u w:val="single"/>
        </w:rPr>
        <w:t>EAT</w:t>
      </w:r>
      <w:r>
        <w:rPr>
          <w:rFonts w:ascii="Arial" w:hAnsi="Arial"/>
          <w:color w:val="000000"/>
          <w:u w:val="single"/>
        </w:rPr>
        <w:tab/>
      </w:r>
      <w:r>
        <w:rPr>
          <w:rFonts w:ascii="Arial" w:hAnsi="Arial"/>
          <w:color w:val="000000"/>
          <w:u w:val="single"/>
        </w:rPr>
        <w:tab/>
      </w:r>
    </w:p>
    <w:p w14:paraId="2554E803" w14:textId="2B938FA5"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A7412" w:rsidRPr="003A7412">
        <w:rPr>
          <w:rFonts w:ascii="Arial" w:hAnsi="Arial"/>
          <w:color w:val="000000"/>
          <w:u w:val="single"/>
        </w:rPr>
        <w:t>346</w:t>
      </w:r>
      <w:r w:rsidR="00DD3677">
        <w:rPr>
          <w:rFonts w:ascii="Arial" w:hAnsi="Arial"/>
          <w:color w:val="000000"/>
          <w:u w:val="single"/>
        </w:rPr>
        <w:t>,</w:t>
      </w:r>
      <w:r w:rsidR="00BF0E8D">
        <w:rPr>
          <w:rFonts w:ascii="Arial" w:hAnsi="Arial"/>
          <w:color w:val="000000"/>
          <w:u w:val="single"/>
        </w:rPr>
        <w:t>320</w:t>
      </w:r>
      <w:r w:rsidR="007C571F">
        <w:rPr>
          <w:rFonts w:ascii="Arial" w:hAnsi="Arial"/>
          <w:color w:val="000000"/>
          <w:u w:val="single"/>
        </w:rPr>
        <w:t>,</w:t>
      </w:r>
      <w:r w:rsidR="00BF0E8D">
        <w:rPr>
          <w:rFonts w:ascii="Arial" w:hAnsi="Arial"/>
          <w:color w:val="000000"/>
          <w:u w:val="single"/>
        </w:rPr>
        <w:t>415</w:t>
      </w:r>
      <w:r>
        <w:rPr>
          <w:rFonts w:ascii="Arial" w:hAnsi="Arial"/>
          <w:color w:val="000000"/>
          <w:u w:val="single"/>
        </w:rPr>
        <w:tab/>
      </w:r>
      <w:r>
        <w:rPr>
          <w:rFonts w:ascii="Arial" w:hAnsi="Arial"/>
          <w:color w:val="000000"/>
          <w:u w:val="single"/>
        </w:rPr>
        <w:tab/>
      </w:r>
    </w:p>
    <w:p w14:paraId="501118C0" w14:textId="2A75FD5D" w:rsidR="00081D1F" w:rsidRPr="00F35CE3" w:rsidRDefault="00640E94" w:rsidP="00F35CE3">
      <w:pPr>
        <w:pStyle w:val="BodyText"/>
        <w:tabs>
          <w:tab w:val="left" w:pos="7920"/>
          <w:tab w:val="left" w:pos="9180"/>
        </w:tabs>
        <w:rPr>
          <w:rFonts w:ascii="Arial" w:hAnsi="Arial"/>
          <w:color w:val="000000"/>
        </w:rPr>
      </w:pPr>
      <w:r>
        <w:rPr>
          <w:rFonts w:ascii="Arial" w:hAnsi="Arial"/>
          <w:color w:val="000000"/>
        </w:rPr>
        <w:t xml:space="preserve">Date: </w:t>
      </w:r>
      <w:r w:rsidR="00BF0E8D" w:rsidRPr="00BF0E8D">
        <w:rPr>
          <w:rFonts w:ascii="Arial" w:hAnsi="Arial"/>
          <w:color w:val="000000"/>
          <w:u w:val="single"/>
        </w:rPr>
        <w:t>June 30</w:t>
      </w:r>
      <w:r w:rsidR="00415281" w:rsidRPr="00BF0E8D">
        <w:rPr>
          <w:rFonts w:ascii="Arial" w:hAnsi="Arial"/>
          <w:color w:val="000000"/>
          <w:u w:val="single"/>
        </w:rPr>
        <w:t>,</w:t>
      </w:r>
      <w:r w:rsidR="00415281">
        <w:rPr>
          <w:rFonts w:ascii="Arial" w:hAnsi="Arial"/>
          <w:color w:val="000000"/>
          <w:u w:val="single"/>
        </w:rPr>
        <w:t xml:space="preserve"> 2019</w:t>
      </w:r>
      <w:r>
        <w:rPr>
          <w:rFonts w:ascii="Arial" w:hAnsi="Arial"/>
          <w:color w:val="000000"/>
          <w:u w:val="single"/>
        </w:rPr>
        <w:tab/>
      </w:r>
      <w:r>
        <w:rPr>
          <w:rFonts w:ascii="Arial" w:hAnsi="Arial"/>
          <w:color w:val="000000"/>
          <w:u w:val="single"/>
        </w:rPr>
        <w:tab/>
      </w:r>
    </w:p>
    <w:p w14:paraId="2F4163D2" w14:textId="53932C23" w:rsidR="00640E94" w:rsidRDefault="00640E94">
      <w:pPr>
        <w:pStyle w:val="List"/>
        <w:keepLines/>
        <w:spacing w:before="120"/>
        <w:ind w:left="0" w:firstLine="0"/>
        <w:rPr>
          <w:rFonts w:ascii="Arial" w:hAnsi="Arial"/>
          <w:b/>
        </w:rPr>
      </w:pPr>
      <w:r>
        <w:rPr>
          <w:rFonts w:ascii="Arial" w:hAnsi="Arial"/>
          <w:b/>
        </w:rPr>
        <w:t>Report on Business</w:t>
      </w:r>
    </w:p>
    <w:p w14:paraId="7A9F4CF2" w14:textId="08DD519C"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D90911C" w14:textId="582D53A8" w:rsidR="009A19EB" w:rsidRPr="007B650E" w:rsidRDefault="009A19EB" w:rsidP="009A19EB">
      <w:pPr>
        <w:pStyle w:val="List"/>
        <w:spacing w:before="0"/>
        <w:ind w:left="720" w:firstLine="0"/>
        <w:jc w:val="both"/>
        <w:rPr>
          <w:rFonts w:ascii="Arial" w:hAnsi="Arial" w:cs="Arial"/>
          <w:b/>
          <w:bCs/>
          <w:szCs w:val="24"/>
        </w:rPr>
      </w:pPr>
    </w:p>
    <w:p w14:paraId="520DB592" w14:textId="42802E32" w:rsidR="007B650E" w:rsidRDefault="00DA3BFE" w:rsidP="00DE5DFB">
      <w:pPr>
        <w:pStyle w:val="List"/>
        <w:spacing w:before="120"/>
        <w:ind w:left="720" w:firstLine="0"/>
        <w:jc w:val="both"/>
        <w:rPr>
          <w:rFonts w:ascii="Arial" w:hAnsi="Arial" w:cs="Arial"/>
          <w:b/>
          <w:bCs/>
          <w:szCs w:val="24"/>
        </w:rPr>
      </w:pPr>
      <w:r w:rsidRPr="005C30F7">
        <w:rPr>
          <w:rFonts w:ascii="Arial" w:hAnsi="Arial" w:cs="Arial"/>
          <w:b/>
          <w:bCs/>
          <w:szCs w:val="24"/>
        </w:rPr>
        <w:t>In a press release dated</w:t>
      </w:r>
      <w:r w:rsidRPr="00BE09C8">
        <w:rPr>
          <w:rFonts w:ascii="Arial" w:hAnsi="Arial" w:cs="Arial"/>
          <w:b/>
          <w:bCs/>
          <w:szCs w:val="24"/>
        </w:rPr>
        <w:t xml:space="preserve"> </w:t>
      </w:r>
      <w:r w:rsidRPr="00DA3BFE">
        <w:rPr>
          <w:rFonts w:ascii="Arial" w:hAnsi="Arial" w:cs="Arial"/>
          <w:b/>
          <w:bCs/>
          <w:szCs w:val="24"/>
        </w:rPr>
        <w:t xml:space="preserve">June </w:t>
      </w:r>
      <w:r>
        <w:rPr>
          <w:rFonts w:ascii="Arial" w:hAnsi="Arial" w:cs="Arial"/>
          <w:b/>
          <w:bCs/>
          <w:szCs w:val="24"/>
        </w:rPr>
        <w:t>5</w:t>
      </w:r>
      <w:r w:rsidRPr="00DA3BFE">
        <w:rPr>
          <w:rFonts w:ascii="Arial" w:hAnsi="Arial" w:cs="Arial"/>
          <w:b/>
          <w:bCs/>
          <w:szCs w:val="24"/>
        </w:rPr>
        <w:t>, 2019 the Company announced it has signed a non-binding letter of Intent with Good Vybes, LLC and Hannah Ashby to provide a Southern California base of operations for the Calyx Brands, the wholly owned cannabis products distributor of the Company. The deal provides the Company with an additional distribution center in Southern California, effectively doubling statewide distribution capacity. This additional footprint enables the Company to expand the scope of its services to communities such as Los Angeles, Long Beach, Palm Springs/Palm Desert, the Inland Empire and San Diego County, which represent the largest number of licensed dispensaries in California and where the majority of newly licensed retailers are expected to be opening over the next 24 months (according to temporary licensing data from the Bureau of Cannabis Control</w:t>
      </w:r>
      <w:r>
        <w:rPr>
          <w:rFonts w:ascii="Arial" w:hAnsi="Arial" w:cs="Arial"/>
          <w:b/>
          <w:bCs/>
          <w:szCs w:val="24"/>
        </w:rPr>
        <w:t>.</w:t>
      </w:r>
    </w:p>
    <w:p w14:paraId="648100F5" w14:textId="440EB449" w:rsidR="00DA3BFE" w:rsidRDefault="00DA3BFE" w:rsidP="00DE5DFB">
      <w:pPr>
        <w:pStyle w:val="List"/>
        <w:spacing w:before="120"/>
        <w:ind w:left="720" w:firstLine="0"/>
        <w:jc w:val="both"/>
        <w:rPr>
          <w:rFonts w:ascii="Arial" w:hAnsi="Arial" w:cs="Arial"/>
          <w:b/>
          <w:bCs/>
          <w:szCs w:val="24"/>
        </w:rPr>
      </w:pPr>
    </w:p>
    <w:p w14:paraId="032722F9" w14:textId="6350E4B8" w:rsidR="00DA3BFE" w:rsidRDefault="00DA3BFE" w:rsidP="00DE5DFB">
      <w:pPr>
        <w:pStyle w:val="List"/>
        <w:spacing w:before="120"/>
        <w:ind w:left="720" w:firstLine="0"/>
        <w:jc w:val="both"/>
        <w:rPr>
          <w:rFonts w:ascii="Arial" w:hAnsi="Arial" w:cs="Arial"/>
          <w:b/>
          <w:bCs/>
          <w:szCs w:val="24"/>
        </w:rPr>
      </w:pPr>
      <w:r w:rsidRPr="00DA3BFE">
        <w:rPr>
          <w:rFonts w:ascii="Arial" w:hAnsi="Arial" w:cs="Arial"/>
          <w:b/>
          <w:bCs/>
          <w:szCs w:val="24"/>
        </w:rPr>
        <w:t xml:space="preserve">On June 6, 2019, Hannah Ashby received authorization from the City of Los Angeles for distribution, manufacturing and cultivation. Operations as contemplated under the LOI will commence </w:t>
      </w:r>
      <w:r w:rsidR="00FF2CFC">
        <w:rPr>
          <w:rFonts w:ascii="Arial" w:hAnsi="Arial" w:cs="Arial"/>
          <w:b/>
          <w:bCs/>
          <w:szCs w:val="24"/>
        </w:rPr>
        <w:t>in June 2019</w:t>
      </w:r>
      <w:r w:rsidRPr="00DA3BFE">
        <w:rPr>
          <w:rFonts w:ascii="Arial" w:hAnsi="Arial" w:cs="Arial"/>
          <w:b/>
          <w:bCs/>
          <w:szCs w:val="24"/>
        </w:rPr>
        <w:t>.</w:t>
      </w:r>
    </w:p>
    <w:p w14:paraId="230A3E15" w14:textId="77777777" w:rsidR="003A64E1" w:rsidRDefault="003A64E1" w:rsidP="00DE5DFB">
      <w:pPr>
        <w:pStyle w:val="List"/>
        <w:spacing w:before="120"/>
        <w:ind w:left="720" w:firstLine="0"/>
        <w:jc w:val="both"/>
        <w:rPr>
          <w:rFonts w:ascii="Arial" w:hAnsi="Arial" w:cs="Arial"/>
          <w:b/>
          <w:bCs/>
          <w:szCs w:val="24"/>
        </w:rPr>
      </w:pPr>
    </w:p>
    <w:p w14:paraId="6449D983" w14:textId="316341E2" w:rsidR="00DA3BFE" w:rsidRDefault="00DA3BFE" w:rsidP="00DE5DFB">
      <w:pPr>
        <w:pStyle w:val="List"/>
        <w:spacing w:before="120"/>
        <w:ind w:left="720" w:firstLine="0"/>
        <w:jc w:val="both"/>
        <w:rPr>
          <w:rFonts w:ascii="Arial" w:hAnsi="Arial" w:cs="Arial"/>
          <w:b/>
          <w:bCs/>
          <w:szCs w:val="24"/>
        </w:rPr>
      </w:pPr>
      <w:r w:rsidRPr="005C30F7">
        <w:rPr>
          <w:rFonts w:ascii="Arial" w:hAnsi="Arial" w:cs="Arial"/>
          <w:b/>
          <w:bCs/>
          <w:szCs w:val="24"/>
        </w:rPr>
        <w:t>In a press release dated</w:t>
      </w:r>
      <w:r w:rsidRPr="00BE09C8">
        <w:rPr>
          <w:rFonts w:ascii="Arial" w:hAnsi="Arial" w:cs="Arial"/>
          <w:b/>
          <w:bCs/>
          <w:szCs w:val="24"/>
        </w:rPr>
        <w:t xml:space="preserve"> </w:t>
      </w:r>
      <w:r w:rsidRPr="003A64E1">
        <w:rPr>
          <w:rFonts w:ascii="Arial" w:hAnsi="Arial" w:cs="Arial"/>
          <w:b/>
          <w:bCs/>
          <w:szCs w:val="24"/>
        </w:rPr>
        <w:t>June 12, 2019 the company announce</w:t>
      </w:r>
      <w:r w:rsidR="00FF2CFC">
        <w:rPr>
          <w:rFonts w:ascii="Arial" w:hAnsi="Arial" w:cs="Arial"/>
          <w:b/>
          <w:bCs/>
          <w:szCs w:val="24"/>
        </w:rPr>
        <w:t>d</w:t>
      </w:r>
      <w:r w:rsidRPr="003A64E1">
        <w:rPr>
          <w:rFonts w:ascii="Arial" w:hAnsi="Arial" w:cs="Arial"/>
          <w:b/>
          <w:bCs/>
          <w:szCs w:val="24"/>
        </w:rPr>
        <w:t xml:space="preserve"> its Sacramento facility has received its provisional distribution license from the State. The facility will commence distribution operations upon receipt of its local permit.</w:t>
      </w:r>
    </w:p>
    <w:p w14:paraId="2D7AE1DB" w14:textId="5E3756A3" w:rsidR="00DA3BFE" w:rsidRDefault="00DA3BFE" w:rsidP="00DE5DFB">
      <w:pPr>
        <w:pStyle w:val="List"/>
        <w:spacing w:before="120"/>
        <w:ind w:left="720" w:firstLine="0"/>
        <w:jc w:val="both"/>
      </w:pPr>
    </w:p>
    <w:p w14:paraId="0C03A161" w14:textId="3A5732E3" w:rsidR="00DA3BFE" w:rsidRDefault="003A64E1" w:rsidP="00DE5DFB">
      <w:pPr>
        <w:pStyle w:val="List"/>
        <w:spacing w:before="120"/>
        <w:ind w:left="720" w:firstLine="0"/>
        <w:jc w:val="both"/>
        <w:rPr>
          <w:rFonts w:ascii="Arial" w:hAnsi="Arial" w:cs="Arial"/>
          <w:b/>
          <w:bCs/>
          <w:szCs w:val="24"/>
        </w:rPr>
      </w:pPr>
      <w:r w:rsidRPr="005C30F7">
        <w:rPr>
          <w:rFonts w:ascii="Arial" w:hAnsi="Arial" w:cs="Arial"/>
          <w:b/>
          <w:bCs/>
          <w:szCs w:val="24"/>
        </w:rPr>
        <w:t>In a press release dated</w:t>
      </w:r>
      <w:r w:rsidRPr="003A64E1">
        <w:rPr>
          <w:rFonts w:ascii="Arial" w:hAnsi="Arial" w:cs="Arial"/>
          <w:b/>
          <w:bCs/>
          <w:szCs w:val="24"/>
        </w:rPr>
        <w:t xml:space="preserve"> </w:t>
      </w:r>
      <w:r w:rsidR="00DA3BFE" w:rsidRPr="003A64E1">
        <w:rPr>
          <w:rFonts w:ascii="Arial" w:hAnsi="Arial" w:cs="Arial"/>
          <w:b/>
          <w:bCs/>
          <w:szCs w:val="24"/>
        </w:rPr>
        <w:t xml:space="preserve">June 25, 2019 </w:t>
      </w:r>
      <w:r w:rsidRPr="003A64E1">
        <w:rPr>
          <w:rFonts w:ascii="Arial" w:hAnsi="Arial" w:cs="Arial"/>
          <w:b/>
          <w:bCs/>
          <w:szCs w:val="24"/>
        </w:rPr>
        <w:t xml:space="preserve">the Company </w:t>
      </w:r>
      <w:r w:rsidR="00DA3BFE" w:rsidRPr="003A64E1">
        <w:rPr>
          <w:rFonts w:ascii="Arial" w:hAnsi="Arial" w:cs="Arial"/>
          <w:b/>
          <w:bCs/>
          <w:szCs w:val="24"/>
        </w:rPr>
        <w:t>provide</w:t>
      </w:r>
      <w:r w:rsidRPr="003A64E1">
        <w:rPr>
          <w:rFonts w:ascii="Arial" w:hAnsi="Arial" w:cs="Arial"/>
          <w:b/>
          <w:bCs/>
          <w:szCs w:val="24"/>
        </w:rPr>
        <w:t>d</w:t>
      </w:r>
      <w:r w:rsidR="00DA3BFE" w:rsidRPr="003A64E1">
        <w:rPr>
          <w:rFonts w:ascii="Arial" w:hAnsi="Arial" w:cs="Arial"/>
          <w:b/>
          <w:bCs/>
          <w:szCs w:val="24"/>
        </w:rPr>
        <w:t xml:space="preserve"> an update regarding the funding and operations of Palo Verde LLC ("Palo Verde"), the Company's licensed tenant at its campus in West Pueblo, CO ("Pueblo Facility"). In 2018, Palo Verde was working on obtaining a renewal for its retail marijuana products manufacturer license ("Retail MIPs License"), </w:t>
      </w:r>
      <w:r w:rsidR="00DA3BFE" w:rsidRPr="003A64E1">
        <w:rPr>
          <w:rFonts w:ascii="Arial" w:hAnsi="Arial" w:cs="Arial"/>
          <w:b/>
          <w:bCs/>
          <w:szCs w:val="24"/>
        </w:rPr>
        <w:lastRenderedPageBreak/>
        <w:t>which was obtained in October 2018 through a settlement with Colorado Department of Revenue, Marijuana Enforcement Division ("MED"). As a condition of its Retail MIPs License renewal, Palo Verde had to obtain alternative financing for the promissory notes made between Palo Verde and the Company. Palo Verde has obtained the required financing in the amount of US $250,000 ("New PV Loan") in April 2019 from a third party unrelated to the Company and Palo Verde ("New Lender") and has submitted the requisite documents to the MED for approval. In connection with the New PV Loan and to comply with MED requirements, the Company assigned its prior note with Palo Verde to the New Lender. All other agreements between-wholly owned subsidiaries of the Company and Palo Verde remain in in full effect, which include: i) Lease agreement pursuant to which Palo Verde leases the Company's Pueblo Facility. ii) Packaging supply agreement pursuant to which Nutritional High supplies FLI-branded packaging to Palo Verde.</w:t>
      </w:r>
    </w:p>
    <w:p w14:paraId="4C57E210" w14:textId="68F41C60"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5FA073F" w14:textId="6FD5F6D2" w:rsidR="0063120C" w:rsidRPr="00E82289" w:rsidRDefault="0063120C" w:rsidP="0063120C">
      <w:pPr>
        <w:pStyle w:val="List"/>
        <w:spacing w:before="120"/>
        <w:ind w:left="720" w:firstLine="0"/>
        <w:jc w:val="both"/>
        <w:rPr>
          <w:rFonts w:ascii="Arial" w:hAnsi="Arial" w:cs="Arial"/>
          <w:b/>
          <w:bCs/>
          <w:szCs w:val="24"/>
        </w:rPr>
      </w:pPr>
      <w:r w:rsidRPr="00E82289">
        <w:rPr>
          <w:rFonts w:ascii="Arial" w:hAnsi="Arial" w:cs="Arial"/>
          <w:b/>
          <w:bCs/>
          <w:szCs w:val="24"/>
        </w:rPr>
        <w:t xml:space="preserve">The issuer is primarily focused on developing, acquiring, and designing products and brands in the </w:t>
      </w:r>
      <w:r w:rsidR="00DA529A">
        <w:rPr>
          <w:rFonts w:ascii="Arial" w:hAnsi="Arial" w:cs="Arial"/>
          <w:b/>
          <w:bCs/>
          <w:szCs w:val="24"/>
        </w:rPr>
        <w:t>cannabis</w:t>
      </w:r>
      <w:r w:rsidRPr="00E82289">
        <w:rPr>
          <w:rFonts w:ascii="Arial" w:hAnsi="Arial" w:cs="Arial"/>
          <w:b/>
          <w:bCs/>
          <w:szCs w:val="24"/>
        </w:rPr>
        <w:t xml:space="preserve">-infused edible products and producing oil extracts for medical and adult recreational use. The Company works in the U.S. and Canada where such activity is permitted and regulated by state law, through entities which hold a valid U.S. state license to produce </w:t>
      </w:r>
      <w:r w:rsidR="008B0D2A">
        <w:rPr>
          <w:rFonts w:ascii="Arial" w:hAnsi="Arial" w:cs="Arial"/>
          <w:b/>
          <w:bCs/>
          <w:szCs w:val="24"/>
        </w:rPr>
        <w:t>cannabis</w:t>
      </w:r>
      <w:r w:rsidRPr="00E82289">
        <w:rPr>
          <w:rFonts w:ascii="Arial" w:hAnsi="Arial" w:cs="Arial"/>
          <w:b/>
          <w:bCs/>
          <w:szCs w:val="24"/>
        </w:rPr>
        <w:t xml:space="preserve">-infused edible products and to distribute and dispense </w:t>
      </w:r>
      <w:r w:rsidR="008B0D2A">
        <w:rPr>
          <w:rFonts w:ascii="Arial" w:hAnsi="Arial" w:cs="Arial"/>
          <w:b/>
          <w:bCs/>
          <w:szCs w:val="24"/>
        </w:rPr>
        <w:t>cannabis</w:t>
      </w:r>
      <w:r w:rsidRPr="00E82289">
        <w:rPr>
          <w:rFonts w:ascii="Arial" w:hAnsi="Arial" w:cs="Arial"/>
          <w:b/>
          <w:bCs/>
          <w:szCs w:val="24"/>
        </w:rPr>
        <w:t xml:space="preserve"> products. </w:t>
      </w:r>
    </w:p>
    <w:p w14:paraId="63F4BB80" w14:textId="26D69C6D" w:rsidR="0063120C" w:rsidRPr="00E82289" w:rsidRDefault="0063120C" w:rsidP="0063120C">
      <w:pPr>
        <w:pStyle w:val="List"/>
        <w:spacing w:before="120"/>
        <w:ind w:left="720" w:firstLine="0"/>
        <w:jc w:val="both"/>
        <w:rPr>
          <w:rFonts w:ascii="Arial" w:hAnsi="Arial" w:cs="Arial"/>
          <w:b/>
          <w:bCs/>
          <w:szCs w:val="24"/>
        </w:rPr>
      </w:pPr>
      <w:r w:rsidRPr="00E82289">
        <w:rPr>
          <w:rFonts w:ascii="Arial" w:hAnsi="Arial" w:cs="Arial"/>
          <w:b/>
          <w:bCs/>
          <w:szCs w:val="24"/>
        </w:rPr>
        <w:t xml:space="preserve">Among other duties, management has been undertaking the following: </w:t>
      </w:r>
    </w:p>
    <w:p w14:paraId="665BE82E" w14:textId="77777777" w:rsidR="0063120C" w:rsidRPr="00E82289" w:rsidRDefault="0063120C" w:rsidP="0063120C">
      <w:pPr>
        <w:pStyle w:val="List"/>
        <w:spacing w:before="120"/>
        <w:ind w:left="720" w:firstLine="0"/>
        <w:jc w:val="both"/>
        <w:rPr>
          <w:rFonts w:ascii="Arial" w:hAnsi="Arial" w:cs="Arial"/>
          <w:b/>
          <w:szCs w:val="24"/>
        </w:rPr>
      </w:pPr>
      <w:r w:rsidRPr="00E82289">
        <w:rPr>
          <w:rFonts w:ascii="Arial" w:hAnsi="Arial" w:cs="Arial"/>
          <w:b/>
          <w:szCs w:val="24"/>
        </w:rPr>
        <w:t>• Working on expanding its flagship line of FLI products</w:t>
      </w:r>
    </w:p>
    <w:p w14:paraId="171A4D9A" w14:textId="4156B94C" w:rsidR="000B5ED9" w:rsidRDefault="0063120C" w:rsidP="000B5ED9">
      <w:pPr>
        <w:pStyle w:val="List"/>
        <w:spacing w:before="120"/>
        <w:ind w:left="720" w:firstLine="0"/>
        <w:rPr>
          <w:rFonts w:ascii="Arial" w:hAnsi="Arial" w:cs="Arial"/>
          <w:b/>
          <w:bCs/>
          <w:szCs w:val="24"/>
        </w:rPr>
      </w:pPr>
      <w:r w:rsidRPr="00E82289">
        <w:rPr>
          <w:rFonts w:ascii="Arial" w:hAnsi="Arial" w:cs="Arial"/>
          <w:b/>
          <w:szCs w:val="24"/>
        </w:rPr>
        <w:t xml:space="preserve">• </w:t>
      </w:r>
      <w:r w:rsidRPr="00E82289">
        <w:rPr>
          <w:rFonts w:ascii="Arial" w:hAnsi="Arial" w:cs="Arial"/>
          <w:b/>
          <w:bCs/>
          <w:szCs w:val="24"/>
        </w:rPr>
        <w:t xml:space="preserve">Working with Management of Green Therapeutics to finalize and close the </w:t>
      </w:r>
      <w:r w:rsidR="00DA02F5">
        <w:rPr>
          <w:rFonts w:ascii="Arial" w:hAnsi="Arial" w:cs="Arial"/>
          <w:b/>
          <w:bCs/>
          <w:szCs w:val="24"/>
        </w:rPr>
        <w:t>previously announced acquisition</w:t>
      </w:r>
    </w:p>
    <w:p w14:paraId="57A93138" w14:textId="77777777" w:rsidR="0063120C" w:rsidRPr="00E82289" w:rsidRDefault="0063120C" w:rsidP="0063120C">
      <w:pPr>
        <w:pStyle w:val="List"/>
        <w:spacing w:before="120"/>
        <w:ind w:left="720" w:firstLine="0"/>
        <w:jc w:val="both"/>
        <w:rPr>
          <w:rFonts w:ascii="Arial" w:hAnsi="Arial" w:cs="Arial"/>
          <w:b/>
          <w:bCs/>
          <w:szCs w:val="24"/>
        </w:rPr>
      </w:pPr>
      <w:r w:rsidRPr="00E82289">
        <w:rPr>
          <w:rFonts w:ascii="Arial" w:hAnsi="Arial" w:cs="Arial"/>
          <w:b/>
          <w:szCs w:val="24"/>
        </w:rPr>
        <w:t xml:space="preserve">• </w:t>
      </w:r>
      <w:r w:rsidRPr="00E82289">
        <w:rPr>
          <w:rFonts w:ascii="Arial" w:hAnsi="Arial" w:cs="Arial"/>
          <w:b/>
          <w:bCs/>
          <w:szCs w:val="24"/>
        </w:rPr>
        <w:t>Pursuing branding and licensing opportunities</w:t>
      </w:r>
    </w:p>
    <w:p w14:paraId="10D21A79" w14:textId="77777777" w:rsidR="0063120C" w:rsidRPr="00E82289" w:rsidRDefault="0063120C" w:rsidP="0063120C">
      <w:pPr>
        <w:pStyle w:val="List"/>
        <w:spacing w:before="120"/>
        <w:ind w:left="720" w:firstLine="0"/>
        <w:jc w:val="both"/>
        <w:rPr>
          <w:rFonts w:ascii="Arial" w:hAnsi="Arial" w:cs="Arial"/>
          <w:b/>
          <w:szCs w:val="24"/>
        </w:rPr>
      </w:pPr>
      <w:r w:rsidRPr="00E82289">
        <w:rPr>
          <w:rFonts w:ascii="Arial" w:hAnsi="Arial" w:cs="Arial"/>
          <w:b/>
          <w:szCs w:val="24"/>
        </w:rPr>
        <w:t xml:space="preserve">• Recruitment of personnel </w:t>
      </w:r>
    </w:p>
    <w:p w14:paraId="536B5F44" w14:textId="643223F4" w:rsidR="00A909D3" w:rsidRDefault="0063120C" w:rsidP="00A909D3">
      <w:pPr>
        <w:pStyle w:val="List"/>
        <w:spacing w:before="120"/>
        <w:ind w:left="720" w:firstLine="0"/>
        <w:jc w:val="both"/>
        <w:rPr>
          <w:rFonts w:ascii="Arial" w:hAnsi="Arial" w:cs="Arial"/>
          <w:b/>
          <w:szCs w:val="24"/>
        </w:rPr>
      </w:pPr>
      <w:r w:rsidRPr="00E82289">
        <w:rPr>
          <w:rFonts w:ascii="Arial" w:hAnsi="Arial" w:cs="Arial"/>
          <w:b/>
          <w:szCs w:val="24"/>
        </w:rPr>
        <w:t>• Development of manufacturing processes</w:t>
      </w:r>
    </w:p>
    <w:p w14:paraId="54C0B0A0" w14:textId="77777777" w:rsidR="00DA529A" w:rsidRDefault="00DA529A" w:rsidP="00DA02F5">
      <w:pPr>
        <w:pStyle w:val="List"/>
        <w:spacing w:before="0"/>
        <w:ind w:left="720" w:firstLine="0"/>
        <w:jc w:val="both"/>
        <w:rPr>
          <w:rFonts w:ascii="Arial" w:hAnsi="Arial" w:cs="Arial"/>
          <w:b/>
          <w:bCs/>
          <w:szCs w:val="24"/>
        </w:rPr>
      </w:pPr>
    </w:p>
    <w:p w14:paraId="402E6979" w14:textId="7429E072" w:rsidR="0063120C" w:rsidRDefault="0063120C" w:rsidP="00DA02F5">
      <w:pPr>
        <w:pStyle w:val="List"/>
        <w:spacing w:before="0"/>
        <w:ind w:left="720" w:firstLine="0"/>
        <w:jc w:val="both"/>
        <w:rPr>
          <w:rFonts w:ascii="Arial" w:hAnsi="Arial" w:cs="Arial"/>
          <w:b/>
          <w:bCs/>
          <w:szCs w:val="24"/>
        </w:rPr>
      </w:pPr>
      <w:r w:rsidRPr="00E82289">
        <w:rPr>
          <w:rFonts w:ascii="Arial" w:hAnsi="Arial" w:cs="Arial"/>
          <w:b/>
          <w:bCs/>
          <w:szCs w:val="24"/>
        </w:rPr>
        <w:t>Management is actively pursuing expansion opportunities in various other U.S. states and Canada. The expansion strategies the Company intends to pursue include direct acquisitions, joint venture partnerships, royalty/licensing arrangements or direct license application in a legally compliant manner. The focus is on designing arrangements in such a manner that expansion efforts provide the quickest way to enter the market to introduce the Company’s products and provide the highest rate of return.</w:t>
      </w:r>
    </w:p>
    <w:p w14:paraId="0594747F" w14:textId="77777777" w:rsidR="00DA529A" w:rsidRPr="00E82289" w:rsidRDefault="00DA529A" w:rsidP="00DA02F5">
      <w:pPr>
        <w:pStyle w:val="List"/>
        <w:spacing w:before="0"/>
        <w:ind w:left="720" w:firstLine="0"/>
        <w:jc w:val="both"/>
        <w:rPr>
          <w:rFonts w:ascii="Arial" w:hAnsi="Arial" w:cs="Arial"/>
          <w:b/>
          <w:bCs/>
          <w:szCs w:val="24"/>
        </w:rPr>
      </w:pPr>
    </w:p>
    <w:p w14:paraId="060F0AAA" w14:textId="77777777" w:rsidR="00EE3697" w:rsidRDefault="00640E94" w:rsidP="00EE3697">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7A38FDC" w14:textId="77913C28" w:rsidR="00C0153E" w:rsidRDefault="000E7EDC" w:rsidP="00EE3697">
      <w:pPr>
        <w:pStyle w:val="List"/>
        <w:spacing w:before="120"/>
        <w:ind w:left="720" w:firstLine="0"/>
        <w:jc w:val="both"/>
        <w:rPr>
          <w:rFonts w:ascii="Arial" w:hAnsi="Arial" w:cs="Arial"/>
          <w:b/>
          <w:szCs w:val="24"/>
        </w:rPr>
      </w:pPr>
      <w:r>
        <w:rPr>
          <w:rFonts w:ascii="Arial" w:hAnsi="Arial" w:cs="Arial"/>
          <w:b/>
          <w:szCs w:val="24"/>
        </w:rPr>
        <w:t>None</w:t>
      </w:r>
    </w:p>
    <w:p w14:paraId="5A61189A" w14:textId="77777777" w:rsidR="00DC5DD6" w:rsidRPr="00061F83" w:rsidRDefault="00DC5DD6" w:rsidP="00EE3697">
      <w:pPr>
        <w:pStyle w:val="List"/>
        <w:spacing w:before="120"/>
        <w:ind w:left="720" w:firstLine="0"/>
        <w:jc w:val="both"/>
        <w:rPr>
          <w:rFonts w:ascii="Arial" w:hAnsi="Arial" w:cs="Arial"/>
          <w:b/>
          <w:szCs w:val="24"/>
        </w:rPr>
      </w:pPr>
    </w:p>
    <w:p w14:paraId="26D54B75" w14:textId="0CFD4CB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6A74814" w14:textId="77777777" w:rsidR="000E7EDC" w:rsidRDefault="000E7EDC" w:rsidP="000E7EDC">
      <w:pPr>
        <w:pStyle w:val="List"/>
        <w:spacing w:before="120"/>
        <w:ind w:left="720" w:firstLine="0"/>
        <w:jc w:val="both"/>
        <w:rPr>
          <w:rFonts w:ascii="Arial" w:hAnsi="Arial" w:cs="Arial"/>
          <w:b/>
          <w:szCs w:val="24"/>
        </w:rPr>
      </w:pPr>
      <w:r>
        <w:rPr>
          <w:rFonts w:ascii="Arial" w:hAnsi="Arial" w:cs="Arial"/>
          <w:b/>
          <w:szCs w:val="24"/>
        </w:rPr>
        <w:t>None</w:t>
      </w:r>
    </w:p>
    <w:p w14:paraId="65B32DDF" w14:textId="77777777" w:rsidR="00FB74C4" w:rsidRDefault="00FB74C4" w:rsidP="00EE3697">
      <w:pPr>
        <w:pStyle w:val="List"/>
        <w:spacing w:before="120"/>
        <w:ind w:left="720" w:firstLine="0"/>
        <w:jc w:val="both"/>
        <w:rPr>
          <w:rFonts w:ascii="Arial" w:hAnsi="Arial"/>
          <w:b/>
        </w:rPr>
      </w:pPr>
    </w:p>
    <w:p w14:paraId="5FBC9B59" w14:textId="086E6250"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71CAD1D" w14:textId="31C9B389" w:rsidR="000A06FE" w:rsidRPr="000A06FE" w:rsidRDefault="007B650E" w:rsidP="000A06FE">
      <w:pPr>
        <w:pStyle w:val="List"/>
        <w:spacing w:before="120"/>
        <w:ind w:left="720" w:firstLine="0"/>
        <w:jc w:val="both"/>
        <w:rPr>
          <w:rFonts w:ascii="Arial" w:hAnsi="Arial" w:cs="Arial"/>
          <w:b/>
          <w:szCs w:val="24"/>
        </w:rPr>
      </w:pPr>
      <w:r>
        <w:rPr>
          <w:rFonts w:ascii="Arial" w:hAnsi="Arial" w:cs="Arial"/>
          <w:b/>
          <w:szCs w:val="24"/>
        </w:rPr>
        <w:t>None</w:t>
      </w:r>
    </w:p>
    <w:p w14:paraId="1AB64986" w14:textId="07C09D1B" w:rsidR="006958D0" w:rsidRDefault="006958D0" w:rsidP="0023211F">
      <w:pPr>
        <w:pStyle w:val="List"/>
        <w:spacing w:before="120"/>
        <w:ind w:left="720" w:firstLine="0"/>
        <w:jc w:val="both"/>
        <w:rPr>
          <w:rFonts w:ascii="Arial" w:hAnsi="Arial"/>
          <w:b/>
        </w:rPr>
      </w:pPr>
    </w:p>
    <w:p w14:paraId="61A088FC" w14:textId="3EAACA8A"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0E4AB12" w14:textId="01C56609" w:rsidR="00EA49C5" w:rsidRDefault="000E7EDC" w:rsidP="0063120C">
      <w:pPr>
        <w:pStyle w:val="List"/>
        <w:spacing w:before="120"/>
        <w:ind w:left="720" w:firstLine="0"/>
        <w:jc w:val="both"/>
        <w:rPr>
          <w:rFonts w:ascii="Arial" w:hAnsi="Arial"/>
          <w:b/>
        </w:rPr>
      </w:pPr>
      <w:r>
        <w:rPr>
          <w:rFonts w:ascii="Arial" w:hAnsi="Arial"/>
          <w:b/>
        </w:rPr>
        <w:t>None</w:t>
      </w:r>
    </w:p>
    <w:p w14:paraId="6B9E0764" w14:textId="77777777" w:rsidR="003D3454" w:rsidRDefault="003D3454" w:rsidP="0063120C">
      <w:pPr>
        <w:pStyle w:val="List"/>
        <w:spacing w:before="120"/>
        <w:ind w:left="720" w:firstLine="0"/>
        <w:jc w:val="both"/>
        <w:rPr>
          <w:rFonts w:ascii="Arial" w:hAnsi="Arial"/>
          <w:b/>
        </w:rPr>
      </w:pPr>
    </w:p>
    <w:p w14:paraId="66B41BB6" w14:textId="6FBE1332"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276B3E8" w14:textId="3DFDF295" w:rsidR="00DA529A" w:rsidRDefault="000E7EDC" w:rsidP="00B16BE1">
      <w:pPr>
        <w:pStyle w:val="List"/>
        <w:spacing w:before="120"/>
        <w:ind w:left="720" w:firstLine="0"/>
        <w:jc w:val="both"/>
        <w:rPr>
          <w:rFonts w:ascii="Arial" w:hAnsi="Arial"/>
          <w:b/>
        </w:rPr>
      </w:pPr>
      <w:r>
        <w:rPr>
          <w:rFonts w:ascii="Arial" w:hAnsi="Arial"/>
          <w:b/>
        </w:rPr>
        <w:t>None</w:t>
      </w:r>
    </w:p>
    <w:p w14:paraId="28EB78CC" w14:textId="77777777" w:rsidR="00EE1DCC" w:rsidRPr="00B16BE1" w:rsidRDefault="00EE1DCC" w:rsidP="00B16BE1">
      <w:pPr>
        <w:pStyle w:val="List"/>
        <w:spacing w:before="120"/>
        <w:ind w:left="720" w:firstLine="0"/>
        <w:jc w:val="both"/>
        <w:rPr>
          <w:rFonts w:ascii="Arial" w:hAnsi="Arial"/>
          <w:b/>
        </w:rPr>
      </w:pPr>
    </w:p>
    <w:p w14:paraId="26981219" w14:textId="129A6C42"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937E0DD" w14:textId="79868024" w:rsidR="0063120C" w:rsidRPr="00E82289" w:rsidRDefault="0063120C" w:rsidP="0063120C">
      <w:pPr>
        <w:pStyle w:val="List"/>
        <w:spacing w:before="120"/>
        <w:ind w:left="720" w:firstLine="0"/>
        <w:jc w:val="both"/>
        <w:rPr>
          <w:rFonts w:ascii="Arial" w:hAnsi="Arial"/>
          <w:b/>
        </w:rPr>
      </w:pPr>
      <w:r w:rsidRPr="00E82289">
        <w:rPr>
          <w:rFonts w:ascii="Arial" w:hAnsi="Arial"/>
          <w:b/>
        </w:rPr>
        <w:t>No material acquisition</w:t>
      </w:r>
      <w:r w:rsidR="000E7EDC">
        <w:rPr>
          <w:rFonts w:ascii="Arial" w:hAnsi="Arial"/>
          <w:b/>
        </w:rPr>
        <w:t xml:space="preserve"> or loss</w:t>
      </w:r>
      <w:r w:rsidRPr="00E82289">
        <w:rPr>
          <w:rFonts w:ascii="Arial" w:hAnsi="Arial"/>
          <w:b/>
        </w:rPr>
        <w:t xml:space="preserve"> of new customers noted.</w:t>
      </w:r>
    </w:p>
    <w:p w14:paraId="00D6917C" w14:textId="77777777" w:rsidR="00B16BE1" w:rsidRPr="00716F13" w:rsidRDefault="00B16BE1" w:rsidP="0063120C">
      <w:pPr>
        <w:pStyle w:val="List"/>
        <w:spacing w:before="120"/>
        <w:ind w:left="720" w:firstLine="0"/>
        <w:jc w:val="both"/>
        <w:rPr>
          <w:rFonts w:ascii="Arial" w:hAnsi="Arial"/>
        </w:rPr>
      </w:pPr>
    </w:p>
    <w:p w14:paraId="32FB2206" w14:textId="07F2337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08DB4A3A" w14:textId="77777777" w:rsidR="0063120C" w:rsidRPr="00E82289" w:rsidRDefault="0063120C" w:rsidP="0063120C">
      <w:pPr>
        <w:pStyle w:val="List"/>
        <w:spacing w:before="120"/>
        <w:ind w:left="720" w:firstLine="0"/>
        <w:jc w:val="both"/>
        <w:rPr>
          <w:rFonts w:ascii="Arial" w:hAnsi="Arial"/>
          <w:b/>
        </w:rPr>
      </w:pPr>
      <w:r w:rsidRPr="00E82289">
        <w:rPr>
          <w:rFonts w:ascii="Arial" w:hAnsi="Arial"/>
          <w:b/>
        </w:rPr>
        <w:t>None noted.</w:t>
      </w:r>
    </w:p>
    <w:p w14:paraId="71ACAFA5" w14:textId="35855A87" w:rsidR="0063120C" w:rsidRDefault="0063120C" w:rsidP="0063120C">
      <w:pPr>
        <w:pStyle w:val="List"/>
        <w:spacing w:before="120"/>
        <w:ind w:left="720" w:firstLine="0"/>
        <w:jc w:val="both"/>
        <w:rPr>
          <w:rFonts w:ascii="Arial" w:hAnsi="Arial"/>
        </w:rPr>
      </w:pPr>
    </w:p>
    <w:p w14:paraId="67550AF5" w14:textId="08F0123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703602C" w14:textId="77777777" w:rsidR="003A64E1" w:rsidRDefault="003A64E1" w:rsidP="003A64E1">
      <w:pPr>
        <w:pStyle w:val="List"/>
        <w:spacing w:before="120"/>
        <w:ind w:left="720" w:firstLine="0"/>
        <w:jc w:val="both"/>
      </w:pPr>
    </w:p>
    <w:p w14:paraId="41742E60" w14:textId="0245B9A3" w:rsidR="0081508D" w:rsidRPr="00E82289" w:rsidRDefault="000E7EDC" w:rsidP="0081508D">
      <w:pPr>
        <w:pStyle w:val="List"/>
        <w:spacing w:before="120"/>
        <w:ind w:left="720" w:firstLine="0"/>
        <w:jc w:val="both"/>
        <w:rPr>
          <w:rFonts w:ascii="Arial" w:hAnsi="Arial"/>
          <w:b/>
        </w:rPr>
      </w:pPr>
      <w:r>
        <w:rPr>
          <w:rFonts w:ascii="Arial" w:hAnsi="Arial"/>
          <w:b/>
        </w:rPr>
        <w:lastRenderedPageBreak/>
        <w:t>The Company has continued to add to its personnel in California</w:t>
      </w:r>
      <w:r w:rsidR="00B64AFB">
        <w:rPr>
          <w:rFonts w:ascii="Arial" w:hAnsi="Arial"/>
          <w:b/>
        </w:rPr>
        <w:t xml:space="preserve"> and</w:t>
      </w:r>
      <w:r>
        <w:rPr>
          <w:rFonts w:ascii="Arial" w:hAnsi="Arial"/>
          <w:b/>
        </w:rPr>
        <w:t xml:space="preserve"> Toronto across all areas of the Company to manage its current expansion.</w:t>
      </w:r>
    </w:p>
    <w:p w14:paraId="1A039CF9" w14:textId="77777777" w:rsidR="00FD64B3" w:rsidRPr="000F7286" w:rsidRDefault="00FD64B3" w:rsidP="00220D2A">
      <w:pPr>
        <w:pStyle w:val="List"/>
        <w:spacing w:before="120"/>
        <w:ind w:left="720" w:firstLine="0"/>
        <w:jc w:val="both"/>
        <w:rPr>
          <w:rFonts w:ascii="Arial" w:hAnsi="Arial"/>
          <w:b/>
        </w:rPr>
      </w:pPr>
    </w:p>
    <w:p w14:paraId="44923D7C" w14:textId="560A4C89"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4271522" w14:textId="0807B0E7" w:rsidR="00220D2A" w:rsidRPr="00E82289" w:rsidRDefault="0063120C" w:rsidP="00220D2A">
      <w:pPr>
        <w:pStyle w:val="List"/>
        <w:spacing w:before="120"/>
        <w:ind w:left="720" w:firstLine="0"/>
        <w:jc w:val="both"/>
        <w:rPr>
          <w:rFonts w:ascii="Arial" w:hAnsi="Arial"/>
          <w:b/>
        </w:rPr>
      </w:pPr>
      <w:r w:rsidRPr="00E82289">
        <w:rPr>
          <w:rFonts w:ascii="Arial" w:hAnsi="Arial"/>
          <w:b/>
        </w:rPr>
        <w:t xml:space="preserve">None </w:t>
      </w:r>
      <w:r w:rsidR="000E7EDC">
        <w:rPr>
          <w:rFonts w:ascii="Arial" w:hAnsi="Arial"/>
          <w:b/>
        </w:rPr>
        <w:t>to report</w:t>
      </w:r>
      <w:r w:rsidRPr="00E82289">
        <w:rPr>
          <w:rFonts w:ascii="Arial" w:hAnsi="Arial"/>
          <w:b/>
        </w:rPr>
        <w:t>.</w:t>
      </w:r>
    </w:p>
    <w:p w14:paraId="11B01B31" w14:textId="77777777" w:rsidR="00FB74C4" w:rsidRPr="00716F13" w:rsidRDefault="00FB74C4" w:rsidP="00220D2A">
      <w:pPr>
        <w:pStyle w:val="List"/>
        <w:spacing w:before="120"/>
        <w:ind w:left="720" w:firstLine="0"/>
        <w:jc w:val="both"/>
        <w:rPr>
          <w:rFonts w:ascii="Arial" w:hAnsi="Arial"/>
        </w:rPr>
      </w:pPr>
    </w:p>
    <w:p w14:paraId="394D87C7" w14:textId="2B16E52D" w:rsidR="00640E94" w:rsidRPr="00716F13" w:rsidRDefault="00640E94">
      <w:pPr>
        <w:pStyle w:val="List"/>
        <w:numPr>
          <w:ilvl w:val="0"/>
          <w:numId w:val="28"/>
        </w:numPr>
        <w:spacing w:before="120"/>
        <w:jc w:val="both"/>
        <w:rPr>
          <w:rFonts w:ascii="Arial" w:hAnsi="Arial"/>
        </w:rPr>
      </w:pPr>
      <w:r w:rsidRPr="00716F13">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862A6A6" w14:textId="2FC6EF8F" w:rsidR="0063120C" w:rsidRPr="00E82289" w:rsidRDefault="0063120C" w:rsidP="0063120C">
      <w:pPr>
        <w:pStyle w:val="List"/>
        <w:spacing w:before="120"/>
        <w:ind w:left="720" w:firstLine="0"/>
        <w:jc w:val="both"/>
        <w:rPr>
          <w:rFonts w:ascii="Arial" w:hAnsi="Arial"/>
          <w:b/>
        </w:rPr>
      </w:pPr>
      <w:r w:rsidRPr="00E82289">
        <w:rPr>
          <w:rFonts w:ascii="Arial" w:hAnsi="Arial"/>
          <w:b/>
        </w:rPr>
        <w:t>None noted.</w:t>
      </w:r>
    </w:p>
    <w:p w14:paraId="7B33D097" w14:textId="4109AA11" w:rsidR="005B4159" w:rsidRDefault="005B4159" w:rsidP="0063120C">
      <w:pPr>
        <w:pStyle w:val="List"/>
        <w:spacing w:before="120"/>
        <w:ind w:left="720" w:firstLine="0"/>
        <w:jc w:val="both"/>
        <w:rPr>
          <w:rFonts w:ascii="Arial" w:hAnsi="Arial"/>
        </w:rPr>
      </w:pPr>
    </w:p>
    <w:p w14:paraId="6E5EACF0" w14:textId="59C112B2" w:rsidR="00640E94" w:rsidRDefault="00640E94">
      <w:pPr>
        <w:pStyle w:val="List"/>
        <w:numPr>
          <w:ilvl w:val="0"/>
          <w:numId w:val="28"/>
        </w:numPr>
        <w:spacing w:before="120"/>
        <w:jc w:val="both"/>
        <w:rPr>
          <w:rFonts w:ascii="Arial" w:hAnsi="Arial"/>
        </w:rPr>
      </w:pPr>
      <w:r w:rsidRPr="00716F13">
        <w:rPr>
          <w:rFonts w:ascii="Arial" w:hAnsi="Arial"/>
        </w:rPr>
        <w:t>Provide details of any indebtedness incurred or repaid by the Issuer together with the terms of such indebtedness.</w:t>
      </w:r>
    </w:p>
    <w:p w14:paraId="3530E5C8" w14:textId="09D52DFA" w:rsidR="001632C7" w:rsidRDefault="003D3454" w:rsidP="0013070F">
      <w:pPr>
        <w:pStyle w:val="List"/>
        <w:spacing w:before="120"/>
        <w:ind w:left="720" w:firstLine="0"/>
        <w:jc w:val="both"/>
        <w:rPr>
          <w:rFonts w:ascii="Arial" w:hAnsi="Arial" w:cs="Arial"/>
          <w:b/>
          <w:szCs w:val="24"/>
          <w:shd w:val="clear" w:color="auto" w:fill="FFFFFF"/>
        </w:rPr>
      </w:pPr>
      <w:r>
        <w:rPr>
          <w:rFonts w:ascii="Arial" w:hAnsi="Arial" w:cs="Arial"/>
          <w:b/>
          <w:szCs w:val="24"/>
          <w:shd w:val="clear" w:color="auto" w:fill="FFFFFF"/>
        </w:rPr>
        <w:t>None noted.</w:t>
      </w:r>
    </w:p>
    <w:p w14:paraId="0AC242A9" w14:textId="5983F9AD" w:rsidR="001632C7" w:rsidRDefault="001632C7" w:rsidP="0013070F">
      <w:pPr>
        <w:pStyle w:val="List"/>
        <w:spacing w:before="120"/>
        <w:ind w:left="720" w:firstLine="0"/>
        <w:jc w:val="both"/>
        <w:rPr>
          <w:rFonts w:ascii="Arial" w:hAnsi="Arial" w:cs="Arial"/>
          <w:b/>
          <w:szCs w:val="24"/>
          <w:shd w:val="clear" w:color="auto" w:fill="FFFFFF"/>
        </w:rPr>
      </w:pPr>
    </w:p>
    <w:p w14:paraId="411D769D" w14:textId="0FED2BC9"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25C2F97"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3388"/>
        <w:gridCol w:w="2394"/>
      </w:tblGrid>
      <w:tr w:rsidR="00640E94" w:rsidRPr="00E76C4B" w14:paraId="55B15977" w14:textId="77777777" w:rsidTr="00BB3FBE">
        <w:tc>
          <w:tcPr>
            <w:tcW w:w="1809" w:type="dxa"/>
          </w:tcPr>
          <w:p w14:paraId="459A836E" w14:textId="77777777" w:rsidR="00640E94" w:rsidRPr="00E76C4B" w:rsidRDefault="00640E94">
            <w:pPr>
              <w:pStyle w:val="List"/>
              <w:tabs>
                <w:tab w:val="left" w:pos="360"/>
              </w:tabs>
              <w:spacing w:before="0" w:line="280" w:lineRule="exact"/>
              <w:ind w:left="0" w:firstLine="0"/>
              <w:jc w:val="center"/>
              <w:rPr>
                <w:rFonts w:ascii="Arial" w:hAnsi="Arial"/>
                <w:b/>
                <w:sz w:val="22"/>
                <w:szCs w:val="22"/>
              </w:rPr>
            </w:pPr>
            <w:r w:rsidRPr="00E76C4B">
              <w:rPr>
                <w:rFonts w:ascii="Arial" w:hAnsi="Arial"/>
                <w:b/>
                <w:sz w:val="22"/>
                <w:szCs w:val="22"/>
              </w:rPr>
              <w:t>Security</w:t>
            </w:r>
          </w:p>
        </w:tc>
        <w:tc>
          <w:tcPr>
            <w:tcW w:w="1985" w:type="dxa"/>
          </w:tcPr>
          <w:p w14:paraId="53B0E90D" w14:textId="77777777" w:rsidR="00640E94" w:rsidRPr="00E76C4B" w:rsidRDefault="00640E94">
            <w:pPr>
              <w:pStyle w:val="List"/>
              <w:tabs>
                <w:tab w:val="left" w:pos="360"/>
              </w:tabs>
              <w:spacing w:before="0" w:line="280" w:lineRule="exact"/>
              <w:ind w:left="0" w:firstLine="0"/>
              <w:jc w:val="center"/>
              <w:rPr>
                <w:rFonts w:ascii="Arial" w:hAnsi="Arial"/>
                <w:b/>
                <w:sz w:val="22"/>
                <w:szCs w:val="22"/>
              </w:rPr>
            </w:pPr>
            <w:r w:rsidRPr="00E76C4B">
              <w:rPr>
                <w:rFonts w:ascii="Arial" w:hAnsi="Arial"/>
                <w:b/>
                <w:sz w:val="22"/>
                <w:szCs w:val="22"/>
              </w:rPr>
              <w:t>Number Issued</w:t>
            </w:r>
          </w:p>
        </w:tc>
        <w:tc>
          <w:tcPr>
            <w:tcW w:w="3388" w:type="dxa"/>
          </w:tcPr>
          <w:p w14:paraId="44E98C9C" w14:textId="77777777" w:rsidR="00640E94" w:rsidRPr="00E76C4B" w:rsidRDefault="00640E94">
            <w:pPr>
              <w:pStyle w:val="List"/>
              <w:tabs>
                <w:tab w:val="left" w:pos="360"/>
              </w:tabs>
              <w:spacing w:before="0" w:line="280" w:lineRule="exact"/>
              <w:ind w:left="0" w:firstLine="0"/>
              <w:jc w:val="center"/>
              <w:rPr>
                <w:rFonts w:ascii="Arial" w:hAnsi="Arial"/>
                <w:b/>
                <w:sz w:val="22"/>
                <w:szCs w:val="22"/>
              </w:rPr>
            </w:pPr>
            <w:r w:rsidRPr="00E76C4B">
              <w:rPr>
                <w:rFonts w:ascii="Arial" w:hAnsi="Arial"/>
                <w:b/>
                <w:sz w:val="22"/>
                <w:szCs w:val="22"/>
              </w:rPr>
              <w:t>Details of Issuance</w:t>
            </w:r>
          </w:p>
        </w:tc>
        <w:tc>
          <w:tcPr>
            <w:tcW w:w="2394" w:type="dxa"/>
          </w:tcPr>
          <w:p w14:paraId="4EC4244C" w14:textId="7B9DF6D6" w:rsidR="00640E94" w:rsidRPr="00E76C4B" w:rsidRDefault="00640E94">
            <w:pPr>
              <w:pStyle w:val="List"/>
              <w:tabs>
                <w:tab w:val="left" w:pos="360"/>
              </w:tabs>
              <w:spacing w:before="0" w:line="280" w:lineRule="exact"/>
              <w:ind w:left="0" w:firstLine="0"/>
              <w:jc w:val="center"/>
              <w:rPr>
                <w:rFonts w:ascii="Arial" w:hAnsi="Arial"/>
                <w:b/>
                <w:sz w:val="22"/>
                <w:szCs w:val="22"/>
              </w:rPr>
            </w:pPr>
            <w:r w:rsidRPr="00E76C4B">
              <w:rPr>
                <w:rFonts w:ascii="Arial" w:hAnsi="Arial"/>
                <w:b/>
                <w:sz w:val="22"/>
                <w:szCs w:val="22"/>
              </w:rPr>
              <w:t xml:space="preserve">Use of </w:t>
            </w:r>
            <w:r w:rsidR="002832BD" w:rsidRPr="00E76C4B">
              <w:rPr>
                <w:rFonts w:ascii="Arial" w:hAnsi="Arial"/>
                <w:b/>
                <w:sz w:val="22"/>
                <w:szCs w:val="22"/>
              </w:rPr>
              <w:t>Proceeds</w:t>
            </w:r>
          </w:p>
        </w:tc>
      </w:tr>
      <w:tr w:rsidR="00C87238" w:rsidRPr="00E76C4B" w14:paraId="01121A63" w14:textId="77777777" w:rsidTr="00BB3FBE">
        <w:tc>
          <w:tcPr>
            <w:tcW w:w="1809" w:type="dxa"/>
          </w:tcPr>
          <w:p w14:paraId="3F2ED096" w14:textId="289BB946" w:rsidR="00C87238" w:rsidRDefault="00C87238" w:rsidP="000D0F72">
            <w:pPr>
              <w:pStyle w:val="List"/>
              <w:tabs>
                <w:tab w:val="left" w:pos="360"/>
              </w:tabs>
              <w:spacing w:before="0" w:line="280" w:lineRule="exact"/>
              <w:ind w:left="0" w:firstLine="0"/>
              <w:jc w:val="both"/>
              <w:rPr>
                <w:rFonts w:ascii="Arial" w:hAnsi="Arial"/>
                <w:sz w:val="22"/>
                <w:szCs w:val="22"/>
              </w:rPr>
            </w:pPr>
            <w:r>
              <w:rPr>
                <w:rFonts w:ascii="Arial" w:hAnsi="Arial"/>
                <w:sz w:val="22"/>
                <w:szCs w:val="22"/>
              </w:rPr>
              <w:t>Common shares</w:t>
            </w:r>
          </w:p>
        </w:tc>
        <w:tc>
          <w:tcPr>
            <w:tcW w:w="1985" w:type="dxa"/>
          </w:tcPr>
          <w:p w14:paraId="0204E22A" w14:textId="38908B8A" w:rsidR="00C87238" w:rsidRDefault="003A64E1" w:rsidP="000D0F72">
            <w:pPr>
              <w:pStyle w:val="List"/>
              <w:tabs>
                <w:tab w:val="left" w:pos="360"/>
              </w:tabs>
              <w:spacing w:before="0" w:line="280" w:lineRule="exact"/>
              <w:ind w:left="0" w:firstLine="0"/>
              <w:jc w:val="both"/>
              <w:rPr>
                <w:rFonts w:ascii="Arial" w:hAnsi="Arial"/>
                <w:sz w:val="22"/>
                <w:szCs w:val="22"/>
              </w:rPr>
            </w:pPr>
            <w:r>
              <w:rPr>
                <w:rFonts w:ascii="Arial" w:hAnsi="Arial"/>
                <w:sz w:val="22"/>
                <w:szCs w:val="22"/>
              </w:rPr>
              <w:t>83,333</w:t>
            </w:r>
          </w:p>
        </w:tc>
        <w:tc>
          <w:tcPr>
            <w:tcW w:w="3388" w:type="dxa"/>
          </w:tcPr>
          <w:p w14:paraId="4E337367" w14:textId="77777777" w:rsidR="003A64E1" w:rsidRPr="003A64E1" w:rsidRDefault="003A64E1" w:rsidP="003A64E1">
            <w:pPr>
              <w:pStyle w:val="List"/>
              <w:tabs>
                <w:tab w:val="left" w:pos="360"/>
              </w:tabs>
              <w:spacing w:before="0" w:line="280" w:lineRule="exact"/>
              <w:ind w:left="0" w:firstLine="0"/>
              <w:rPr>
                <w:rFonts w:ascii="Arial" w:hAnsi="Arial"/>
                <w:sz w:val="22"/>
                <w:szCs w:val="22"/>
              </w:rPr>
            </w:pPr>
            <w:r w:rsidRPr="003A64E1">
              <w:rPr>
                <w:rFonts w:ascii="Arial" w:hAnsi="Arial"/>
                <w:sz w:val="22"/>
                <w:szCs w:val="22"/>
              </w:rPr>
              <w:t>Conversion of convertible</w:t>
            </w:r>
          </w:p>
          <w:p w14:paraId="1065064E" w14:textId="26DF1A4D" w:rsidR="00C87238" w:rsidRDefault="003A64E1" w:rsidP="003A64E1">
            <w:pPr>
              <w:pStyle w:val="List"/>
              <w:tabs>
                <w:tab w:val="left" w:pos="360"/>
              </w:tabs>
              <w:spacing w:before="0" w:line="280" w:lineRule="exact"/>
              <w:ind w:left="0" w:firstLine="0"/>
              <w:rPr>
                <w:rFonts w:ascii="Arial" w:hAnsi="Arial"/>
                <w:sz w:val="22"/>
                <w:szCs w:val="22"/>
              </w:rPr>
            </w:pPr>
            <w:r w:rsidRPr="003A64E1">
              <w:rPr>
                <w:rFonts w:ascii="Arial" w:hAnsi="Arial"/>
                <w:sz w:val="22"/>
                <w:szCs w:val="22"/>
              </w:rPr>
              <w:t>debentures</w:t>
            </w:r>
          </w:p>
        </w:tc>
        <w:tc>
          <w:tcPr>
            <w:tcW w:w="2394" w:type="dxa"/>
          </w:tcPr>
          <w:p w14:paraId="0EAF95CA" w14:textId="4F4C10F8" w:rsidR="00C87238" w:rsidRDefault="00C87238" w:rsidP="00FB74C4">
            <w:pPr>
              <w:pStyle w:val="List"/>
              <w:tabs>
                <w:tab w:val="left" w:pos="360"/>
              </w:tabs>
              <w:spacing w:before="0" w:line="280" w:lineRule="exact"/>
              <w:ind w:left="0" w:firstLine="0"/>
              <w:rPr>
                <w:rFonts w:ascii="Arial" w:hAnsi="Arial"/>
                <w:sz w:val="22"/>
                <w:szCs w:val="22"/>
              </w:rPr>
            </w:pPr>
            <w:r>
              <w:rPr>
                <w:rFonts w:ascii="Arial" w:hAnsi="Arial"/>
                <w:sz w:val="22"/>
                <w:szCs w:val="22"/>
              </w:rPr>
              <w:t>N/A</w:t>
            </w:r>
          </w:p>
        </w:tc>
      </w:tr>
    </w:tbl>
    <w:p w14:paraId="643F692E" w14:textId="77777777" w:rsidR="00E132E0" w:rsidRPr="00E132E0" w:rsidRDefault="00E132E0" w:rsidP="00E132E0">
      <w:pPr>
        <w:pStyle w:val="List"/>
        <w:tabs>
          <w:tab w:val="left" w:pos="360"/>
        </w:tabs>
        <w:spacing w:before="120"/>
        <w:ind w:left="720" w:firstLine="0"/>
        <w:jc w:val="both"/>
        <w:rPr>
          <w:rFonts w:ascii="Arial" w:hAnsi="Arial"/>
          <w:i/>
          <w:sz w:val="20"/>
        </w:rPr>
      </w:pPr>
    </w:p>
    <w:p w14:paraId="197E2463" w14:textId="78B7E935"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27AA01F" w14:textId="71F8D702" w:rsidR="0063120C" w:rsidRPr="00E82289" w:rsidRDefault="000E7EDC" w:rsidP="0063120C">
      <w:pPr>
        <w:pStyle w:val="List"/>
        <w:keepNext/>
        <w:keepLines/>
        <w:spacing w:before="120"/>
        <w:ind w:left="720" w:firstLine="0"/>
        <w:jc w:val="both"/>
        <w:rPr>
          <w:rFonts w:ascii="Arial" w:hAnsi="Arial"/>
          <w:b/>
        </w:rPr>
      </w:pPr>
      <w:r>
        <w:rPr>
          <w:rFonts w:ascii="Arial" w:hAnsi="Arial"/>
          <w:b/>
        </w:rPr>
        <w:t>No new items to report.</w:t>
      </w:r>
    </w:p>
    <w:p w14:paraId="686FFEFC" w14:textId="77777777" w:rsidR="0063120C" w:rsidRPr="00716F13" w:rsidRDefault="0063120C" w:rsidP="0063120C">
      <w:pPr>
        <w:pStyle w:val="List"/>
        <w:keepNext/>
        <w:keepLines/>
        <w:spacing w:before="120"/>
        <w:ind w:left="720" w:firstLine="0"/>
        <w:jc w:val="both"/>
        <w:rPr>
          <w:rFonts w:ascii="Arial" w:hAnsi="Arial"/>
        </w:rPr>
      </w:pPr>
    </w:p>
    <w:p w14:paraId="17469E45" w14:textId="70B994E7" w:rsidR="00640E94" w:rsidRPr="00716F13" w:rsidRDefault="00640E94">
      <w:pPr>
        <w:pStyle w:val="List"/>
        <w:keepNext/>
        <w:keepLines/>
        <w:numPr>
          <w:ilvl w:val="0"/>
          <w:numId w:val="28"/>
        </w:numPr>
        <w:spacing w:before="120"/>
        <w:jc w:val="both"/>
        <w:rPr>
          <w:rFonts w:ascii="Arial" w:hAnsi="Arial"/>
        </w:rPr>
      </w:pPr>
      <w:r w:rsidRPr="00716F13">
        <w:rPr>
          <w:rFonts w:ascii="Arial" w:hAnsi="Arial"/>
        </w:rPr>
        <w:t>Provide details of any changes in directors, officers or committee members.</w:t>
      </w:r>
    </w:p>
    <w:p w14:paraId="70C7037A" w14:textId="1450F78A" w:rsidR="003A64E1" w:rsidRPr="003A64E1" w:rsidRDefault="003A64E1" w:rsidP="003A64E1">
      <w:pPr>
        <w:pStyle w:val="List"/>
        <w:keepNext/>
        <w:keepLines/>
        <w:spacing w:before="120"/>
        <w:ind w:left="720" w:firstLine="0"/>
        <w:jc w:val="both"/>
        <w:rPr>
          <w:rFonts w:ascii="Arial" w:hAnsi="Arial"/>
          <w:b/>
        </w:rPr>
      </w:pPr>
      <w:r w:rsidRPr="003A64E1">
        <w:rPr>
          <w:rFonts w:ascii="Arial" w:hAnsi="Arial"/>
          <w:b/>
        </w:rPr>
        <w:t xml:space="preserve">On June 24, 2019, the Company appointed Adam Szweras as the new Chief Executive Officer of the Company. Mr. Szweras </w:t>
      </w:r>
      <w:r w:rsidR="00FF2CFC">
        <w:rPr>
          <w:rFonts w:ascii="Arial" w:hAnsi="Arial"/>
          <w:b/>
        </w:rPr>
        <w:t>is</w:t>
      </w:r>
      <w:r w:rsidRPr="003A64E1">
        <w:rPr>
          <w:rFonts w:ascii="Arial" w:hAnsi="Arial"/>
          <w:b/>
        </w:rPr>
        <w:t xml:space="preserve"> a founder of the Company and has been active in its leadership since inception, most recently as Co-Chair of the board. Mr. Szweras is replacing Jim Frazier</w:t>
      </w:r>
      <w:r w:rsidR="00014290">
        <w:rPr>
          <w:rFonts w:ascii="Arial" w:hAnsi="Arial"/>
          <w:b/>
        </w:rPr>
        <w:t>,</w:t>
      </w:r>
      <w:bookmarkStart w:id="5" w:name="_GoBack"/>
      <w:bookmarkEnd w:id="5"/>
      <w:r w:rsidRPr="003A64E1">
        <w:rPr>
          <w:rFonts w:ascii="Arial" w:hAnsi="Arial"/>
          <w:b/>
        </w:rPr>
        <w:t xml:space="preserve"> CEO of the Company since July 2016, who has stepped down to pursue other business opportunities. Mr. Frazier has also resigned from the board of directors of the Company.</w:t>
      </w:r>
    </w:p>
    <w:p w14:paraId="15127C9F" w14:textId="77777777" w:rsidR="00FD64B3" w:rsidRPr="0063120C" w:rsidRDefault="00FD64B3" w:rsidP="0063120C">
      <w:pPr>
        <w:pStyle w:val="List"/>
        <w:keepNext/>
        <w:keepLines/>
        <w:spacing w:before="120"/>
        <w:ind w:left="720" w:firstLine="0"/>
        <w:jc w:val="both"/>
        <w:rPr>
          <w:rFonts w:ascii="Arial" w:hAnsi="Arial"/>
          <w:b/>
        </w:rPr>
      </w:pPr>
    </w:p>
    <w:p w14:paraId="0B32684E" w14:textId="35CFFE9F"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6E5A86C" w14:textId="77777777" w:rsidR="00687183" w:rsidRDefault="000E7EDC" w:rsidP="005B4159">
      <w:pPr>
        <w:pStyle w:val="List"/>
        <w:spacing w:before="120"/>
        <w:ind w:left="720" w:firstLine="0"/>
        <w:jc w:val="both"/>
        <w:rPr>
          <w:rFonts w:ascii="Arial" w:hAnsi="Arial" w:cs="Arial"/>
          <w:b/>
          <w:bCs/>
          <w:szCs w:val="24"/>
        </w:rPr>
      </w:pPr>
      <w:r>
        <w:rPr>
          <w:rFonts w:ascii="Arial" w:hAnsi="Arial" w:cs="Arial"/>
          <w:b/>
          <w:bCs/>
          <w:szCs w:val="24"/>
        </w:rPr>
        <w:t>None to report.</w:t>
      </w:r>
      <w:r w:rsidR="00B47A87" w:rsidRPr="00E82289">
        <w:rPr>
          <w:rFonts w:ascii="Arial" w:hAnsi="Arial" w:cs="Arial"/>
          <w:b/>
          <w:bCs/>
          <w:szCs w:val="24"/>
        </w:rPr>
        <w:t xml:space="preserve"> </w:t>
      </w:r>
    </w:p>
    <w:p w14:paraId="066433F6" w14:textId="77777777" w:rsidR="00687183" w:rsidRDefault="00687183" w:rsidP="005B4159">
      <w:pPr>
        <w:pStyle w:val="List"/>
        <w:spacing w:before="120"/>
        <w:ind w:left="720" w:firstLine="0"/>
        <w:jc w:val="both"/>
        <w:rPr>
          <w:rFonts w:ascii="Arial" w:hAnsi="Arial" w:cs="Arial"/>
          <w:b/>
          <w:bCs/>
          <w:szCs w:val="24"/>
        </w:rPr>
      </w:pPr>
    </w:p>
    <w:p w14:paraId="27D82465" w14:textId="637B25C0" w:rsidR="00640E94" w:rsidRDefault="00640E94" w:rsidP="005B4159">
      <w:pPr>
        <w:pStyle w:val="List"/>
        <w:spacing w:before="120"/>
        <w:ind w:left="720" w:firstLine="0"/>
        <w:jc w:val="both"/>
        <w:rPr>
          <w:rFonts w:ascii="Arial" w:hAnsi="Arial"/>
          <w:b/>
        </w:rPr>
      </w:pPr>
      <w:r>
        <w:rPr>
          <w:rFonts w:ascii="Arial" w:hAnsi="Arial"/>
          <w:b/>
        </w:rPr>
        <w:lastRenderedPageBreak/>
        <w:t xml:space="preserve">Certificate </w:t>
      </w:r>
      <w:r w:rsidR="00E132E0">
        <w:rPr>
          <w:rFonts w:ascii="Arial" w:hAnsi="Arial"/>
          <w:b/>
        </w:rPr>
        <w:t>of</w:t>
      </w:r>
      <w:r>
        <w:rPr>
          <w:rFonts w:ascii="Arial" w:hAnsi="Arial"/>
          <w:b/>
        </w:rPr>
        <w:t xml:space="preserve"> Compliance</w:t>
      </w:r>
    </w:p>
    <w:p w14:paraId="29F9090A" w14:textId="77777777" w:rsidR="00640E94" w:rsidRDefault="00640E94">
      <w:pPr>
        <w:pStyle w:val="BodyText"/>
        <w:keepNext/>
        <w:rPr>
          <w:rFonts w:ascii="Arial" w:hAnsi="Arial"/>
        </w:rPr>
      </w:pPr>
      <w:r>
        <w:rPr>
          <w:rFonts w:ascii="Arial" w:hAnsi="Arial"/>
        </w:rPr>
        <w:t>The undersigned hereby certifies that:</w:t>
      </w:r>
    </w:p>
    <w:p w14:paraId="51DC900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58D9297"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3D79F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87D64D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1D920058" w14:textId="41EB505C" w:rsidR="00640E94" w:rsidRPr="0002336A" w:rsidRDefault="00640E94">
      <w:pPr>
        <w:pStyle w:val="BodyText"/>
        <w:tabs>
          <w:tab w:val="left" w:pos="4680"/>
          <w:tab w:val="left" w:pos="7200"/>
        </w:tabs>
        <w:spacing w:before="480"/>
        <w:jc w:val="both"/>
        <w:rPr>
          <w:rFonts w:ascii="Arial" w:hAnsi="Arial"/>
          <w:u w:val="single"/>
        </w:rPr>
      </w:pPr>
      <w:r>
        <w:rPr>
          <w:rFonts w:ascii="Arial" w:hAnsi="Arial"/>
        </w:rPr>
        <w:t>Dated</w:t>
      </w:r>
      <w:r w:rsidR="0002336A">
        <w:rPr>
          <w:rFonts w:ascii="Arial" w:hAnsi="Arial"/>
        </w:rPr>
        <w:t>:</w:t>
      </w:r>
      <w:r>
        <w:rPr>
          <w:rFonts w:ascii="Arial" w:hAnsi="Arial"/>
        </w:rPr>
        <w:t xml:space="preserve"> </w:t>
      </w:r>
      <w:r w:rsidR="00415281" w:rsidRPr="00415281">
        <w:rPr>
          <w:rFonts w:ascii="Arial" w:hAnsi="Arial"/>
          <w:u w:val="single"/>
        </w:rPr>
        <w:t>J</w:t>
      </w:r>
      <w:r w:rsidR="00BF0E8D">
        <w:rPr>
          <w:rFonts w:ascii="Arial" w:hAnsi="Arial"/>
          <w:u w:val="single"/>
        </w:rPr>
        <w:t>uly</w:t>
      </w:r>
      <w:r w:rsidR="00415281" w:rsidRPr="00415281">
        <w:rPr>
          <w:rFonts w:ascii="Arial" w:hAnsi="Arial"/>
          <w:u w:val="single"/>
        </w:rPr>
        <w:t xml:space="preserve"> 5</w:t>
      </w:r>
      <w:r w:rsidR="00220D2A" w:rsidRPr="00220D2A">
        <w:rPr>
          <w:rFonts w:ascii="Arial" w:hAnsi="Arial"/>
          <w:u w:val="single"/>
        </w:rPr>
        <w:t>, 201</w:t>
      </w:r>
      <w:r w:rsidR="00F0144A">
        <w:rPr>
          <w:rFonts w:ascii="Arial" w:hAnsi="Arial"/>
          <w:u w:val="single"/>
        </w:rPr>
        <w:t>9</w:t>
      </w:r>
      <w:r>
        <w:rPr>
          <w:rFonts w:ascii="Arial" w:hAnsi="Arial"/>
          <w:u w:val="single"/>
        </w:rPr>
        <w:tab/>
      </w:r>
      <w:r w:rsidRPr="0002336A">
        <w:rPr>
          <w:rFonts w:ascii="Arial" w:hAnsi="Arial"/>
          <w:u w:val="single"/>
        </w:rPr>
        <w:t>.</w:t>
      </w:r>
    </w:p>
    <w:p w14:paraId="0523F5F5" w14:textId="5B552E80" w:rsidR="00640E94" w:rsidRDefault="00640E94">
      <w:pPr>
        <w:pStyle w:val="List"/>
        <w:tabs>
          <w:tab w:val="left" w:pos="9180"/>
        </w:tabs>
        <w:ind w:left="5760" w:hanging="5760"/>
        <w:rPr>
          <w:rFonts w:ascii="Arial" w:hAnsi="Arial"/>
        </w:rPr>
      </w:pPr>
      <w:r>
        <w:rPr>
          <w:rFonts w:ascii="Arial" w:hAnsi="Arial"/>
        </w:rPr>
        <w:tab/>
      </w:r>
      <w:r w:rsidR="00BF0E8D">
        <w:rPr>
          <w:rFonts w:ascii="Arial" w:hAnsi="Arial"/>
          <w:u w:val="single"/>
        </w:rPr>
        <w:t>Adam Szweras</w:t>
      </w:r>
      <w:r>
        <w:rPr>
          <w:rFonts w:ascii="Arial" w:hAnsi="Arial"/>
          <w:u w:val="single"/>
        </w:rPr>
        <w:tab/>
      </w:r>
      <w:r>
        <w:rPr>
          <w:rFonts w:ascii="Arial" w:hAnsi="Arial"/>
          <w:u w:val="single"/>
        </w:rPr>
        <w:br/>
      </w:r>
      <w:r>
        <w:rPr>
          <w:rFonts w:ascii="Arial" w:hAnsi="Arial"/>
        </w:rPr>
        <w:t>Name of Director or Senior Officer</w:t>
      </w:r>
    </w:p>
    <w:p w14:paraId="4F9F5E24" w14:textId="35809047" w:rsidR="00640E94" w:rsidRDefault="00640E94">
      <w:pPr>
        <w:pStyle w:val="List"/>
        <w:tabs>
          <w:tab w:val="left" w:pos="9180"/>
          <w:tab w:val="left" w:pos="9360"/>
        </w:tabs>
        <w:ind w:left="5760" w:hanging="5760"/>
        <w:rPr>
          <w:rFonts w:ascii="Arial" w:hAnsi="Arial"/>
        </w:rPr>
      </w:pPr>
      <w:r>
        <w:rPr>
          <w:rFonts w:ascii="Arial" w:hAnsi="Arial"/>
        </w:rPr>
        <w:tab/>
      </w:r>
      <w:r w:rsidR="00220D2A" w:rsidRPr="00BF0E8D">
        <w:rPr>
          <w:rFonts w:ascii="Arial" w:hAnsi="Arial"/>
          <w:iCs/>
          <w:u w:val="single"/>
        </w:rPr>
        <w:t>“</w:t>
      </w:r>
      <w:r w:rsidR="00BF0E8D" w:rsidRPr="00BF0E8D">
        <w:rPr>
          <w:rFonts w:ascii="Arial" w:hAnsi="Arial"/>
          <w:i/>
          <w:u w:val="single"/>
        </w:rPr>
        <w:t>Adam Szweras</w:t>
      </w:r>
      <w:r w:rsidR="00220D2A" w:rsidRPr="00BF0E8D">
        <w:rPr>
          <w:rFonts w:ascii="Arial" w:hAnsi="Arial"/>
          <w:i/>
          <w:u w:val="single"/>
        </w:rPr>
        <w:t>”</w:t>
      </w:r>
      <w:r>
        <w:rPr>
          <w:rFonts w:ascii="Arial" w:hAnsi="Arial"/>
          <w:u w:val="single"/>
        </w:rPr>
        <w:tab/>
      </w:r>
      <w:r>
        <w:rPr>
          <w:rFonts w:ascii="Arial" w:hAnsi="Arial"/>
        </w:rPr>
        <w:br/>
        <w:t>Signature</w:t>
      </w:r>
    </w:p>
    <w:p w14:paraId="2FEB7660" w14:textId="105FA6C9" w:rsidR="00640E94" w:rsidRDefault="00220D2A">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77291EE8"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640E94" w14:paraId="7CE9084A" w14:textId="77777777" w:rsidTr="008655BC">
        <w:tc>
          <w:tcPr>
            <w:tcW w:w="4644" w:type="dxa"/>
            <w:tcBorders>
              <w:top w:val="single" w:sz="18" w:space="0" w:color="auto"/>
              <w:bottom w:val="nil"/>
              <w:right w:val="single" w:sz="18" w:space="0" w:color="auto"/>
            </w:tcBorders>
          </w:tcPr>
          <w:p w14:paraId="7F93A8E8" w14:textId="77777777" w:rsidR="00640E94" w:rsidRDefault="00640E94">
            <w:pPr>
              <w:pStyle w:val="BodyText"/>
              <w:spacing w:before="0"/>
              <w:rPr>
                <w:rFonts w:ascii="Arial" w:hAnsi="Arial"/>
                <w:b/>
                <w:i/>
              </w:rPr>
            </w:pPr>
            <w:r>
              <w:rPr>
                <w:rFonts w:ascii="Arial" w:hAnsi="Arial"/>
                <w:b/>
                <w:i/>
              </w:rPr>
              <w:t>Issuer Details</w:t>
            </w:r>
          </w:p>
          <w:p w14:paraId="5EC3CB95" w14:textId="77777777" w:rsidR="00640E94" w:rsidRDefault="00640E94">
            <w:pPr>
              <w:pStyle w:val="BodyText"/>
              <w:spacing w:before="0"/>
              <w:rPr>
                <w:rFonts w:ascii="Arial" w:hAnsi="Arial"/>
              </w:rPr>
            </w:pPr>
            <w:r>
              <w:rPr>
                <w:rFonts w:ascii="Arial" w:hAnsi="Arial"/>
              </w:rPr>
              <w:t>Name of Issuer</w:t>
            </w:r>
          </w:p>
          <w:p w14:paraId="18660459" w14:textId="2C1B89CA" w:rsidR="00640E94" w:rsidRDefault="00220D2A">
            <w:pPr>
              <w:pStyle w:val="BodyText"/>
              <w:rPr>
                <w:rFonts w:ascii="Arial" w:hAnsi="Arial"/>
              </w:rPr>
            </w:pPr>
            <w:r>
              <w:rPr>
                <w:rFonts w:ascii="Arial" w:hAnsi="Arial"/>
              </w:rPr>
              <w:t>Nutritional High International Inc.</w:t>
            </w:r>
          </w:p>
        </w:tc>
        <w:tc>
          <w:tcPr>
            <w:tcW w:w="2034" w:type="dxa"/>
            <w:tcBorders>
              <w:top w:val="single" w:sz="18" w:space="0" w:color="auto"/>
              <w:left w:val="single" w:sz="18" w:space="0" w:color="auto"/>
              <w:bottom w:val="nil"/>
              <w:right w:val="single" w:sz="18" w:space="0" w:color="auto"/>
            </w:tcBorders>
          </w:tcPr>
          <w:p w14:paraId="1043D826" w14:textId="349B4704" w:rsidR="00220D2A" w:rsidRDefault="002832BD">
            <w:pPr>
              <w:pStyle w:val="BodyText"/>
              <w:spacing w:before="0"/>
              <w:rPr>
                <w:rFonts w:ascii="Arial" w:hAnsi="Arial"/>
              </w:rPr>
            </w:pPr>
            <w:r>
              <w:rPr>
                <w:rFonts w:ascii="Arial" w:hAnsi="Arial"/>
              </w:rPr>
              <w:t>For Month</w:t>
            </w:r>
            <w:r w:rsidR="00640E94">
              <w:rPr>
                <w:rFonts w:ascii="Arial" w:hAnsi="Arial"/>
              </w:rPr>
              <w:t xml:space="preserve"> End</w:t>
            </w:r>
            <w:r w:rsidR="00220D2A">
              <w:rPr>
                <w:rFonts w:ascii="Arial" w:hAnsi="Arial"/>
              </w:rPr>
              <w:br/>
            </w:r>
          </w:p>
          <w:p w14:paraId="1CC18F6B" w14:textId="0A0C85EB" w:rsidR="00640E94" w:rsidRDefault="00DA3BFE">
            <w:pPr>
              <w:pStyle w:val="BodyText"/>
              <w:spacing w:before="0"/>
              <w:rPr>
                <w:rFonts w:ascii="Arial" w:hAnsi="Arial"/>
              </w:rPr>
            </w:pPr>
            <w:r>
              <w:rPr>
                <w:rFonts w:ascii="Arial" w:hAnsi="Arial"/>
              </w:rPr>
              <w:t>June 30</w:t>
            </w:r>
            <w:r w:rsidR="00415281">
              <w:rPr>
                <w:rFonts w:ascii="Arial" w:hAnsi="Arial"/>
              </w:rPr>
              <w:t>, 2019</w:t>
            </w:r>
          </w:p>
        </w:tc>
        <w:tc>
          <w:tcPr>
            <w:tcW w:w="2898" w:type="dxa"/>
            <w:tcBorders>
              <w:top w:val="single" w:sz="18" w:space="0" w:color="auto"/>
              <w:left w:val="single" w:sz="18" w:space="0" w:color="auto"/>
              <w:bottom w:val="nil"/>
            </w:tcBorders>
          </w:tcPr>
          <w:p w14:paraId="48A7C17B" w14:textId="77777777" w:rsidR="00640E94" w:rsidRDefault="00640E94">
            <w:pPr>
              <w:pStyle w:val="BodyText"/>
              <w:spacing w:before="0"/>
              <w:rPr>
                <w:rFonts w:ascii="Arial" w:hAnsi="Arial"/>
              </w:rPr>
            </w:pPr>
            <w:r>
              <w:rPr>
                <w:rFonts w:ascii="Arial" w:hAnsi="Arial"/>
              </w:rPr>
              <w:t>Date of Report</w:t>
            </w:r>
          </w:p>
          <w:p w14:paraId="3121B214" w14:textId="77777777" w:rsidR="00220D2A" w:rsidRDefault="00640E94">
            <w:pPr>
              <w:pStyle w:val="BodyText"/>
              <w:spacing w:before="0"/>
              <w:rPr>
                <w:rFonts w:ascii="Arial" w:hAnsi="Arial"/>
              </w:rPr>
            </w:pPr>
            <w:r>
              <w:rPr>
                <w:rFonts w:ascii="Arial" w:hAnsi="Arial"/>
              </w:rPr>
              <w:t>YY/MM/D</w:t>
            </w:r>
            <w:r w:rsidR="00220D2A">
              <w:rPr>
                <w:rFonts w:ascii="Arial" w:hAnsi="Arial"/>
              </w:rPr>
              <w:br/>
            </w:r>
          </w:p>
          <w:p w14:paraId="66B65BB4" w14:textId="779B6B61" w:rsidR="00640E94" w:rsidRDefault="00220D2A">
            <w:pPr>
              <w:pStyle w:val="BodyText"/>
              <w:spacing w:before="0"/>
              <w:rPr>
                <w:rFonts w:ascii="Arial" w:hAnsi="Arial"/>
              </w:rPr>
            </w:pPr>
            <w:r w:rsidRPr="001A0F2A">
              <w:rPr>
                <w:rFonts w:ascii="Arial" w:hAnsi="Arial"/>
              </w:rPr>
              <w:t>1</w:t>
            </w:r>
            <w:r w:rsidR="00F0144A">
              <w:rPr>
                <w:rFonts w:ascii="Arial" w:hAnsi="Arial"/>
              </w:rPr>
              <w:t>9</w:t>
            </w:r>
            <w:r w:rsidRPr="001A0F2A">
              <w:rPr>
                <w:rFonts w:ascii="Arial" w:hAnsi="Arial"/>
              </w:rPr>
              <w:t>/</w:t>
            </w:r>
            <w:r w:rsidR="00415281">
              <w:rPr>
                <w:rFonts w:ascii="Arial" w:hAnsi="Arial"/>
              </w:rPr>
              <w:t>0</w:t>
            </w:r>
            <w:r w:rsidR="00DA3BFE">
              <w:rPr>
                <w:rFonts w:ascii="Arial" w:hAnsi="Arial"/>
              </w:rPr>
              <w:t>7</w:t>
            </w:r>
            <w:r w:rsidR="008655BC" w:rsidRPr="001A0F2A">
              <w:rPr>
                <w:rFonts w:ascii="Arial" w:hAnsi="Arial"/>
              </w:rPr>
              <w:t>/</w:t>
            </w:r>
            <w:r w:rsidR="000031B2">
              <w:rPr>
                <w:rFonts w:ascii="Arial" w:hAnsi="Arial"/>
              </w:rPr>
              <w:t>0</w:t>
            </w:r>
            <w:r w:rsidR="00415281">
              <w:rPr>
                <w:rFonts w:ascii="Arial" w:hAnsi="Arial"/>
              </w:rPr>
              <w:t>5</w:t>
            </w:r>
          </w:p>
        </w:tc>
      </w:tr>
      <w:tr w:rsidR="00640E94" w14:paraId="3E12F119" w14:textId="77777777">
        <w:trPr>
          <w:cantSplit/>
        </w:trPr>
        <w:tc>
          <w:tcPr>
            <w:tcW w:w="9576" w:type="dxa"/>
            <w:gridSpan w:val="3"/>
            <w:tcBorders>
              <w:top w:val="single" w:sz="18" w:space="0" w:color="auto"/>
              <w:bottom w:val="single" w:sz="18" w:space="0" w:color="auto"/>
            </w:tcBorders>
          </w:tcPr>
          <w:p w14:paraId="12F00169" w14:textId="0F588163" w:rsidR="00640E94" w:rsidRDefault="00640E94">
            <w:pPr>
              <w:pStyle w:val="BodyText"/>
              <w:spacing w:before="0"/>
              <w:rPr>
                <w:rFonts w:ascii="Arial" w:hAnsi="Arial"/>
              </w:rPr>
            </w:pPr>
            <w:r>
              <w:rPr>
                <w:rFonts w:ascii="Arial" w:hAnsi="Arial"/>
              </w:rPr>
              <w:t>Issuer Address</w:t>
            </w:r>
          </w:p>
          <w:p w14:paraId="3833E7ED" w14:textId="3ADFC73A" w:rsidR="00220D2A" w:rsidRDefault="00220D2A" w:rsidP="00220D2A">
            <w:pPr>
              <w:pStyle w:val="BodyText"/>
              <w:spacing w:before="0"/>
              <w:rPr>
                <w:rFonts w:ascii="Arial" w:hAnsi="Arial"/>
              </w:rPr>
            </w:pPr>
          </w:p>
          <w:p w14:paraId="7D8DA57F" w14:textId="74DBF0DB" w:rsidR="00640E94" w:rsidRDefault="00220D2A" w:rsidP="00220D2A">
            <w:pPr>
              <w:pStyle w:val="BodyText"/>
              <w:spacing w:before="0"/>
              <w:rPr>
                <w:rFonts w:ascii="Arial" w:hAnsi="Arial"/>
              </w:rPr>
            </w:pPr>
            <w:r>
              <w:rPr>
                <w:rFonts w:ascii="Arial" w:hAnsi="Arial"/>
              </w:rPr>
              <w:t>77 King Street West, Suite 2905</w:t>
            </w:r>
          </w:p>
        </w:tc>
      </w:tr>
      <w:tr w:rsidR="00640E94" w14:paraId="0FAC12E0" w14:textId="77777777" w:rsidTr="008655BC">
        <w:tc>
          <w:tcPr>
            <w:tcW w:w="4644" w:type="dxa"/>
            <w:tcBorders>
              <w:top w:val="single" w:sz="18" w:space="0" w:color="auto"/>
              <w:bottom w:val="single" w:sz="18" w:space="0" w:color="auto"/>
              <w:right w:val="single" w:sz="18" w:space="0" w:color="auto"/>
            </w:tcBorders>
          </w:tcPr>
          <w:p w14:paraId="77B81E93" w14:textId="77777777" w:rsidR="00640E94" w:rsidRDefault="00640E94">
            <w:pPr>
              <w:pStyle w:val="BodyText"/>
              <w:spacing w:before="0"/>
              <w:rPr>
                <w:rFonts w:ascii="Arial" w:hAnsi="Arial"/>
              </w:rPr>
            </w:pPr>
            <w:r>
              <w:rPr>
                <w:rFonts w:ascii="Arial" w:hAnsi="Arial"/>
              </w:rPr>
              <w:t>City/Province/Postal Code</w:t>
            </w:r>
          </w:p>
          <w:p w14:paraId="6D79ED14" w14:textId="77777777" w:rsidR="00640E94" w:rsidRDefault="00640E94">
            <w:pPr>
              <w:pStyle w:val="BodyText"/>
              <w:spacing w:before="0"/>
              <w:rPr>
                <w:rFonts w:ascii="Arial" w:hAnsi="Arial"/>
              </w:rPr>
            </w:pPr>
          </w:p>
          <w:p w14:paraId="798905E2" w14:textId="387E8708" w:rsidR="00640E94" w:rsidRDefault="00220D2A">
            <w:pPr>
              <w:pStyle w:val="BodyText"/>
              <w:spacing w:before="0"/>
              <w:rPr>
                <w:rFonts w:ascii="Arial" w:hAnsi="Arial"/>
              </w:rPr>
            </w:pPr>
            <w:r>
              <w:rPr>
                <w:rFonts w:ascii="Arial" w:hAnsi="Arial"/>
              </w:rPr>
              <w:t>Toronto/ Ontario/ M5K 1H1</w:t>
            </w:r>
          </w:p>
        </w:tc>
        <w:tc>
          <w:tcPr>
            <w:tcW w:w="2034" w:type="dxa"/>
            <w:tcBorders>
              <w:top w:val="single" w:sz="18" w:space="0" w:color="auto"/>
              <w:left w:val="single" w:sz="18" w:space="0" w:color="auto"/>
              <w:bottom w:val="single" w:sz="18" w:space="0" w:color="auto"/>
              <w:right w:val="single" w:sz="18" w:space="0" w:color="auto"/>
            </w:tcBorders>
          </w:tcPr>
          <w:p w14:paraId="18B3A56B" w14:textId="77777777" w:rsidR="00640E94" w:rsidRDefault="00640E94">
            <w:pPr>
              <w:pStyle w:val="BodyText"/>
              <w:spacing w:before="0"/>
              <w:rPr>
                <w:rFonts w:ascii="Arial" w:hAnsi="Arial"/>
              </w:rPr>
            </w:pPr>
            <w:r>
              <w:rPr>
                <w:rFonts w:ascii="Arial" w:hAnsi="Arial"/>
              </w:rPr>
              <w:t>Issuer Fax No.</w:t>
            </w:r>
          </w:p>
          <w:p w14:paraId="3EDDA627"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583C0D6B" w14:textId="77777777" w:rsidR="00640E94" w:rsidRDefault="00640E94">
            <w:pPr>
              <w:pStyle w:val="BodyText"/>
              <w:spacing w:before="0"/>
              <w:rPr>
                <w:rFonts w:ascii="Arial" w:hAnsi="Arial"/>
              </w:rPr>
            </w:pPr>
            <w:r>
              <w:rPr>
                <w:rFonts w:ascii="Arial" w:hAnsi="Arial"/>
              </w:rPr>
              <w:t>Issuer Telephone No.</w:t>
            </w:r>
          </w:p>
          <w:p w14:paraId="7180053C" w14:textId="77777777" w:rsidR="00220D2A" w:rsidRDefault="00220D2A">
            <w:pPr>
              <w:pStyle w:val="BodyText"/>
              <w:spacing w:before="0"/>
              <w:rPr>
                <w:rFonts w:ascii="Arial" w:hAnsi="Arial"/>
              </w:rPr>
            </w:pPr>
          </w:p>
          <w:p w14:paraId="12DBA741" w14:textId="3D9E0058" w:rsidR="00640E94" w:rsidRDefault="00640E94">
            <w:pPr>
              <w:pStyle w:val="BodyText"/>
              <w:spacing w:before="0"/>
              <w:rPr>
                <w:rFonts w:ascii="Arial" w:hAnsi="Arial"/>
              </w:rPr>
            </w:pPr>
            <w:r>
              <w:rPr>
                <w:rFonts w:ascii="Arial" w:hAnsi="Arial"/>
              </w:rPr>
              <w:t>(</w:t>
            </w:r>
            <w:r w:rsidR="00220D2A">
              <w:rPr>
                <w:rFonts w:ascii="Arial" w:hAnsi="Arial"/>
              </w:rPr>
              <w:t>416</w:t>
            </w:r>
            <w:r>
              <w:rPr>
                <w:rFonts w:ascii="Arial" w:hAnsi="Arial"/>
              </w:rPr>
              <w:t>)</w:t>
            </w:r>
            <w:r w:rsidR="00220D2A">
              <w:rPr>
                <w:rFonts w:ascii="Arial" w:hAnsi="Arial"/>
              </w:rPr>
              <w:t xml:space="preserve"> 840-3798</w:t>
            </w:r>
          </w:p>
        </w:tc>
      </w:tr>
      <w:tr w:rsidR="00640E94" w14:paraId="536F237E" w14:textId="77777777" w:rsidTr="008655BC">
        <w:tc>
          <w:tcPr>
            <w:tcW w:w="4644" w:type="dxa"/>
            <w:tcBorders>
              <w:top w:val="single" w:sz="18" w:space="0" w:color="auto"/>
              <w:bottom w:val="single" w:sz="18" w:space="0" w:color="auto"/>
              <w:right w:val="single" w:sz="18" w:space="0" w:color="auto"/>
            </w:tcBorders>
          </w:tcPr>
          <w:p w14:paraId="575CDFEF" w14:textId="77777777" w:rsidR="00640E94" w:rsidRDefault="00640E94">
            <w:pPr>
              <w:pStyle w:val="BodyText"/>
              <w:spacing w:before="0"/>
              <w:rPr>
                <w:rFonts w:ascii="Arial" w:hAnsi="Arial"/>
              </w:rPr>
            </w:pPr>
            <w:r>
              <w:rPr>
                <w:rFonts w:ascii="Arial" w:hAnsi="Arial"/>
              </w:rPr>
              <w:t>Contact Name</w:t>
            </w:r>
          </w:p>
          <w:p w14:paraId="2107B562" w14:textId="77777777" w:rsidR="00640E94" w:rsidRDefault="00640E94">
            <w:pPr>
              <w:pStyle w:val="BodyText"/>
              <w:spacing w:before="0"/>
              <w:rPr>
                <w:rFonts w:ascii="Arial" w:hAnsi="Arial"/>
              </w:rPr>
            </w:pPr>
          </w:p>
          <w:p w14:paraId="3FC6371C" w14:textId="7ED0FAE4" w:rsidR="00640E94" w:rsidRPr="00220D2A" w:rsidRDefault="00220D2A">
            <w:pPr>
              <w:pStyle w:val="BodyText"/>
              <w:spacing w:before="0"/>
              <w:rPr>
                <w:rFonts w:ascii="Arial" w:hAnsi="Arial"/>
              </w:rPr>
            </w:pPr>
            <w:r w:rsidRPr="00220D2A">
              <w:rPr>
                <w:rFonts w:ascii="Arial" w:hAnsi="Arial"/>
              </w:rPr>
              <w:t>David Posner</w:t>
            </w:r>
          </w:p>
        </w:tc>
        <w:tc>
          <w:tcPr>
            <w:tcW w:w="2034" w:type="dxa"/>
            <w:tcBorders>
              <w:top w:val="single" w:sz="18" w:space="0" w:color="auto"/>
              <w:left w:val="single" w:sz="18" w:space="0" w:color="auto"/>
              <w:bottom w:val="single" w:sz="18" w:space="0" w:color="auto"/>
              <w:right w:val="single" w:sz="18" w:space="0" w:color="auto"/>
            </w:tcBorders>
          </w:tcPr>
          <w:p w14:paraId="6DBD8985" w14:textId="77777777" w:rsidR="00640E94" w:rsidRDefault="00640E94">
            <w:pPr>
              <w:pStyle w:val="BodyText"/>
              <w:spacing w:before="0"/>
              <w:rPr>
                <w:rFonts w:ascii="Arial" w:hAnsi="Arial"/>
              </w:rPr>
            </w:pPr>
            <w:r>
              <w:rPr>
                <w:rFonts w:ascii="Arial" w:hAnsi="Arial"/>
              </w:rPr>
              <w:t>Contact Position</w:t>
            </w:r>
          </w:p>
          <w:p w14:paraId="2838C1B7" w14:textId="77777777" w:rsidR="003D3454" w:rsidRDefault="003D3454">
            <w:pPr>
              <w:pStyle w:val="BodyText"/>
              <w:spacing w:before="0"/>
              <w:rPr>
                <w:rFonts w:ascii="Arial" w:hAnsi="Arial"/>
              </w:rPr>
            </w:pPr>
          </w:p>
          <w:p w14:paraId="323D0417" w14:textId="7C2B67C4" w:rsidR="00220D2A" w:rsidRPr="00220D2A" w:rsidRDefault="00220D2A">
            <w:pPr>
              <w:pStyle w:val="BodyText"/>
              <w:spacing w:before="0"/>
              <w:rPr>
                <w:rFonts w:ascii="Arial" w:hAnsi="Arial"/>
              </w:rPr>
            </w:pPr>
            <w:r w:rsidRPr="00220D2A">
              <w:rPr>
                <w:rFonts w:ascii="Arial" w:hAnsi="Arial"/>
              </w:rPr>
              <w:t>Director</w:t>
            </w:r>
          </w:p>
        </w:tc>
        <w:tc>
          <w:tcPr>
            <w:tcW w:w="2898" w:type="dxa"/>
            <w:tcBorders>
              <w:top w:val="single" w:sz="18" w:space="0" w:color="auto"/>
              <w:left w:val="single" w:sz="18" w:space="0" w:color="auto"/>
              <w:bottom w:val="single" w:sz="18" w:space="0" w:color="auto"/>
            </w:tcBorders>
          </w:tcPr>
          <w:p w14:paraId="6E94E116" w14:textId="77777777" w:rsidR="00640E94" w:rsidRDefault="00640E94">
            <w:pPr>
              <w:pStyle w:val="BodyText"/>
              <w:spacing w:before="0"/>
              <w:rPr>
                <w:rFonts w:ascii="Arial" w:hAnsi="Arial"/>
              </w:rPr>
            </w:pPr>
            <w:r>
              <w:rPr>
                <w:rFonts w:ascii="Arial" w:hAnsi="Arial"/>
              </w:rPr>
              <w:t>Contact Telephone No.</w:t>
            </w:r>
          </w:p>
          <w:p w14:paraId="7358A23A" w14:textId="77777777" w:rsidR="00220D2A" w:rsidRDefault="00220D2A">
            <w:pPr>
              <w:pStyle w:val="BodyText"/>
              <w:spacing w:before="0"/>
              <w:rPr>
                <w:rFonts w:ascii="Arial" w:hAnsi="Arial"/>
              </w:rPr>
            </w:pPr>
          </w:p>
          <w:p w14:paraId="69D2B4CE" w14:textId="25656344" w:rsidR="00220D2A" w:rsidRDefault="00220D2A">
            <w:pPr>
              <w:pStyle w:val="BodyText"/>
              <w:spacing w:before="0"/>
              <w:rPr>
                <w:rFonts w:ascii="Arial" w:hAnsi="Arial"/>
              </w:rPr>
            </w:pPr>
            <w:r>
              <w:rPr>
                <w:rFonts w:ascii="Arial" w:hAnsi="Arial"/>
              </w:rPr>
              <w:t>(647) 985-6727</w:t>
            </w:r>
          </w:p>
        </w:tc>
      </w:tr>
      <w:tr w:rsidR="00640E94" w14:paraId="5B3855A6" w14:textId="77777777" w:rsidTr="008655BC">
        <w:trPr>
          <w:cantSplit/>
        </w:trPr>
        <w:tc>
          <w:tcPr>
            <w:tcW w:w="4644" w:type="dxa"/>
            <w:tcBorders>
              <w:top w:val="single" w:sz="18" w:space="0" w:color="auto"/>
              <w:bottom w:val="single" w:sz="18" w:space="0" w:color="auto"/>
              <w:right w:val="single" w:sz="18" w:space="0" w:color="auto"/>
            </w:tcBorders>
          </w:tcPr>
          <w:p w14:paraId="69B17EC0" w14:textId="77777777" w:rsidR="00640E94" w:rsidRDefault="00640E94">
            <w:pPr>
              <w:pStyle w:val="BodyText"/>
              <w:spacing w:before="0"/>
              <w:rPr>
                <w:rFonts w:ascii="Arial" w:hAnsi="Arial"/>
              </w:rPr>
            </w:pPr>
            <w:r>
              <w:rPr>
                <w:rFonts w:ascii="Arial" w:hAnsi="Arial"/>
              </w:rPr>
              <w:t>Contact Email Address</w:t>
            </w:r>
          </w:p>
          <w:p w14:paraId="59586DC1" w14:textId="100FDA76" w:rsidR="00640E94" w:rsidRDefault="00014290">
            <w:pPr>
              <w:pStyle w:val="BodyText"/>
              <w:spacing w:before="0"/>
              <w:rPr>
                <w:rFonts w:ascii="Arial" w:hAnsi="Arial"/>
              </w:rPr>
            </w:pPr>
            <w:hyperlink r:id="rId7" w:history="1">
              <w:r w:rsidR="00220D2A" w:rsidRPr="00E03FEB">
                <w:rPr>
                  <w:rStyle w:val="Hyperlink"/>
                  <w:rFonts w:ascii="Arial" w:hAnsi="Arial"/>
                </w:rPr>
                <w:t>dposner@nutritionalhigh.com</w:t>
              </w:r>
            </w:hyperlink>
            <w:r w:rsidR="00220D2A">
              <w:rPr>
                <w:rFonts w:ascii="Arial" w:hAnsi="Arial"/>
              </w:rPr>
              <w:t xml:space="preserve"> </w:t>
            </w:r>
          </w:p>
        </w:tc>
        <w:tc>
          <w:tcPr>
            <w:tcW w:w="4932" w:type="dxa"/>
            <w:gridSpan w:val="2"/>
            <w:tcBorders>
              <w:top w:val="single" w:sz="18" w:space="0" w:color="auto"/>
              <w:left w:val="single" w:sz="18" w:space="0" w:color="auto"/>
              <w:bottom w:val="single" w:sz="18" w:space="0" w:color="auto"/>
            </w:tcBorders>
          </w:tcPr>
          <w:p w14:paraId="3077756F" w14:textId="77777777" w:rsidR="00640E94" w:rsidRDefault="00640E94">
            <w:pPr>
              <w:pStyle w:val="BodyText"/>
              <w:spacing w:before="0"/>
              <w:rPr>
                <w:rFonts w:ascii="Arial" w:hAnsi="Arial"/>
              </w:rPr>
            </w:pPr>
            <w:r>
              <w:rPr>
                <w:rFonts w:ascii="Arial" w:hAnsi="Arial"/>
              </w:rPr>
              <w:t>Web Site Address</w:t>
            </w:r>
          </w:p>
          <w:p w14:paraId="71E0E183" w14:textId="6B5DA9A8" w:rsidR="00640E94" w:rsidRDefault="00014290">
            <w:pPr>
              <w:pStyle w:val="BodyText"/>
              <w:spacing w:before="0"/>
              <w:rPr>
                <w:rFonts w:ascii="Arial" w:hAnsi="Arial"/>
              </w:rPr>
            </w:pPr>
            <w:hyperlink r:id="rId8" w:history="1">
              <w:r w:rsidR="00220D2A" w:rsidRPr="00E03FEB">
                <w:rPr>
                  <w:rStyle w:val="Hyperlink"/>
                  <w:rFonts w:ascii="Arial" w:hAnsi="Arial"/>
                </w:rPr>
                <w:t>www.nutritionalhigh.com</w:t>
              </w:r>
            </w:hyperlink>
            <w:r w:rsidR="00220D2A">
              <w:rPr>
                <w:rFonts w:ascii="Arial" w:hAnsi="Arial"/>
              </w:rPr>
              <w:t xml:space="preserve"> </w:t>
            </w:r>
          </w:p>
        </w:tc>
      </w:tr>
    </w:tbl>
    <w:p w14:paraId="10114379" w14:textId="77777777" w:rsidR="00415281" w:rsidRPr="00415281" w:rsidRDefault="00415281" w:rsidP="00415281">
      <w:pPr>
        <w:rPr>
          <w:lang w:val="en-GB"/>
        </w:rPr>
      </w:pPr>
    </w:p>
    <w:sectPr w:rsidR="00415281" w:rsidRPr="00415281"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EA23" w14:textId="77777777" w:rsidR="005F6D8F" w:rsidRDefault="005F6D8F">
      <w:r>
        <w:separator/>
      </w:r>
    </w:p>
  </w:endnote>
  <w:endnote w:type="continuationSeparator" w:id="0">
    <w:p w14:paraId="14D6D3A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98F3" w14:textId="77777777" w:rsidR="00640E94" w:rsidRDefault="00640E94">
    <w:pPr>
      <w:pStyle w:val="Footer"/>
      <w:tabs>
        <w:tab w:val="clear" w:pos="4320"/>
        <w:tab w:val="clear" w:pos="8640"/>
        <w:tab w:val="center" w:pos="4680"/>
        <w:tab w:val="right" w:pos="9360"/>
      </w:tabs>
      <w:rPr>
        <w:b/>
      </w:rPr>
    </w:pPr>
  </w:p>
  <w:p w14:paraId="1D7351C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4896" behindDoc="0" locked="0" layoutInCell="1" allowOverlap="1" wp14:anchorId="2F4E3CAC" wp14:editId="677A656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BBB7" id="Line 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6C1545A3" w14:textId="39BE5A79" w:rsidR="00640E94" w:rsidRPr="006D1A06" w:rsidRDefault="00DA3BF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June</w:t>
    </w:r>
    <w:r w:rsidR="003D3454">
      <w:rPr>
        <w:rStyle w:val="PageNumber"/>
        <w:rFonts w:ascii="Arial" w:hAnsi="Arial" w:cs="Arial"/>
        <w:sz w:val="16"/>
        <w:szCs w:val="16"/>
      </w:rPr>
      <w:t xml:space="preserve"> </w:t>
    </w:r>
    <w:r w:rsidR="000A1AB1">
      <w:rPr>
        <w:rStyle w:val="PageNumber"/>
        <w:rFonts w:ascii="Arial" w:hAnsi="Arial" w:cs="Arial"/>
        <w:sz w:val="16"/>
        <w:szCs w:val="16"/>
      </w:rPr>
      <w:t>201</w:t>
    </w:r>
    <w:r w:rsidR="00CB4B26">
      <w:rPr>
        <w:rStyle w:val="PageNumber"/>
        <w:rFonts w:ascii="Arial" w:hAnsi="Arial" w:cs="Arial"/>
        <w:sz w:val="16"/>
        <w:szCs w:val="16"/>
      </w:rPr>
      <w:t>9</w:t>
    </w:r>
  </w:p>
  <w:p w14:paraId="071D7235"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61B5" w14:textId="77777777" w:rsidR="00640E94" w:rsidRDefault="00640E94">
    <w:pPr>
      <w:pStyle w:val="Footer"/>
      <w:tabs>
        <w:tab w:val="clear" w:pos="4320"/>
        <w:tab w:val="clear" w:pos="8640"/>
        <w:tab w:val="center" w:pos="4680"/>
        <w:tab w:val="right" w:pos="9360"/>
      </w:tabs>
      <w:rPr>
        <w:b/>
      </w:rPr>
    </w:pPr>
  </w:p>
  <w:p w14:paraId="211E3AA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D9209B8" wp14:editId="468BD31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D38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1FBC6FE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1DF85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4279" w14:textId="77777777" w:rsidR="005F6D8F" w:rsidRDefault="005F6D8F">
      <w:r>
        <w:separator/>
      </w:r>
    </w:p>
  </w:footnote>
  <w:footnote w:type="continuationSeparator" w:id="0">
    <w:p w14:paraId="69030C9D"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3ED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7EFFF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A99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5D21805"/>
    <w:multiLevelType w:val="hybridMultilevel"/>
    <w:tmpl w:val="D8B2CAC2"/>
    <w:lvl w:ilvl="0" w:tplc="2706588E">
      <w:start w:val="1"/>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09F5427"/>
    <w:multiLevelType w:val="multilevel"/>
    <w:tmpl w:val="634608E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3B2519"/>
    <w:multiLevelType w:val="hybridMultilevel"/>
    <w:tmpl w:val="6BF65478"/>
    <w:lvl w:ilvl="0" w:tplc="121C2B5A">
      <w:start w:val="1"/>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4FFE79F0"/>
    <w:multiLevelType w:val="hybridMultilevel"/>
    <w:tmpl w:val="359CFF24"/>
    <w:lvl w:ilvl="0" w:tplc="C85AE0DE">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8D34ED0"/>
    <w:multiLevelType w:val="multilevel"/>
    <w:tmpl w:val="5E00B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rPr>
        <w:rFonts w:hint="default"/>
        <w:b/>
        <w:sz w:val="20"/>
      </w:rPr>
    </w:lvl>
    <w:lvl w:ilvl="3">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CD64DCE"/>
    <w:multiLevelType w:val="multilevel"/>
    <w:tmpl w:val="171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73D20453"/>
    <w:multiLevelType w:val="hybridMultilevel"/>
    <w:tmpl w:val="05306A30"/>
    <w:lvl w:ilvl="0" w:tplc="42B69448">
      <w:numFmt w:val="bullet"/>
      <w:lvlText w:val="-"/>
      <w:lvlJc w:val="left"/>
      <w:pPr>
        <w:ind w:left="1080" w:hanging="360"/>
      </w:pPr>
      <w:rPr>
        <w:rFonts w:ascii="Arial" w:eastAsia="Times New Roman" w:hAnsi="Arial" w:cs="Arial"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3EC7A88"/>
    <w:multiLevelType w:val="hybridMultilevel"/>
    <w:tmpl w:val="7E74D022"/>
    <w:lvl w:ilvl="0" w:tplc="A52646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627E5A"/>
    <w:multiLevelType w:val="hybridMultilevel"/>
    <w:tmpl w:val="5B2C138A"/>
    <w:lvl w:ilvl="0" w:tplc="2B52307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4"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5"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6"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5"/>
  </w:num>
  <w:num w:numId="3">
    <w:abstractNumId w:val="18"/>
  </w:num>
  <w:num w:numId="4">
    <w:abstractNumId w:val="13"/>
  </w:num>
  <w:num w:numId="5">
    <w:abstractNumId w:val="3"/>
  </w:num>
  <w:num w:numId="6">
    <w:abstractNumId w:val="28"/>
  </w:num>
  <w:num w:numId="7">
    <w:abstractNumId w:val="9"/>
  </w:num>
  <w:num w:numId="8">
    <w:abstractNumId w:val="33"/>
  </w:num>
  <w:num w:numId="9">
    <w:abstractNumId w:val="24"/>
  </w:num>
  <w:num w:numId="10">
    <w:abstractNumId w:val="11"/>
  </w:num>
  <w:num w:numId="11">
    <w:abstractNumId w:val="14"/>
  </w:num>
  <w:num w:numId="12">
    <w:abstractNumId w:val="15"/>
  </w:num>
  <w:num w:numId="13">
    <w:abstractNumId w:val="35"/>
  </w:num>
  <w:num w:numId="14">
    <w:abstractNumId w:val="6"/>
  </w:num>
  <w:num w:numId="15">
    <w:abstractNumId w:val="10"/>
  </w:num>
  <w:num w:numId="16">
    <w:abstractNumId w:val="12"/>
  </w:num>
  <w:num w:numId="17">
    <w:abstractNumId w:val="21"/>
  </w:num>
  <w:num w:numId="18">
    <w:abstractNumId w:val="2"/>
  </w:num>
  <w:num w:numId="19">
    <w:abstractNumId w:val="7"/>
  </w:num>
  <w:num w:numId="20">
    <w:abstractNumId w:val="29"/>
  </w:num>
  <w:num w:numId="21">
    <w:abstractNumId w:val="1"/>
  </w:num>
  <w:num w:numId="22">
    <w:abstractNumId w:val="0"/>
  </w:num>
  <w:num w:numId="23">
    <w:abstractNumId w:val="27"/>
  </w:num>
  <w:num w:numId="24">
    <w:abstractNumId w:val="23"/>
  </w:num>
  <w:num w:numId="25">
    <w:abstractNumId w:val="4"/>
  </w:num>
  <w:num w:numId="26">
    <w:abstractNumId w:val="34"/>
  </w:num>
  <w:num w:numId="27">
    <w:abstractNumId w:val="36"/>
  </w:num>
  <w:num w:numId="28">
    <w:abstractNumId w:val="5"/>
  </w:num>
  <w:num w:numId="29">
    <w:abstractNumId w:val="8"/>
  </w:num>
  <w:num w:numId="30">
    <w:abstractNumId w:val="31"/>
  </w:num>
  <w:num w:numId="31">
    <w:abstractNumId w:val="22"/>
  </w:num>
  <w:num w:numId="32">
    <w:abstractNumId w:val="16"/>
  </w:num>
  <w:num w:numId="33">
    <w:abstractNumId w:val="30"/>
  </w:num>
  <w:num w:numId="34">
    <w:abstractNumId w:val="19"/>
  </w:num>
  <w:num w:numId="35">
    <w:abstractNumId w:val="26"/>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1B2"/>
    <w:rsid w:val="00014290"/>
    <w:rsid w:val="00015533"/>
    <w:rsid w:val="0002336A"/>
    <w:rsid w:val="00040C08"/>
    <w:rsid w:val="00054686"/>
    <w:rsid w:val="0005726E"/>
    <w:rsid w:val="00061F83"/>
    <w:rsid w:val="00065C8C"/>
    <w:rsid w:val="00071C43"/>
    <w:rsid w:val="00075EB9"/>
    <w:rsid w:val="00081D1F"/>
    <w:rsid w:val="00093EB8"/>
    <w:rsid w:val="000A06FE"/>
    <w:rsid w:val="000A1AB1"/>
    <w:rsid w:val="000B5ED9"/>
    <w:rsid w:val="000B7C70"/>
    <w:rsid w:val="000C2517"/>
    <w:rsid w:val="000C6288"/>
    <w:rsid w:val="000D0F72"/>
    <w:rsid w:val="000D3D52"/>
    <w:rsid w:val="000E525E"/>
    <w:rsid w:val="000E7EDC"/>
    <w:rsid w:val="000F7286"/>
    <w:rsid w:val="00104F0B"/>
    <w:rsid w:val="0010647C"/>
    <w:rsid w:val="0012245F"/>
    <w:rsid w:val="0013070F"/>
    <w:rsid w:val="001338D2"/>
    <w:rsid w:val="00155AE5"/>
    <w:rsid w:val="001632C7"/>
    <w:rsid w:val="00177C54"/>
    <w:rsid w:val="001A0F2A"/>
    <w:rsid w:val="001B631B"/>
    <w:rsid w:val="001E0C53"/>
    <w:rsid w:val="001F0B95"/>
    <w:rsid w:val="00213F4D"/>
    <w:rsid w:val="00220D2A"/>
    <w:rsid w:val="00230F31"/>
    <w:rsid w:val="0023211F"/>
    <w:rsid w:val="00232435"/>
    <w:rsid w:val="00232AFD"/>
    <w:rsid w:val="00234513"/>
    <w:rsid w:val="00237C13"/>
    <w:rsid w:val="00243B68"/>
    <w:rsid w:val="002832BD"/>
    <w:rsid w:val="00297231"/>
    <w:rsid w:val="002A0F6B"/>
    <w:rsid w:val="002C281E"/>
    <w:rsid w:val="002E6644"/>
    <w:rsid w:val="002F00EB"/>
    <w:rsid w:val="002F297E"/>
    <w:rsid w:val="00303887"/>
    <w:rsid w:val="00306957"/>
    <w:rsid w:val="0031529F"/>
    <w:rsid w:val="0032158A"/>
    <w:rsid w:val="003669A9"/>
    <w:rsid w:val="00371A64"/>
    <w:rsid w:val="0037490A"/>
    <w:rsid w:val="00382730"/>
    <w:rsid w:val="00387FA8"/>
    <w:rsid w:val="003A64E1"/>
    <w:rsid w:val="003A7412"/>
    <w:rsid w:val="003D3454"/>
    <w:rsid w:val="003E0CE8"/>
    <w:rsid w:val="003E2AB0"/>
    <w:rsid w:val="003F599E"/>
    <w:rsid w:val="004142CC"/>
    <w:rsid w:val="00415281"/>
    <w:rsid w:val="00432AD3"/>
    <w:rsid w:val="00435F86"/>
    <w:rsid w:val="00454EC3"/>
    <w:rsid w:val="004670E0"/>
    <w:rsid w:val="004A081A"/>
    <w:rsid w:val="004A7AE9"/>
    <w:rsid w:val="004C1A99"/>
    <w:rsid w:val="004D2173"/>
    <w:rsid w:val="004F700F"/>
    <w:rsid w:val="00521034"/>
    <w:rsid w:val="005249C0"/>
    <w:rsid w:val="005453C8"/>
    <w:rsid w:val="00546EF5"/>
    <w:rsid w:val="005722E5"/>
    <w:rsid w:val="00575484"/>
    <w:rsid w:val="00577130"/>
    <w:rsid w:val="0058123D"/>
    <w:rsid w:val="005B2F95"/>
    <w:rsid w:val="005B4159"/>
    <w:rsid w:val="005C30F7"/>
    <w:rsid w:val="005C35A8"/>
    <w:rsid w:val="005C7CBD"/>
    <w:rsid w:val="005D24A4"/>
    <w:rsid w:val="005D512D"/>
    <w:rsid w:val="005F6D8F"/>
    <w:rsid w:val="00610B76"/>
    <w:rsid w:val="00620E7F"/>
    <w:rsid w:val="006274A4"/>
    <w:rsid w:val="0063120C"/>
    <w:rsid w:val="00633ED3"/>
    <w:rsid w:val="00635E9A"/>
    <w:rsid w:val="00640E94"/>
    <w:rsid w:val="00645D0C"/>
    <w:rsid w:val="0066255D"/>
    <w:rsid w:val="00687183"/>
    <w:rsid w:val="006915C5"/>
    <w:rsid w:val="006958D0"/>
    <w:rsid w:val="00697AD4"/>
    <w:rsid w:val="006A1FAD"/>
    <w:rsid w:val="006A43FB"/>
    <w:rsid w:val="006A6D33"/>
    <w:rsid w:val="006B0796"/>
    <w:rsid w:val="006B518C"/>
    <w:rsid w:val="006B7D7D"/>
    <w:rsid w:val="006D1A06"/>
    <w:rsid w:val="006F45D2"/>
    <w:rsid w:val="00700151"/>
    <w:rsid w:val="007013C8"/>
    <w:rsid w:val="00716F13"/>
    <w:rsid w:val="007261DA"/>
    <w:rsid w:val="00737B05"/>
    <w:rsid w:val="00785FF7"/>
    <w:rsid w:val="007B650E"/>
    <w:rsid w:val="007C571F"/>
    <w:rsid w:val="007F0285"/>
    <w:rsid w:val="0081508D"/>
    <w:rsid w:val="00821299"/>
    <w:rsid w:val="00826EEF"/>
    <w:rsid w:val="008324A3"/>
    <w:rsid w:val="008324AA"/>
    <w:rsid w:val="00862509"/>
    <w:rsid w:val="008655BC"/>
    <w:rsid w:val="00874CE6"/>
    <w:rsid w:val="00883290"/>
    <w:rsid w:val="008A2EA2"/>
    <w:rsid w:val="008A3935"/>
    <w:rsid w:val="008B0D2A"/>
    <w:rsid w:val="008B706D"/>
    <w:rsid w:val="008B7DCB"/>
    <w:rsid w:val="008B7E92"/>
    <w:rsid w:val="008C2D3A"/>
    <w:rsid w:val="008D744C"/>
    <w:rsid w:val="00900DAC"/>
    <w:rsid w:val="00904610"/>
    <w:rsid w:val="00913720"/>
    <w:rsid w:val="00922A46"/>
    <w:rsid w:val="00944D58"/>
    <w:rsid w:val="00964DA7"/>
    <w:rsid w:val="00967FC5"/>
    <w:rsid w:val="0098747F"/>
    <w:rsid w:val="009A19EB"/>
    <w:rsid w:val="009A68E1"/>
    <w:rsid w:val="009A7A97"/>
    <w:rsid w:val="009D17DB"/>
    <w:rsid w:val="009D5F63"/>
    <w:rsid w:val="009E73CF"/>
    <w:rsid w:val="00A0763E"/>
    <w:rsid w:val="00A47914"/>
    <w:rsid w:val="00A526ED"/>
    <w:rsid w:val="00A82F40"/>
    <w:rsid w:val="00A83D6B"/>
    <w:rsid w:val="00A909D3"/>
    <w:rsid w:val="00AA41EE"/>
    <w:rsid w:val="00AA51DC"/>
    <w:rsid w:val="00AC020F"/>
    <w:rsid w:val="00B16BE1"/>
    <w:rsid w:val="00B320E3"/>
    <w:rsid w:val="00B42F29"/>
    <w:rsid w:val="00B47A87"/>
    <w:rsid w:val="00B51A8D"/>
    <w:rsid w:val="00B547E9"/>
    <w:rsid w:val="00B64AFB"/>
    <w:rsid w:val="00B77DB5"/>
    <w:rsid w:val="00B96455"/>
    <w:rsid w:val="00B975C1"/>
    <w:rsid w:val="00BB00F2"/>
    <w:rsid w:val="00BB3FBE"/>
    <w:rsid w:val="00BD0C97"/>
    <w:rsid w:val="00BD0DD3"/>
    <w:rsid w:val="00BD28A0"/>
    <w:rsid w:val="00BE09C8"/>
    <w:rsid w:val="00BF0E8D"/>
    <w:rsid w:val="00BF1FE8"/>
    <w:rsid w:val="00C0153E"/>
    <w:rsid w:val="00C1340D"/>
    <w:rsid w:val="00C2500A"/>
    <w:rsid w:val="00C27A18"/>
    <w:rsid w:val="00C4137A"/>
    <w:rsid w:val="00C41F44"/>
    <w:rsid w:val="00C6383E"/>
    <w:rsid w:val="00C63DC0"/>
    <w:rsid w:val="00C764EF"/>
    <w:rsid w:val="00C815C3"/>
    <w:rsid w:val="00C87238"/>
    <w:rsid w:val="00CB0097"/>
    <w:rsid w:val="00CB4B26"/>
    <w:rsid w:val="00CD374C"/>
    <w:rsid w:val="00CE2701"/>
    <w:rsid w:val="00CF56AE"/>
    <w:rsid w:val="00CF728F"/>
    <w:rsid w:val="00D050FA"/>
    <w:rsid w:val="00D32705"/>
    <w:rsid w:val="00D377BA"/>
    <w:rsid w:val="00D4138B"/>
    <w:rsid w:val="00D462D1"/>
    <w:rsid w:val="00D6124B"/>
    <w:rsid w:val="00D768C6"/>
    <w:rsid w:val="00D84B91"/>
    <w:rsid w:val="00DA02F5"/>
    <w:rsid w:val="00DA3BFE"/>
    <w:rsid w:val="00DA529A"/>
    <w:rsid w:val="00DA57FA"/>
    <w:rsid w:val="00DB3B01"/>
    <w:rsid w:val="00DC5DD6"/>
    <w:rsid w:val="00DC710D"/>
    <w:rsid w:val="00DD3677"/>
    <w:rsid w:val="00DE5DFB"/>
    <w:rsid w:val="00E00037"/>
    <w:rsid w:val="00E06861"/>
    <w:rsid w:val="00E132E0"/>
    <w:rsid w:val="00E13433"/>
    <w:rsid w:val="00E15064"/>
    <w:rsid w:val="00E27062"/>
    <w:rsid w:val="00E32567"/>
    <w:rsid w:val="00E36141"/>
    <w:rsid w:val="00E5750F"/>
    <w:rsid w:val="00E60BAE"/>
    <w:rsid w:val="00E676F6"/>
    <w:rsid w:val="00E71783"/>
    <w:rsid w:val="00E76C4B"/>
    <w:rsid w:val="00E82289"/>
    <w:rsid w:val="00E83E58"/>
    <w:rsid w:val="00E845C8"/>
    <w:rsid w:val="00E95B5C"/>
    <w:rsid w:val="00EA49C5"/>
    <w:rsid w:val="00EB4BB0"/>
    <w:rsid w:val="00EE1DCC"/>
    <w:rsid w:val="00EE3697"/>
    <w:rsid w:val="00F0144A"/>
    <w:rsid w:val="00F0253B"/>
    <w:rsid w:val="00F058D2"/>
    <w:rsid w:val="00F10F97"/>
    <w:rsid w:val="00F129BF"/>
    <w:rsid w:val="00F15450"/>
    <w:rsid w:val="00F220FA"/>
    <w:rsid w:val="00F22CC3"/>
    <w:rsid w:val="00F35CE3"/>
    <w:rsid w:val="00F67BB6"/>
    <w:rsid w:val="00F920D0"/>
    <w:rsid w:val="00FB74C4"/>
    <w:rsid w:val="00FD1294"/>
    <w:rsid w:val="00FD64B3"/>
    <w:rsid w:val="00FD7798"/>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6EEBD82"/>
  <w15:docId w15:val="{211AF49B-262F-4517-BD42-E9FB3A4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20D2A"/>
    <w:rPr>
      <w:color w:val="0000FF" w:themeColor="hyperlink"/>
      <w:u w:val="single"/>
    </w:rPr>
  </w:style>
  <w:style w:type="character" w:styleId="UnresolvedMention">
    <w:name w:val="Unresolved Mention"/>
    <w:basedOn w:val="DefaultParagraphFont"/>
    <w:uiPriority w:val="99"/>
    <w:semiHidden/>
    <w:unhideWhenUsed/>
    <w:rsid w:val="00220D2A"/>
    <w:rPr>
      <w:color w:val="605E5C"/>
      <w:shd w:val="clear" w:color="auto" w:fill="E1DFDD"/>
    </w:rPr>
  </w:style>
  <w:style w:type="paragraph" w:styleId="NormalWeb">
    <w:name w:val="Normal (Web)"/>
    <w:basedOn w:val="Normal"/>
    <w:uiPriority w:val="99"/>
    <w:semiHidden/>
    <w:unhideWhenUsed/>
    <w:rsid w:val="00EE3697"/>
    <w:pPr>
      <w:spacing w:before="100" w:beforeAutospacing="1" w:after="100" w:afterAutospacing="1"/>
    </w:pPr>
    <w:rPr>
      <w:sz w:val="24"/>
      <w:szCs w:val="24"/>
      <w:lang w:val="en-CA" w:eastAsia="en-CA"/>
    </w:rPr>
  </w:style>
  <w:style w:type="character" w:styleId="Strong">
    <w:name w:val="Strong"/>
    <w:basedOn w:val="DefaultParagraphFont"/>
    <w:uiPriority w:val="22"/>
    <w:qFormat/>
    <w:rsid w:val="00716F13"/>
    <w:rPr>
      <w:b/>
      <w:bCs/>
    </w:rPr>
  </w:style>
  <w:style w:type="paragraph" w:styleId="ListParagraph">
    <w:name w:val="List Paragraph"/>
    <w:basedOn w:val="Normal"/>
    <w:uiPriority w:val="34"/>
    <w:qFormat/>
    <w:rsid w:val="001B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133600">
      <w:bodyDiv w:val="1"/>
      <w:marLeft w:val="0"/>
      <w:marRight w:val="0"/>
      <w:marTop w:val="0"/>
      <w:marBottom w:val="0"/>
      <w:divBdr>
        <w:top w:val="none" w:sz="0" w:space="0" w:color="auto"/>
        <w:left w:val="none" w:sz="0" w:space="0" w:color="auto"/>
        <w:bottom w:val="none" w:sz="0" w:space="0" w:color="auto"/>
        <w:right w:val="none" w:sz="0" w:space="0" w:color="auto"/>
      </w:divBdr>
    </w:div>
    <w:div w:id="1816100133">
      <w:bodyDiv w:val="1"/>
      <w:marLeft w:val="0"/>
      <w:marRight w:val="0"/>
      <w:marTop w:val="0"/>
      <w:marBottom w:val="0"/>
      <w:divBdr>
        <w:top w:val="none" w:sz="0" w:space="0" w:color="auto"/>
        <w:left w:val="none" w:sz="0" w:space="0" w:color="auto"/>
        <w:bottom w:val="none" w:sz="0" w:space="0" w:color="auto"/>
        <w:right w:val="none" w:sz="0" w:space="0" w:color="auto"/>
      </w:divBdr>
    </w:div>
    <w:div w:id="1856187000">
      <w:bodyDiv w:val="1"/>
      <w:marLeft w:val="0"/>
      <w:marRight w:val="0"/>
      <w:marTop w:val="0"/>
      <w:marBottom w:val="0"/>
      <w:divBdr>
        <w:top w:val="none" w:sz="0" w:space="0" w:color="auto"/>
        <w:left w:val="none" w:sz="0" w:space="0" w:color="auto"/>
        <w:bottom w:val="none" w:sz="0" w:space="0" w:color="auto"/>
        <w:right w:val="none" w:sz="0" w:space="0" w:color="auto"/>
      </w:divBdr>
    </w:div>
    <w:div w:id="20453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tritionalhig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sner@nutritionalhigh.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1456</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Pauline Miao</cp:lastModifiedBy>
  <cp:revision>5</cp:revision>
  <cp:lastPrinted>2019-01-03T22:20:00Z</cp:lastPrinted>
  <dcterms:created xsi:type="dcterms:W3CDTF">2019-07-03T17:54:00Z</dcterms:created>
  <dcterms:modified xsi:type="dcterms:W3CDTF">2019-07-04T15:01:00Z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