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EA" w:rsidRDefault="003558EA" w:rsidP="0095325C">
      <w:pPr>
        <w:pStyle w:val="Default"/>
        <w:jc w:val="right"/>
        <w:rPr>
          <w:rFonts w:ascii="Calibri" w:eastAsia="Calibri" w:hAnsi="Calibri" w:cs="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4"/>
        <w:gridCol w:w="5434"/>
      </w:tblGrid>
      <w:tr w:rsidR="0095325C" w:rsidTr="0095325C">
        <w:tc>
          <w:tcPr>
            <w:tcW w:w="5434" w:type="dxa"/>
          </w:tcPr>
          <w:p w:rsidR="0095325C" w:rsidRPr="0095325C" w:rsidRDefault="0095325C" w:rsidP="0095325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8"/>
                <w:szCs w:val="28"/>
              </w:rPr>
            </w:pPr>
            <w:r w:rsidRPr="0095325C">
              <w:rPr>
                <w:noProof/>
                <w:lang w:val="en-CA"/>
              </w:rPr>
              <w:drawing>
                <wp:inline distT="0" distB="0" distL="0" distR="0" wp14:anchorId="6D494C26" wp14:editId="2FFB36DB">
                  <wp:extent cx="1873886" cy="6178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873886" cy="617856"/>
                          </a:xfrm>
                          <a:prstGeom prst="rect">
                            <a:avLst/>
                          </a:prstGeom>
                          <a:ln w="12700" cap="flat">
                            <a:noFill/>
                            <a:miter lim="400000"/>
                          </a:ln>
                          <a:effectLst/>
                        </pic:spPr>
                      </pic:pic>
                    </a:graphicData>
                  </a:graphic>
                </wp:inline>
              </w:drawing>
            </w:r>
          </w:p>
        </w:tc>
        <w:tc>
          <w:tcPr>
            <w:tcW w:w="5434" w:type="dxa"/>
          </w:tcPr>
          <w:p w:rsidR="0095325C" w:rsidRDefault="0095325C" w:rsidP="0095325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8"/>
                <w:szCs w:val="28"/>
              </w:rPr>
            </w:pPr>
            <w:r w:rsidRPr="0095325C">
              <w:rPr>
                <w:b/>
                <w:noProof/>
                <w:sz w:val="28"/>
                <w:szCs w:val="22"/>
                <w:lang w:val="en-CA"/>
              </w:rPr>
              <w:drawing>
                <wp:inline distT="0" distB="0" distL="0" distR="0" wp14:anchorId="1ECAABE4" wp14:editId="60311C79">
                  <wp:extent cx="1009402" cy="810093"/>
                  <wp:effectExtent l="0" t="0" r="635" b="9525"/>
                  <wp:docPr id="1" name="Picture 1" descr="PokerVisi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erVision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501" cy="810172"/>
                          </a:xfrm>
                          <a:prstGeom prst="rect">
                            <a:avLst/>
                          </a:prstGeom>
                          <a:noFill/>
                          <a:ln>
                            <a:noFill/>
                          </a:ln>
                        </pic:spPr>
                      </pic:pic>
                    </a:graphicData>
                  </a:graphic>
                </wp:inline>
              </w:drawing>
            </w:r>
          </w:p>
        </w:tc>
      </w:tr>
    </w:tbl>
    <w:p w:rsidR="0095325C" w:rsidRDefault="00710A57">
      <w:pPr>
        <w:pStyle w:val="Body"/>
        <w:spacing w:after="60"/>
        <w:jc w:val="center"/>
        <w:rPr>
          <w:rFonts w:ascii="Arial" w:hAnsi="Arial"/>
          <w:b/>
          <w:bCs/>
          <w:sz w:val="20"/>
          <w:szCs w:val="20"/>
          <w:lang w:val="en-US"/>
        </w:rPr>
      </w:pPr>
      <w:r>
        <w:rPr>
          <w:noProof/>
        </w:rPr>
        <mc:AlternateContent>
          <mc:Choice Requires="wps">
            <w:drawing>
              <wp:anchor distT="0" distB="0" distL="0" distR="0" simplePos="0" relativeHeight="251659264" behindDoc="0" locked="0" layoutInCell="1" allowOverlap="1" wp14:anchorId="143B1BC6" wp14:editId="3AA52976">
                <wp:simplePos x="0" y="0"/>
                <wp:positionH relativeFrom="column">
                  <wp:posOffset>124777</wp:posOffset>
                </wp:positionH>
                <wp:positionV relativeFrom="line">
                  <wp:posOffset>32702</wp:posOffset>
                </wp:positionV>
                <wp:extent cx="6660516"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660516" cy="0"/>
                        </a:xfrm>
                        <a:prstGeom prst="line">
                          <a:avLst/>
                        </a:prstGeom>
                        <a:noFill/>
                        <a:ln w="9525" cap="flat">
                          <a:solidFill>
                            <a:srgbClr val="000000"/>
                          </a:solidFill>
                          <a:prstDash val="solid"/>
                          <a:round/>
                        </a:ln>
                        <a:effectLst/>
                      </wps:spPr>
                      <wps:bodyPr/>
                    </wps:wsp>
                  </a:graphicData>
                </a:graphic>
              </wp:anchor>
            </w:drawing>
          </mc:Choice>
          <mc:Fallback>
            <w:pict>
              <v:line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8pt,2.55pt" to="53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dKtQEAAFYDAAAOAAAAZHJzL2Uyb0RvYy54bWysU01v2zAMvQ/YfxB0b+ykjdsZcYqhQXcZ&#10;tgDbfgAjS7EGfYFS4+Tfj5LTrGtvxXJQRJF85HukV/dHa9hBYtTedXw+qzmTTvheu33Hf/18vLrj&#10;LCZwPRjvZMdPMvL79ccPqzG0cuEHb3qJjEBcbMfQ8SGl0FZVFIO0EGc+SEdO5dFCIhP3VY8wEro1&#10;1aKum2r02Af0QsZIr5vJydcFXykp0nelokzMdJx6S+XEcu7yWa1X0O4RwqDFuQ14RxcWtKOiF6gN&#10;JGBPqN9AWS3QR6/STHhbeaW0kIUDsZnXr9j8GCDIwoXEieEiU/x/sOLbYYtM9zS7+vb69mZ+t2g4&#10;c2BpVlN3nzExv/tNSmaxxhBbynlwWzxbMWwxMz8qtPmfstixCHy6CCyPiQl6bJqmXs6pgHj2VX8T&#10;A8b0RXrL8qXjRrvMHVo4fI2JilHoc0h+dv5RG1PmZxwbO/5puVgSMtAWKQOp5EZvdJ/jckbE/e7B&#10;IDtAXobyy5QI95+wXGQDcZjiimtaE/RPrp8SjMuAsizYubuszKRFvu18fyoSVdmi4ZU650XL2/HS&#10;pvvLz2H9BwAA//8DAFBLAwQUAAYACAAAACEAktQ8cNoAAAAHAQAADwAAAGRycy9kb3ducmV2Lnht&#10;bEyOzU7CQBSF9ya+w+SSsCEwA4YGa6fEKN25ESVuL51r29C5UzoDVJ/ewY0uz0/O+bL1YFtxpt43&#10;jjXMZwoEcelMw5WG97diugLhA7LB1jFp+CIP6/z2JsPUuAu/0nkbKhFH2KeooQ6hS6X0ZU0W/cx1&#10;xDH7dL3FEGVfSdPjJY7bVi6USqTFhuNDjR091VQetierwRc7Ohbfk3KiPu4qR4vj88sGtR6PhscH&#10;EIGG8FeGK35Ehzwy7d2JjRdt1PdJbGpYzkFcY5WsliD2v4bMM/mfP/8BAAD//wMAUEsBAi0AFAAG&#10;AAgAAAAhALaDOJL+AAAA4QEAABMAAAAAAAAAAAAAAAAAAAAAAFtDb250ZW50X1R5cGVzXS54bWxQ&#10;SwECLQAUAAYACAAAACEAOP0h/9YAAACUAQAACwAAAAAAAAAAAAAAAAAvAQAAX3JlbHMvLnJlbHNQ&#10;SwECLQAUAAYACAAAACEAj53nSrUBAABWAwAADgAAAAAAAAAAAAAAAAAuAgAAZHJzL2Uyb0RvYy54&#10;bWxQSwECLQAUAAYACAAAACEAktQ8cNoAAAAHAQAADwAAAAAAAAAAAAAAAAAPBAAAZHJzL2Rvd25y&#10;ZXYueG1sUEsFBgAAAAAEAAQA8wAAABYFAAAAAA==&#10;">
                <w10:wrap anchory="line"/>
              </v:line>
            </w:pict>
          </mc:Fallback>
        </mc:AlternateContent>
      </w:r>
    </w:p>
    <w:p w:rsidR="003558EA" w:rsidRDefault="0095325C">
      <w:pPr>
        <w:pStyle w:val="Body"/>
        <w:spacing w:after="60"/>
        <w:jc w:val="center"/>
        <w:rPr>
          <w:rFonts w:ascii="Arial" w:eastAsia="Arial" w:hAnsi="Arial" w:cs="Arial"/>
          <w:b/>
          <w:bCs/>
          <w:sz w:val="20"/>
          <w:szCs w:val="20"/>
        </w:rPr>
      </w:pPr>
      <w:proofErr w:type="gramStart"/>
      <w:r>
        <w:rPr>
          <w:rFonts w:ascii="Arial" w:hAnsi="Arial"/>
          <w:b/>
          <w:bCs/>
          <w:sz w:val="20"/>
          <w:szCs w:val="20"/>
          <w:lang w:val="en-US"/>
        </w:rPr>
        <w:t>ePlay’s</w:t>
      </w:r>
      <w:proofErr w:type="gramEnd"/>
      <w:r>
        <w:rPr>
          <w:rFonts w:ascii="Arial" w:hAnsi="Arial"/>
          <w:b/>
          <w:bCs/>
          <w:sz w:val="20"/>
          <w:szCs w:val="20"/>
          <w:lang w:val="en-US"/>
        </w:rPr>
        <w:t xml:space="preserve"> </w:t>
      </w:r>
      <w:r w:rsidR="00203B0B">
        <w:rPr>
          <w:rFonts w:ascii="Arial" w:hAnsi="Arial"/>
          <w:b/>
          <w:bCs/>
          <w:sz w:val="20"/>
          <w:szCs w:val="20"/>
          <w:lang w:val="en-US"/>
        </w:rPr>
        <w:t xml:space="preserve">PokerVision Network Announces Launch of On-Air Talent Competition </w:t>
      </w:r>
    </w:p>
    <w:p w:rsidR="003558EA" w:rsidRDefault="003558EA">
      <w:pPr>
        <w:pStyle w:val="Default"/>
        <w:jc w:val="both"/>
        <w:rPr>
          <w:b/>
          <w:bCs/>
          <w:sz w:val="20"/>
          <w:szCs w:val="20"/>
        </w:rPr>
      </w:pPr>
    </w:p>
    <w:p w:rsidR="003558EA" w:rsidRDefault="00203B0B" w:rsidP="00203B0B">
      <w:pPr>
        <w:pStyle w:val="Default"/>
        <w:jc w:val="both"/>
        <w:rPr>
          <w:bCs/>
          <w:sz w:val="20"/>
          <w:szCs w:val="20"/>
        </w:rPr>
      </w:pPr>
      <w:r>
        <w:rPr>
          <w:b/>
          <w:bCs/>
          <w:sz w:val="20"/>
          <w:szCs w:val="20"/>
        </w:rPr>
        <w:t>Toronto, Ontario</w:t>
      </w:r>
      <w:r w:rsidR="00710A57">
        <w:rPr>
          <w:b/>
          <w:bCs/>
          <w:sz w:val="20"/>
          <w:szCs w:val="20"/>
        </w:rPr>
        <w:t xml:space="preserve"> - December </w:t>
      </w:r>
      <w:r w:rsidR="00964620">
        <w:rPr>
          <w:b/>
          <w:bCs/>
          <w:sz w:val="20"/>
          <w:szCs w:val="20"/>
        </w:rPr>
        <w:t>2</w:t>
      </w:r>
      <w:r>
        <w:rPr>
          <w:b/>
          <w:bCs/>
          <w:sz w:val="20"/>
          <w:szCs w:val="20"/>
        </w:rPr>
        <w:t>9</w:t>
      </w:r>
      <w:r w:rsidR="00710A57">
        <w:rPr>
          <w:b/>
          <w:bCs/>
          <w:sz w:val="20"/>
          <w:szCs w:val="20"/>
        </w:rPr>
        <w:t xml:space="preserve">, 2016 </w:t>
      </w:r>
      <w:r w:rsidR="00710A57" w:rsidRPr="00203B0B">
        <w:rPr>
          <w:bCs/>
          <w:sz w:val="20"/>
          <w:szCs w:val="20"/>
        </w:rPr>
        <w:t xml:space="preserve">– ePlay Digital Inc. </w:t>
      </w:r>
      <w:r w:rsidR="00710A57" w:rsidRPr="00203B0B">
        <w:rPr>
          <w:sz w:val="20"/>
          <w:szCs w:val="20"/>
        </w:rPr>
        <w:t>(the "</w:t>
      </w:r>
      <w:r w:rsidR="00710A57" w:rsidRPr="00203B0B">
        <w:rPr>
          <w:bCs/>
          <w:sz w:val="20"/>
          <w:szCs w:val="20"/>
        </w:rPr>
        <w:t>Company</w:t>
      </w:r>
      <w:r w:rsidR="00710A57" w:rsidRPr="00203B0B">
        <w:rPr>
          <w:sz w:val="20"/>
          <w:szCs w:val="20"/>
        </w:rPr>
        <w:t>")</w:t>
      </w:r>
      <w:r w:rsidR="00710A57" w:rsidRPr="00203B0B">
        <w:rPr>
          <w:bCs/>
          <w:sz w:val="20"/>
          <w:szCs w:val="20"/>
        </w:rPr>
        <w:t xml:space="preserve"> (CSE:EPY) </w:t>
      </w:r>
      <w:r w:rsidRPr="00203B0B">
        <w:rPr>
          <w:bCs/>
          <w:sz w:val="20"/>
          <w:szCs w:val="20"/>
        </w:rPr>
        <w:t>through its wholly owned subsidiary PokerVision Media Inc. (PVN) announces today the launch of an international talent search for the launch of its poker, eSports and gaming television network.   On January 10</w:t>
      </w:r>
      <w:r w:rsidRPr="00203B0B">
        <w:rPr>
          <w:bCs/>
          <w:sz w:val="20"/>
          <w:szCs w:val="20"/>
          <w:vertAlign w:val="superscript"/>
        </w:rPr>
        <w:t>th</w:t>
      </w:r>
      <w:r w:rsidRPr="00203B0B">
        <w:rPr>
          <w:bCs/>
          <w:sz w:val="20"/>
          <w:szCs w:val="20"/>
        </w:rPr>
        <w:t>,</w:t>
      </w:r>
      <w:r w:rsidR="006A5191">
        <w:rPr>
          <w:bCs/>
          <w:sz w:val="20"/>
          <w:szCs w:val="20"/>
        </w:rPr>
        <w:t xml:space="preserve"> </w:t>
      </w:r>
      <w:r w:rsidRPr="00203B0B">
        <w:rPr>
          <w:bCs/>
          <w:sz w:val="20"/>
          <w:szCs w:val="20"/>
        </w:rPr>
        <w:t xml:space="preserve">the Company will go live with an interactive platform to discover poker television’s next live event coverage team and hostess. </w:t>
      </w:r>
      <w:r w:rsidR="00D27E1E">
        <w:rPr>
          <w:bCs/>
          <w:sz w:val="20"/>
          <w:szCs w:val="20"/>
        </w:rPr>
        <w:t xml:space="preserve"> T</w:t>
      </w:r>
      <w:r w:rsidRPr="00203B0B">
        <w:rPr>
          <w:bCs/>
          <w:sz w:val="20"/>
          <w:szCs w:val="20"/>
        </w:rPr>
        <w:t xml:space="preserve">he Company </w:t>
      </w:r>
      <w:r w:rsidR="00D27E1E">
        <w:rPr>
          <w:bCs/>
          <w:sz w:val="20"/>
          <w:szCs w:val="20"/>
        </w:rPr>
        <w:t>has set</w:t>
      </w:r>
      <w:r w:rsidRPr="00203B0B">
        <w:rPr>
          <w:bCs/>
          <w:sz w:val="20"/>
          <w:szCs w:val="20"/>
        </w:rPr>
        <w:t xml:space="preserve"> its sights on the launch of its multi-platform broadcast network</w:t>
      </w:r>
      <w:r>
        <w:rPr>
          <w:bCs/>
          <w:sz w:val="20"/>
          <w:szCs w:val="20"/>
        </w:rPr>
        <w:t xml:space="preserve"> through cable and satellite providers in Canada, </w:t>
      </w:r>
      <w:r w:rsidR="006A5191">
        <w:rPr>
          <w:bCs/>
          <w:sz w:val="20"/>
          <w:szCs w:val="20"/>
        </w:rPr>
        <w:t xml:space="preserve">supported by its </w:t>
      </w:r>
      <w:bookmarkStart w:id="0" w:name="_GoBack"/>
      <w:r w:rsidR="006A5191">
        <w:rPr>
          <w:bCs/>
          <w:sz w:val="20"/>
          <w:szCs w:val="20"/>
        </w:rPr>
        <w:t xml:space="preserve">interactive </w:t>
      </w:r>
      <w:bookmarkEnd w:id="0"/>
      <w:r w:rsidR="006A5191">
        <w:rPr>
          <w:bCs/>
          <w:sz w:val="20"/>
          <w:szCs w:val="20"/>
        </w:rPr>
        <w:t>digital applications</w:t>
      </w:r>
      <w:r w:rsidR="00D27E1E">
        <w:rPr>
          <w:bCs/>
          <w:sz w:val="20"/>
          <w:szCs w:val="20"/>
        </w:rPr>
        <w:t xml:space="preserve"> for the first half of 2017 and is starting the process of recruiting a world class broadcasting team</w:t>
      </w:r>
      <w:r w:rsidRPr="00203B0B">
        <w:rPr>
          <w:bCs/>
          <w:sz w:val="20"/>
          <w:szCs w:val="20"/>
        </w:rPr>
        <w:t>.</w:t>
      </w:r>
    </w:p>
    <w:p w:rsidR="00D27E1E" w:rsidRPr="00203B0B" w:rsidRDefault="00D27E1E" w:rsidP="00203B0B">
      <w:pPr>
        <w:pStyle w:val="Default"/>
        <w:jc w:val="both"/>
        <w:rPr>
          <w:bCs/>
          <w:sz w:val="20"/>
          <w:szCs w:val="20"/>
        </w:rPr>
      </w:pPr>
      <w:r>
        <w:rPr>
          <w:bCs/>
          <w:sz w:val="20"/>
          <w:szCs w:val="20"/>
        </w:rPr>
        <w:t xml:space="preserve">As the iconic teams of Mike Sexton and Vince Van Patten with World Poker Tour, James </w:t>
      </w:r>
      <w:proofErr w:type="spellStart"/>
      <w:r>
        <w:rPr>
          <w:bCs/>
          <w:sz w:val="20"/>
          <w:szCs w:val="20"/>
        </w:rPr>
        <w:t>Hartigan</w:t>
      </w:r>
      <w:proofErr w:type="spellEnd"/>
      <w:r>
        <w:rPr>
          <w:bCs/>
          <w:sz w:val="20"/>
          <w:szCs w:val="20"/>
        </w:rPr>
        <w:t xml:space="preserve"> and Joe </w:t>
      </w:r>
      <w:proofErr w:type="spellStart"/>
      <w:r>
        <w:rPr>
          <w:bCs/>
          <w:sz w:val="20"/>
          <w:szCs w:val="20"/>
        </w:rPr>
        <w:t>Stapelton</w:t>
      </w:r>
      <w:proofErr w:type="spellEnd"/>
      <w:r>
        <w:rPr>
          <w:bCs/>
          <w:sz w:val="20"/>
          <w:szCs w:val="20"/>
        </w:rPr>
        <w:t xml:space="preserve"> with Poker Stars and Norman Chad and Lon </w:t>
      </w:r>
      <w:proofErr w:type="spellStart"/>
      <w:r>
        <w:rPr>
          <w:bCs/>
          <w:sz w:val="20"/>
          <w:szCs w:val="20"/>
        </w:rPr>
        <w:t>McEachern</w:t>
      </w:r>
      <w:proofErr w:type="spellEnd"/>
      <w:r>
        <w:rPr>
          <w:bCs/>
          <w:sz w:val="20"/>
          <w:szCs w:val="20"/>
        </w:rPr>
        <w:t xml:space="preserve"> with World Series of Poker have defined our experience watching poker event coverage, PVN will be looking to set </w:t>
      </w:r>
      <w:r w:rsidR="00C97DFE">
        <w:rPr>
          <w:bCs/>
          <w:sz w:val="20"/>
          <w:szCs w:val="20"/>
        </w:rPr>
        <w:t>a</w:t>
      </w:r>
      <w:r>
        <w:rPr>
          <w:bCs/>
          <w:sz w:val="20"/>
          <w:szCs w:val="20"/>
        </w:rPr>
        <w:t xml:space="preserve"> new standard</w:t>
      </w:r>
      <w:r w:rsidR="00C97DFE">
        <w:rPr>
          <w:bCs/>
          <w:sz w:val="20"/>
          <w:szCs w:val="20"/>
        </w:rPr>
        <w:t xml:space="preserve"> of interactive television.</w:t>
      </w:r>
    </w:p>
    <w:p w:rsidR="00203B0B" w:rsidRDefault="006A5191" w:rsidP="00203B0B">
      <w:pPr>
        <w:pStyle w:val="Default"/>
        <w:jc w:val="both"/>
        <w:rPr>
          <w:sz w:val="20"/>
          <w:szCs w:val="20"/>
        </w:rPr>
      </w:pPr>
      <w:r>
        <w:rPr>
          <w:sz w:val="20"/>
          <w:szCs w:val="20"/>
        </w:rPr>
        <w:t xml:space="preserve">“We are looking for the next generation of TV personalities to engage and entertain as we work to professionalize and revolutionize the mainstream broadcasting of poker from around the world,” stated PVN’s Head of Broadcasting Jim Nelles.  “Our plans </w:t>
      </w:r>
      <w:r w:rsidR="00D27E1E">
        <w:rPr>
          <w:sz w:val="20"/>
          <w:szCs w:val="20"/>
        </w:rPr>
        <w:t xml:space="preserve">using engaged viewership </w:t>
      </w:r>
      <w:r>
        <w:rPr>
          <w:sz w:val="20"/>
          <w:szCs w:val="20"/>
        </w:rPr>
        <w:t xml:space="preserve">to take the </w:t>
      </w:r>
      <w:r w:rsidR="00D27E1E">
        <w:rPr>
          <w:sz w:val="20"/>
          <w:szCs w:val="20"/>
        </w:rPr>
        <w:t>audience’s</w:t>
      </w:r>
      <w:r>
        <w:rPr>
          <w:sz w:val="20"/>
          <w:szCs w:val="20"/>
        </w:rPr>
        <w:t xml:space="preserve"> experience beyond what is expected from traditional broadcasters will be what sets </w:t>
      </w:r>
      <w:r w:rsidR="00D27E1E">
        <w:rPr>
          <w:sz w:val="20"/>
          <w:szCs w:val="20"/>
        </w:rPr>
        <w:t>PVN</w:t>
      </w:r>
      <w:r>
        <w:rPr>
          <w:sz w:val="20"/>
          <w:szCs w:val="20"/>
        </w:rPr>
        <w:t xml:space="preserve"> apart.”</w:t>
      </w:r>
    </w:p>
    <w:p w:rsidR="0006540F" w:rsidRDefault="006A5191" w:rsidP="00203B0B">
      <w:pPr>
        <w:pStyle w:val="Default"/>
        <w:jc w:val="both"/>
        <w:rPr>
          <w:sz w:val="20"/>
          <w:szCs w:val="20"/>
        </w:rPr>
      </w:pPr>
      <w:r>
        <w:rPr>
          <w:sz w:val="20"/>
          <w:szCs w:val="20"/>
        </w:rPr>
        <w:t>On January 10</w:t>
      </w:r>
      <w:r w:rsidRPr="006A5191">
        <w:rPr>
          <w:sz w:val="20"/>
          <w:szCs w:val="20"/>
          <w:vertAlign w:val="superscript"/>
        </w:rPr>
        <w:t>th</w:t>
      </w:r>
      <w:r>
        <w:rPr>
          <w:sz w:val="20"/>
          <w:szCs w:val="20"/>
        </w:rPr>
        <w:t xml:space="preserve">, the Company will launch details on its website on how to apply to become </w:t>
      </w:r>
      <w:r w:rsidR="00D27E1E">
        <w:rPr>
          <w:sz w:val="20"/>
          <w:szCs w:val="20"/>
        </w:rPr>
        <w:t xml:space="preserve">part </w:t>
      </w:r>
      <w:r>
        <w:rPr>
          <w:sz w:val="20"/>
          <w:szCs w:val="20"/>
        </w:rPr>
        <w:t xml:space="preserve">of the broadcasting </w:t>
      </w:r>
      <w:r w:rsidR="00D27E1E">
        <w:rPr>
          <w:sz w:val="20"/>
          <w:szCs w:val="20"/>
        </w:rPr>
        <w:t xml:space="preserve">and live event coverage </w:t>
      </w:r>
      <w:r>
        <w:rPr>
          <w:sz w:val="20"/>
          <w:szCs w:val="20"/>
        </w:rPr>
        <w:t xml:space="preserve">team.  The network is looking for individuals with broadcasting experience </w:t>
      </w:r>
      <w:r w:rsidR="00D27E1E">
        <w:rPr>
          <w:sz w:val="20"/>
          <w:szCs w:val="20"/>
        </w:rPr>
        <w:t>plus</w:t>
      </w:r>
      <w:r>
        <w:rPr>
          <w:sz w:val="20"/>
          <w:szCs w:val="20"/>
        </w:rPr>
        <w:t xml:space="preserve"> a unique insight into the world of poker</w:t>
      </w:r>
      <w:r w:rsidR="0006540F">
        <w:rPr>
          <w:sz w:val="20"/>
          <w:szCs w:val="20"/>
        </w:rPr>
        <w:t>, eSports</w:t>
      </w:r>
      <w:r w:rsidR="00D27E1E">
        <w:rPr>
          <w:sz w:val="20"/>
          <w:szCs w:val="20"/>
        </w:rPr>
        <w:t>, and gaming.</w:t>
      </w:r>
      <w:r w:rsidR="00C97DFE">
        <w:rPr>
          <w:sz w:val="20"/>
          <w:szCs w:val="20"/>
        </w:rPr>
        <w:t xml:space="preserve">  Event cover</w:t>
      </w:r>
      <w:r w:rsidR="005C03A6">
        <w:rPr>
          <w:sz w:val="20"/>
          <w:szCs w:val="20"/>
        </w:rPr>
        <w:t>age will include Canadian and i</w:t>
      </w:r>
      <w:r w:rsidR="00C97DFE">
        <w:rPr>
          <w:sz w:val="20"/>
          <w:szCs w:val="20"/>
        </w:rPr>
        <w:t>nternational events and plans to broadcast both on cable television and digitally outside of Canada are already in the works.</w:t>
      </w:r>
    </w:p>
    <w:p w:rsidR="006A5191" w:rsidRDefault="0006540F" w:rsidP="00203B0B">
      <w:pPr>
        <w:pStyle w:val="Default"/>
        <w:jc w:val="both"/>
        <w:rPr>
          <w:sz w:val="20"/>
          <w:szCs w:val="20"/>
        </w:rPr>
      </w:pPr>
      <w:r>
        <w:rPr>
          <w:sz w:val="20"/>
          <w:szCs w:val="20"/>
        </w:rPr>
        <w:t>Executive Vice President of Programming, Malcolm Dunlop commented,  “We will be looking to televise and engage in innovative ways and use cable and satellite broadcasting as the foundation to build digital methods to not only watch poker on TV, but to be a part of it.”</w:t>
      </w:r>
    </w:p>
    <w:p w:rsidR="003558EA" w:rsidRPr="003A1576" w:rsidRDefault="00710A57" w:rsidP="003A1576">
      <w:pPr>
        <w:pStyle w:val="Body"/>
        <w:spacing w:after="120"/>
        <w:jc w:val="both"/>
        <w:outlineLvl w:val="0"/>
        <w:rPr>
          <w:rFonts w:ascii="Arial" w:hAnsi="Arial"/>
          <w:b/>
          <w:bCs/>
          <w:sz w:val="16"/>
          <w:szCs w:val="16"/>
          <w:lang w:val="en-US"/>
        </w:rPr>
      </w:pPr>
      <w:r w:rsidRPr="003A1576">
        <w:rPr>
          <w:rFonts w:ascii="Arial" w:hAnsi="Arial"/>
          <w:b/>
          <w:bCs/>
          <w:sz w:val="16"/>
          <w:szCs w:val="16"/>
          <w:lang w:val="en-US"/>
        </w:rPr>
        <w:t>Further Information</w:t>
      </w:r>
    </w:p>
    <w:p w:rsidR="003558EA" w:rsidRDefault="00710A57">
      <w:pPr>
        <w:pStyle w:val="Body"/>
        <w:spacing w:after="120"/>
        <w:jc w:val="both"/>
        <w:outlineLvl w:val="0"/>
        <w:rPr>
          <w:rFonts w:ascii="Arial" w:eastAsia="Arial" w:hAnsi="Arial" w:cs="Arial"/>
          <w:sz w:val="20"/>
          <w:szCs w:val="20"/>
        </w:rPr>
      </w:pPr>
      <w:r>
        <w:rPr>
          <w:rFonts w:ascii="Arial" w:hAnsi="Arial"/>
          <w:sz w:val="20"/>
          <w:szCs w:val="20"/>
          <w:lang w:val="en-US"/>
        </w:rPr>
        <w:t>Further details are available under the Company’s profile on SEDAR at www.sedar.com, and the Company’s profile on the CSE’s website at www.thecse.com</w:t>
      </w:r>
    </w:p>
    <w:p w:rsidR="003558EA" w:rsidRDefault="00710A57">
      <w:pPr>
        <w:pStyle w:val="Body"/>
        <w:spacing w:after="120"/>
        <w:jc w:val="both"/>
        <w:outlineLvl w:val="0"/>
        <w:rPr>
          <w:rFonts w:ascii="Arial" w:eastAsia="Arial" w:hAnsi="Arial" w:cs="Arial"/>
          <w:sz w:val="20"/>
          <w:szCs w:val="20"/>
        </w:rPr>
      </w:pPr>
      <w:r>
        <w:rPr>
          <w:rFonts w:ascii="Arial" w:hAnsi="Arial"/>
          <w:sz w:val="20"/>
          <w:szCs w:val="20"/>
          <w:lang w:val="en-US"/>
        </w:rPr>
        <w:t>For further information please contact:</w:t>
      </w:r>
    </w:p>
    <w:p w:rsidR="003558EA" w:rsidRDefault="00710A57">
      <w:pPr>
        <w:pStyle w:val="Body"/>
        <w:spacing w:after="0"/>
        <w:jc w:val="both"/>
        <w:outlineLvl w:val="0"/>
        <w:rPr>
          <w:rFonts w:ascii="Arial" w:eastAsia="Arial" w:hAnsi="Arial" w:cs="Arial"/>
          <w:sz w:val="20"/>
          <w:szCs w:val="20"/>
        </w:rPr>
      </w:pPr>
      <w:r>
        <w:rPr>
          <w:rFonts w:ascii="Arial" w:hAnsi="Arial"/>
          <w:sz w:val="20"/>
          <w:szCs w:val="20"/>
          <w:lang w:val="nl-NL"/>
        </w:rPr>
        <w:t>Trevor Doerksen, CEO, and Director</w:t>
      </w:r>
    </w:p>
    <w:p w:rsidR="003558EA" w:rsidRDefault="00710A57">
      <w:pPr>
        <w:pStyle w:val="Body"/>
        <w:spacing w:after="0"/>
        <w:jc w:val="both"/>
        <w:outlineLvl w:val="0"/>
        <w:rPr>
          <w:rFonts w:ascii="Arial" w:eastAsia="Arial" w:hAnsi="Arial" w:cs="Arial"/>
          <w:sz w:val="20"/>
          <w:szCs w:val="20"/>
        </w:rPr>
      </w:pPr>
      <w:r>
        <w:rPr>
          <w:rFonts w:ascii="Arial" w:hAnsi="Arial"/>
          <w:sz w:val="20"/>
          <w:szCs w:val="20"/>
          <w:lang w:val="it-IT"/>
        </w:rPr>
        <w:t>Telephone: (403) 775-9475</w:t>
      </w:r>
    </w:p>
    <w:p w:rsidR="003558EA" w:rsidRDefault="00710A57">
      <w:pPr>
        <w:pStyle w:val="Body"/>
        <w:spacing w:after="0"/>
        <w:jc w:val="both"/>
        <w:outlineLvl w:val="0"/>
        <w:rPr>
          <w:rFonts w:ascii="Arial" w:eastAsia="Arial" w:hAnsi="Arial" w:cs="Arial"/>
          <w:sz w:val="20"/>
          <w:szCs w:val="20"/>
        </w:rPr>
      </w:pPr>
      <w:r>
        <w:rPr>
          <w:rFonts w:ascii="Arial" w:hAnsi="Arial"/>
          <w:sz w:val="20"/>
          <w:szCs w:val="20"/>
        </w:rPr>
        <w:t xml:space="preserve">E-mail: </w:t>
      </w:r>
      <w:hyperlink r:id="rId9" w:history="1">
        <w:r>
          <w:rPr>
            <w:rStyle w:val="Hyperlink0"/>
            <w:lang w:val="en-US"/>
          </w:rPr>
          <w:t>info@eplaydigital.com</w:t>
        </w:r>
      </w:hyperlink>
      <w:r>
        <w:rPr>
          <w:rFonts w:ascii="Arial" w:hAnsi="Arial"/>
          <w:sz w:val="20"/>
          <w:szCs w:val="20"/>
        </w:rPr>
        <w:t xml:space="preserve"> </w:t>
      </w:r>
    </w:p>
    <w:p w:rsidR="003558EA" w:rsidRDefault="00710A57">
      <w:pPr>
        <w:pStyle w:val="Body"/>
        <w:spacing w:after="0"/>
        <w:jc w:val="both"/>
        <w:outlineLvl w:val="0"/>
        <w:rPr>
          <w:rFonts w:ascii="Arial" w:eastAsia="Arial" w:hAnsi="Arial" w:cs="Arial"/>
          <w:sz w:val="20"/>
          <w:szCs w:val="20"/>
        </w:rPr>
      </w:pPr>
      <w:r>
        <w:rPr>
          <w:rFonts w:ascii="Arial" w:hAnsi="Arial"/>
          <w:sz w:val="20"/>
          <w:szCs w:val="20"/>
          <w:lang w:val="en-US"/>
        </w:rPr>
        <w:t xml:space="preserve">Website: </w:t>
      </w:r>
      <w:hyperlink r:id="rId10" w:history="1">
        <w:r>
          <w:rPr>
            <w:rStyle w:val="Hyperlink0"/>
            <w:lang w:val="it-IT"/>
          </w:rPr>
          <w:t>www.eplaydigital.com</w:t>
        </w:r>
      </w:hyperlink>
      <w:r>
        <w:rPr>
          <w:rFonts w:ascii="Arial" w:hAnsi="Arial"/>
          <w:sz w:val="20"/>
          <w:szCs w:val="20"/>
        </w:rPr>
        <w:t xml:space="preserve"> </w:t>
      </w:r>
    </w:p>
    <w:p w:rsidR="003558EA" w:rsidRDefault="00710A57">
      <w:pPr>
        <w:pStyle w:val="Body"/>
        <w:spacing w:after="0"/>
        <w:jc w:val="both"/>
        <w:outlineLvl w:val="0"/>
        <w:rPr>
          <w:rFonts w:ascii="Arial" w:eastAsia="Arial" w:hAnsi="Arial" w:cs="Arial"/>
          <w:sz w:val="20"/>
          <w:szCs w:val="20"/>
        </w:rPr>
      </w:pPr>
      <w:r>
        <w:rPr>
          <w:rFonts w:ascii="Arial" w:hAnsi="Arial"/>
          <w:sz w:val="20"/>
          <w:szCs w:val="20"/>
          <w:lang w:val="en-US"/>
        </w:rPr>
        <w:t>Canadian Securities Exchange (CSE): Symbol EPY</w:t>
      </w:r>
    </w:p>
    <w:p w:rsidR="003558EA" w:rsidRDefault="00710A57">
      <w:pPr>
        <w:pStyle w:val="Body"/>
        <w:spacing w:after="0"/>
        <w:jc w:val="both"/>
        <w:outlineLvl w:val="0"/>
        <w:rPr>
          <w:rFonts w:ascii="Arial" w:eastAsia="Arial" w:hAnsi="Arial" w:cs="Arial"/>
          <w:sz w:val="20"/>
          <w:szCs w:val="20"/>
        </w:rPr>
      </w:pPr>
      <w:r>
        <w:rPr>
          <w:rFonts w:ascii="Arial" w:hAnsi="Arial"/>
          <w:sz w:val="20"/>
          <w:szCs w:val="20"/>
          <w:lang w:val="de-DE"/>
        </w:rPr>
        <w:t>Deutsche Boerse Xetra - Frankfurt Stock Exchange: Symbol 2NY2; WKN: A2AN4D; ISIN CA26885W1041</w:t>
      </w:r>
    </w:p>
    <w:p w:rsidR="00FF7845" w:rsidRDefault="00FF7845">
      <w:pPr>
        <w:pStyle w:val="Body"/>
        <w:spacing w:after="120"/>
        <w:jc w:val="both"/>
        <w:outlineLvl w:val="0"/>
        <w:rPr>
          <w:rFonts w:ascii="Arial" w:hAnsi="Arial"/>
          <w:b/>
          <w:bCs/>
          <w:sz w:val="16"/>
          <w:szCs w:val="16"/>
          <w:lang w:val="en-US"/>
        </w:rPr>
      </w:pPr>
    </w:p>
    <w:p w:rsidR="003558EA" w:rsidRDefault="00710A57">
      <w:pPr>
        <w:pStyle w:val="Body"/>
        <w:spacing w:after="120"/>
        <w:jc w:val="both"/>
        <w:outlineLvl w:val="0"/>
        <w:rPr>
          <w:rFonts w:ascii="Arial" w:eastAsia="Arial" w:hAnsi="Arial" w:cs="Arial"/>
          <w:b/>
          <w:bCs/>
          <w:sz w:val="16"/>
          <w:szCs w:val="16"/>
        </w:rPr>
      </w:pPr>
      <w:r>
        <w:rPr>
          <w:rFonts w:ascii="Arial" w:hAnsi="Arial"/>
          <w:b/>
          <w:bCs/>
          <w:sz w:val="16"/>
          <w:szCs w:val="16"/>
          <w:lang w:val="en-US"/>
        </w:rPr>
        <w:t>Cautionary and Forward-Looking Statements</w:t>
      </w:r>
    </w:p>
    <w:p w:rsidR="003558EA" w:rsidRDefault="00710A57">
      <w:pPr>
        <w:pStyle w:val="Body"/>
        <w:spacing w:after="120"/>
        <w:jc w:val="both"/>
        <w:outlineLvl w:val="0"/>
        <w:rPr>
          <w:rFonts w:ascii="Arial" w:eastAsia="Arial" w:hAnsi="Arial" w:cs="Arial"/>
          <w:i/>
          <w:iCs/>
          <w:sz w:val="16"/>
          <w:szCs w:val="16"/>
        </w:rPr>
      </w:pPr>
      <w:r>
        <w:rPr>
          <w:rFonts w:ascii="Arial" w:hAnsi="Arial"/>
          <w:i/>
          <w:iCs/>
          <w:sz w:val="16"/>
          <w:szCs w:val="16"/>
          <w:lang w:val="en-US"/>
        </w:rPr>
        <w:t>This news release contains forward</w:t>
      </w:r>
      <w:r>
        <w:rPr>
          <w:rFonts w:ascii="Cambria Math" w:eastAsia="Cambria Math" w:hAnsi="Cambria Math" w:cs="Cambria Math"/>
          <w:i/>
          <w:iCs/>
          <w:sz w:val="16"/>
          <w:szCs w:val="16"/>
          <w:lang w:val="en-US"/>
        </w:rPr>
        <w:t>‐</w:t>
      </w:r>
      <w:r>
        <w:rPr>
          <w:rFonts w:ascii="Arial" w:hAnsi="Arial"/>
          <w:i/>
          <w:iCs/>
          <w:sz w:val="16"/>
          <w:szCs w:val="16"/>
          <w:lang w:val="en-US"/>
        </w:rPr>
        <w:t>looking statements and forward</w:t>
      </w:r>
      <w:r>
        <w:rPr>
          <w:rFonts w:ascii="Cambria Math" w:eastAsia="Cambria Math" w:hAnsi="Cambria Math" w:cs="Cambria Math"/>
          <w:i/>
          <w:iCs/>
          <w:sz w:val="16"/>
          <w:szCs w:val="16"/>
          <w:lang w:val="en-US"/>
        </w:rPr>
        <w:t>‐</w:t>
      </w:r>
      <w:r>
        <w:rPr>
          <w:rFonts w:ascii="Arial" w:hAnsi="Arial"/>
          <w:i/>
          <w:iCs/>
          <w:sz w:val="16"/>
          <w:szCs w:val="16"/>
          <w:lang w:val="en-US"/>
        </w:rPr>
        <w:t>looking information within the meaning of applicable securities laws. These statements relate to future events or future performance. All statements other than statements of historical fact may be forward</w:t>
      </w:r>
      <w:r>
        <w:rPr>
          <w:rFonts w:ascii="Cambria Math" w:eastAsia="Cambria Math" w:hAnsi="Cambria Math" w:cs="Cambria Math"/>
          <w:i/>
          <w:iCs/>
          <w:sz w:val="16"/>
          <w:szCs w:val="16"/>
          <w:lang w:val="en-US"/>
        </w:rPr>
        <w:t>‐</w:t>
      </w:r>
      <w:r>
        <w:rPr>
          <w:rFonts w:ascii="Arial" w:hAnsi="Arial"/>
          <w:i/>
          <w:iCs/>
          <w:sz w:val="16"/>
          <w:szCs w:val="16"/>
          <w:lang w:val="en-US"/>
        </w:rPr>
        <w:t>looking statements or information. More particularly and without limitation, this news release contains forward</w:t>
      </w:r>
      <w:r>
        <w:rPr>
          <w:rFonts w:ascii="Cambria Math" w:eastAsia="Cambria Math" w:hAnsi="Cambria Math" w:cs="Cambria Math"/>
          <w:i/>
          <w:iCs/>
          <w:sz w:val="16"/>
          <w:szCs w:val="16"/>
          <w:lang w:val="en-US"/>
        </w:rPr>
        <w:t>‐</w:t>
      </w:r>
      <w:r>
        <w:rPr>
          <w:rFonts w:ascii="Arial" w:hAnsi="Arial"/>
          <w:i/>
          <w:iCs/>
          <w:sz w:val="16"/>
          <w:szCs w:val="16"/>
          <w:lang w:val="en-US"/>
        </w:rPr>
        <w:t>looking statements and information relating to third party research and analysis, and the Company's corporate strategy. Although management of the Company believes that the expectations and assumptions on which such forward looking statements and information are based are reasonable, undue reliance should not be placed on the forward</w:t>
      </w:r>
      <w:r>
        <w:rPr>
          <w:rFonts w:ascii="Cambria Math" w:eastAsia="Cambria Math" w:hAnsi="Cambria Math" w:cs="Cambria Math"/>
          <w:i/>
          <w:iCs/>
          <w:sz w:val="16"/>
          <w:szCs w:val="16"/>
          <w:lang w:val="en-US"/>
        </w:rPr>
        <w:t>‐</w:t>
      </w:r>
      <w:r>
        <w:rPr>
          <w:rFonts w:ascii="Arial" w:hAnsi="Arial"/>
          <w:i/>
          <w:iCs/>
          <w:sz w:val="16"/>
          <w:szCs w:val="16"/>
          <w:lang w:val="en-US"/>
        </w:rPr>
        <w:t xml:space="preserve">looking statements and information since no assurance can be given that they will prove to be correct, and management can neither agree or disagree on specific conclusions contained in the research report. </w:t>
      </w:r>
    </w:p>
    <w:p w:rsidR="003558EA" w:rsidRDefault="00710A57">
      <w:pPr>
        <w:pStyle w:val="Body"/>
        <w:spacing w:after="120"/>
        <w:jc w:val="both"/>
        <w:outlineLvl w:val="0"/>
        <w:rPr>
          <w:rFonts w:ascii="Arial" w:eastAsia="Arial" w:hAnsi="Arial" w:cs="Arial"/>
          <w:i/>
          <w:iCs/>
          <w:sz w:val="16"/>
          <w:szCs w:val="16"/>
        </w:rPr>
      </w:pPr>
      <w:r>
        <w:rPr>
          <w:rFonts w:ascii="Arial" w:hAnsi="Arial"/>
          <w:i/>
          <w:iCs/>
          <w:sz w:val="16"/>
          <w:szCs w:val="16"/>
          <w:lang w:val="en-US"/>
        </w:rPr>
        <w:lastRenderedPageBreak/>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w:t>
      </w:r>
      <w:r>
        <w:rPr>
          <w:rFonts w:ascii="Cambria Math" w:eastAsia="Cambria Math" w:hAnsi="Cambria Math" w:cs="Cambria Math"/>
          <w:i/>
          <w:iCs/>
          <w:sz w:val="16"/>
          <w:szCs w:val="16"/>
          <w:lang w:val="en-US"/>
        </w:rPr>
        <w:t>‐</w:t>
      </w:r>
      <w:r>
        <w:rPr>
          <w:rFonts w:ascii="Arial" w:hAnsi="Arial"/>
          <w:i/>
          <w:iCs/>
          <w:sz w:val="16"/>
          <w:szCs w:val="16"/>
          <w:lang w:val="en-US"/>
        </w:rPr>
        <w:t>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Company's ability to identify and complete suitable acquisitions to further the Company's growth as well as risks associated with the Company's ability to commercialize the digital sports sectors in general such as operational risks in development, research and regulatory delays or changes in plans with respect to research projects or capital expenditures; the uncertainty of the market; the uncertainty of estimates and projections relating to costs and expenses; marketing and commercialization; loss of markets; competition; incorrect assessment of the value of any technologies acquired and failure to realize the anticipated benefits of such acquisitions;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w:t>
      </w:r>
      <w:r>
        <w:rPr>
          <w:rFonts w:ascii="Cambria Math" w:eastAsia="Cambria Math" w:hAnsi="Cambria Math" w:cs="Cambria Math"/>
          <w:i/>
          <w:iCs/>
          <w:sz w:val="16"/>
          <w:szCs w:val="16"/>
          <w:lang w:val="en-US"/>
        </w:rPr>
        <w:t>‐</w:t>
      </w:r>
      <w:r>
        <w:rPr>
          <w:rFonts w:ascii="Arial" w:hAnsi="Arial"/>
          <w:i/>
          <w:iCs/>
          <w:sz w:val="16"/>
          <w:szCs w:val="16"/>
          <w:lang w:val="en-US"/>
        </w:rPr>
        <w:t>looking statements, timelines and information contained in this news release. Readers are cautioned that the foregoing list of factors is not exhaustive.</w:t>
      </w:r>
    </w:p>
    <w:p w:rsidR="003558EA" w:rsidRDefault="00710A57">
      <w:pPr>
        <w:pStyle w:val="Body"/>
        <w:spacing w:after="120"/>
        <w:jc w:val="both"/>
        <w:outlineLvl w:val="0"/>
      </w:pPr>
      <w:r>
        <w:rPr>
          <w:rFonts w:ascii="Arial" w:hAnsi="Arial"/>
          <w:i/>
          <w:iCs/>
          <w:sz w:val="16"/>
          <w:szCs w:val="16"/>
          <w:lang w:val="en-US"/>
        </w:rPr>
        <w:t>The forward</w:t>
      </w:r>
      <w:r>
        <w:rPr>
          <w:rFonts w:ascii="Cambria Math" w:eastAsia="Cambria Math" w:hAnsi="Cambria Math" w:cs="Cambria Math"/>
          <w:i/>
          <w:iCs/>
          <w:sz w:val="16"/>
          <w:szCs w:val="16"/>
          <w:lang w:val="en-US"/>
        </w:rPr>
        <w:t>‐</w:t>
      </w:r>
      <w:r>
        <w:rPr>
          <w:rFonts w:ascii="Arial" w:hAnsi="Arial"/>
          <w:i/>
          <w:iCs/>
          <w:sz w:val="16"/>
          <w:szCs w:val="16"/>
          <w:lang w:val="en-US"/>
        </w:rPr>
        <w:t>looking statements and information contained in this news release are made as of the date hereof and no undertaking is given to update publicly or revise any forward</w:t>
      </w:r>
      <w:r>
        <w:rPr>
          <w:rFonts w:ascii="Cambria Math" w:eastAsia="Cambria Math" w:hAnsi="Cambria Math" w:cs="Cambria Math"/>
          <w:i/>
          <w:iCs/>
          <w:sz w:val="16"/>
          <w:szCs w:val="16"/>
          <w:lang w:val="en-US"/>
        </w:rPr>
        <w:t>‐</w:t>
      </w:r>
      <w:r>
        <w:rPr>
          <w:rFonts w:ascii="Arial" w:hAnsi="Arial"/>
          <w:i/>
          <w:iCs/>
          <w:sz w:val="16"/>
          <w:szCs w:val="16"/>
          <w:lang w:val="en-US"/>
        </w:rPr>
        <w:t>looking statements or information, whether as a result of new information, future events or otherwise, unless so required by applicable securities laws or the Exchange. The forward-looking statements or information contained in this news release are expressly qualified by this cautionary statement.</w:t>
      </w:r>
    </w:p>
    <w:sectPr w:rsidR="003558EA">
      <w:headerReference w:type="default" r:id="rId11"/>
      <w:footerReference w:type="default" r:id="rId12"/>
      <w:pgSz w:w="12240" w:h="15840"/>
      <w:pgMar w:top="289" w:right="794" w:bottom="289"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52" w:rsidRDefault="00144852">
      <w:r>
        <w:separator/>
      </w:r>
    </w:p>
  </w:endnote>
  <w:endnote w:type="continuationSeparator" w:id="0">
    <w:p w:rsidR="00144852" w:rsidRDefault="0014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A" w:rsidRDefault="003558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52" w:rsidRDefault="00144852">
      <w:r>
        <w:separator/>
      </w:r>
    </w:p>
  </w:footnote>
  <w:footnote w:type="continuationSeparator" w:id="0">
    <w:p w:rsidR="00144852" w:rsidRDefault="00144852">
      <w:r>
        <w:continuationSeparator/>
      </w:r>
    </w:p>
  </w:footnote>
  <w:footnote w:type="continuationNotice" w:id="1">
    <w:p w:rsidR="00144852" w:rsidRDefault="001448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A" w:rsidRDefault="003558E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558EA"/>
    <w:rsid w:val="0006540F"/>
    <w:rsid w:val="00104EF2"/>
    <w:rsid w:val="00115970"/>
    <w:rsid w:val="00144852"/>
    <w:rsid w:val="00203B0B"/>
    <w:rsid w:val="003017F1"/>
    <w:rsid w:val="003558EA"/>
    <w:rsid w:val="003A1576"/>
    <w:rsid w:val="005C03A6"/>
    <w:rsid w:val="00623984"/>
    <w:rsid w:val="006827EB"/>
    <w:rsid w:val="006A5191"/>
    <w:rsid w:val="00710A57"/>
    <w:rsid w:val="00763962"/>
    <w:rsid w:val="0095325C"/>
    <w:rsid w:val="00964620"/>
    <w:rsid w:val="009B0961"/>
    <w:rsid w:val="00A3467A"/>
    <w:rsid w:val="00AA4A64"/>
    <w:rsid w:val="00C97DFE"/>
    <w:rsid w:val="00D27E1E"/>
    <w:rsid w:val="00D52046"/>
    <w:rsid w:val="00DF17E9"/>
    <w:rsid w:val="00FF7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pacing w:after="160" w:line="259" w:lineRule="auto"/>
    </w:pPr>
    <w:rPr>
      <w:rFonts w:ascii="Arial" w:hAnsi="Arial" w:cs="Arial Unicode MS"/>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 w:type="paragraph" w:styleId="BalloonText">
    <w:name w:val="Balloon Text"/>
    <w:basedOn w:val="Normal"/>
    <w:link w:val="BalloonTextChar"/>
    <w:uiPriority w:val="99"/>
    <w:semiHidden/>
    <w:unhideWhenUsed/>
    <w:rsid w:val="00623984"/>
    <w:rPr>
      <w:rFonts w:ascii="Tahoma" w:hAnsi="Tahoma" w:cs="Tahoma"/>
      <w:sz w:val="16"/>
      <w:szCs w:val="16"/>
    </w:rPr>
  </w:style>
  <w:style w:type="character" w:customStyle="1" w:styleId="BalloonTextChar">
    <w:name w:val="Balloon Text Char"/>
    <w:basedOn w:val="DefaultParagraphFont"/>
    <w:link w:val="BalloonText"/>
    <w:uiPriority w:val="99"/>
    <w:semiHidden/>
    <w:rsid w:val="00623984"/>
    <w:rPr>
      <w:rFonts w:ascii="Tahoma" w:hAnsi="Tahoma" w:cs="Tahoma"/>
      <w:sz w:val="16"/>
      <w:szCs w:val="16"/>
      <w:lang w:val="en-US" w:eastAsia="en-US"/>
    </w:rPr>
  </w:style>
  <w:style w:type="table" w:styleId="TableGrid">
    <w:name w:val="Table Grid"/>
    <w:basedOn w:val="TableNormal"/>
    <w:uiPriority w:val="59"/>
    <w:rsid w:val="0095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pacing w:after="160" w:line="259" w:lineRule="auto"/>
    </w:pPr>
    <w:rPr>
      <w:rFonts w:ascii="Arial" w:hAnsi="Arial" w:cs="Arial Unicode MS"/>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 w:type="paragraph" w:styleId="BalloonText">
    <w:name w:val="Balloon Text"/>
    <w:basedOn w:val="Normal"/>
    <w:link w:val="BalloonTextChar"/>
    <w:uiPriority w:val="99"/>
    <w:semiHidden/>
    <w:unhideWhenUsed/>
    <w:rsid w:val="00623984"/>
    <w:rPr>
      <w:rFonts w:ascii="Tahoma" w:hAnsi="Tahoma" w:cs="Tahoma"/>
      <w:sz w:val="16"/>
      <w:szCs w:val="16"/>
    </w:rPr>
  </w:style>
  <w:style w:type="character" w:customStyle="1" w:styleId="BalloonTextChar">
    <w:name w:val="Balloon Text Char"/>
    <w:basedOn w:val="DefaultParagraphFont"/>
    <w:link w:val="BalloonText"/>
    <w:uiPriority w:val="99"/>
    <w:semiHidden/>
    <w:rsid w:val="00623984"/>
    <w:rPr>
      <w:rFonts w:ascii="Tahoma" w:hAnsi="Tahoma" w:cs="Tahoma"/>
      <w:sz w:val="16"/>
      <w:szCs w:val="16"/>
      <w:lang w:val="en-US" w:eastAsia="en-US"/>
    </w:rPr>
  </w:style>
  <w:style w:type="table" w:styleId="TableGrid">
    <w:name w:val="Table Grid"/>
    <w:basedOn w:val="TableNormal"/>
    <w:uiPriority w:val="59"/>
    <w:rsid w:val="0095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playdigital.com" TargetMode="External"/><Relationship Id="rId4" Type="http://schemas.openxmlformats.org/officeDocument/2006/relationships/webSettings" Target="webSettings.xml"/><Relationship Id="rId9" Type="http://schemas.openxmlformats.org/officeDocument/2006/relationships/hyperlink" Target="mailto:info@eplaydigit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Monita Faris</cp:lastModifiedBy>
  <cp:revision>4</cp:revision>
  <cp:lastPrinted>2016-12-28T23:14:00Z</cp:lastPrinted>
  <dcterms:created xsi:type="dcterms:W3CDTF">2016-12-28T23:13:00Z</dcterms:created>
  <dcterms:modified xsi:type="dcterms:W3CDTF">2016-12-28T23:24:00Z</dcterms:modified>
</cp:coreProperties>
</file>