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774B9D">
        <w:rPr>
          <w:rFonts w:ascii="Arial" w:hAnsi="Arial"/>
          <w:color w:val="000000"/>
        </w:rPr>
        <w:t>8</w:t>
      </w:r>
      <w:r w:rsidR="00963912">
        <w:rPr>
          <w:rFonts w:ascii="Arial" w:hAnsi="Arial"/>
          <w:color w:val="000000"/>
        </w:rPr>
        <w:t>1</w:t>
      </w:r>
      <w:r w:rsidR="00774B9D">
        <w:rPr>
          <w:rFonts w:ascii="Arial" w:hAnsi="Arial"/>
          <w:color w:val="000000"/>
        </w:rPr>
        <w:t>,</w:t>
      </w:r>
      <w:r w:rsidR="009A3CD2">
        <w:rPr>
          <w:rFonts w:ascii="Arial" w:hAnsi="Arial"/>
          <w:color w:val="000000"/>
        </w:rPr>
        <w:t>74</w:t>
      </w:r>
      <w:r w:rsidR="008F4973">
        <w:rPr>
          <w:rFonts w:ascii="Arial" w:hAnsi="Arial"/>
          <w:color w:val="000000"/>
        </w:rPr>
        <w:t>5,</w:t>
      </w:r>
      <w:r w:rsidR="00774B9D">
        <w:rPr>
          <w:rFonts w:ascii="Arial" w:hAnsi="Arial"/>
          <w:color w:val="000000"/>
        </w:rPr>
        <w:t>823</w:t>
      </w:r>
      <w:r>
        <w:rPr>
          <w:rFonts w:ascii="Arial" w:hAnsi="Arial"/>
          <w:color w:val="000000"/>
          <w:u w:val="single"/>
        </w:rPr>
        <w:tab/>
      </w:r>
      <w:r>
        <w:rPr>
          <w:rFonts w:ascii="Arial" w:hAnsi="Arial"/>
          <w:color w:val="000000"/>
          <w:u w:val="single"/>
        </w:rPr>
        <w:tab/>
      </w:r>
    </w:p>
    <w:p w:rsidR="00963912" w:rsidRDefault="00433488">
      <w:pPr>
        <w:pStyle w:val="BodyText"/>
        <w:tabs>
          <w:tab w:val="left" w:pos="7920"/>
          <w:tab w:val="left" w:pos="9180"/>
        </w:tabs>
        <w:rPr>
          <w:rFonts w:ascii="Arial" w:hAnsi="Arial"/>
          <w:color w:val="000000"/>
        </w:rPr>
      </w:pPr>
      <w:r>
        <w:rPr>
          <w:rFonts w:ascii="Arial" w:hAnsi="Arial"/>
          <w:color w:val="000000"/>
        </w:rPr>
        <w:t xml:space="preserve">Date: </w:t>
      </w:r>
    </w:p>
    <w:p w:rsidR="00640E94" w:rsidRDefault="009A3CD2">
      <w:pPr>
        <w:pStyle w:val="BodyText"/>
        <w:tabs>
          <w:tab w:val="left" w:pos="7920"/>
          <w:tab w:val="left" w:pos="9180"/>
        </w:tabs>
        <w:rPr>
          <w:rFonts w:ascii="Arial" w:hAnsi="Arial"/>
          <w:color w:val="000000"/>
        </w:rPr>
      </w:pPr>
      <w:r>
        <w:rPr>
          <w:rFonts w:ascii="Arial" w:hAnsi="Arial"/>
          <w:color w:val="000000"/>
        </w:rPr>
        <w:t>January 6</w:t>
      </w:r>
      <w:r w:rsidR="00A00247">
        <w:rPr>
          <w:rFonts w:ascii="Arial" w:hAnsi="Arial"/>
          <w:color w:val="000000"/>
        </w:rPr>
        <w:t>, 20</w:t>
      </w:r>
      <w:r w:rsidR="00F44F55">
        <w:rPr>
          <w:rFonts w:ascii="Arial" w:hAnsi="Arial"/>
          <w:color w:val="000000"/>
        </w:rPr>
        <w:t>2</w:t>
      </w:r>
      <w:r>
        <w:rPr>
          <w:rFonts w:ascii="Arial" w:hAnsi="Arial"/>
          <w:color w:val="000000"/>
        </w:rPr>
        <w:t>1</w:t>
      </w:r>
      <w:r w:rsidR="00640E94">
        <w:rPr>
          <w:rFonts w:ascii="Arial" w:hAnsi="Arial"/>
          <w:color w:val="000000"/>
          <w:u w:val="single"/>
        </w:rPr>
        <w:tab/>
      </w:r>
      <w:r w:rsidR="00640E94">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 xml:space="preserve">consultation with First Nations in </w:t>
      </w:r>
      <w:proofErr w:type="spellStart"/>
      <w:r>
        <w:rPr>
          <w:rFonts w:ascii="Arial" w:hAnsi="Arial"/>
          <w:color w:val="FF0000"/>
        </w:rPr>
        <w:t>Sask</w:t>
      </w:r>
      <w:proofErr w:type="spellEnd"/>
    </w:p>
    <w:p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t>S</w:t>
      </w:r>
      <w:r w:rsidR="00B27A66">
        <w:rPr>
          <w:rFonts w:ascii="Arial" w:hAnsi="Arial"/>
          <w:color w:val="FF0000"/>
        </w:rPr>
        <w:t>GO</w:t>
      </w:r>
      <w:r w:rsidRPr="00224ED1">
        <w:rPr>
          <w:rFonts w:ascii="Arial" w:hAnsi="Arial"/>
          <w:color w:val="FF0000"/>
        </w:rPr>
        <w:t xml:space="preserve"> Mining Ltd </w:t>
      </w:r>
      <w:r w:rsidR="00EC3324">
        <w:rPr>
          <w:rFonts w:ascii="Arial" w:hAnsi="Arial"/>
          <w:color w:val="FF0000"/>
        </w:rPr>
        <w:t xml:space="preserve">(option partner) </w:t>
      </w:r>
      <w:r w:rsidRPr="00224ED1">
        <w:rPr>
          <w:rFonts w:ascii="Arial" w:hAnsi="Arial"/>
          <w:color w:val="FF0000"/>
        </w:rPr>
        <w:t>continued to explore the Fisher property.</w:t>
      </w:r>
    </w:p>
    <w:p w:rsidR="005E79E8" w:rsidRDefault="005E79E8" w:rsidP="00224ED1">
      <w:pPr>
        <w:pStyle w:val="List"/>
        <w:spacing w:before="120"/>
        <w:ind w:left="720" w:firstLine="0"/>
        <w:jc w:val="both"/>
        <w:rPr>
          <w:rFonts w:ascii="Arial" w:hAnsi="Arial"/>
          <w:color w:val="FF0000"/>
        </w:rPr>
      </w:pPr>
      <w:r>
        <w:rPr>
          <w:rFonts w:ascii="Arial" w:hAnsi="Arial"/>
          <w:color w:val="FF0000"/>
        </w:rPr>
        <w:lastRenderedPageBreak/>
        <w:t xml:space="preserve">Covid-19 precautions </w:t>
      </w:r>
      <w:r w:rsidR="0083545D">
        <w:rPr>
          <w:rFonts w:ascii="Arial" w:hAnsi="Arial"/>
          <w:color w:val="FF0000"/>
        </w:rPr>
        <w:t>continue</w:t>
      </w:r>
    </w:p>
    <w:p w:rsidR="00BF2AF9" w:rsidRDefault="00BF2AF9" w:rsidP="00224ED1">
      <w:pPr>
        <w:pStyle w:val="List"/>
        <w:spacing w:before="120"/>
        <w:ind w:left="720" w:firstLine="0"/>
        <w:jc w:val="both"/>
        <w:rPr>
          <w:rFonts w:ascii="Arial" w:hAnsi="Arial"/>
          <w:color w:val="FF0000"/>
        </w:rPr>
      </w:pPr>
      <w:r>
        <w:rPr>
          <w:rFonts w:ascii="Arial" w:hAnsi="Arial"/>
          <w:color w:val="FF0000"/>
        </w:rPr>
        <w:t>Company permitting in progress on optioned properties-</w:t>
      </w:r>
      <w:proofErr w:type="spellStart"/>
      <w:r>
        <w:rPr>
          <w:rFonts w:ascii="Arial" w:hAnsi="Arial"/>
          <w:color w:val="FF0000"/>
        </w:rPr>
        <w:t>Leland,SAM</w:t>
      </w:r>
      <w:proofErr w:type="spellEnd"/>
    </w:p>
    <w:p w:rsidR="00640E94" w:rsidRDefault="00640E94" w:rsidP="00224ED1">
      <w:pPr>
        <w:pStyle w:val="List"/>
        <w:spacing w:before="120"/>
        <w:ind w:left="720" w:firstLine="0"/>
        <w:jc w:val="both"/>
        <w:rPr>
          <w:rFonts w:ascii="Arial" w:hAnsi="Arial"/>
        </w:rPr>
      </w:pPr>
      <w:r>
        <w:rPr>
          <w:rFonts w:ascii="Arial" w:hAnsi="Arial"/>
        </w:rPr>
        <w:t>Provide a general overview and discussion of the activities of management.</w:t>
      </w:r>
    </w:p>
    <w:p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A00247">
        <w:rPr>
          <w:rFonts w:ascii="Arial" w:hAnsi="Arial"/>
        </w:rPr>
        <w:t>s of the relationship.</w:t>
      </w:r>
    </w:p>
    <w:p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lastRenderedPageBreak/>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tc>
          <w:tcPr>
            <w:tcW w:w="2394" w:type="dxa"/>
          </w:tcPr>
          <w:p w:rsidR="00640E94" w:rsidRPr="00224ED1" w:rsidRDefault="00BF2AF9">
            <w:pPr>
              <w:pStyle w:val="List"/>
              <w:tabs>
                <w:tab w:val="left" w:pos="360"/>
              </w:tabs>
              <w:spacing w:before="0" w:line="280" w:lineRule="exact"/>
              <w:ind w:left="0" w:firstLine="0"/>
              <w:jc w:val="both"/>
              <w:rPr>
                <w:rFonts w:ascii="Arial" w:hAnsi="Arial"/>
                <w:color w:val="FF0000"/>
              </w:rPr>
            </w:pPr>
            <w:r>
              <w:rPr>
                <w:rFonts w:ascii="Arial" w:hAnsi="Arial"/>
                <w:color w:val="FF0000"/>
              </w:rPr>
              <w:t>Common Share</w:t>
            </w:r>
          </w:p>
        </w:tc>
        <w:tc>
          <w:tcPr>
            <w:tcW w:w="2394" w:type="dxa"/>
          </w:tcPr>
          <w:p w:rsidR="00774B9D" w:rsidRPr="00224ED1" w:rsidRDefault="009A3CD2">
            <w:pPr>
              <w:pStyle w:val="List"/>
              <w:tabs>
                <w:tab w:val="left" w:pos="360"/>
              </w:tabs>
              <w:spacing w:before="0" w:line="280" w:lineRule="exact"/>
              <w:ind w:left="0" w:firstLine="0"/>
              <w:jc w:val="both"/>
              <w:rPr>
                <w:rFonts w:ascii="Arial" w:hAnsi="Arial"/>
                <w:color w:val="FF0000"/>
              </w:rPr>
            </w:pPr>
            <w:r>
              <w:rPr>
                <w:rFonts w:ascii="Arial" w:hAnsi="Arial"/>
                <w:color w:val="FF0000"/>
              </w:rPr>
              <w:t>220</w:t>
            </w:r>
            <w:r w:rsidR="00BF2AF9">
              <w:rPr>
                <w:rFonts w:ascii="Arial" w:hAnsi="Arial"/>
                <w:color w:val="FF0000"/>
              </w:rPr>
              <w:t>,000</w:t>
            </w:r>
          </w:p>
        </w:tc>
        <w:tc>
          <w:tcPr>
            <w:tcW w:w="2394" w:type="dxa"/>
          </w:tcPr>
          <w:p w:rsidR="00640E94" w:rsidRPr="00224ED1" w:rsidRDefault="009A3CD2" w:rsidP="009A3CD2">
            <w:pPr>
              <w:pStyle w:val="List"/>
              <w:tabs>
                <w:tab w:val="left" w:pos="360"/>
              </w:tabs>
              <w:spacing w:before="0" w:line="280" w:lineRule="exact"/>
              <w:ind w:left="0" w:firstLine="0"/>
              <w:jc w:val="both"/>
              <w:rPr>
                <w:rFonts w:ascii="Arial" w:hAnsi="Arial"/>
                <w:color w:val="FF0000"/>
              </w:rPr>
            </w:pPr>
            <w:r>
              <w:rPr>
                <w:rFonts w:ascii="Arial" w:hAnsi="Arial"/>
                <w:color w:val="FF0000"/>
              </w:rPr>
              <w:t>EPL options</w:t>
            </w:r>
            <w:r w:rsidR="00BF2AF9">
              <w:rPr>
                <w:rFonts w:ascii="Arial" w:hAnsi="Arial"/>
                <w:color w:val="FF0000"/>
              </w:rPr>
              <w:t xml:space="preserve"> exercise</w:t>
            </w:r>
            <w:r>
              <w:rPr>
                <w:rFonts w:ascii="Arial" w:hAnsi="Arial"/>
                <w:color w:val="FF0000"/>
              </w:rPr>
              <w:t xml:space="preserve"> per POA</w:t>
            </w:r>
          </w:p>
        </w:tc>
        <w:tc>
          <w:tcPr>
            <w:tcW w:w="2394" w:type="dxa"/>
          </w:tcPr>
          <w:p w:rsidR="00640E94" w:rsidRPr="00224ED1" w:rsidRDefault="009A3CD2" w:rsidP="00740127">
            <w:pPr>
              <w:pStyle w:val="List"/>
              <w:tabs>
                <w:tab w:val="left" w:pos="360"/>
              </w:tabs>
              <w:spacing w:before="0" w:line="280" w:lineRule="exact"/>
              <w:ind w:left="0" w:firstLine="0"/>
              <w:jc w:val="both"/>
              <w:rPr>
                <w:rFonts w:ascii="Arial" w:hAnsi="Arial"/>
                <w:color w:val="FF0000"/>
              </w:rPr>
            </w:pPr>
            <w:r>
              <w:rPr>
                <w:rFonts w:ascii="Arial" w:hAnsi="Arial"/>
                <w:color w:val="FF0000"/>
              </w:rPr>
              <w:t>15,533</w:t>
            </w:r>
            <w:r w:rsidR="00BF2AF9">
              <w:rPr>
                <w:rFonts w:ascii="Arial" w:hAnsi="Arial"/>
                <w:color w:val="FF0000"/>
              </w:rPr>
              <w:t xml:space="preserve"> – working  capital</w:t>
            </w: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9843EE">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BC7220">
            <w:pPr>
              <w:pStyle w:val="List"/>
              <w:tabs>
                <w:tab w:val="left" w:pos="360"/>
              </w:tabs>
              <w:spacing w:before="0" w:line="280" w:lineRule="exact"/>
              <w:ind w:left="0" w:firstLine="0"/>
              <w:jc w:val="both"/>
              <w:rPr>
                <w:rFonts w:ascii="Arial" w:hAnsi="Arial"/>
                <w:color w:val="FF0000"/>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proofErr w:type="gramStart"/>
      <w:r>
        <w:rPr>
          <w:rFonts w:ascii="Arial" w:hAnsi="Arial"/>
        </w:rPr>
        <w:t xml:space="preserve">Dated </w:t>
      </w:r>
      <w:r w:rsidR="005C0BD5">
        <w:rPr>
          <w:rFonts w:ascii="Arial" w:hAnsi="Arial"/>
        </w:rPr>
        <w:t xml:space="preserve"> </w:t>
      </w:r>
      <w:r w:rsidR="009A3CD2">
        <w:rPr>
          <w:rFonts w:ascii="Arial" w:hAnsi="Arial"/>
          <w:color w:val="FF0000"/>
        </w:rPr>
        <w:t>January</w:t>
      </w:r>
      <w:proofErr w:type="gramEnd"/>
      <w:r w:rsidR="009A3CD2">
        <w:rPr>
          <w:rFonts w:ascii="Arial" w:hAnsi="Arial"/>
          <w:color w:val="FF0000"/>
        </w:rPr>
        <w:t xml:space="preserve"> 6, 2021</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rsidR="00640E94" w:rsidRDefault="00572CCC">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572CCC" w:rsidRDefault="009A3CD2" w:rsidP="009A3CD2">
            <w:pPr>
              <w:pStyle w:val="BodyText"/>
              <w:spacing w:before="0"/>
              <w:rPr>
                <w:rFonts w:ascii="Arial" w:hAnsi="Arial"/>
              </w:rPr>
            </w:pPr>
            <w:r>
              <w:rPr>
                <w:rFonts w:ascii="Arial" w:hAnsi="Arial"/>
              </w:rPr>
              <w:t>Dec</w:t>
            </w:r>
            <w:r w:rsidR="00BF2AF9">
              <w:rPr>
                <w:rFonts w:ascii="Arial" w:hAnsi="Arial"/>
              </w:rPr>
              <w:t>ember 3</w:t>
            </w:r>
            <w:r>
              <w:rPr>
                <w:rFonts w:ascii="Arial" w:hAnsi="Arial"/>
              </w:rPr>
              <w:t>1</w:t>
            </w:r>
            <w:r w:rsidR="00572CCC">
              <w:rPr>
                <w:rFonts w:ascii="Arial" w:hAnsi="Arial"/>
              </w:rPr>
              <w:t>, 20</w:t>
            </w:r>
            <w:r w:rsidR="002C01FB">
              <w:rPr>
                <w:rFonts w:ascii="Arial" w:hAnsi="Arial"/>
              </w:rPr>
              <w:t>20</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572CCC" w:rsidRDefault="009A3CD2" w:rsidP="00BF2AF9">
            <w:pPr>
              <w:pStyle w:val="BodyText"/>
              <w:spacing w:before="0"/>
              <w:rPr>
                <w:rFonts w:ascii="Arial" w:hAnsi="Arial"/>
              </w:rPr>
            </w:pPr>
            <w:r>
              <w:rPr>
                <w:rFonts w:ascii="Arial" w:hAnsi="Arial"/>
              </w:rPr>
              <w:t>2021/01/06</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bookmarkStart w:id="5" w:name="_GoBack"/>
            <w:bookmarkEnd w:id="5"/>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572CCC">
            <w:pPr>
              <w:pStyle w:val="BodyText"/>
              <w:spacing w:before="0"/>
              <w:rPr>
                <w:rFonts w:ascii="Arial" w:hAnsi="Arial"/>
              </w:rPr>
            </w:pPr>
            <w:r>
              <w:rPr>
                <w:rFonts w:ascii="Arial" w:hAnsi="Arial"/>
              </w:rPr>
              <w:t>Cranbrook, BC  V1C 2R7</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572CCC">
            <w:pPr>
              <w:pStyle w:val="BodyText"/>
              <w:spacing w:before="0"/>
              <w:rPr>
                <w:rFonts w:ascii="Arial" w:hAnsi="Arial"/>
              </w:rPr>
            </w:pPr>
            <w:r>
              <w:rPr>
                <w:rFonts w:ascii="Arial" w:hAnsi="Arial"/>
              </w:rPr>
              <w:t>Norm Jordan</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572CCC" w:rsidRDefault="00572CCC">
            <w:pPr>
              <w:pStyle w:val="BodyText"/>
              <w:spacing w:before="0"/>
              <w:rPr>
                <w:rFonts w:ascii="Arial" w:hAnsi="Arial"/>
              </w:rPr>
            </w:pPr>
            <w:r>
              <w:rPr>
                <w:rFonts w:ascii="Arial" w:hAnsi="Arial"/>
              </w:rPr>
              <w:t>250-426-0749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9A3CD2">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572CCC" w:rsidP="00572CCC">
            <w:pPr>
              <w:pStyle w:val="BodyText"/>
              <w:spacing w:before="0"/>
              <w:rPr>
                <w:rFonts w:ascii="Arial" w:hAnsi="Arial"/>
              </w:rPr>
            </w:pPr>
            <w:r>
              <w:rPr>
                <w:rFonts w:ascii="Arial" w:hAnsi="Arial"/>
              </w:rPr>
              <w:t>www.taigagold.com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A3CD2">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B1C72"/>
    <w:rsid w:val="000B7231"/>
    <w:rsid w:val="000C2A35"/>
    <w:rsid w:val="00214B38"/>
    <w:rsid w:val="00224ED1"/>
    <w:rsid w:val="00257764"/>
    <w:rsid w:val="002C01FB"/>
    <w:rsid w:val="002C281E"/>
    <w:rsid w:val="002F00EB"/>
    <w:rsid w:val="00345A89"/>
    <w:rsid w:val="003669A9"/>
    <w:rsid w:val="00371A64"/>
    <w:rsid w:val="00387FA8"/>
    <w:rsid w:val="00433488"/>
    <w:rsid w:val="005173D1"/>
    <w:rsid w:val="00537F57"/>
    <w:rsid w:val="00541901"/>
    <w:rsid w:val="005453C8"/>
    <w:rsid w:val="00572CCC"/>
    <w:rsid w:val="005B6A0D"/>
    <w:rsid w:val="005C0BD5"/>
    <w:rsid w:val="005E79E8"/>
    <w:rsid w:val="005F6D8F"/>
    <w:rsid w:val="00620E7F"/>
    <w:rsid w:val="00633ED3"/>
    <w:rsid w:val="00635E9A"/>
    <w:rsid w:val="00640E94"/>
    <w:rsid w:val="0069543A"/>
    <w:rsid w:val="006B0D51"/>
    <w:rsid w:val="006C36F5"/>
    <w:rsid w:val="006D1A06"/>
    <w:rsid w:val="00730C6E"/>
    <w:rsid w:val="00731EC0"/>
    <w:rsid w:val="00740127"/>
    <w:rsid w:val="0075195F"/>
    <w:rsid w:val="00774B9D"/>
    <w:rsid w:val="0083545D"/>
    <w:rsid w:val="00871A6C"/>
    <w:rsid w:val="008B7E92"/>
    <w:rsid w:val="008F4973"/>
    <w:rsid w:val="00922A46"/>
    <w:rsid w:val="00963912"/>
    <w:rsid w:val="009843EE"/>
    <w:rsid w:val="009A3CD2"/>
    <w:rsid w:val="009C1F78"/>
    <w:rsid w:val="009D7BF1"/>
    <w:rsid w:val="00A00247"/>
    <w:rsid w:val="00A47914"/>
    <w:rsid w:val="00B27A66"/>
    <w:rsid w:val="00BC7220"/>
    <w:rsid w:val="00BF2AF9"/>
    <w:rsid w:val="00C27A18"/>
    <w:rsid w:val="00C6383E"/>
    <w:rsid w:val="00D77D5D"/>
    <w:rsid w:val="00E04D06"/>
    <w:rsid w:val="00E36141"/>
    <w:rsid w:val="00E83E58"/>
    <w:rsid w:val="00EC3324"/>
    <w:rsid w:val="00EC7912"/>
    <w:rsid w:val="00ED41DA"/>
    <w:rsid w:val="00F44F55"/>
    <w:rsid w:val="00F60BCB"/>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2004-05-10T18:28:00Z</cp:lastPrinted>
  <dcterms:created xsi:type="dcterms:W3CDTF">2021-01-06T22:53:00Z</dcterms:created>
  <dcterms:modified xsi:type="dcterms:W3CDTF">2021-01-06T22:53:00Z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