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12ED" w14:textId="77777777" w:rsidR="00790828" w:rsidRDefault="00790828" w:rsidP="00790828">
      <w:pPr>
        <w:spacing w:after="0"/>
      </w:pPr>
    </w:p>
    <w:p w14:paraId="6DD2D461" w14:textId="77777777" w:rsidR="00790828" w:rsidRDefault="00790828" w:rsidP="00790828">
      <w:pPr>
        <w:spacing w:after="0"/>
      </w:pPr>
    </w:p>
    <w:p w14:paraId="4C2A759D" w14:textId="77777777" w:rsidR="00790828" w:rsidRDefault="00790828" w:rsidP="00790828">
      <w:pPr>
        <w:spacing w:after="0"/>
      </w:pPr>
    </w:p>
    <w:p w14:paraId="13EEE2ED" w14:textId="77777777" w:rsidR="00790828" w:rsidRDefault="00790828" w:rsidP="00790828">
      <w:pPr>
        <w:spacing w:after="0"/>
      </w:pPr>
    </w:p>
    <w:p w14:paraId="4E845E3C" w14:textId="77777777" w:rsidR="00790828" w:rsidRDefault="00790828" w:rsidP="00790828">
      <w:pPr>
        <w:spacing w:after="0"/>
      </w:pPr>
    </w:p>
    <w:p w14:paraId="47201038" w14:textId="77777777" w:rsidR="00790828" w:rsidRDefault="00790828" w:rsidP="00790828">
      <w:pPr>
        <w:spacing w:after="0"/>
      </w:pPr>
    </w:p>
    <w:p w14:paraId="341B07D1" w14:textId="77777777" w:rsidR="00790828" w:rsidRDefault="00790828" w:rsidP="00790828">
      <w:pPr>
        <w:spacing w:after="0"/>
      </w:pPr>
    </w:p>
    <w:p w14:paraId="0C079DBE" w14:textId="77777777" w:rsidR="00790828" w:rsidRDefault="00790828" w:rsidP="00790828">
      <w:pPr>
        <w:spacing w:after="0"/>
      </w:pPr>
    </w:p>
    <w:p w14:paraId="1B3B3A13" w14:textId="77777777" w:rsidR="00790828" w:rsidRDefault="00790828" w:rsidP="00790828">
      <w:pPr>
        <w:spacing w:after="0"/>
      </w:pPr>
    </w:p>
    <w:p w14:paraId="4A2F9948" w14:textId="77777777" w:rsidR="00790828" w:rsidRDefault="00790828" w:rsidP="00790828">
      <w:pPr>
        <w:spacing w:after="0"/>
      </w:pPr>
    </w:p>
    <w:p w14:paraId="1F1849B5" w14:textId="77777777" w:rsidR="00790828" w:rsidRDefault="00790828" w:rsidP="00790828">
      <w:pPr>
        <w:spacing w:after="0"/>
      </w:pPr>
    </w:p>
    <w:p w14:paraId="01D06379" w14:textId="77777777" w:rsidR="00790828" w:rsidRDefault="00790828" w:rsidP="00790828">
      <w:pPr>
        <w:spacing w:after="0"/>
      </w:pPr>
    </w:p>
    <w:p w14:paraId="3284CDB5" w14:textId="77777777" w:rsidR="00790828" w:rsidRDefault="00790828" w:rsidP="00790828">
      <w:pPr>
        <w:spacing w:after="0"/>
      </w:pPr>
    </w:p>
    <w:p w14:paraId="2BD46DCD" w14:textId="77777777" w:rsidR="00790828"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60" w:after="0"/>
        <w:jc w:val="both"/>
        <w:rPr>
          <w:rFonts w:cs="Arial"/>
        </w:rPr>
      </w:pPr>
    </w:p>
    <w:p w14:paraId="4BCC81B2" w14:textId="77777777" w:rsidR="000F2E3C" w:rsidRDefault="000F2E3C" w:rsidP="00B0034C">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Arial" w:hAnsi="Arial" w:cs="Arial"/>
          <w:b/>
          <w:bCs/>
          <w:sz w:val="24"/>
          <w:szCs w:val="24"/>
        </w:rPr>
      </w:pPr>
      <w:r>
        <w:rPr>
          <w:rFonts w:ascii="Arial" w:hAnsi="Arial" w:cs="Arial"/>
          <w:b/>
          <w:bCs/>
          <w:sz w:val="24"/>
          <w:szCs w:val="24"/>
        </w:rPr>
        <w:t>BETTERLIFE PHARMA INC.</w:t>
      </w:r>
    </w:p>
    <w:p w14:paraId="0F85222C" w14:textId="4ACEE0D1" w:rsidR="00790828" w:rsidRPr="000F2E3C" w:rsidRDefault="000F2E3C" w:rsidP="00B0034C">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Arial" w:hAnsi="Arial" w:cs="Arial"/>
          <w:b/>
          <w:bCs/>
          <w:szCs w:val="20"/>
        </w:rPr>
      </w:pPr>
      <w:r w:rsidRPr="000F2E3C">
        <w:rPr>
          <w:rFonts w:ascii="Arial" w:hAnsi="Arial" w:cs="Arial"/>
          <w:b/>
          <w:bCs/>
          <w:szCs w:val="20"/>
        </w:rPr>
        <w:t>(formerly Pivot Pharmaceuticals Inc.)</w:t>
      </w:r>
    </w:p>
    <w:p w14:paraId="017CBD84" w14:textId="0A0739B4" w:rsidR="00790828" w:rsidRPr="00E565BC" w:rsidRDefault="0046105F" w:rsidP="00790828">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Arial" w:hAnsi="Arial" w:cs="Arial"/>
          <w:bCs/>
          <w:szCs w:val="20"/>
        </w:rPr>
      </w:pPr>
      <w:r w:rsidRPr="000F2E3C">
        <w:rPr>
          <w:rFonts w:ascii="Arial" w:hAnsi="Arial" w:cs="Arial"/>
          <w:bCs/>
          <w:szCs w:val="20"/>
        </w:rPr>
        <w:t xml:space="preserve">Condensed </w:t>
      </w:r>
      <w:r w:rsidR="008E7C6B" w:rsidRPr="000F2E3C">
        <w:rPr>
          <w:rFonts w:ascii="Arial" w:hAnsi="Arial" w:cs="Arial"/>
          <w:bCs/>
          <w:szCs w:val="20"/>
        </w:rPr>
        <w:t>Consolidated</w:t>
      </w:r>
      <w:r w:rsidRPr="000F2E3C">
        <w:rPr>
          <w:rFonts w:ascii="Arial" w:hAnsi="Arial" w:cs="Arial"/>
          <w:bCs/>
          <w:szCs w:val="20"/>
        </w:rPr>
        <w:t xml:space="preserve"> Interim</w:t>
      </w:r>
      <w:r w:rsidR="008E7C6B" w:rsidRPr="000F2E3C">
        <w:rPr>
          <w:rFonts w:ascii="Arial" w:hAnsi="Arial" w:cs="Arial"/>
          <w:bCs/>
          <w:szCs w:val="20"/>
        </w:rPr>
        <w:t xml:space="preserve"> </w:t>
      </w:r>
      <w:r w:rsidR="00790828" w:rsidRPr="000F2E3C">
        <w:rPr>
          <w:rFonts w:ascii="Arial" w:hAnsi="Arial" w:cs="Arial"/>
          <w:bCs/>
          <w:szCs w:val="20"/>
        </w:rPr>
        <w:t>Financial Statements</w:t>
      </w:r>
    </w:p>
    <w:p w14:paraId="297F2807" w14:textId="52137975" w:rsidR="00790828" w:rsidRPr="00E565BC" w:rsidRDefault="004252DF" w:rsidP="00790828">
      <w:pPr>
        <w:spacing w:after="0"/>
        <w:jc w:val="center"/>
        <w:rPr>
          <w:rFonts w:ascii="Arial" w:hAnsi="Arial" w:cs="Arial"/>
          <w:bCs/>
          <w:szCs w:val="20"/>
        </w:rPr>
      </w:pPr>
      <w:r w:rsidRPr="00E565BC">
        <w:rPr>
          <w:rFonts w:ascii="Arial" w:hAnsi="Arial" w:cs="Arial"/>
          <w:bCs/>
          <w:szCs w:val="20"/>
        </w:rPr>
        <w:t xml:space="preserve">Three and </w:t>
      </w:r>
      <w:r w:rsidR="000F2E3C">
        <w:rPr>
          <w:rFonts w:ascii="Arial" w:hAnsi="Arial" w:cs="Arial"/>
          <w:bCs/>
          <w:szCs w:val="20"/>
        </w:rPr>
        <w:t>nine</w:t>
      </w:r>
      <w:r w:rsidRPr="00E565BC">
        <w:rPr>
          <w:rFonts w:ascii="Arial" w:hAnsi="Arial" w:cs="Arial"/>
          <w:bCs/>
          <w:szCs w:val="20"/>
        </w:rPr>
        <w:t xml:space="preserve"> months</w:t>
      </w:r>
      <w:r w:rsidR="00790828" w:rsidRPr="00E565BC">
        <w:rPr>
          <w:rFonts w:ascii="Arial" w:hAnsi="Arial" w:cs="Arial"/>
          <w:bCs/>
          <w:szCs w:val="20"/>
        </w:rPr>
        <w:t xml:space="preserve"> ended </w:t>
      </w:r>
      <w:r w:rsidR="000F2E3C">
        <w:rPr>
          <w:rFonts w:ascii="Arial" w:hAnsi="Arial" w:cs="Arial"/>
          <w:bCs/>
          <w:szCs w:val="20"/>
        </w:rPr>
        <w:t>October</w:t>
      </w:r>
      <w:r w:rsidR="00790828" w:rsidRPr="00E565BC">
        <w:rPr>
          <w:rFonts w:ascii="Arial" w:hAnsi="Arial" w:cs="Arial"/>
          <w:bCs/>
          <w:szCs w:val="20"/>
        </w:rPr>
        <w:t xml:space="preserve"> 31, 201</w:t>
      </w:r>
      <w:r w:rsidR="001B7B70" w:rsidRPr="00E565BC">
        <w:rPr>
          <w:rFonts w:ascii="Arial" w:hAnsi="Arial" w:cs="Arial"/>
          <w:bCs/>
          <w:szCs w:val="20"/>
        </w:rPr>
        <w:t>9</w:t>
      </w:r>
      <w:r w:rsidR="00CD67B3" w:rsidRPr="00E565BC">
        <w:rPr>
          <w:rFonts w:ascii="Arial" w:hAnsi="Arial" w:cs="Arial"/>
          <w:bCs/>
          <w:szCs w:val="20"/>
        </w:rPr>
        <w:t xml:space="preserve"> and 201</w:t>
      </w:r>
      <w:r w:rsidR="001B7B70" w:rsidRPr="00E565BC">
        <w:rPr>
          <w:rFonts w:ascii="Arial" w:hAnsi="Arial" w:cs="Arial"/>
          <w:bCs/>
          <w:szCs w:val="20"/>
        </w:rPr>
        <w:t>8</w:t>
      </w:r>
      <w:r w:rsidR="00790828" w:rsidRPr="00E565BC">
        <w:rPr>
          <w:rFonts w:ascii="Arial" w:hAnsi="Arial" w:cs="Arial"/>
          <w:bCs/>
          <w:szCs w:val="20"/>
        </w:rPr>
        <w:t xml:space="preserve"> </w:t>
      </w:r>
    </w:p>
    <w:p w14:paraId="0E2F5B6E" w14:textId="73C05722" w:rsidR="00790828" w:rsidRPr="00E565BC" w:rsidRDefault="00790828" w:rsidP="00790828">
      <w:pPr>
        <w:spacing w:after="0"/>
        <w:jc w:val="center"/>
        <w:rPr>
          <w:rFonts w:ascii="Arial" w:hAnsi="Arial" w:cs="Arial"/>
          <w:bCs/>
          <w:szCs w:val="20"/>
        </w:rPr>
      </w:pPr>
      <w:r w:rsidRPr="00E565BC">
        <w:rPr>
          <w:rFonts w:ascii="Arial" w:hAnsi="Arial" w:cs="Arial"/>
          <w:bCs/>
          <w:szCs w:val="20"/>
        </w:rPr>
        <w:t xml:space="preserve">(Expressed in </w:t>
      </w:r>
      <w:r w:rsidR="001B7B70" w:rsidRPr="00E565BC">
        <w:rPr>
          <w:rFonts w:ascii="Arial" w:hAnsi="Arial" w:cs="Arial"/>
          <w:bCs/>
          <w:szCs w:val="20"/>
        </w:rPr>
        <w:t>Canadian</w:t>
      </w:r>
      <w:r w:rsidRPr="00E565BC">
        <w:rPr>
          <w:rFonts w:ascii="Arial" w:hAnsi="Arial" w:cs="Arial"/>
          <w:bCs/>
          <w:szCs w:val="20"/>
        </w:rPr>
        <w:t xml:space="preserve"> dollars)</w:t>
      </w:r>
    </w:p>
    <w:p w14:paraId="0EB8F192" w14:textId="43F9A620" w:rsidR="0046105F" w:rsidRPr="00E565BC" w:rsidRDefault="0046105F" w:rsidP="00790828">
      <w:pPr>
        <w:spacing w:after="0"/>
        <w:jc w:val="center"/>
        <w:rPr>
          <w:rFonts w:ascii="Arial" w:hAnsi="Arial" w:cs="Arial"/>
          <w:bCs/>
          <w:szCs w:val="20"/>
        </w:rPr>
      </w:pPr>
      <w:r w:rsidRPr="00E565BC">
        <w:rPr>
          <w:rFonts w:ascii="Arial" w:hAnsi="Arial" w:cs="Arial"/>
          <w:bCs/>
          <w:szCs w:val="20"/>
        </w:rPr>
        <w:t>(Unaudited)</w:t>
      </w:r>
    </w:p>
    <w:p w14:paraId="49D3437E" w14:textId="77777777" w:rsidR="00790828" w:rsidRPr="00E565BC"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60" w:after="0"/>
        <w:jc w:val="both"/>
        <w:rPr>
          <w:rFonts w:ascii="Arial" w:hAnsi="Arial" w:cs="Arial"/>
          <w:szCs w:val="20"/>
        </w:rPr>
      </w:pPr>
    </w:p>
    <w:p w14:paraId="523D714D" w14:textId="77777777" w:rsidR="0046105F" w:rsidRPr="00E565BC" w:rsidRDefault="0046105F" w:rsidP="0046105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60" w:after="0"/>
        <w:jc w:val="center"/>
        <w:rPr>
          <w:rFonts w:ascii="Arial" w:hAnsi="Arial" w:cs="Arial"/>
          <w:szCs w:val="20"/>
        </w:rPr>
        <w:sectPr w:rsidR="0046105F" w:rsidRPr="00E565BC" w:rsidSect="00790828">
          <w:footerReference w:type="default" r:id="rId8"/>
          <w:endnotePr>
            <w:numFmt w:val="decimal"/>
          </w:endnotePr>
          <w:pgSz w:w="12240" w:h="15840" w:code="1"/>
          <w:pgMar w:top="2160" w:right="1440" w:bottom="288" w:left="1440" w:header="720" w:footer="360" w:gutter="0"/>
          <w:cols w:space="720"/>
          <w:noEndnote/>
        </w:sectPr>
      </w:pPr>
    </w:p>
    <w:tbl>
      <w:tblPr>
        <w:tblW w:w="11070" w:type="dxa"/>
        <w:tblInd w:w="-702" w:type="dxa"/>
        <w:tblLook w:val="04A0" w:firstRow="1" w:lastRow="0" w:firstColumn="1" w:lastColumn="0" w:noHBand="0" w:noVBand="1"/>
      </w:tblPr>
      <w:tblGrid>
        <w:gridCol w:w="11070"/>
      </w:tblGrid>
      <w:tr w:rsidR="006F2C52" w:rsidRPr="0071080B" w14:paraId="4D73AD69" w14:textId="77777777" w:rsidTr="005464FE">
        <w:trPr>
          <w:trHeight w:val="1258"/>
        </w:trPr>
        <w:tc>
          <w:tcPr>
            <w:tcW w:w="11070" w:type="dxa"/>
          </w:tcPr>
          <w:p w14:paraId="6EB5BF2A" w14:textId="60B47044" w:rsidR="006F2C52" w:rsidRPr="0071080B" w:rsidRDefault="006F2C52" w:rsidP="00494A17"/>
        </w:tc>
      </w:tr>
    </w:tbl>
    <w:p w14:paraId="4D17DAF5" w14:textId="273C22E3" w:rsidR="00790828" w:rsidRPr="00E565BC" w:rsidRDefault="00E565BC" w:rsidP="00E565B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
          <w:bCs/>
          <w:szCs w:val="20"/>
        </w:rPr>
      </w:pPr>
      <w:r w:rsidRPr="00E565BC">
        <w:rPr>
          <w:rFonts w:ascii="Arial" w:hAnsi="Arial" w:cs="Arial"/>
          <w:b/>
          <w:bCs/>
          <w:szCs w:val="20"/>
        </w:rPr>
        <w:t>NOTICE OF NO AUDITOR REVIEW OF INTERIM FINANCIAL STATEMENTS</w:t>
      </w:r>
    </w:p>
    <w:p w14:paraId="7BD7D9E4" w14:textId="76D1D917" w:rsidR="00E565BC" w:rsidRPr="00E565BC" w:rsidRDefault="00E565BC" w:rsidP="00E565B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Cs/>
          <w:szCs w:val="20"/>
        </w:rPr>
      </w:pPr>
    </w:p>
    <w:p w14:paraId="6B823067" w14:textId="6511C1BC" w:rsidR="00E565BC" w:rsidRPr="00E565BC" w:rsidRDefault="00E565BC" w:rsidP="00E565B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pPr>
      <w:r w:rsidRPr="00E565BC">
        <w:rPr>
          <w:rFonts w:ascii="Arial" w:hAnsi="Arial" w:cs="Arial"/>
          <w:bCs/>
          <w:szCs w:val="20"/>
        </w:rPr>
        <w:t>Under National Instrument 51-102, Part 4, subsection 4.3(3) (a), if an auditor has not performed a review of the interim financial statements, they must be accompanied by a notice indicating that the financial statements have not been reviewed by an auditor.</w:t>
      </w:r>
    </w:p>
    <w:p w14:paraId="75423A96" w14:textId="77777777" w:rsidR="00E565BC" w:rsidRPr="00E565BC" w:rsidRDefault="00E565BC" w:rsidP="00E565B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pPr>
    </w:p>
    <w:p w14:paraId="08CE7EE9" w14:textId="7F58F936" w:rsidR="00E565BC" w:rsidRPr="00E565BC" w:rsidRDefault="00E565BC" w:rsidP="00E565B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pPr>
      <w:r w:rsidRPr="00E565BC">
        <w:rPr>
          <w:rFonts w:ascii="Arial" w:hAnsi="Arial" w:cs="Arial"/>
          <w:bCs/>
          <w:szCs w:val="20"/>
        </w:rPr>
        <w:t>The accompanying unaudited condensed consolidated interim financial statements of the Company have been prepared by and are the responsibility of the Company’s management.</w:t>
      </w:r>
    </w:p>
    <w:p w14:paraId="2C02B7FC" w14:textId="77777777" w:rsidR="00E565BC" w:rsidRPr="00E565BC" w:rsidRDefault="00E565BC" w:rsidP="00E565B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pPr>
    </w:p>
    <w:p w14:paraId="135D9570" w14:textId="6A055EA4" w:rsidR="00E565BC" w:rsidRDefault="00E565BC" w:rsidP="00E565B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pPr>
      <w:r w:rsidRPr="00E565BC">
        <w:rPr>
          <w:rFonts w:ascii="Arial" w:hAnsi="Arial" w:cs="Arial"/>
          <w:bCs/>
          <w:szCs w:val="20"/>
        </w:rPr>
        <w:t>The Company’s independent auditor has not performed a review of these financial statements in accordance with standards established by the Canadian Institute of Chartered Professional Accountants for a review of interim financial statements by an entity’s auditor.</w:t>
      </w:r>
    </w:p>
    <w:p w14:paraId="0DC4FAE0" w14:textId="77777777" w:rsidR="00E565BC" w:rsidRPr="00E565BC" w:rsidRDefault="00E565BC" w:rsidP="00E565B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sectPr w:rsidR="00E565BC" w:rsidRPr="00E565BC" w:rsidSect="005464FE">
          <w:headerReference w:type="default" r:id="rId9"/>
          <w:endnotePr>
            <w:numFmt w:val="decimal"/>
          </w:endnotePr>
          <w:pgSz w:w="12240" w:h="15840"/>
          <w:pgMar w:top="288" w:right="1440" w:bottom="288" w:left="1440" w:header="562" w:footer="576" w:gutter="0"/>
          <w:cols w:space="720"/>
          <w:noEndnote/>
          <w:docGrid w:linePitch="272"/>
        </w:sectPr>
      </w:pPr>
    </w:p>
    <w:p w14:paraId="2737C026" w14:textId="3F8A2F97" w:rsidR="00790828" w:rsidRPr="000F2E3C" w:rsidRDefault="000F2E3C"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Arial" w:hAnsi="Arial" w:cs="Arial"/>
          <w:b/>
          <w:bCs/>
          <w:szCs w:val="20"/>
        </w:rPr>
      </w:pPr>
      <w:r>
        <w:rPr>
          <w:rFonts w:ascii="Arial" w:hAnsi="Arial" w:cs="Arial"/>
          <w:b/>
          <w:bCs/>
          <w:sz w:val="24"/>
        </w:rPr>
        <w:lastRenderedPageBreak/>
        <w:t xml:space="preserve">BETTERLIFE PHARMA INC. </w:t>
      </w:r>
      <w:r w:rsidRPr="000F2E3C">
        <w:rPr>
          <w:rFonts w:ascii="Arial" w:hAnsi="Arial" w:cs="Arial"/>
          <w:b/>
          <w:bCs/>
          <w:szCs w:val="20"/>
        </w:rPr>
        <w:t>(formerly Pivot Pharmaceuticals Inc.)</w:t>
      </w:r>
    </w:p>
    <w:p w14:paraId="20D32ECC" w14:textId="080F1EF3" w:rsidR="00790828" w:rsidRPr="009F3026" w:rsidRDefault="008E7C6B"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Arial" w:hAnsi="Arial" w:cs="Arial"/>
        </w:rPr>
      </w:pPr>
      <w:r>
        <w:rPr>
          <w:rFonts w:ascii="Arial" w:hAnsi="Arial" w:cs="Arial"/>
          <w:bCs/>
        </w:rPr>
        <w:t xml:space="preserve">Consolidated </w:t>
      </w:r>
      <w:r w:rsidR="00843670">
        <w:rPr>
          <w:rFonts w:ascii="Arial" w:hAnsi="Arial" w:cs="Arial"/>
          <w:bCs/>
        </w:rPr>
        <w:t>Statements of Financial Position</w:t>
      </w:r>
      <w:r w:rsidR="006A20DB">
        <w:rPr>
          <w:rFonts w:ascii="Arial" w:hAnsi="Arial" w:cs="Arial"/>
          <w:bCs/>
        </w:rPr>
        <w:t xml:space="preserve"> (unaudited)</w:t>
      </w:r>
    </w:p>
    <w:p w14:paraId="60B71C67" w14:textId="171CA4EA" w:rsidR="00790828" w:rsidRPr="009F3026"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Arial" w:hAnsi="Arial" w:cs="Arial"/>
        </w:rPr>
      </w:pPr>
      <w:r w:rsidRPr="009F3026">
        <w:rPr>
          <w:rFonts w:ascii="Arial" w:hAnsi="Arial" w:cs="Arial"/>
        </w:rPr>
        <w:t xml:space="preserve">(Expressed in </w:t>
      </w:r>
      <w:r w:rsidR="00AC37B3">
        <w:rPr>
          <w:rFonts w:ascii="Arial" w:hAnsi="Arial" w:cs="Arial"/>
        </w:rPr>
        <w:t>Canadian</w:t>
      </w:r>
      <w:r w:rsidRPr="009F3026">
        <w:rPr>
          <w:rFonts w:ascii="Arial" w:hAnsi="Arial" w:cs="Arial"/>
        </w:rPr>
        <w:t xml:space="preserve"> dollars)</w:t>
      </w:r>
    </w:p>
    <w:tbl>
      <w:tblPr>
        <w:tblW w:w="9712" w:type="dxa"/>
        <w:tblInd w:w="8" w:type="dxa"/>
        <w:tblLayout w:type="fixed"/>
        <w:tblCellMar>
          <w:left w:w="0" w:type="dxa"/>
          <w:right w:w="0" w:type="dxa"/>
        </w:tblCellMar>
        <w:tblLook w:val="0000" w:firstRow="0" w:lastRow="0" w:firstColumn="0" w:lastColumn="0" w:noHBand="0" w:noVBand="0"/>
      </w:tblPr>
      <w:tblGrid>
        <w:gridCol w:w="5122"/>
        <w:gridCol w:w="1530"/>
        <w:gridCol w:w="1530"/>
        <w:gridCol w:w="1530"/>
      </w:tblGrid>
      <w:tr w:rsidR="001B7B70" w:rsidRPr="009F3026" w14:paraId="47EED54D" w14:textId="51D59E18" w:rsidTr="001B7B70">
        <w:tc>
          <w:tcPr>
            <w:tcW w:w="5122" w:type="dxa"/>
            <w:tcBorders>
              <w:bottom w:val="single" w:sz="4" w:space="0" w:color="auto"/>
            </w:tcBorders>
            <w:vAlign w:val="bottom"/>
          </w:tcPr>
          <w:p w14:paraId="37808E6B"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sz w:val="18"/>
                <w:szCs w:val="18"/>
              </w:rPr>
            </w:pPr>
          </w:p>
        </w:tc>
        <w:tc>
          <w:tcPr>
            <w:tcW w:w="1530" w:type="dxa"/>
            <w:tcBorders>
              <w:bottom w:val="single" w:sz="4" w:space="0" w:color="auto"/>
            </w:tcBorders>
            <w:vAlign w:val="bottom"/>
          </w:tcPr>
          <w:p w14:paraId="59E469A6" w14:textId="30198BA4" w:rsidR="001B7B70" w:rsidRPr="005241D0" w:rsidRDefault="000F2E3C" w:rsidP="001B7B70">
            <w:pPr>
              <w:tabs>
                <w:tab w:val="left" w:pos="7214"/>
                <w:tab w:val="decimal" w:pos="8107"/>
                <w:tab w:val="left" w:pos="8467"/>
                <w:tab w:val="decimal" w:pos="9360"/>
              </w:tabs>
              <w:spacing w:after="0" w:line="240" w:lineRule="auto"/>
              <w:jc w:val="center"/>
              <w:rPr>
                <w:rFonts w:ascii="Arial" w:hAnsi="Arial" w:cs="Arial"/>
                <w:szCs w:val="20"/>
                <w:lang w:val="fr-FR"/>
              </w:rPr>
            </w:pPr>
            <w:r w:rsidRPr="005241D0">
              <w:rPr>
                <w:rFonts w:ascii="Arial" w:hAnsi="Arial" w:cs="Arial"/>
                <w:szCs w:val="20"/>
                <w:lang w:val="fr-FR"/>
              </w:rPr>
              <w:t>October</w:t>
            </w:r>
            <w:r w:rsidR="001B7B70" w:rsidRPr="005241D0">
              <w:rPr>
                <w:rFonts w:ascii="Arial" w:hAnsi="Arial" w:cs="Arial"/>
                <w:szCs w:val="20"/>
                <w:lang w:val="fr-FR"/>
              </w:rPr>
              <w:t xml:space="preserve"> 31,</w:t>
            </w:r>
          </w:p>
          <w:p w14:paraId="2AB5E9C9" w14:textId="6B568359" w:rsidR="001B7B70" w:rsidRPr="005241D0" w:rsidRDefault="001B7B70" w:rsidP="001B7B70">
            <w:pPr>
              <w:tabs>
                <w:tab w:val="left" w:pos="7214"/>
                <w:tab w:val="decimal" w:pos="8107"/>
                <w:tab w:val="left" w:pos="8467"/>
                <w:tab w:val="decimal" w:pos="9360"/>
              </w:tabs>
              <w:spacing w:after="0" w:line="240" w:lineRule="auto"/>
              <w:jc w:val="center"/>
              <w:rPr>
                <w:rFonts w:ascii="Arial" w:hAnsi="Arial" w:cs="Arial"/>
                <w:szCs w:val="20"/>
                <w:lang w:val="fr-FR"/>
              </w:rPr>
            </w:pPr>
            <w:r w:rsidRPr="005241D0">
              <w:rPr>
                <w:rFonts w:ascii="Arial" w:hAnsi="Arial" w:cs="Arial"/>
                <w:szCs w:val="20"/>
                <w:lang w:val="fr-FR"/>
              </w:rPr>
              <w:t>2019</w:t>
            </w:r>
          </w:p>
          <w:p w14:paraId="1FD68DC0" w14:textId="77777777" w:rsidR="001B7B70" w:rsidRPr="005241D0" w:rsidRDefault="001B7B70" w:rsidP="001B7B70">
            <w:pPr>
              <w:tabs>
                <w:tab w:val="left" w:pos="7214"/>
                <w:tab w:val="decimal" w:pos="8107"/>
                <w:tab w:val="left" w:pos="8467"/>
                <w:tab w:val="decimal" w:pos="9360"/>
              </w:tabs>
              <w:spacing w:after="0" w:line="240" w:lineRule="auto"/>
              <w:jc w:val="center"/>
              <w:rPr>
                <w:rFonts w:ascii="Arial" w:hAnsi="Arial" w:cs="Arial"/>
                <w:szCs w:val="20"/>
                <w:lang w:val="fr-FR"/>
              </w:rPr>
            </w:pPr>
            <w:r w:rsidRPr="005241D0">
              <w:rPr>
                <w:rFonts w:ascii="Arial" w:hAnsi="Arial" w:cs="Arial"/>
                <w:szCs w:val="20"/>
                <w:lang w:val="fr-FR"/>
              </w:rPr>
              <w:t>$</w:t>
            </w:r>
          </w:p>
        </w:tc>
        <w:tc>
          <w:tcPr>
            <w:tcW w:w="1530" w:type="dxa"/>
            <w:tcBorders>
              <w:bottom w:val="single" w:sz="4" w:space="0" w:color="auto"/>
            </w:tcBorders>
            <w:vAlign w:val="bottom"/>
          </w:tcPr>
          <w:p w14:paraId="0508CE67" w14:textId="6ECC2999" w:rsidR="001B7B70" w:rsidRPr="009F3026" w:rsidRDefault="004252DF" w:rsidP="001B7B70">
            <w:pPr>
              <w:tabs>
                <w:tab w:val="left" w:pos="7214"/>
                <w:tab w:val="decimal" w:pos="8107"/>
                <w:tab w:val="left" w:pos="8467"/>
                <w:tab w:val="decimal" w:pos="9360"/>
              </w:tabs>
              <w:spacing w:after="0" w:line="240" w:lineRule="auto"/>
              <w:jc w:val="center"/>
              <w:rPr>
                <w:rFonts w:ascii="Arial" w:hAnsi="Arial" w:cs="Arial"/>
                <w:szCs w:val="20"/>
                <w:lang w:val="fr-FR"/>
              </w:rPr>
            </w:pPr>
            <w:r>
              <w:rPr>
                <w:rFonts w:ascii="Arial" w:hAnsi="Arial" w:cs="Arial"/>
                <w:szCs w:val="20"/>
                <w:lang w:val="fr-FR"/>
              </w:rPr>
              <w:t>January 31, 2019</w:t>
            </w:r>
          </w:p>
          <w:p w14:paraId="3DE2FC1E" w14:textId="77777777" w:rsidR="001B7B70" w:rsidRPr="009F3026" w:rsidRDefault="001B7B70" w:rsidP="001B7B70">
            <w:pPr>
              <w:tabs>
                <w:tab w:val="left" w:pos="7214"/>
                <w:tab w:val="decimal" w:pos="8107"/>
                <w:tab w:val="left" w:pos="8467"/>
                <w:tab w:val="decimal" w:pos="9360"/>
              </w:tabs>
              <w:spacing w:after="0" w:line="240" w:lineRule="auto"/>
              <w:jc w:val="center"/>
              <w:rPr>
                <w:rFonts w:ascii="Arial" w:hAnsi="Arial" w:cs="Arial"/>
                <w:szCs w:val="20"/>
                <w:lang w:val="fr-FR"/>
              </w:rPr>
            </w:pPr>
            <w:r w:rsidRPr="009F3026">
              <w:rPr>
                <w:rFonts w:ascii="Arial" w:hAnsi="Arial" w:cs="Arial"/>
                <w:szCs w:val="20"/>
                <w:lang w:val="fr-FR"/>
              </w:rPr>
              <w:t>$</w:t>
            </w:r>
          </w:p>
        </w:tc>
        <w:tc>
          <w:tcPr>
            <w:tcW w:w="1530" w:type="dxa"/>
            <w:tcBorders>
              <w:bottom w:val="single" w:sz="4" w:space="0" w:color="auto"/>
            </w:tcBorders>
            <w:vAlign w:val="bottom"/>
          </w:tcPr>
          <w:p w14:paraId="5C5A2C5D" w14:textId="77777777" w:rsidR="00AC37B3" w:rsidRDefault="00AC37B3" w:rsidP="001B7B70">
            <w:pPr>
              <w:tabs>
                <w:tab w:val="left" w:pos="7214"/>
                <w:tab w:val="decimal" w:pos="8107"/>
                <w:tab w:val="left" w:pos="8467"/>
                <w:tab w:val="decimal" w:pos="9360"/>
              </w:tabs>
              <w:spacing w:after="0" w:line="240" w:lineRule="auto"/>
              <w:jc w:val="center"/>
              <w:rPr>
                <w:rFonts w:ascii="Arial" w:hAnsi="Arial" w:cs="Arial"/>
                <w:szCs w:val="20"/>
                <w:lang w:val="fr-FR"/>
              </w:rPr>
            </w:pPr>
            <w:r>
              <w:rPr>
                <w:rFonts w:ascii="Arial" w:hAnsi="Arial" w:cs="Arial"/>
                <w:szCs w:val="20"/>
                <w:lang w:val="fr-FR"/>
              </w:rPr>
              <w:t>February 1</w:t>
            </w:r>
            <w:r w:rsidR="001B7B70">
              <w:rPr>
                <w:rFonts w:ascii="Arial" w:hAnsi="Arial" w:cs="Arial"/>
                <w:szCs w:val="20"/>
                <w:lang w:val="fr-FR"/>
              </w:rPr>
              <w:t>,</w:t>
            </w:r>
          </w:p>
          <w:p w14:paraId="427BFB93" w14:textId="184E24EE" w:rsidR="001B7B70" w:rsidRPr="009F3026" w:rsidRDefault="004252DF" w:rsidP="001B7B70">
            <w:pPr>
              <w:tabs>
                <w:tab w:val="left" w:pos="7214"/>
                <w:tab w:val="decimal" w:pos="8107"/>
                <w:tab w:val="left" w:pos="8467"/>
                <w:tab w:val="decimal" w:pos="9360"/>
              </w:tabs>
              <w:spacing w:after="0" w:line="240" w:lineRule="auto"/>
              <w:jc w:val="center"/>
              <w:rPr>
                <w:rFonts w:ascii="Arial" w:hAnsi="Arial" w:cs="Arial"/>
                <w:szCs w:val="20"/>
                <w:lang w:val="fr-FR"/>
              </w:rPr>
            </w:pPr>
            <w:r>
              <w:rPr>
                <w:rFonts w:ascii="Arial" w:hAnsi="Arial" w:cs="Arial"/>
                <w:szCs w:val="20"/>
                <w:lang w:val="fr-FR"/>
              </w:rPr>
              <w:t>2018</w:t>
            </w:r>
          </w:p>
          <w:p w14:paraId="253D1315" w14:textId="296F2154" w:rsidR="001B7B70" w:rsidRDefault="001B7B70" w:rsidP="001B7B70">
            <w:pPr>
              <w:tabs>
                <w:tab w:val="left" w:pos="7214"/>
                <w:tab w:val="decimal" w:pos="8107"/>
                <w:tab w:val="left" w:pos="8467"/>
                <w:tab w:val="decimal" w:pos="9360"/>
              </w:tabs>
              <w:spacing w:after="0" w:line="240" w:lineRule="auto"/>
              <w:jc w:val="center"/>
              <w:rPr>
                <w:rFonts w:ascii="Arial" w:hAnsi="Arial" w:cs="Arial"/>
                <w:szCs w:val="20"/>
                <w:lang w:val="fr-FR"/>
              </w:rPr>
            </w:pPr>
            <w:r w:rsidRPr="009F3026">
              <w:rPr>
                <w:rFonts w:ascii="Arial" w:hAnsi="Arial" w:cs="Arial"/>
                <w:szCs w:val="20"/>
                <w:lang w:val="fr-FR"/>
              </w:rPr>
              <w:t>$</w:t>
            </w:r>
          </w:p>
        </w:tc>
      </w:tr>
      <w:tr w:rsidR="001B7B70" w:rsidRPr="009F3026" w14:paraId="5117C9FC" w14:textId="3963D7C0" w:rsidTr="00F62DC5">
        <w:trPr>
          <w:trHeight w:hRule="exact" w:val="289"/>
        </w:trPr>
        <w:tc>
          <w:tcPr>
            <w:tcW w:w="5122" w:type="dxa"/>
            <w:tcBorders>
              <w:top w:val="single" w:sz="4" w:space="0" w:color="auto"/>
            </w:tcBorders>
          </w:tcPr>
          <w:p w14:paraId="3079D2F9" w14:textId="77777777" w:rsidR="001B7B70" w:rsidRPr="009F3026" w:rsidRDefault="001B7B70" w:rsidP="00C74354">
            <w:pPr>
              <w:tabs>
                <w:tab w:val="left" w:pos="7214"/>
                <w:tab w:val="decimal" w:pos="8107"/>
                <w:tab w:val="left" w:pos="8467"/>
                <w:tab w:val="decimal" w:pos="9360"/>
              </w:tabs>
              <w:spacing w:after="0" w:line="240" w:lineRule="auto"/>
              <w:rPr>
                <w:rFonts w:ascii="Arial" w:hAnsi="Arial" w:cs="Arial"/>
                <w:lang w:val="fr-FR"/>
              </w:rPr>
            </w:pPr>
          </w:p>
        </w:tc>
        <w:tc>
          <w:tcPr>
            <w:tcW w:w="1530" w:type="dxa"/>
            <w:tcBorders>
              <w:top w:val="single" w:sz="4" w:space="0" w:color="auto"/>
            </w:tcBorders>
          </w:tcPr>
          <w:p w14:paraId="4C9F78CB" w14:textId="77777777" w:rsidR="001B7B70" w:rsidRPr="005241D0" w:rsidRDefault="001B7B70" w:rsidP="00C74354">
            <w:pPr>
              <w:tabs>
                <w:tab w:val="left" w:pos="7214"/>
                <w:tab w:val="decimal" w:pos="8107"/>
                <w:tab w:val="left" w:pos="8467"/>
                <w:tab w:val="decimal" w:pos="9360"/>
              </w:tabs>
              <w:spacing w:after="0" w:line="240" w:lineRule="auto"/>
              <w:ind w:right="29"/>
              <w:rPr>
                <w:rFonts w:ascii="Arial" w:hAnsi="Arial" w:cs="Arial"/>
                <w:lang w:val="fr-FR"/>
              </w:rPr>
            </w:pPr>
          </w:p>
        </w:tc>
        <w:tc>
          <w:tcPr>
            <w:tcW w:w="1530" w:type="dxa"/>
            <w:tcBorders>
              <w:top w:val="single" w:sz="4" w:space="0" w:color="auto"/>
            </w:tcBorders>
          </w:tcPr>
          <w:p w14:paraId="1CE9D186" w14:textId="18C08FA6" w:rsidR="001B7B70" w:rsidRPr="009F3026" w:rsidRDefault="001B7B70" w:rsidP="00824168">
            <w:pPr>
              <w:tabs>
                <w:tab w:val="left" w:pos="7214"/>
                <w:tab w:val="decimal" w:pos="8107"/>
                <w:tab w:val="left" w:pos="8467"/>
                <w:tab w:val="decimal" w:pos="9360"/>
              </w:tabs>
              <w:spacing w:after="0" w:line="240" w:lineRule="auto"/>
              <w:ind w:right="29"/>
              <w:jc w:val="center"/>
              <w:rPr>
                <w:rFonts w:ascii="Arial" w:hAnsi="Arial" w:cs="Arial"/>
                <w:lang w:val="fr-FR"/>
              </w:rPr>
            </w:pPr>
            <w:r>
              <w:rPr>
                <w:rFonts w:ascii="Arial" w:hAnsi="Arial" w:cs="Arial"/>
                <w:lang w:val="fr-FR"/>
              </w:rPr>
              <w:t>(Note</w:t>
            </w:r>
            <w:r w:rsidR="005F40A9">
              <w:rPr>
                <w:rFonts w:ascii="Arial" w:hAnsi="Arial" w:cs="Arial"/>
                <w:lang w:val="fr-FR"/>
              </w:rPr>
              <w:t xml:space="preserve"> 2</w:t>
            </w:r>
            <w:r w:rsidR="00C83768">
              <w:rPr>
                <w:rFonts w:ascii="Arial" w:hAnsi="Arial" w:cs="Arial"/>
                <w:lang w:val="fr-FR"/>
              </w:rPr>
              <w:t>4</w:t>
            </w:r>
            <w:r w:rsidR="005F40A9">
              <w:rPr>
                <w:rFonts w:ascii="Arial" w:hAnsi="Arial" w:cs="Arial"/>
                <w:lang w:val="fr-FR"/>
              </w:rPr>
              <w:t>)</w:t>
            </w:r>
          </w:p>
        </w:tc>
        <w:tc>
          <w:tcPr>
            <w:tcW w:w="1530" w:type="dxa"/>
            <w:tcBorders>
              <w:top w:val="single" w:sz="4" w:space="0" w:color="auto"/>
            </w:tcBorders>
          </w:tcPr>
          <w:p w14:paraId="4BF232BF" w14:textId="467137D7" w:rsidR="001B7B70" w:rsidRPr="009F3026" w:rsidRDefault="001B7B70" w:rsidP="00824168">
            <w:pPr>
              <w:tabs>
                <w:tab w:val="left" w:pos="7214"/>
                <w:tab w:val="decimal" w:pos="8107"/>
                <w:tab w:val="left" w:pos="8467"/>
                <w:tab w:val="decimal" w:pos="9360"/>
              </w:tabs>
              <w:spacing w:after="0" w:line="240" w:lineRule="auto"/>
              <w:ind w:right="29"/>
              <w:jc w:val="center"/>
              <w:rPr>
                <w:rFonts w:ascii="Arial" w:hAnsi="Arial" w:cs="Arial"/>
                <w:lang w:val="fr-FR"/>
              </w:rPr>
            </w:pPr>
            <w:r>
              <w:rPr>
                <w:rFonts w:ascii="Arial" w:hAnsi="Arial" w:cs="Arial"/>
                <w:lang w:val="fr-FR"/>
              </w:rPr>
              <w:t>(Note</w:t>
            </w:r>
            <w:r w:rsidR="005F40A9">
              <w:rPr>
                <w:rFonts w:ascii="Arial" w:hAnsi="Arial" w:cs="Arial"/>
                <w:lang w:val="fr-FR"/>
              </w:rPr>
              <w:t xml:space="preserve"> 2</w:t>
            </w:r>
            <w:r w:rsidR="00C83768">
              <w:rPr>
                <w:rFonts w:ascii="Arial" w:hAnsi="Arial" w:cs="Arial"/>
                <w:lang w:val="fr-FR"/>
              </w:rPr>
              <w:t>4</w:t>
            </w:r>
            <w:r>
              <w:rPr>
                <w:rFonts w:ascii="Arial" w:hAnsi="Arial" w:cs="Arial"/>
                <w:lang w:val="fr-FR"/>
              </w:rPr>
              <w:t>)</w:t>
            </w:r>
          </w:p>
        </w:tc>
      </w:tr>
      <w:tr w:rsidR="001B7B70" w:rsidRPr="009F3026" w14:paraId="0A3C2CF0" w14:textId="5587DE30" w:rsidTr="001B7B70">
        <w:tc>
          <w:tcPr>
            <w:tcW w:w="5122" w:type="dxa"/>
            <w:vAlign w:val="bottom"/>
          </w:tcPr>
          <w:p w14:paraId="18ACAD41"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r w:rsidRPr="009F3026">
              <w:rPr>
                <w:rFonts w:ascii="Arial" w:hAnsi="Arial" w:cs="Arial"/>
                <w:lang w:val="fr-FR"/>
              </w:rPr>
              <w:t>Assets</w:t>
            </w:r>
          </w:p>
        </w:tc>
        <w:tc>
          <w:tcPr>
            <w:tcW w:w="1530" w:type="dxa"/>
          </w:tcPr>
          <w:p w14:paraId="337F4EE3" w14:textId="77777777" w:rsidR="001B7B70" w:rsidRPr="005241D0"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c>
          <w:tcPr>
            <w:tcW w:w="1530" w:type="dxa"/>
          </w:tcPr>
          <w:p w14:paraId="36021DC0"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c>
          <w:tcPr>
            <w:tcW w:w="1530" w:type="dxa"/>
          </w:tcPr>
          <w:p w14:paraId="5F9A14F5"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r>
      <w:tr w:rsidR="001B7B70" w:rsidRPr="009F3026" w14:paraId="3696FE61" w14:textId="07BF327D" w:rsidTr="001B7B70">
        <w:trPr>
          <w:trHeight w:hRule="exact" w:val="115"/>
        </w:trPr>
        <w:tc>
          <w:tcPr>
            <w:tcW w:w="5122" w:type="dxa"/>
            <w:vAlign w:val="bottom"/>
          </w:tcPr>
          <w:p w14:paraId="4194B307"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p>
        </w:tc>
        <w:tc>
          <w:tcPr>
            <w:tcW w:w="1530" w:type="dxa"/>
          </w:tcPr>
          <w:p w14:paraId="00A4E418" w14:textId="77777777" w:rsidR="001B7B70" w:rsidRPr="005241D0"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c>
          <w:tcPr>
            <w:tcW w:w="1530" w:type="dxa"/>
          </w:tcPr>
          <w:p w14:paraId="50CF2A4F"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c>
          <w:tcPr>
            <w:tcW w:w="1530" w:type="dxa"/>
          </w:tcPr>
          <w:p w14:paraId="1460533D"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r>
      <w:tr w:rsidR="001B7B70" w:rsidRPr="009F3026" w14:paraId="0346B2B1" w14:textId="2BBC6537" w:rsidTr="001B7B70">
        <w:tc>
          <w:tcPr>
            <w:tcW w:w="5122" w:type="dxa"/>
            <w:vAlign w:val="bottom"/>
          </w:tcPr>
          <w:p w14:paraId="59A9A0D5"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r w:rsidRPr="009F3026">
              <w:rPr>
                <w:rFonts w:ascii="Arial" w:hAnsi="Arial" w:cs="Arial"/>
                <w:lang w:val="fr-FR"/>
              </w:rPr>
              <w:t>Current assets</w:t>
            </w:r>
          </w:p>
        </w:tc>
        <w:tc>
          <w:tcPr>
            <w:tcW w:w="1530" w:type="dxa"/>
          </w:tcPr>
          <w:p w14:paraId="5B8C0429" w14:textId="77777777" w:rsidR="001B7B70" w:rsidRPr="005241D0"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c>
          <w:tcPr>
            <w:tcW w:w="1530" w:type="dxa"/>
          </w:tcPr>
          <w:p w14:paraId="2588919B"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c>
          <w:tcPr>
            <w:tcW w:w="1530" w:type="dxa"/>
          </w:tcPr>
          <w:p w14:paraId="3B42553D"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r>
      <w:tr w:rsidR="001B7B70" w:rsidRPr="009F3026" w14:paraId="10BE62CE" w14:textId="594C2E06" w:rsidTr="001B7B70">
        <w:trPr>
          <w:trHeight w:hRule="exact" w:val="115"/>
        </w:trPr>
        <w:tc>
          <w:tcPr>
            <w:tcW w:w="5122" w:type="dxa"/>
            <w:vAlign w:val="bottom"/>
          </w:tcPr>
          <w:p w14:paraId="4A41D970"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p>
        </w:tc>
        <w:tc>
          <w:tcPr>
            <w:tcW w:w="1530" w:type="dxa"/>
          </w:tcPr>
          <w:p w14:paraId="5B3F6CD0" w14:textId="77777777" w:rsidR="001B7B70" w:rsidRPr="005241D0"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c>
          <w:tcPr>
            <w:tcW w:w="1530" w:type="dxa"/>
          </w:tcPr>
          <w:p w14:paraId="2B3E5137"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c>
          <w:tcPr>
            <w:tcW w:w="1530" w:type="dxa"/>
          </w:tcPr>
          <w:p w14:paraId="20857552"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r>
      <w:tr w:rsidR="004252DF" w:rsidRPr="009F3026" w14:paraId="65542A7D" w14:textId="280D1B93" w:rsidTr="00AC37B3">
        <w:tc>
          <w:tcPr>
            <w:tcW w:w="5122" w:type="dxa"/>
            <w:vAlign w:val="bottom"/>
          </w:tcPr>
          <w:p w14:paraId="72E138AC" w14:textId="77777777" w:rsidR="004252DF" w:rsidRPr="009F3026" w:rsidRDefault="004252DF" w:rsidP="004252DF">
            <w:pPr>
              <w:tabs>
                <w:tab w:val="left" w:pos="7214"/>
                <w:tab w:val="decimal" w:pos="8107"/>
                <w:tab w:val="left" w:pos="8467"/>
                <w:tab w:val="decimal" w:pos="9360"/>
              </w:tabs>
              <w:spacing w:after="0" w:line="240" w:lineRule="auto"/>
              <w:ind w:left="144"/>
              <w:rPr>
                <w:rFonts w:ascii="Arial" w:hAnsi="Arial" w:cs="Arial"/>
              </w:rPr>
            </w:pPr>
            <w:r w:rsidRPr="009F3026">
              <w:rPr>
                <w:rFonts w:ascii="Arial" w:hAnsi="Arial" w:cs="Arial"/>
              </w:rPr>
              <w:t>Cash</w:t>
            </w:r>
          </w:p>
        </w:tc>
        <w:tc>
          <w:tcPr>
            <w:tcW w:w="1530" w:type="dxa"/>
            <w:vAlign w:val="bottom"/>
          </w:tcPr>
          <w:p w14:paraId="45481565" w14:textId="496CBF10" w:rsidR="004252DF" w:rsidRPr="005241D0" w:rsidRDefault="005241D0" w:rsidP="004252DF">
            <w:pPr>
              <w:tabs>
                <w:tab w:val="left" w:pos="7214"/>
                <w:tab w:val="decimal" w:pos="8107"/>
                <w:tab w:val="left" w:pos="8467"/>
                <w:tab w:val="decimal" w:pos="9360"/>
              </w:tabs>
              <w:spacing w:after="0" w:line="240" w:lineRule="auto"/>
              <w:ind w:right="180"/>
              <w:jc w:val="right"/>
              <w:rPr>
                <w:rFonts w:ascii="Arial" w:hAnsi="Arial" w:cs="Arial"/>
              </w:rPr>
            </w:pPr>
            <w:r w:rsidRPr="005241D0">
              <w:rPr>
                <w:rFonts w:ascii="Arial" w:hAnsi="Arial" w:cs="Arial"/>
              </w:rPr>
              <w:t>5,750,974</w:t>
            </w:r>
          </w:p>
        </w:tc>
        <w:tc>
          <w:tcPr>
            <w:tcW w:w="1530" w:type="dxa"/>
            <w:vAlign w:val="bottom"/>
          </w:tcPr>
          <w:p w14:paraId="7969A7B8" w14:textId="38735FB0"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74,800</w:t>
            </w:r>
          </w:p>
        </w:tc>
        <w:tc>
          <w:tcPr>
            <w:tcW w:w="1530" w:type="dxa"/>
            <w:vAlign w:val="bottom"/>
          </w:tcPr>
          <w:p w14:paraId="06EAE576" w14:textId="38A4C7D5"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79,304</w:t>
            </w:r>
          </w:p>
        </w:tc>
      </w:tr>
      <w:tr w:rsidR="004252DF" w:rsidRPr="009F3026" w14:paraId="34518B65" w14:textId="77777777" w:rsidTr="00AC37B3">
        <w:tc>
          <w:tcPr>
            <w:tcW w:w="5122" w:type="dxa"/>
            <w:vAlign w:val="bottom"/>
          </w:tcPr>
          <w:p w14:paraId="1379A4A5" w14:textId="143FB149" w:rsidR="004252DF" w:rsidRPr="009F3026" w:rsidRDefault="004252DF" w:rsidP="004252DF">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Amounts receivable</w:t>
            </w:r>
          </w:p>
        </w:tc>
        <w:tc>
          <w:tcPr>
            <w:tcW w:w="1530" w:type="dxa"/>
            <w:vAlign w:val="bottom"/>
          </w:tcPr>
          <w:p w14:paraId="3CAE0790" w14:textId="015630A8" w:rsidR="004252DF" w:rsidRPr="005241D0" w:rsidRDefault="00254400"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32,407</w:t>
            </w:r>
          </w:p>
        </w:tc>
        <w:tc>
          <w:tcPr>
            <w:tcW w:w="1530" w:type="dxa"/>
            <w:vAlign w:val="bottom"/>
          </w:tcPr>
          <w:p w14:paraId="7B64ECEF" w14:textId="2D2B5DDC"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44,489</w:t>
            </w:r>
          </w:p>
        </w:tc>
        <w:tc>
          <w:tcPr>
            <w:tcW w:w="1530" w:type="dxa"/>
            <w:vAlign w:val="bottom"/>
          </w:tcPr>
          <w:p w14:paraId="69E293EB" w14:textId="36B45F1B"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5,122</w:t>
            </w:r>
          </w:p>
        </w:tc>
      </w:tr>
      <w:tr w:rsidR="005241D0" w:rsidRPr="009F3026" w14:paraId="215B7CA3" w14:textId="77777777" w:rsidTr="00AC37B3">
        <w:tc>
          <w:tcPr>
            <w:tcW w:w="5122" w:type="dxa"/>
            <w:vAlign w:val="bottom"/>
          </w:tcPr>
          <w:p w14:paraId="3F832EBF" w14:textId="72B9EF05" w:rsidR="005241D0" w:rsidRDefault="005241D0" w:rsidP="004252DF">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 xml:space="preserve">Loan receivable (Note </w:t>
            </w:r>
            <w:r w:rsidR="00B256C2">
              <w:rPr>
                <w:rFonts w:ascii="Arial" w:hAnsi="Arial" w:cs="Arial"/>
              </w:rPr>
              <w:t>5</w:t>
            </w:r>
            <w:r>
              <w:rPr>
                <w:rFonts w:ascii="Arial" w:hAnsi="Arial" w:cs="Arial"/>
              </w:rPr>
              <w:t>)</w:t>
            </w:r>
          </w:p>
        </w:tc>
        <w:tc>
          <w:tcPr>
            <w:tcW w:w="1530" w:type="dxa"/>
            <w:vAlign w:val="bottom"/>
          </w:tcPr>
          <w:p w14:paraId="26A53CDD" w14:textId="4C4DE912" w:rsidR="005241D0" w:rsidRPr="005241D0" w:rsidRDefault="005241D0" w:rsidP="004252DF">
            <w:pPr>
              <w:tabs>
                <w:tab w:val="left" w:pos="7214"/>
                <w:tab w:val="decimal" w:pos="8107"/>
                <w:tab w:val="left" w:pos="8467"/>
                <w:tab w:val="decimal" w:pos="9360"/>
              </w:tabs>
              <w:spacing w:after="0" w:line="240" w:lineRule="auto"/>
              <w:ind w:right="180"/>
              <w:jc w:val="right"/>
              <w:rPr>
                <w:rFonts w:ascii="Arial" w:hAnsi="Arial" w:cs="Arial"/>
              </w:rPr>
            </w:pPr>
            <w:r w:rsidRPr="005241D0">
              <w:rPr>
                <w:rFonts w:ascii="Arial" w:hAnsi="Arial" w:cs="Arial"/>
              </w:rPr>
              <w:t>224,686</w:t>
            </w:r>
          </w:p>
        </w:tc>
        <w:tc>
          <w:tcPr>
            <w:tcW w:w="1530" w:type="dxa"/>
            <w:vAlign w:val="bottom"/>
          </w:tcPr>
          <w:p w14:paraId="2C1CBE35" w14:textId="00A58811" w:rsidR="005241D0" w:rsidRDefault="005241D0"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c>
          <w:tcPr>
            <w:tcW w:w="1530" w:type="dxa"/>
            <w:vAlign w:val="bottom"/>
          </w:tcPr>
          <w:p w14:paraId="65B9BB83" w14:textId="6961A52D" w:rsidR="005241D0" w:rsidRDefault="005241D0"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r>
      <w:tr w:rsidR="00C74354" w:rsidRPr="009F3026" w14:paraId="43FD926C" w14:textId="77777777" w:rsidTr="00C74354">
        <w:tc>
          <w:tcPr>
            <w:tcW w:w="5122" w:type="dxa"/>
            <w:vAlign w:val="bottom"/>
          </w:tcPr>
          <w:p w14:paraId="3909A3E6" w14:textId="77777777" w:rsidR="00C74354" w:rsidRPr="009F3026" w:rsidRDefault="00C74354" w:rsidP="00C74354">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Prepaids and other current assets</w:t>
            </w:r>
          </w:p>
        </w:tc>
        <w:tc>
          <w:tcPr>
            <w:tcW w:w="1530" w:type="dxa"/>
            <w:vAlign w:val="bottom"/>
          </w:tcPr>
          <w:p w14:paraId="41E18446" w14:textId="58F02229" w:rsidR="00C74354" w:rsidRPr="005241D0" w:rsidRDefault="001E7D46" w:rsidP="00C74354">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1,109,677</w:t>
            </w:r>
          </w:p>
        </w:tc>
        <w:tc>
          <w:tcPr>
            <w:tcW w:w="1530" w:type="dxa"/>
            <w:vAlign w:val="bottom"/>
          </w:tcPr>
          <w:p w14:paraId="039C437B" w14:textId="77777777" w:rsidR="00C74354" w:rsidRPr="009F3026" w:rsidRDefault="00C74354" w:rsidP="00C74354">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122,585</w:t>
            </w:r>
          </w:p>
        </w:tc>
        <w:tc>
          <w:tcPr>
            <w:tcW w:w="1530" w:type="dxa"/>
            <w:vAlign w:val="bottom"/>
          </w:tcPr>
          <w:p w14:paraId="1CD57531" w14:textId="77777777" w:rsidR="00C74354" w:rsidRDefault="00C74354" w:rsidP="00C74354">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99,051</w:t>
            </w:r>
          </w:p>
        </w:tc>
      </w:tr>
      <w:tr w:rsidR="004252DF" w:rsidRPr="009F3026" w14:paraId="6B2ED797" w14:textId="6530B0EC" w:rsidTr="00AC37B3">
        <w:tc>
          <w:tcPr>
            <w:tcW w:w="5122" w:type="dxa"/>
            <w:vAlign w:val="bottom"/>
          </w:tcPr>
          <w:p w14:paraId="68EEE5EF" w14:textId="2107FA81" w:rsidR="004252DF" w:rsidRPr="009F3026" w:rsidRDefault="005241D0" w:rsidP="004252DF">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Prepaid i</w:t>
            </w:r>
            <w:r w:rsidR="00C74354">
              <w:rPr>
                <w:rFonts w:ascii="Arial" w:hAnsi="Arial" w:cs="Arial"/>
              </w:rPr>
              <w:t xml:space="preserve">nventory (Note </w:t>
            </w:r>
            <w:r w:rsidR="00B256C2">
              <w:rPr>
                <w:rFonts w:ascii="Arial" w:hAnsi="Arial" w:cs="Arial"/>
              </w:rPr>
              <w:t>6</w:t>
            </w:r>
            <w:r w:rsidR="009F77A7">
              <w:rPr>
                <w:rFonts w:ascii="Arial" w:hAnsi="Arial" w:cs="Arial"/>
              </w:rPr>
              <w:t>)</w:t>
            </w:r>
          </w:p>
        </w:tc>
        <w:tc>
          <w:tcPr>
            <w:tcW w:w="1530" w:type="dxa"/>
            <w:vAlign w:val="bottom"/>
          </w:tcPr>
          <w:p w14:paraId="2FF7EA93" w14:textId="26E2917D" w:rsidR="004252DF" w:rsidRPr="005241D0" w:rsidRDefault="001E7D46"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480,480</w:t>
            </w:r>
          </w:p>
        </w:tc>
        <w:tc>
          <w:tcPr>
            <w:tcW w:w="1530" w:type="dxa"/>
            <w:vAlign w:val="bottom"/>
          </w:tcPr>
          <w:p w14:paraId="54EEE0B1" w14:textId="6FB4875B" w:rsidR="004252DF" w:rsidRPr="009F3026" w:rsidRDefault="00C74354"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c>
          <w:tcPr>
            <w:tcW w:w="1530" w:type="dxa"/>
            <w:vAlign w:val="bottom"/>
          </w:tcPr>
          <w:p w14:paraId="2C1769AD" w14:textId="1A70D3EB" w:rsidR="004252DF" w:rsidRDefault="00C74354"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r>
      <w:tr w:rsidR="004252DF" w:rsidRPr="009F3026" w14:paraId="703E4458" w14:textId="5BD52339" w:rsidTr="001B7B70">
        <w:trPr>
          <w:trHeight w:hRule="exact" w:val="86"/>
        </w:trPr>
        <w:tc>
          <w:tcPr>
            <w:tcW w:w="5122" w:type="dxa"/>
            <w:tcBorders>
              <w:top w:val="single" w:sz="4" w:space="0" w:color="auto"/>
            </w:tcBorders>
            <w:vAlign w:val="bottom"/>
          </w:tcPr>
          <w:p w14:paraId="7F11AE44" w14:textId="77777777" w:rsidR="004252DF" w:rsidRPr="009F3026" w:rsidRDefault="004252DF" w:rsidP="004252DF">
            <w:pPr>
              <w:tabs>
                <w:tab w:val="left" w:pos="7214"/>
                <w:tab w:val="decimal" w:pos="8107"/>
                <w:tab w:val="left" w:pos="8467"/>
                <w:tab w:val="decimal" w:pos="9360"/>
              </w:tabs>
              <w:spacing w:after="0" w:line="240" w:lineRule="auto"/>
              <w:ind w:left="144"/>
              <w:rPr>
                <w:rFonts w:ascii="Arial" w:hAnsi="Arial" w:cs="Arial"/>
              </w:rPr>
            </w:pPr>
          </w:p>
        </w:tc>
        <w:tc>
          <w:tcPr>
            <w:tcW w:w="1530" w:type="dxa"/>
            <w:tcBorders>
              <w:top w:val="single" w:sz="4" w:space="0" w:color="auto"/>
            </w:tcBorders>
            <w:vAlign w:val="bottom"/>
          </w:tcPr>
          <w:p w14:paraId="645774FD" w14:textId="77777777" w:rsidR="004252DF" w:rsidRPr="005241D0"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0A300BB8"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76AD1A6F"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r>
      <w:tr w:rsidR="004252DF" w:rsidRPr="009F3026" w14:paraId="6C6A5EBC" w14:textId="34F96CFA" w:rsidTr="001B7B70">
        <w:tc>
          <w:tcPr>
            <w:tcW w:w="5122" w:type="dxa"/>
            <w:vAlign w:val="bottom"/>
          </w:tcPr>
          <w:p w14:paraId="1FD0CE25" w14:textId="77777777" w:rsidR="004252DF" w:rsidRPr="009F3026" w:rsidRDefault="004252DF" w:rsidP="004252DF">
            <w:pPr>
              <w:tabs>
                <w:tab w:val="left" w:pos="7214"/>
                <w:tab w:val="decimal" w:pos="8107"/>
                <w:tab w:val="left" w:pos="8467"/>
                <w:tab w:val="decimal" w:pos="9360"/>
              </w:tabs>
              <w:spacing w:after="0" w:line="240" w:lineRule="auto"/>
              <w:ind w:left="144" w:hanging="152"/>
              <w:rPr>
                <w:rFonts w:ascii="Arial" w:hAnsi="Arial" w:cs="Arial"/>
              </w:rPr>
            </w:pPr>
            <w:r w:rsidRPr="009F3026">
              <w:rPr>
                <w:rFonts w:ascii="Arial" w:hAnsi="Arial" w:cs="Arial"/>
              </w:rPr>
              <w:t>Total current assets</w:t>
            </w:r>
          </w:p>
        </w:tc>
        <w:tc>
          <w:tcPr>
            <w:tcW w:w="1530" w:type="dxa"/>
            <w:vAlign w:val="bottom"/>
          </w:tcPr>
          <w:p w14:paraId="288123C1" w14:textId="755F97AE" w:rsidR="004252DF" w:rsidRPr="005241D0" w:rsidRDefault="005241D0" w:rsidP="004252DF">
            <w:pPr>
              <w:tabs>
                <w:tab w:val="left" w:pos="7214"/>
                <w:tab w:val="decimal" w:pos="8107"/>
                <w:tab w:val="left" w:pos="8467"/>
                <w:tab w:val="decimal" w:pos="9360"/>
              </w:tabs>
              <w:spacing w:after="0" w:line="240" w:lineRule="auto"/>
              <w:ind w:right="180"/>
              <w:jc w:val="right"/>
              <w:rPr>
                <w:rFonts w:ascii="Arial" w:hAnsi="Arial" w:cs="Arial"/>
              </w:rPr>
            </w:pPr>
            <w:r w:rsidRPr="005241D0">
              <w:rPr>
                <w:rFonts w:ascii="Arial" w:hAnsi="Arial" w:cs="Arial"/>
              </w:rPr>
              <w:t>7,</w:t>
            </w:r>
            <w:r w:rsidR="00254400">
              <w:rPr>
                <w:rFonts w:ascii="Arial" w:hAnsi="Arial" w:cs="Arial"/>
              </w:rPr>
              <w:t>598,224</w:t>
            </w:r>
          </w:p>
        </w:tc>
        <w:tc>
          <w:tcPr>
            <w:tcW w:w="1530" w:type="dxa"/>
            <w:vAlign w:val="bottom"/>
          </w:tcPr>
          <w:p w14:paraId="7D45736F" w14:textId="4EBD7423"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241,874</w:t>
            </w:r>
          </w:p>
        </w:tc>
        <w:tc>
          <w:tcPr>
            <w:tcW w:w="1530" w:type="dxa"/>
            <w:vAlign w:val="bottom"/>
          </w:tcPr>
          <w:p w14:paraId="3BEC86B4" w14:textId="19FC6514"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183,477</w:t>
            </w:r>
          </w:p>
        </w:tc>
      </w:tr>
      <w:tr w:rsidR="004252DF" w:rsidRPr="009F3026" w14:paraId="47235BDF" w14:textId="40F0EE55" w:rsidTr="001B7B70">
        <w:trPr>
          <w:trHeight w:hRule="exact" w:val="144"/>
        </w:trPr>
        <w:tc>
          <w:tcPr>
            <w:tcW w:w="5122" w:type="dxa"/>
            <w:vAlign w:val="bottom"/>
          </w:tcPr>
          <w:p w14:paraId="47C1446A" w14:textId="77777777" w:rsidR="004252DF" w:rsidRPr="009F3026" w:rsidRDefault="004252DF" w:rsidP="004252DF">
            <w:pPr>
              <w:tabs>
                <w:tab w:val="left" w:pos="7214"/>
                <w:tab w:val="decimal" w:pos="8107"/>
                <w:tab w:val="left" w:pos="8467"/>
                <w:tab w:val="decimal" w:pos="9360"/>
              </w:tabs>
              <w:spacing w:after="0" w:line="240" w:lineRule="auto"/>
              <w:ind w:left="144"/>
              <w:rPr>
                <w:rFonts w:ascii="Arial" w:hAnsi="Arial" w:cs="Arial"/>
              </w:rPr>
            </w:pPr>
          </w:p>
        </w:tc>
        <w:tc>
          <w:tcPr>
            <w:tcW w:w="1530" w:type="dxa"/>
            <w:vAlign w:val="bottom"/>
          </w:tcPr>
          <w:p w14:paraId="5C6A628F" w14:textId="77777777" w:rsidR="004252DF" w:rsidRPr="005241D0"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7853EFCC"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064EF3F2"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r>
      <w:tr w:rsidR="004252DF" w:rsidRPr="009F3026" w14:paraId="26468342" w14:textId="77777777" w:rsidTr="001B7B70">
        <w:tc>
          <w:tcPr>
            <w:tcW w:w="5122" w:type="dxa"/>
            <w:vAlign w:val="bottom"/>
          </w:tcPr>
          <w:p w14:paraId="533F125F" w14:textId="11239D60" w:rsidR="004252DF" w:rsidRDefault="004252DF" w:rsidP="004252DF">
            <w:pPr>
              <w:tabs>
                <w:tab w:val="left" w:pos="7214"/>
                <w:tab w:val="decimal" w:pos="8107"/>
                <w:tab w:val="left" w:pos="8467"/>
                <w:tab w:val="decimal" w:pos="9360"/>
              </w:tabs>
              <w:spacing w:after="0" w:line="240" w:lineRule="auto"/>
              <w:rPr>
                <w:rFonts w:ascii="Arial" w:hAnsi="Arial" w:cs="Arial"/>
              </w:rPr>
            </w:pPr>
            <w:r>
              <w:rPr>
                <w:rFonts w:ascii="Arial" w:hAnsi="Arial" w:cs="Arial"/>
              </w:rPr>
              <w:t xml:space="preserve">Equipment, net (Note </w:t>
            </w:r>
            <w:r w:rsidR="00B256C2">
              <w:rPr>
                <w:rFonts w:ascii="Arial" w:hAnsi="Arial" w:cs="Arial"/>
              </w:rPr>
              <w:t>7</w:t>
            </w:r>
            <w:r>
              <w:rPr>
                <w:rFonts w:ascii="Arial" w:hAnsi="Arial" w:cs="Arial"/>
              </w:rPr>
              <w:t>)</w:t>
            </w:r>
          </w:p>
        </w:tc>
        <w:tc>
          <w:tcPr>
            <w:tcW w:w="1530" w:type="dxa"/>
            <w:vAlign w:val="bottom"/>
          </w:tcPr>
          <w:p w14:paraId="35B0A872" w14:textId="06EC8116" w:rsidR="004252DF" w:rsidRPr="005241D0" w:rsidRDefault="00BD6EC3" w:rsidP="004252DF">
            <w:pPr>
              <w:tabs>
                <w:tab w:val="left" w:pos="7214"/>
                <w:tab w:val="decimal" w:pos="8107"/>
                <w:tab w:val="left" w:pos="8467"/>
                <w:tab w:val="decimal" w:pos="9360"/>
              </w:tabs>
              <w:spacing w:after="0" w:line="240" w:lineRule="auto"/>
              <w:ind w:right="180"/>
              <w:jc w:val="right"/>
              <w:rPr>
                <w:rFonts w:ascii="Arial" w:hAnsi="Arial" w:cs="Arial"/>
              </w:rPr>
            </w:pPr>
            <w:r w:rsidRPr="005241D0">
              <w:rPr>
                <w:rFonts w:ascii="Arial" w:hAnsi="Arial" w:cs="Arial"/>
              </w:rPr>
              <w:t>–</w:t>
            </w:r>
          </w:p>
        </w:tc>
        <w:tc>
          <w:tcPr>
            <w:tcW w:w="1530" w:type="dxa"/>
            <w:vAlign w:val="bottom"/>
          </w:tcPr>
          <w:p w14:paraId="553AE066" w14:textId="09137C68"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4,162</w:t>
            </w:r>
          </w:p>
        </w:tc>
        <w:tc>
          <w:tcPr>
            <w:tcW w:w="1530" w:type="dxa"/>
            <w:vAlign w:val="bottom"/>
          </w:tcPr>
          <w:p w14:paraId="4EBF91BB" w14:textId="77A06688" w:rsidR="004252DF" w:rsidRDefault="00C135E2"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r>
      <w:tr w:rsidR="004252DF" w:rsidRPr="009F3026" w14:paraId="45882E9D" w14:textId="2E5C8FF3" w:rsidTr="001B7B70">
        <w:tc>
          <w:tcPr>
            <w:tcW w:w="5122" w:type="dxa"/>
            <w:vAlign w:val="bottom"/>
          </w:tcPr>
          <w:p w14:paraId="48336960" w14:textId="5ACA003D" w:rsidR="004252DF" w:rsidRDefault="004252DF" w:rsidP="004252DF">
            <w:pPr>
              <w:tabs>
                <w:tab w:val="left" w:pos="7214"/>
                <w:tab w:val="decimal" w:pos="8107"/>
                <w:tab w:val="left" w:pos="8467"/>
                <w:tab w:val="decimal" w:pos="9360"/>
              </w:tabs>
              <w:spacing w:after="0" w:line="240" w:lineRule="auto"/>
              <w:rPr>
                <w:rFonts w:ascii="Arial" w:hAnsi="Arial" w:cs="Arial"/>
              </w:rPr>
            </w:pPr>
            <w:r>
              <w:rPr>
                <w:rFonts w:ascii="Arial" w:hAnsi="Arial" w:cs="Arial"/>
              </w:rPr>
              <w:t xml:space="preserve">Intangible asset, net (Note </w:t>
            </w:r>
            <w:r w:rsidR="00B256C2">
              <w:rPr>
                <w:rFonts w:ascii="Arial" w:hAnsi="Arial" w:cs="Arial"/>
              </w:rPr>
              <w:t>8</w:t>
            </w:r>
            <w:r>
              <w:rPr>
                <w:rFonts w:ascii="Arial" w:hAnsi="Arial" w:cs="Arial"/>
              </w:rPr>
              <w:t>)</w:t>
            </w:r>
          </w:p>
        </w:tc>
        <w:tc>
          <w:tcPr>
            <w:tcW w:w="1530" w:type="dxa"/>
            <w:vAlign w:val="bottom"/>
          </w:tcPr>
          <w:p w14:paraId="775E5C3E" w14:textId="5981D82A" w:rsidR="004252DF" w:rsidRPr="005241D0" w:rsidRDefault="005241D0" w:rsidP="004252DF">
            <w:pPr>
              <w:tabs>
                <w:tab w:val="left" w:pos="7214"/>
                <w:tab w:val="decimal" w:pos="8107"/>
                <w:tab w:val="left" w:pos="8467"/>
                <w:tab w:val="decimal" w:pos="9360"/>
              </w:tabs>
              <w:spacing w:after="0" w:line="240" w:lineRule="auto"/>
              <w:ind w:right="180"/>
              <w:jc w:val="right"/>
              <w:rPr>
                <w:rFonts w:ascii="Arial" w:hAnsi="Arial" w:cs="Arial"/>
              </w:rPr>
            </w:pPr>
            <w:r w:rsidRPr="005241D0">
              <w:rPr>
                <w:rFonts w:ascii="Arial" w:hAnsi="Arial" w:cs="Arial"/>
              </w:rPr>
              <w:t>7,627,689</w:t>
            </w:r>
          </w:p>
        </w:tc>
        <w:tc>
          <w:tcPr>
            <w:tcW w:w="1530" w:type="dxa"/>
            <w:vAlign w:val="bottom"/>
          </w:tcPr>
          <w:p w14:paraId="7A05A497" w14:textId="7F49D387"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8,349,822</w:t>
            </w:r>
          </w:p>
        </w:tc>
        <w:tc>
          <w:tcPr>
            <w:tcW w:w="1530" w:type="dxa"/>
            <w:vAlign w:val="bottom"/>
          </w:tcPr>
          <w:p w14:paraId="32FB45D7" w14:textId="22861D4A" w:rsidR="004252DF" w:rsidRPr="009F3026" w:rsidRDefault="00C135E2"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288,349</w:t>
            </w:r>
          </w:p>
        </w:tc>
      </w:tr>
      <w:tr w:rsidR="004252DF" w:rsidRPr="009F3026" w14:paraId="7D5CF980" w14:textId="77777777" w:rsidTr="001B7B70">
        <w:tc>
          <w:tcPr>
            <w:tcW w:w="5122" w:type="dxa"/>
            <w:vAlign w:val="bottom"/>
          </w:tcPr>
          <w:p w14:paraId="5A01A62B" w14:textId="224F210B" w:rsidR="004252DF" w:rsidRDefault="004252DF" w:rsidP="00714A27">
            <w:pPr>
              <w:tabs>
                <w:tab w:val="left" w:pos="7214"/>
                <w:tab w:val="decimal" w:pos="8107"/>
                <w:tab w:val="left" w:pos="8467"/>
                <w:tab w:val="decimal" w:pos="9360"/>
              </w:tabs>
              <w:spacing w:after="0" w:line="240" w:lineRule="auto"/>
              <w:rPr>
                <w:rFonts w:ascii="Arial" w:hAnsi="Arial" w:cs="Arial"/>
              </w:rPr>
            </w:pPr>
            <w:r>
              <w:rPr>
                <w:rFonts w:ascii="Arial" w:hAnsi="Arial" w:cs="Arial"/>
              </w:rPr>
              <w:t>Right-of-use asset (</w:t>
            </w:r>
            <w:r w:rsidRPr="00E050EF">
              <w:rPr>
                <w:rFonts w:ascii="Arial" w:hAnsi="Arial" w:cs="Arial"/>
              </w:rPr>
              <w:t xml:space="preserve">Note </w:t>
            </w:r>
            <w:r w:rsidR="00B256C2">
              <w:rPr>
                <w:rFonts w:ascii="Arial" w:hAnsi="Arial" w:cs="Arial"/>
              </w:rPr>
              <w:t>9</w:t>
            </w:r>
            <w:r>
              <w:rPr>
                <w:rFonts w:ascii="Arial" w:hAnsi="Arial" w:cs="Arial"/>
              </w:rPr>
              <w:t>)</w:t>
            </w:r>
          </w:p>
        </w:tc>
        <w:tc>
          <w:tcPr>
            <w:tcW w:w="1530" w:type="dxa"/>
            <w:vAlign w:val="bottom"/>
          </w:tcPr>
          <w:p w14:paraId="0C509EDC" w14:textId="34CEA160" w:rsidR="004252DF" w:rsidRPr="005241D0" w:rsidRDefault="005241D0" w:rsidP="001B7B70">
            <w:pPr>
              <w:tabs>
                <w:tab w:val="left" w:pos="7214"/>
                <w:tab w:val="decimal" w:pos="8107"/>
                <w:tab w:val="left" w:pos="8467"/>
                <w:tab w:val="decimal" w:pos="9360"/>
              </w:tabs>
              <w:spacing w:after="0" w:line="240" w:lineRule="auto"/>
              <w:ind w:right="180"/>
              <w:jc w:val="right"/>
              <w:rPr>
                <w:rFonts w:ascii="Arial" w:hAnsi="Arial" w:cs="Arial"/>
              </w:rPr>
            </w:pPr>
            <w:r w:rsidRPr="005241D0">
              <w:rPr>
                <w:rFonts w:ascii="Arial" w:hAnsi="Arial" w:cs="Arial"/>
              </w:rPr>
              <w:t>810,384</w:t>
            </w:r>
          </w:p>
        </w:tc>
        <w:tc>
          <w:tcPr>
            <w:tcW w:w="1530" w:type="dxa"/>
            <w:vAlign w:val="bottom"/>
          </w:tcPr>
          <w:p w14:paraId="0BEB0C3B" w14:textId="540ED20E" w:rsidR="004252DF" w:rsidRDefault="00864115" w:rsidP="001B7B70">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1,122,175</w:t>
            </w:r>
          </w:p>
        </w:tc>
        <w:tc>
          <w:tcPr>
            <w:tcW w:w="1530" w:type="dxa"/>
            <w:vAlign w:val="bottom"/>
          </w:tcPr>
          <w:p w14:paraId="5340F0A6" w14:textId="399A60A5" w:rsidR="004252DF" w:rsidRPr="009F3026" w:rsidRDefault="006E6BF8" w:rsidP="001B7B70">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r>
      <w:tr w:rsidR="001B7B70" w:rsidRPr="009F3026" w14:paraId="0C849F6B" w14:textId="389C1397" w:rsidTr="001B7B70">
        <w:trPr>
          <w:trHeight w:hRule="exact" w:val="115"/>
        </w:trPr>
        <w:tc>
          <w:tcPr>
            <w:tcW w:w="5122" w:type="dxa"/>
            <w:tcBorders>
              <w:top w:val="single" w:sz="4" w:space="0" w:color="auto"/>
            </w:tcBorders>
            <w:vAlign w:val="bottom"/>
          </w:tcPr>
          <w:p w14:paraId="14711D52"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rPr>
            </w:pPr>
          </w:p>
        </w:tc>
        <w:tc>
          <w:tcPr>
            <w:tcW w:w="1530" w:type="dxa"/>
            <w:tcBorders>
              <w:top w:val="single" w:sz="4" w:space="0" w:color="auto"/>
            </w:tcBorders>
            <w:vAlign w:val="bottom"/>
          </w:tcPr>
          <w:p w14:paraId="527E95ED" w14:textId="77777777" w:rsidR="001B7B70" w:rsidRPr="005241D0"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5D4A7558"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2E8CF862"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r>
      <w:tr w:rsidR="001B7B70" w:rsidRPr="009F3026" w14:paraId="748A452A" w14:textId="12B3529E" w:rsidTr="001B7B70">
        <w:tc>
          <w:tcPr>
            <w:tcW w:w="5122" w:type="dxa"/>
            <w:tcBorders>
              <w:bottom w:val="single" w:sz="12" w:space="0" w:color="auto"/>
            </w:tcBorders>
            <w:vAlign w:val="bottom"/>
          </w:tcPr>
          <w:p w14:paraId="56E4754E"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r w:rsidRPr="009F3026">
              <w:rPr>
                <w:rFonts w:ascii="Arial" w:hAnsi="Arial" w:cs="Arial"/>
                <w:lang w:val="fr-FR"/>
              </w:rPr>
              <w:t>Total assets</w:t>
            </w:r>
          </w:p>
        </w:tc>
        <w:tc>
          <w:tcPr>
            <w:tcW w:w="1530" w:type="dxa"/>
            <w:tcBorders>
              <w:bottom w:val="single" w:sz="12" w:space="0" w:color="auto"/>
            </w:tcBorders>
            <w:vAlign w:val="bottom"/>
          </w:tcPr>
          <w:p w14:paraId="15751C56" w14:textId="69B6193D" w:rsidR="001B7B70" w:rsidRPr="005241D0" w:rsidRDefault="005241D0" w:rsidP="00F010A8">
            <w:pPr>
              <w:tabs>
                <w:tab w:val="left" w:pos="7214"/>
                <w:tab w:val="decimal" w:pos="8107"/>
                <w:tab w:val="left" w:pos="8467"/>
                <w:tab w:val="decimal" w:pos="9360"/>
              </w:tabs>
              <w:spacing w:after="0" w:line="240" w:lineRule="auto"/>
              <w:ind w:right="180"/>
              <w:jc w:val="right"/>
              <w:rPr>
                <w:rFonts w:ascii="Arial" w:hAnsi="Arial" w:cs="Arial"/>
                <w:lang w:val="fr-FR"/>
              </w:rPr>
            </w:pPr>
            <w:r w:rsidRPr="005241D0">
              <w:rPr>
                <w:rFonts w:ascii="Arial" w:hAnsi="Arial" w:cs="Arial"/>
                <w:lang w:val="fr-FR"/>
              </w:rPr>
              <w:t>16,</w:t>
            </w:r>
            <w:r w:rsidR="00254400">
              <w:rPr>
                <w:rFonts w:ascii="Arial" w:hAnsi="Arial" w:cs="Arial"/>
                <w:lang w:val="fr-FR"/>
              </w:rPr>
              <w:t>036,297</w:t>
            </w:r>
          </w:p>
        </w:tc>
        <w:tc>
          <w:tcPr>
            <w:tcW w:w="1530" w:type="dxa"/>
            <w:tcBorders>
              <w:bottom w:val="single" w:sz="12" w:space="0" w:color="auto"/>
            </w:tcBorders>
            <w:vAlign w:val="bottom"/>
          </w:tcPr>
          <w:p w14:paraId="48CCD167" w14:textId="095C22F8" w:rsidR="001B7B70" w:rsidRPr="009F3026" w:rsidRDefault="00864115" w:rsidP="001B7B70">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9,718,033</w:t>
            </w:r>
          </w:p>
        </w:tc>
        <w:tc>
          <w:tcPr>
            <w:tcW w:w="1530" w:type="dxa"/>
            <w:tcBorders>
              <w:bottom w:val="single" w:sz="12" w:space="0" w:color="auto"/>
            </w:tcBorders>
            <w:vAlign w:val="bottom"/>
          </w:tcPr>
          <w:p w14:paraId="2E306C48" w14:textId="11AD8C30" w:rsidR="001B7B70" w:rsidRDefault="004252DF" w:rsidP="001B7B70">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471,826</w:t>
            </w:r>
          </w:p>
        </w:tc>
      </w:tr>
      <w:tr w:rsidR="001B7B70" w:rsidRPr="009F3026" w14:paraId="0F8FDCC6" w14:textId="1FD7CF95" w:rsidTr="001B7B70">
        <w:trPr>
          <w:trHeight w:hRule="exact" w:val="115"/>
        </w:trPr>
        <w:tc>
          <w:tcPr>
            <w:tcW w:w="5122" w:type="dxa"/>
            <w:tcBorders>
              <w:top w:val="single" w:sz="12" w:space="0" w:color="auto"/>
            </w:tcBorders>
            <w:vAlign w:val="bottom"/>
          </w:tcPr>
          <w:p w14:paraId="778C59E9"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p>
        </w:tc>
        <w:tc>
          <w:tcPr>
            <w:tcW w:w="1530" w:type="dxa"/>
            <w:tcBorders>
              <w:top w:val="single" w:sz="12" w:space="0" w:color="auto"/>
            </w:tcBorders>
            <w:vAlign w:val="bottom"/>
          </w:tcPr>
          <w:p w14:paraId="5E623102" w14:textId="77777777" w:rsidR="001B7B70" w:rsidRPr="005241D0"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tcBorders>
              <w:top w:val="single" w:sz="12" w:space="0" w:color="auto"/>
            </w:tcBorders>
            <w:vAlign w:val="bottom"/>
          </w:tcPr>
          <w:p w14:paraId="77FF132F"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tcBorders>
              <w:top w:val="single" w:sz="12" w:space="0" w:color="auto"/>
            </w:tcBorders>
            <w:vAlign w:val="bottom"/>
          </w:tcPr>
          <w:p w14:paraId="0ACDA18E"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r>
      <w:tr w:rsidR="001B7B70" w:rsidRPr="009F3026" w14:paraId="04286297" w14:textId="701213A2" w:rsidTr="00F62DC5">
        <w:trPr>
          <w:trHeight w:val="324"/>
        </w:trPr>
        <w:tc>
          <w:tcPr>
            <w:tcW w:w="5122" w:type="dxa"/>
            <w:vAlign w:val="bottom"/>
          </w:tcPr>
          <w:p w14:paraId="1D156495"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p>
          <w:p w14:paraId="58C07B00" w14:textId="22F1231E" w:rsidR="001B7B70" w:rsidRPr="009F3026" w:rsidRDefault="001B7B70" w:rsidP="00681427">
            <w:pPr>
              <w:tabs>
                <w:tab w:val="left" w:pos="7214"/>
                <w:tab w:val="decimal" w:pos="8107"/>
                <w:tab w:val="left" w:pos="8467"/>
                <w:tab w:val="decimal" w:pos="9360"/>
              </w:tabs>
              <w:spacing w:after="0" w:line="240" w:lineRule="auto"/>
              <w:rPr>
                <w:rFonts w:ascii="Arial" w:hAnsi="Arial" w:cs="Arial"/>
              </w:rPr>
            </w:pPr>
            <w:r w:rsidRPr="009F3026">
              <w:rPr>
                <w:rFonts w:ascii="Arial" w:hAnsi="Arial" w:cs="Arial"/>
                <w:lang w:val="fr-FR"/>
              </w:rPr>
              <w:t xml:space="preserve">Liabilities and </w:t>
            </w:r>
            <w:r w:rsidR="00681427">
              <w:rPr>
                <w:rFonts w:ascii="Arial" w:hAnsi="Arial" w:cs="Arial"/>
                <w:lang w:val="fr-FR"/>
              </w:rPr>
              <w:t>Shareholders’ Equity</w:t>
            </w:r>
            <w:r w:rsidRPr="009F3026">
              <w:rPr>
                <w:rFonts w:ascii="Arial" w:hAnsi="Arial" w:cs="Arial"/>
                <w:lang w:val="fr-FR"/>
              </w:rPr>
              <w:t xml:space="preserve"> </w:t>
            </w:r>
          </w:p>
        </w:tc>
        <w:tc>
          <w:tcPr>
            <w:tcW w:w="1530" w:type="dxa"/>
            <w:vAlign w:val="bottom"/>
          </w:tcPr>
          <w:p w14:paraId="6B3B84CA" w14:textId="77777777" w:rsidR="001B7B70" w:rsidRPr="005241D0"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vAlign w:val="bottom"/>
          </w:tcPr>
          <w:p w14:paraId="656238C2"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vAlign w:val="bottom"/>
          </w:tcPr>
          <w:p w14:paraId="6EA5F0B4"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r>
      <w:tr w:rsidR="001B7B70" w:rsidRPr="009F3026" w14:paraId="79248CE6" w14:textId="7FE088EC" w:rsidTr="001B7B70">
        <w:trPr>
          <w:trHeight w:hRule="exact" w:val="115"/>
        </w:trPr>
        <w:tc>
          <w:tcPr>
            <w:tcW w:w="5122" w:type="dxa"/>
            <w:vAlign w:val="bottom"/>
          </w:tcPr>
          <w:p w14:paraId="1C5AF4DA"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p>
        </w:tc>
        <w:tc>
          <w:tcPr>
            <w:tcW w:w="1530" w:type="dxa"/>
            <w:vAlign w:val="bottom"/>
          </w:tcPr>
          <w:p w14:paraId="6870194C" w14:textId="77777777" w:rsidR="001B7B70" w:rsidRPr="005241D0"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vAlign w:val="bottom"/>
          </w:tcPr>
          <w:p w14:paraId="2F876B1A"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vAlign w:val="bottom"/>
          </w:tcPr>
          <w:p w14:paraId="56C5A43F"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r>
      <w:tr w:rsidR="001B7B70" w:rsidRPr="009F3026" w14:paraId="63528D78" w14:textId="4A386872" w:rsidTr="001B7B70">
        <w:tc>
          <w:tcPr>
            <w:tcW w:w="5122" w:type="dxa"/>
            <w:vAlign w:val="bottom"/>
          </w:tcPr>
          <w:p w14:paraId="0A3E4633"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r w:rsidRPr="009F3026">
              <w:rPr>
                <w:rFonts w:ascii="Arial" w:hAnsi="Arial" w:cs="Arial"/>
                <w:lang w:val="fr-FR"/>
              </w:rPr>
              <w:t xml:space="preserve">Current liabilities   </w:t>
            </w:r>
          </w:p>
        </w:tc>
        <w:tc>
          <w:tcPr>
            <w:tcW w:w="1530" w:type="dxa"/>
            <w:vAlign w:val="bottom"/>
          </w:tcPr>
          <w:p w14:paraId="1217C2B6" w14:textId="77777777" w:rsidR="001B7B70" w:rsidRPr="005241D0"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vAlign w:val="bottom"/>
          </w:tcPr>
          <w:p w14:paraId="34956BBA"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vAlign w:val="bottom"/>
          </w:tcPr>
          <w:p w14:paraId="28515950"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r>
      <w:tr w:rsidR="001B7B70" w:rsidRPr="009F3026" w14:paraId="43FD076B" w14:textId="69EC657F" w:rsidTr="001B7B70">
        <w:trPr>
          <w:trHeight w:hRule="exact" w:val="115"/>
        </w:trPr>
        <w:tc>
          <w:tcPr>
            <w:tcW w:w="5122" w:type="dxa"/>
            <w:vAlign w:val="bottom"/>
          </w:tcPr>
          <w:p w14:paraId="710A18B2"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p>
        </w:tc>
        <w:tc>
          <w:tcPr>
            <w:tcW w:w="1530" w:type="dxa"/>
            <w:vAlign w:val="bottom"/>
          </w:tcPr>
          <w:p w14:paraId="2B625848" w14:textId="77777777" w:rsidR="001B7B70" w:rsidRPr="005241D0"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vAlign w:val="bottom"/>
          </w:tcPr>
          <w:p w14:paraId="76E1801E"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vAlign w:val="bottom"/>
          </w:tcPr>
          <w:p w14:paraId="3EE3A1BB"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r>
      <w:tr w:rsidR="004252DF" w:rsidRPr="009F3026" w14:paraId="331A0B4A" w14:textId="43300F3E" w:rsidTr="001B7B70">
        <w:tc>
          <w:tcPr>
            <w:tcW w:w="5122" w:type="dxa"/>
            <w:vAlign w:val="bottom"/>
          </w:tcPr>
          <w:p w14:paraId="5D126BE9" w14:textId="77777777" w:rsidR="004252DF" w:rsidRPr="009F3026" w:rsidRDefault="004252DF" w:rsidP="004252DF">
            <w:pPr>
              <w:tabs>
                <w:tab w:val="left" w:pos="7214"/>
                <w:tab w:val="decimal" w:pos="8107"/>
                <w:tab w:val="left" w:pos="8467"/>
                <w:tab w:val="decimal" w:pos="9360"/>
              </w:tabs>
              <w:spacing w:after="0" w:line="240" w:lineRule="auto"/>
              <w:ind w:firstLine="172"/>
              <w:rPr>
                <w:rFonts w:ascii="Arial" w:hAnsi="Arial" w:cs="Arial"/>
                <w:lang w:val="fr-FR"/>
              </w:rPr>
            </w:pPr>
            <w:r w:rsidRPr="009F3026">
              <w:rPr>
                <w:rFonts w:ascii="Arial" w:hAnsi="Arial" w:cs="Arial"/>
                <w:lang w:val="fr-FR"/>
              </w:rPr>
              <w:t>Accounts payable and accrued liabilities</w:t>
            </w:r>
          </w:p>
        </w:tc>
        <w:tc>
          <w:tcPr>
            <w:tcW w:w="1530" w:type="dxa"/>
            <w:vAlign w:val="bottom"/>
          </w:tcPr>
          <w:p w14:paraId="26C2B3E5" w14:textId="61F686E8" w:rsidR="004252DF" w:rsidRPr="005241D0" w:rsidRDefault="00254400" w:rsidP="004252DF">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300,96</w:t>
            </w:r>
            <w:r w:rsidR="00FA3B86">
              <w:rPr>
                <w:rFonts w:ascii="Arial" w:hAnsi="Arial" w:cs="Arial"/>
                <w:lang w:val="fr-FR"/>
              </w:rPr>
              <w:t>5</w:t>
            </w:r>
          </w:p>
        </w:tc>
        <w:tc>
          <w:tcPr>
            <w:tcW w:w="1530" w:type="dxa"/>
            <w:vAlign w:val="bottom"/>
          </w:tcPr>
          <w:p w14:paraId="167C2166" w14:textId="482A3902" w:rsidR="004252DF" w:rsidRPr="009F3026" w:rsidRDefault="00864115" w:rsidP="004252DF">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637,299</w:t>
            </w:r>
          </w:p>
        </w:tc>
        <w:tc>
          <w:tcPr>
            <w:tcW w:w="1530" w:type="dxa"/>
            <w:vAlign w:val="bottom"/>
          </w:tcPr>
          <w:p w14:paraId="170D311B" w14:textId="27FFD566"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267,892</w:t>
            </w:r>
          </w:p>
        </w:tc>
      </w:tr>
      <w:tr w:rsidR="004252DF" w:rsidRPr="009F3026" w14:paraId="23D6212F" w14:textId="290A53EC" w:rsidTr="001B7B70">
        <w:tc>
          <w:tcPr>
            <w:tcW w:w="5122" w:type="dxa"/>
            <w:vAlign w:val="bottom"/>
          </w:tcPr>
          <w:p w14:paraId="092FE96E" w14:textId="0C200516" w:rsidR="004252DF" w:rsidRPr="009F3026" w:rsidRDefault="004252DF" w:rsidP="004252DF">
            <w:pPr>
              <w:tabs>
                <w:tab w:val="left" w:pos="7214"/>
                <w:tab w:val="decimal" w:pos="8107"/>
                <w:tab w:val="left" w:pos="8467"/>
                <w:tab w:val="decimal" w:pos="9360"/>
              </w:tabs>
              <w:spacing w:after="0" w:line="240" w:lineRule="auto"/>
              <w:ind w:firstLine="172"/>
              <w:rPr>
                <w:rFonts w:ascii="Arial" w:hAnsi="Arial" w:cs="Arial"/>
                <w:lang w:val="fr-FR"/>
              </w:rPr>
            </w:pPr>
            <w:r>
              <w:rPr>
                <w:rFonts w:ascii="Arial" w:hAnsi="Arial" w:cs="Arial"/>
                <w:lang w:val="fr-FR"/>
              </w:rPr>
              <w:t>Due to related parties (Note 1</w:t>
            </w:r>
            <w:r w:rsidR="00B256C2">
              <w:rPr>
                <w:rFonts w:ascii="Arial" w:hAnsi="Arial" w:cs="Arial"/>
                <w:lang w:val="fr-FR"/>
              </w:rPr>
              <w:t>7</w:t>
            </w:r>
            <w:r>
              <w:rPr>
                <w:rFonts w:ascii="Arial" w:hAnsi="Arial" w:cs="Arial"/>
                <w:lang w:val="fr-FR"/>
              </w:rPr>
              <w:t>)</w:t>
            </w:r>
          </w:p>
        </w:tc>
        <w:tc>
          <w:tcPr>
            <w:tcW w:w="1530" w:type="dxa"/>
            <w:vAlign w:val="bottom"/>
          </w:tcPr>
          <w:p w14:paraId="0E1AE8BF" w14:textId="4675B311" w:rsidR="004252DF" w:rsidRPr="005241D0" w:rsidRDefault="00254400" w:rsidP="004252DF">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10,368</w:t>
            </w:r>
          </w:p>
        </w:tc>
        <w:tc>
          <w:tcPr>
            <w:tcW w:w="1530" w:type="dxa"/>
            <w:vAlign w:val="bottom"/>
          </w:tcPr>
          <w:p w14:paraId="395F9B50" w14:textId="45576CF8"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330,483</w:t>
            </w:r>
          </w:p>
        </w:tc>
        <w:tc>
          <w:tcPr>
            <w:tcW w:w="1530" w:type="dxa"/>
            <w:vAlign w:val="bottom"/>
          </w:tcPr>
          <w:p w14:paraId="53518FB5" w14:textId="528D5124"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12,421</w:t>
            </w:r>
          </w:p>
        </w:tc>
      </w:tr>
      <w:tr w:rsidR="004252DF" w:rsidRPr="009F3026" w14:paraId="4234310B" w14:textId="689D85CC" w:rsidTr="001B7B70">
        <w:tc>
          <w:tcPr>
            <w:tcW w:w="5122" w:type="dxa"/>
            <w:vAlign w:val="bottom"/>
          </w:tcPr>
          <w:p w14:paraId="68C3C8BC" w14:textId="111A3147" w:rsidR="004252DF" w:rsidRDefault="004252DF" w:rsidP="004252DF">
            <w:pPr>
              <w:tabs>
                <w:tab w:val="left" w:pos="7214"/>
                <w:tab w:val="decimal" w:pos="8107"/>
                <w:tab w:val="left" w:pos="8467"/>
                <w:tab w:val="decimal" w:pos="9360"/>
              </w:tabs>
              <w:spacing w:after="0" w:line="240" w:lineRule="auto"/>
              <w:ind w:firstLine="172"/>
              <w:rPr>
                <w:rFonts w:ascii="Arial" w:hAnsi="Arial" w:cs="Arial"/>
                <w:lang w:val="fr-FR"/>
              </w:rPr>
            </w:pPr>
            <w:r>
              <w:rPr>
                <w:rFonts w:ascii="Arial" w:hAnsi="Arial" w:cs="Arial"/>
                <w:lang w:val="fr-FR"/>
              </w:rPr>
              <w:t>Co</w:t>
            </w:r>
            <w:r w:rsidR="00E050EF">
              <w:rPr>
                <w:rFonts w:ascii="Arial" w:hAnsi="Arial" w:cs="Arial"/>
                <w:lang w:val="fr-FR"/>
              </w:rPr>
              <w:t xml:space="preserve">nvertible debenture, net (Note </w:t>
            </w:r>
            <w:r w:rsidR="00B256C2">
              <w:rPr>
                <w:rFonts w:ascii="Arial" w:hAnsi="Arial" w:cs="Arial"/>
                <w:lang w:val="fr-FR"/>
              </w:rPr>
              <w:t>10</w:t>
            </w:r>
            <w:r>
              <w:rPr>
                <w:rFonts w:ascii="Arial" w:hAnsi="Arial" w:cs="Arial"/>
                <w:lang w:val="fr-FR"/>
              </w:rPr>
              <w:t>)</w:t>
            </w:r>
          </w:p>
        </w:tc>
        <w:tc>
          <w:tcPr>
            <w:tcW w:w="1530" w:type="dxa"/>
            <w:vAlign w:val="bottom"/>
          </w:tcPr>
          <w:p w14:paraId="39F8CB22" w14:textId="2DB5B30A" w:rsidR="004252DF" w:rsidRPr="005241D0" w:rsidRDefault="006E6BF8" w:rsidP="004252DF">
            <w:pPr>
              <w:tabs>
                <w:tab w:val="left" w:pos="7214"/>
                <w:tab w:val="decimal" w:pos="8107"/>
                <w:tab w:val="left" w:pos="8467"/>
                <w:tab w:val="decimal" w:pos="9360"/>
              </w:tabs>
              <w:spacing w:after="0" w:line="240" w:lineRule="auto"/>
              <w:ind w:right="180"/>
              <w:jc w:val="right"/>
              <w:rPr>
                <w:rFonts w:ascii="Arial" w:hAnsi="Arial" w:cs="Arial"/>
                <w:lang w:val="fr-FR"/>
              </w:rPr>
            </w:pPr>
            <w:r w:rsidRPr="005241D0">
              <w:rPr>
                <w:rFonts w:ascii="Arial" w:hAnsi="Arial" w:cs="Arial"/>
              </w:rPr>
              <w:t>–</w:t>
            </w:r>
          </w:p>
        </w:tc>
        <w:tc>
          <w:tcPr>
            <w:tcW w:w="1530" w:type="dxa"/>
            <w:vAlign w:val="bottom"/>
          </w:tcPr>
          <w:p w14:paraId="1895B457" w14:textId="3BD4BFD3" w:rsidR="004252DF" w:rsidRDefault="004252DF" w:rsidP="00864115">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rPr>
              <w:t>3,</w:t>
            </w:r>
            <w:r w:rsidR="00864115">
              <w:rPr>
                <w:rFonts w:ascii="Arial" w:hAnsi="Arial" w:cs="Arial"/>
              </w:rPr>
              <w:t>476,690</w:t>
            </w:r>
          </w:p>
        </w:tc>
        <w:tc>
          <w:tcPr>
            <w:tcW w:w="1530" w:type="dxa"/>
            <w:vAlign w:val="bottom"/>
          </w:tcPr>
          <w:p w14:paraId="3A01D77A" w14:textId="3CA35293"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lang w:val="fr-FR"/>
              </w:rPr>
            </w:pPr>
            <w:r w:rsidRPr="009F3026">
              <w:rPr>
                <w:rFonts w:ascii="Arial" w:hAnsi="Arial" w:cs="Arial"/>
              </w:rPr>
              <w:t>–</w:t>
            </w:r>
          </w:p>
        </w:tc>
      </w:tr>
      <w:tr w:rsidR="004252DF" w:rsidRPr="009F3026" w14:paraId="5D5B3D4F" w14:textId="5A65DFF5" w:rsidTr="00AC37B3">
        <w:trPr>
          <w:trHeight w:val="70"/>
        </w:trPr>
        <w:tc>
          <w:tcPr>
            <w:tcW w:w="5122" w:type="dxa"/>
            <w:vAlign w:val="bottom"/>
          </w:tcPr>
          <w:p w14:paraId="7E45AC84" w14:textId="3F52990B" w:rsidR="004252DF" w:rsidRDefault="004252DF" w:rsidP="004252DF">
            <w:pPr>
              <w:tabs>
                <w:tab w:val="left" w:pos="7214"/>
                <w:tab w:val="decimal" w:pos="8107"/>
                <w:tab w:val="left" w:pos="8467"/>
                <w:tab w:val="decimal" w:pos="9360"/>
              </w:tabs>
              <w:spacing w:after="0" w:line="240" w:lineRule="auto"/>
              <w:ind w:left="144" w:firstLine="28"/>
              <w:rPr>
                <w:rFonts w:ascii="Arial" w:hAnsi="Arial" w:cs="Arial"/>
              </w:rPr>
            </w:pPr>
            <w:r>
              <w:rPr>
                <w:rFonts w:ascii="Arial" w:hAnsi="Arial" w:cs="Arial"/>
              </w:rPr>
              <w:t>Promissory note (Note 1</w:t>
            </w:r>
            <w:r w:rsidR="00B256C2">
              <w:rPr>
                <w:rFonts w:ascii="Arial" w:hAnsi="Arial" w:cs="Arial"/>
              </w:rPr>
              <w:t>1</w:t>
            </w:r>
            <w:r>
              <w:rPr>
                <w:rFonts w:ascii="Arial" w:hAnsi="Arial" w:cs="Arial"/>
              </w:rPr>
              <w:t>)</w:t>
            </w:r>
          </w:p>
        </w:tc>
        <w:tc>
          <w:tcPr>
            <w:tcW w:w="1530" w:type="dxa"/>
            <w:vAlign w:val="bottom"/>
          </w:tcPr>
          <w:p w14:paraId="51F83432" w14:textId="3B779309" w:rsidR="004252DF" w:rsidRPr="005241D0"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sidRPr="005241D0">
              <w:rPr>
                <w:rFonts w:ascii="Arial" w:hAnsi="Arial" w:cs="Arial"/>
              </w:rPr>
              <w:t>–</w:t>
            </w:r>
          </w:p>
        </w:tc>
        <w:tc>
          <w:tcPr>
            <w:tcW w:w="1530" w:type="dxa"/>
            <w:vAlign w:val="bottom"/>
          </w:tcPr>
          <w:p w14:paraId="39F73FE6" w14:textId="038C9463"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c>
          <w:tcPr>
            <w:tcW w:w="1530" w:type="dxa"/>
            <w:vAlign w:val="bottom"/>
          </w:tcPr>
          <w:p w14:paraId="2AC1C3BE" w14:textId="2B1B1409"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247,305</w:t>
            </w:r>
          </w:p>
        </w:tc>
      </w:tr>
      <w:tr w:rsidR="004252DF" w:rsidRPr="009F3026" w14:paraId="0923CAEB" w14:textId="77777777" w:rsidTr="006E6BF8">
        <w:trPr>
          <w:trHeight w:val="70"/>
        </w:trPr>
        <w:tc>
          <w:tcPr>
            <w:tcW w:w="5122" w:type="dxa"/>
            <w:vAlign w:val="bottom"/>
          </w:tcPr>
          <w:p w14:paraId="2641FECC" w14:textId="71BBB940" w:rsidR="004252DF" w:rsidRDefault="00E050EF" w:rsidP="004252DF">
            <w:pPr>
              <w:tabs>
                <w:tab w:val="left" w:pos="7214"/>
                <w:tab w:val="decimal" w:pos="8107"/>
                <w:tab w:val="left" w:pos="8467"/>
                <w:tab w:val="decimal" w:pos="9360"/>
              </w:tabs>
              <w:spacing w:after="0" w:line="240" w:lineRule="auto"/>
              <w:ind w:left="144" w:firstLine="28"/>
              <w:rPr>
                <w:rFonts w:ascii="Arial" w:hAnsi="Arial" w:cs="Arial"/>
              </w:rPr>
            </w:pPr>
            <w:r>
              <w:rPr>
                <w:rFonts w:ascii="Arial" w:hAnsi="Arial" w:cs="Arial"/>
              </w:rPr>
              <w:t xml:space="preserve">Acquisition obligation (Note </w:t>
            </w:r>
            <w:r w:rsidR="00B256C2">
              <w:rPr>
                <w:rFonts w:ascii="Arial" w:hAnsi="Arial" w:cs="Arial"/>
              </w:rPr>
              <w:t>4</w:t>
            </w:r>
            <w:r>
              <w:rPr>
                <w:rFonts w:ascii="Arial" w:hAnsi="Arial" w:cs="Arial"/>
              </w:rPr>
              <w:t>(</w:t>
            </w:r>
            <w:r w:rsidR="00324DBF">
              <w:rPr>
                <w:rFonts w:ascii="Arial" w:hAnsi="Arial" w:cs="Arial"/>
              </w:rPr>
              <w:t>b</w:t>
            </w:r>
            <w:r>
              <w:rPr>
                <w:rFonts w:ascii="Arial" w:hAnsi="Arial" w:cs="Arial"/>
              </w:rPr>
              <w:t>)</w:t>
            </w:r>
            <w:r w:rsidR="004252DF">
              <w:rPr>
                <w:rFonts w:ascii="Arial" w:hAnsi="Arial" w:cs="Arial"/>
              </w:rPr>
              <w:t>)</w:t>
            </w:r>
          </w:p>
        </w:tc>
        <w:tc>
          <w:tcPr>
            <w:tcW w:w="1530" w:type="dxa"/>
            <w:vAlign w:val="bottom"/>
          </w:tcPr>
          <w:p w14:paraId="4CD8B10C" w14:textId="46545E62" w:rsidR="004252DF" w:rsidRPr="005241D0" w:rsidRDefault="006E6BF8" w:rsidP="004252DF">
            <w:pPr>
              <w:tabs>
                <w:tab w:val="left" w:pos="7214"/>
                <w:tab w:val="decimal" w:pos="8107"/>
                <w:tab w:val="left" w:pos="8467"/>
                <w:tab w:val="decimal" w:pos="9360"/>
              </w:tabs>
              <w:spacing w:after="0" w:line="240" w:lineRule="auto"/>
              <w:ind w:right="180"/>
              <w:jc w:val="right"/>
              <w:rPr>
                <w:rFonts w:ascii="Arial" w:hAnsi="Arial" w:cs="Arial"/>
              </w:rPr>
            </w:pPr>
            <w:r w:rsidRPr="005241D0">
              <w:rPr>
                <w:rFonts w:ascii="Arial" w:hAnsi="Arial" w:cs="Arial"/>
              </w:rPr>
              <w:t>–</w:t>
            </w:r>
          </w:p>
        </w:tc>
        <w:tc>
          <w:tcPr>
            <w:tcW w:w="1530" w:type="dxa"/>
            <w:vAlign w:val="bottom"/>
          </w:tcPr>
          <w:p w14:paraId="300D0A81" w14:textId="0963765D"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432,923</w:t>
            </w:r>
          </w:p>
        </w:tc>
        <w:tc>
          <w:tcPr>
            <w:tcW w:w="1530" w:type="dxa"/>
            <w:vAlign w:val="bottom"/>
          </w:tcPr>
          <w:p w14:paraId="7F58B4FA" w14:textId="4C314616"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r>
      <w:tr w:rsidR="004252DF" w:rsidRPr="009F3026" w14:paraId="2B0A0885" w14:textId="77777777" w:rsidTr="00F62DC5">
        <w:trPr>
          <w:trHeight w:val="70"/>
        </w:trPr>
        <w:tc>
          <w:tcPr>
            <w:tcW w:w="5122" w:type="dxa"/>
            <w:vAlign w:val="bottom"/>
          </w:tcPr>
          <w:p w14:paraId="467E14AB" w14:textId="3BEC470B" w:rsidR="004252DF" w:rsidRPr="00E050EF" w:rsidRDefault="004252DF" w:rsidP="004252DF">
            <w:pPr>
              <w:tabs>
                <w:tab w:val="left" w:pos="7214"/>
                <w:tab w:val="decimal" w:pos="8107"/>
                <w:tab w:val="left" w:pos="8467"/>
                <w:tab w:val="decimal" w:pos="9360"/>
              </w:tabs>
              <w:spacing w:after="0" w:line="240" w:lineRule="auto"/>
              <w:ind w:left="144" w:firstLine="28"/>
              <w:rPr>
                <w:rFonts w:ascii="Arial" w:hAnsi="Arial" w:cs="Arial"/>
              </w:rPr>
            </w:pPr>
            <w:r w:rsidRPr="00E050EF">
              <w:rPr>
                <w:rFonts w:ascii="Arial" w:hAnsi="Arial" w:cs="Arial"/>
              </w:rPr>
              <w:t>Deferred revenue</w:t>
            </w:r>
          </w:p>
        </w:tc>
        <w:tc>
          <w:tcPr>
            <w:tcW w:w="1530" w:type="dxa"/>
            <w:vAlign w:val="bottom"/>
          </w:tcPr>
          <w:p w14:paraId="6DEBAEE6" w14:textId="48C19A97" w:rsidR="004252DF" w:rsidRPr="005241D0" w:rsidRDefault="006E6BF8" w:rsidP="004252DF">
            <w:pPr>
              <w:tabs>
                <w:tab w:val="left" w:pos="7214"/>
                <w:tab w:val="decimal" w:pos="8107"/>
                <w:tab w:val="left" w:pos="8467"/>
                <w:tab w:val="decimal" w:pos="9360"/>
              </w:tabs>
              <w:spacing w:after="0" w:line="240" w:lineRule="auto"/>
              <w:ind w:right="180"/>
              <w:jc w:val="right"/>
              <w:rPr>
                <w:rFonts w:ascii="Arial" w:hAnsi="Arial" w:cs="Arial"/>
              </w:rPr>
            </w:pPr>
            <w:r w:rsidRPr="005241D0">
              <w:rPr>
                <w:rFonts w:ascii="Arial" w:hAnsi="Arial" w:cs="Arial"/>
              </w:rPr>
              <w:t>–</w:t>
            </w:r>
          </w:p>
        </w:tc>
        <w:tc>
          <w:tcPr>
            <w:tcW w:w="1530" w:type="dxa"/>
            <w:vAlign w:val="bottom"/>
          </w:tcPr>
          <w:p w14:paraId="05A1920A" w14:textId="404B2C14"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157,728</w:t>
            </w:r>
          </w:p>
        </w:tc>
        <w:tc>
          <w:tcPr>
            <w:tcW w:w="1530" w:type="dxa"/>
            <w:vAlign w:val="bottom"/>
          </w:tcPr>
          <w:p w14:paraId="226C2D13" w14:textId="42EBE3CB"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r>
      <w:tr w:rsidR="004252DF" w:rsidRPr="009F3026" w14:paraId="4990A0A3" w14:textId="77777777" w:rsidTr="00F62DC5">
        <w:trPr>
          <w:trHeight w:val="70"/>
        </w:trPr>
        <w:tc>
          <w:tcPr>
            <w:tcW w:w="5122" w:type="dxa"/>
            <w:vAlign w:val="bottom"/>
          </w:tcPr>
          <w:p w14:paraId="6234A3D5" w14:textId="35464ABC" w:rsidR="004252DF" w:rsidRPr="00E050EF" w:rsidRDefault="006E6BF8" w:rsidP="004252DF">
            <w:pPr>
              <w:tabs>
                <w:tab w:val="left" w:pos="7214"/>
                <w:tab w:val="decimal" w:pos="8107"/>
                <w:tab w:val="left" w:pos="8467"/>
                <w:tab w:val="decimal" w:pos="9360"/>
              </w:tabs>
              <w:spacing w:after="0" w:line="240" w:lineRule="auto"/>
              <w:ind w:left="144" w:firstLine="28"/>
              <w:rPr>
                <w:rFonts w:ascii="Arial" w:hAnsi="Arial" w:cs="Arial"/>
              </w:rPr>
            </w:pPr>
            <w:r w:rsidRPr="00E050EF">
              <w:rPr>
                <w:rFonts w:ascii="Arial" w:hAnsi="Arial" w:cs="Arial"/>
              </w:rPr>
              <w:t xml:space="preserve">Lease liability (Note </w:t>
            </w:r>
            <w:r w:rsidR="00B256C2">
              <w:rPr>
                <w:rFonts w:ascii="Arial" w:hAnsi="Arial" w:cs="Arial"/>
              </w:rPr>
              <w:t>9</w:t>
            </w:r>
            <w:r w:rsidRPr="00E050EF">
              <w:rPr>
                <w:rFonts w:ascii="Arial" w:hAnsi="Arial" w:cs="Arial"/>
              </w:rPr>
              <w:t>)</w:t>
            </w:r>
          </w:p>
        </w:tc>
        <w:tc>
          <w:tcPr>
            <w:tcW w:w="1530" w:type="dxa"/>
            <w:vAlign w:val="bottom"/>
          </w:tcPr>
          <w:p w14:paraId="187E0AFB" w14:textId="658031AF" w:rsidR="004252DF" w:rsidRPr="005241D0" w:rsidRDefault="005241D0" w:rsidP="004252DF">
            <w:pPr>
              <w:tabs>
                <w:tab w:val="left" w:pos="7214"/>
                <w:tab w:val="decimal" w:pos="8107"/>
                <w:tab w:val="left" w:pos="8467"/>
                <w:tab w:val="decimal" w:pos="9360"/>
              </w:tabs>
              <w:spacing w:after="0" w:line="240" w:lineRule="auto"/>
              <w:ind w:right="180"/>
              <w:jc w:val="right"/>
              <w:rPr>
                <w:rFonts w:ascii="Arial" w:hAnsi="Arial" w:cs="Arial"/>
              </w:rPr>
            </w:pPr>
            <w:r w:rsidRPr="005241D0">
              <w:rPr>
                <w:rFonts w:ascii="Arial" w:hAnsi="Arial" w:cs="Arial"/>
              </w:rPr>
              <w:t>129,147</w:t>
            </w:r>
          </w:p>
        </w:tc>
        <w:tc>
          <w:tcPr>
            <w:tcW w:w="1530" w:type="dxa"/>
            <w:vAlign w:val="bottom"/>
          </w:tcPr>
          <w:p w14:paraId="3678088A" w14:textId="4DC7CF46" w:rsidR="004252DF" w:rsidRDefault="00864115"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304,304</w:t>
            </w:r>
          </w:p>
        </w:tc>
        <w:tc>
          <w:tcPr>
            <w:tcW w:w="1530" w:type="dxa"/>
            <w:vAlign w:val="bottom"/>
          </w:tcPr>
          <w:p w14:paraId="35EC694E" w14:textId="1AB17357" w:rsidR="004252DF" w:rsidRPr="009F3026" w:rsidRDefault="006E6BF8"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r>
      <w:tr w:rsidR="00F62DC5" w:rsidRPr="009F3026" w14:paraId="6BA3441E" w14:textId="77777777" w:rsidTr="00F62DC5">
        <w:trPr>
          <w:trHeight w:val="70"/>
        </w:trPr>
        <w:tc>
          <w:tcPr>
            <w:tcW w:w="5122" w:type="dxa"/>
            <w:tcBorders>
              <w:bottom w:val="single" w:sz="4" w:space="0" w:color="auto"/>
            </w:tcBorders>
            <w:vAlign w:val="bottom"/>
          </w:tcPr>
          <w:p w14:paraId="20DBB757" w14:textId="6AFE5548" w:rsidR="00F62DC5" w:rsidRPr="00E050EF" w:rsidRDefault="00F62DC5" w:rsidP="004252DF">
            <w:pPr>
              <w:tabs>
                <w:tab w:val="left" w:pos="7214"/>
                <w:tab w:val="decimal" w:pos="8107"/>
                <w:tab w:val="left" w:pos="8467"/>
                <w:tab w:val="decimal" w:pos="9360"/>
              </w:tabs>
              <w:spacing w:after="0" w:line="240" w:lineRule="auto"/>
              <w:ind w:left="144" w:firstLine="28"/>
              <w:rPr>
                <w:rFonts w:ascii="Arial" w:hAnsi="Arial" w:cs="Arial"/>
              </w:rPr>
            </w:pPr>
            <w:r>
              <w:rPr>
                <w:rFonts w:ascii="Arial" w:hAnsi="Arial" w:cs="Arial"/>
              </w:rPr>
              <w:t xml:space="preserve">Provision (Note </w:t>
            </w:r>
            <w:r w:rsidR="00897369">
              <w:rPr>
                <w:rFonts w:ascii="Arial" w:hAnsi="Arial" w:cs="Arial"/>
              </w:rPr>
              <w:t>19)</w:t>
            </w:r>
          </w:p>
        </w:tc>
        <w:tc>
          <w:tcPr>
            <w:tcW w:w="1530" w:type="dxa"/>
            <w:tcBorders>
              <w:bottom w:val="single" w:sz="4" w:space="0" w:color="auto"/>
            </w:tcBorders>
            <w:vAlign w:val="bottom"/>
          </w:tcPr>
          <w:p w14:paraId="28153B15" w14:textId="1781C3FD" w:rsidR="00F62DC5" w:rsidRPr="005241D0" w:rsidRDefault="00F62DC5"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263,200</w:t>
            </w:r>
          </w:p>
        </w:tc>
        <w:tc>
          <w:tcPr>
            <w:tcW w:w="1530" w:type="dxa"/>
            <w:tcBorders>
              <w:bottom w:val="single" w:sz="4" w:space="0" w:color="auto"/>
            </w:tcBorders>
            <w:vAlign w:val="bottom"/>
          </w:tcPr>
          <w:p w14:paraId="51884A21" w14:textId="7D1213F1" w:rsidR="00F62DC5" w:rsidRDefault="00F62DC5"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c>
          <w:tcPr>
            <w:tcW w:w="1530" w:type="dxa"/>
            <w:tcBorders>
              <w:bottom w:val="single" w:sz="4" w:space="0" w:color="auto"/>
            </w:tcBorders>
            <w:vAlign w:val="bottom"/>
          </w:tcPr>
          <w:p w14:paraId="7490A1FC" w14:textId="2A50E947" w:rsidR="00F62DC5" w:rsidRPr="009F3026" w:rsidRDefault="00F62DC5"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r>
      <w:tr w:rsidR="004252DF" w:rsidRPr="009F3026" w14:paraId="55C2D510" w14:textId="6BE22C76" w:rsidTr="006A20DB">
        <w:trPr>
          <w:trHeight w:hRule="exact" w:val="115"/>
        </w:trPr>
        <w:tc>
          <w:tcPr>
            <w:tcW w:w="5122" w:type="dxa"/>
            <w:tcBorders>
              <w:top w:val="single" w:sz="4" w:space="0" w:color="auto"/>
            </w:tcBorders>
            <w:vAlign w:val="bottom"/>
          </w:tcPr>
          <w:p w14:paraId="104BE8FA" w14:textId="77777777" w:rsidR="004252DF" w:rsidRPr="009F3026" w:rsidRDefault="004252DF" w:rsidP="004252DF">
            <w:pPr>
              <w:tabs>
                <w:tab w:val="left" w:pos="7214"/>
                <w:tab w:val="decimal" w:pos="8107"/>
                <w:tab w:val="left" w:pos="8467"/>
                <w:tab w:val="decimal" w:pos="9360"/>
              </w:tabs>
              <w:spacing w:after="0" w:line="240" w:lineRule="auto"/>
              <w:rPr>
                <w:rFonts w:ascii="Arial" w:hAnsi="Arial" w:cs="Arial"/>
              </w:rPr>
            </w:pPr>
          </w:p>
        </w:tc>
        <w:tc>
          <w:tcPr>
            <w:tcW w:w="1530" w:type="dxa"/>
            <w:tcBorders>
              <w:top w:val="single" w:sz="4" w:space="0" w:color="auto"/>
            </w:tcBorders>
            <w:vAlign w:val="bottom"/>
          </w:tcPr>
          <w:p w14:paraId="4B357A2A" w14:textId="77777777" w:rsidR="004252DF" w:rsidRPr="005241D0"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5D9C71B3"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365C21A2"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r>
      <w:tr w:rsidR="004252DF" w:rsidRPr="009F3026" w14:paraId="5DE7C1E2" w14:textId="039941D0" w:rsidTr="006A20DB">
        <w:tc>
          <w:tcPr>
            <w:tcW w:w="5122" w:type="dxa"/>
            <w:vAlign w:val="bottom"/>
          </w:tcPr>
          <w:p w14:paraId="2E74BC60" w14:textId="615B02E5" w:rsidR="004252DF" w:rsidRPr="009F3026" w:rsidRDefault="004252DF" w:rsidP="004252DF">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 xml:space="preserve">Total </w:t>
            </w:r>
            <w:r w:rsidR="006A20DB">
              <w:rPr>
                <w:rFonts w:ascii="Arial" w:hAnsi="Arial" w:cs="Arial"/>
              </w:rPr>
              <w:t xml:space="preserve">current </w:t>
            </w:r>
            <w:r w:rsidRPr="009F3026">
              <w:rPr>
                <w:rFonts w:ascii="Arial" w:hAnsi="Arial" w:cs="Arial"/>
              </w:rPr>
              <w:t>liabilities</w:t>
            </w:r>
          </w:p>
        </w:tc>
        <w:tc>
          <w:tcPr>
            <w:tcW w:w="1530" w:type="dxa"/>
            <w:vAlign w:val="bottom"/>
          </w:tcPr>
          <w:p w14:paraId="4F6B887D" w14:textId="1DAFB7C3" w:rsidR="004252DF" w:rsidRPr="005241D0" w:rsidRDefault="00F62DC5" w:rsidP="006A20DB">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703,680</w:t>
            </w:r>
          </w:p>
        </w:tc>
        <w:tc>
          <w:tcPr>
            <w:tcW w:w="1530" w:type="dxa"/>
            <w:vAlign w:val="bottom"/>
          </w:tcPr>
          <w:p w14:paraId="6B60068A" w14:textId="35F92443" w:rsidR="004252DF" w:rsidRPr="009F3026" w:rsidRDefault="004252DF" w:rsidP="00864115">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5,</w:t>
            </w:r>
            <w:r w:rsidR="00864115">
              <w:rPr>
                <w:rFonts w:ascii="Arial" w:hAnsi="Arial" w:cs="Arial"/>
              </w:rPr>
              <w:t>339,427</w:t>
            </w:r>
          </w:p>
        </w:tc>
        <w:tc>
          <w:tcPr>
            <w:tcW w:w="1530" w:type="dxa"/>
            <w:vAlign w:val="bottom"/>
          </w:tcPr>
          <w:p w14:paraId="494E010C" w14:textId="7398272A"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527,618</w:t>
            </w:r>
          </w:p>
        </w:tc>
      </w:tr>
      <w:tr w:rsidR="006A20DB" w:rsidRPr="009F3026" w14:paraId="0D6A1C31" w14:textId="77777777" w:rsidTr="00E565BC">
        <w:trPr>
          <w:trHeight w:hRule="exact" w:val="144"/>
        </w:trPr>
        <w:tc>
          <w:tcPr>
            <w:tcW w:w="5122" w:type="dxa"/>
            <w:vAlign w:val="bottom"/>
          </w:tcPr>
          <w:p w14:paraId="213DCCDE" w14:textId="77777777" w:rsidR="006A20DB" w:rsidRPr="009F3026" w:rsidRDefault="006A20DB" w:rsidP="00E565BC">
            <w:pPr>
              <w:tabs>
                <w:tab w:val="left" w:pos="7214"/>
                <w:tab w:val="decimal" w:pos="8107"/>
                <w:tab w:val="left" w:pos="8467"/>
                <w:tab w:val="decimal" w:pos="9360"/>
              </w:tabs>
              <w:spacing w:after="0" w:line="240" w:lineRule="auto"/>
              <w:ind w:left="144"/>
              <w:rPr>
                <w:rFonts w:ascii="Arial" w:hAnsi="Arial" w:cs="Arial"/>
              </w:rPr>
            </w:pPr>
          </w:p>
        </w:tc>
        <w:tc>
          <w:tcPr>
            <w:tcW w:w="1530" w:type="dxa"/>
            <w:vAlign w:val="bottom"/>
          </w:tcPr>
          <w:p w14:paraId="5AE9188B" w14:textId="77777777" w:rsidR="006A20DB" w:rsidRPr="005241D0" w:rsidRDefault="006A20DB" w:rsidP="00E565BC">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3B5F79AB" w14:textId="77777777" w:rsidR="006A20DB" w:rsidRPr="009F3026" w:rsidRDefault="006A20DB" w:rsidP="00E565BC">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58CB618C" w14:textId="77777777" w:rsidR="006A20DB" w:rsidRPr="009F3026" w:rsidRDefault="006A20DB" w:rsidP="00E565BC">
            <w:pPr>
              <w:tabs>
                <w:tab w:val="left" w:pos="7214"/>
                <w:tab w:val="decimal" w:pos="8107"/>
                <w:tab w:val="left" w:pos="8467"/>
                <w:tab w:val="decimal" w:pos="9360"/>
              </w:tabs>
              <w:spacing w:after="0" w:line="240" w:lineRule="auto"/>
              <w:ind w:right="180"/>
              <w:jc w:val="right"/>
              <w:rPr>
                <w:rFonts w:ascii="Arial" w:hAnsi="Arial" w:cs="Arial"/>
              </w:rPr>
            </w:pPr>
          </w:p>
        </w:tc>
      </w:tr>
      <w:tr w:rsidR="006A20DB" w:rsidRPr="009F3026" w14:paraId="4024629F" w14:textId="77777777" w:rsidTr="00E565BC">
        <w:tc>
          <w:tcPr>
            <w:tcW w:w="5122" w:type="dxa"/>
            <w:vAlign w:val="bottom"/>
          </w:tcPr>
          <w:p w14:paraId="3AC83F98" w14:textId="7CE64CF2" w:rsidR="006A20DB" w:rsidRDefault="00E050EF" w:rsidP="006A20DB">
            <w:pPr>
              <w:tabs>
                <w:tab w:val="left" w:pos="7214"/>
                <w:tab w:val="decimal" w:pos="8107"/>
                <w:tab w:val="left" w:pos="8467"/>
                <w:tab w:val="decimal" w:pos="9360"/>
              </w:tabs>
              <w:spacing w:after="0" w:line="240" w:lineRule="auto"/>
              <w:rPr>
                <w:rFonts w:ascii="Arial" w:hAnsi="Arial" w:cs="Arial"/>
              </w:rPr>
            </w:pPr>
            <w:r>
              <w:rPr>
                <w:rFonts w:ascii="Arial" w:hAnsi="Arial" w:cs="Arial"/>
              </w:rPr>
              <w:t xml:space="preserve">Lease liability (Note </w:t>
            </w:r>
            <w:r w:rsidR="00B256C2">
              <w:rPr>
                <w:rFonts w:ascii="Arial" w:hAnsi="Arial" w:cs="Arial"/>
              </w:rPr>
              <w:t>9</w:t>
            </w:r>
            <w:r w:rsidR="006A20DB">
              <w:rPr>
                <w:rFonts w:ascii="Arial" w:hAnsi="Arial" w:cs="Arial"/>
              </w:rPr>
              <w:t>)</w:t>
            </w:r>
          </w:p>
        </w:tc>
        <w:tc>
          <w:tcPr>
            <w:tcW w:w="1530" w:type="dxa"/>
            <w:vAlign w:val="bottom"/>
          </w:tcPr>
          <w:p w14:paraId="2F3C821C" w14:textId="5FDA4C2E" w:rsidR="006A20DB" w:rsidRPr="005241D0" w:rsidRDefault="005241D0" w:rsidP="00E565BC">
            <w:pPr>
              <w:tabs>
                <w:tab w:val="left" w:pos="7214"/>
                <w:tab w:val="decimal" w:pos="8107"/>
                <w:tab w:val="left" w:pos="8467"/>
                <w:tab w:val="decimal" w:pos="9360"/>
              </w:tabs>
              <w:spacing w:after="0" w:line="240" w:lineRule="auto"/>
              <w:ind w:right="180"/>
              <w:jc w:val="right"/>
              <w:rPr>
                <w:rFonts w:ascii="Arial" w:hAnsi="Arial" w:cs="Arial"/>
              </w:rPr>
            </w:pPr>
            <w:r w:rsidRPr="005241D0">
              <w:rPr>
                <w:rFonts w:ascii="Arial" w:hAnsi="Arial" w:cs="Arial"/>
              </w:rPr>
              <w:t>776,752</w:t>
            </w:r>
          </w:p>
        </w:tc>
        <w:tc>
          <w:tcPr>
            <w:tcW w:w="1530" w:type="dxa"/>
            <w:vAlign w:val="bottom"/>
          </w:tcPr>
          <w:p w14:paraId="3F58487C" w14:textId="142B3521" w:rsidR="006A20DB" w:rsidRPr="009F3026" w:rsidRDefault="00864115" w:rsidP="00E565BC">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878,993</w:t>
            </w:r>
          </w:p>
        </w:tc>
        <w:tc>
          <w:tcPr>
            <w:tcW w:w="1530" w:type="dxa"/>
            <w:vAlign w:val="bottom"/>
          </w:tcPr>
          <w:p w14:paraId="38E18E7F" w14:textId="77777777" w:rsidR="006A20DB" w:rsidRDefault="006A20DB" w:rsidP="00E565BC">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r>
      <w:tr w:rsidR="006A20DB" w:rsidRPr="009F3026" w14:paraId="5C72B5AE" w14:textId="77777777" w:rsidTr="006A20DB">
        <w:trPr>
          <w:trHeight w:hRule="exact" w:val="115"/>
        </w:trPr>
        <w:tc>
          <w:tcPr>
            <w:tcW w:w="5122" w:type="dxa"/>
            <w:tcBorders>
              <w:top w:val="single" w:sz="4" w:space="0" w:color="auto"/>
            </w:tcBorders>
            <w:vAlign w:val="bottom"/>
          </w:tcPr>
          <w:p w14:paraId="57515110" w14:textId="77777777" w:rsidR="006A20DB" w:rsidRPr="009F3026" w:rsidRDefault="006A20DB" w:rsidP="00E565BC">
            <w:pPr>
              <w:tabs>
                <w:tab w:val="left" w:pos="7214"/>
                <w:tab w:val="decimal" w:pos="8107"/>
                <w:tab w:val="left" w:pos="8467"/>
                <w:tab w:val="decimal" w:pos="9360"/>
              </w:tabs>
              <w:spacing w:after="0" w:line="240" w:lineRule="auto"/>
              <w:rPr>
                <w:rFonts w:ascii="Arial" w:hAnsi="Arial" w:cs="Arial"/>
              </w:rPr>
            </w:pPr>
          </w:p>
        </w:tc>
        <w:tc>
          <w:tcPr>
            <w:tcW w:w="1530" w:type="dxa"/>
            <w:tcBorders>
              <w:top w:val="single" w:sz="4" w:space="0" w:color="auto"/>
            </w:tcBorders>
            <w:vAlign w:val="bottom"/>
          </w:tcPr>
          <w:p w14:paraId="659FA7C7" w14:textId="77777777" w:rsidR="006A20DB" w:rsidRPr="005241D0" w:rsidRDefault="006A20DB" w:rsidP="00E565BC">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38F47CBF" w14:textId="77777777" w:rsidR="006A20DB" w:rsidRPr="009F3026" w:rsidRDefault="006A20DB" w:rsidP="00E565BC">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1662841B" w14:textId="77777777" w:rsidR="006A20DB" w:rsidRPr="009F3026" w:rsidRDefault="006A20DB" w:rsidP="00E565BC">
            <w:pPr>
              <w:tabs>
                <w:tab w:val="left" w:pos="7214"/>
                <w:tab w:val="decimal" w:pos="8107"/>
                <w:tab w:val="left" w:pos="8467"/>
                <w:tab w:val="decimal" w:pos="9360"/>
              </w:tabs>
              <w:spacing w:after="0" w:line="240" w:lineRule="auto"/>
              <w:ind w:right="180"/>
              <w:jc w:val="right"/>
              <w:rPr>
                <w:rFonts w:ascii="Arial" w:hAnsi="Arial" w:cs="Arial"/>
              </w:rPr>
            </w:pPr>
          </w:p>
        </w:tc>
      </w:tr>
      <w:tr w:rsidR="006A20DB" w:rsidRPr="009F3026" w14:paraId="209BE898" w14:textId="77777777" w:rsidTr="006A20DB">
        <w:tc>
          <w:tcPr>
            <w:tcW w:w="5122" w:type="dxa"/>
            <w:tcBorders>
              <w:bottom w:val="single" w:sz="4" w:space="0" w:color="auto"/>
            </w:tcBorders>
            <w:vAlign w:val="bottom"/>
          </w:tcPr>
          <w:p w14:paraId="37B0C50E" w14:textId="2F06767B" w:rsidR="006A20DB" w:rsidRPr="009F3026" w:rsidRDefault="006A20DB" w:rsidP="006A20DB">
            <w:pPr>
              <w:tabs>
                <w:tab w:val="left" w:pos="7214"/>
                <w:tab w:val="decimal" w:pos="8107"/>
                <w:tab w:val="left" w:pos="8467"/>
                <w:tab w:val="decimal" w:pos="9360"/>
              </w:tabs>
              <w:spacing w:after="0" w:line="240" w:lineRule="auto"/>
              <w:rPr>
                <w:rFonts w:ascii="Arial" w:hAnsi="Arial" w:cs="Arial"/>
                <w:lang w:val="fr-FR"/>
              </w:rPr>
            </w:pPr>
            <w:r w:rsidRPr="009F3026">
              <w:rPr>
                <w:rFonts w:ascii="Arial" w:hAnsi="Arial" w:cs="Arial"/>
                <w:lang w:val="fr-FR"/>
              </w:rPr>
              <w:t xml:space="preserve">Total </w:t>
            </w:r>
            <w:r>
              <w:rPr>
                <w:rFonts w:ascii="Arial" w:hAnsi="Arial" w:cs="Arial"/>
                <w:lang w:val="fr-FR"/>
              </w:rPr>
              <w:t>liabilities</w:t>
            </w:r>
          </w:p>
        </w:tc>
        <w:tc>
          <w:tcPr>
            <w:tcW w:w="1530" w:type="dxa"/>
            <w:tcBorders>
              <w:bottom w:val="single" w:sz="4" w:space="0" w:color="auto"/>
            </w:tcBorders>
            <w:vAlign w:val="bottom"/>
          </w:tcPr>
          <w:p w14:paraId="138472B2" w14:textId="3526B5B8" w:rsidR="006A20DB" w:rsidRPr="005241D0" w:rsidRDefault="005241D0" w:rsidP="00E565BC">
            <w:pPr>
              <w:tabs>
                <w:tab w:val="left" w:pos="7214"/>
                <w:tab w:val="decimal" w:pos="8107"/>
                <w:tab w:val="left" w:pos="8467"/>
                <w:tab w:val="decimal" w:pos="9360"/>
              </w:tabs>
              <w:spacing w:after="0" w:line="240" w:lineRule="auto"/>
              <w:ind w:right="180"/>
              <w:jc w:val="right"/>
              <w:rPr>
                <w:rFonts w:ascii="Arial" w:hAnsi="Arial" w:cs="Arial"/>
                <w:lang w:val="fr-FR"/>
              </w:rPr>
            </w:pPr>
            <w:r w:rsidRPr="005241D0">
              <w:rPr>
                <w:rFonts w:ascii="Arial" w:hAnsi="Arial" w:cs="Arial"/>
                <w:lang w:val="fr-FR"/>
              </w:rPr>
              <w:t>1,</w:t>
            </w:r>
            <w:r w:rsidR="00F62DC5">
              <w:rPr>
                <w:rFonts w:ascii="Arial" w:hAnsi="Arial" w:cs="Arial"/>
                <w:lang w:val="fr-FR"/>
              </w:rPr>
              <w:t>480,432</w:t>
            </w:r>
          </w:p>
        </w:tc>
        <w:tc>
          <w:tcPr>
            <w:tcW w:w="1530" w:type="dxa"/>
            <w:tcBorders>
              <w:bottom w:val="single" w:sz="4" w:space="0" w:color="auto"/>
            </w:tcBorders>
            <w:vAlign w:val="bottom"/>
          </w:tcPr>
          <w:p w14:paraId="5B30CA83" w14:textId="325C152E" w:rsidR="006A20DB" w:rsidRPr="009F3026" w:rsidRDefault="00864115" w:rsidP="00E565BC">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rPr>
              <w:t>6,218,420</w:t>
            </w:r>
          </w:p>
        </w:tc>
        <w:tc>
          <w:tcPr>
            <w:tcW w:w="1530" w:type="dxa"/>
            <w:tcBorders>
              <w:bottom w:val="single" w:sz="4" w:space="0" w:color="auto"/>
            </w:tcBorders>
            <w:vAlign w:val="bottom"/>
          </w:tcPr>
          <w:p w14:paraId="79D5F81A" w14:textId="2D9249AA" w:rsidR="006A20DB" w:rsidRDefault="006A20DB" w:rsidP="00E565BC">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rPr>
              <w:t>527,618</w:t>
            </w:r>
          </w:p>
        </w:tc>
      </w:tr>
      <w:tr w:rsidR="001B7B70" w:rsidRPr="009F3026" w14:paraId="3CD5720F" w14:textId="71A91CFD" w:rsidTr="006A20DB">
        <w:trPr>
          <w:trHeight w:hRule="exact" w:val="144"/>
        </w:trPr>
        <w:tc>
          <w:tcPr>
            <w:tcW w:w="5122" w:type="dxa"/>
            <w:tcBorders>
              <w:top w:val="single" w:sz="4" w:space="0" w:color="auto"/>
            </w:tcBorders>
            <w:vAlign w:val="bottom"/>
          </w:tcPr>
          <w:p w14:paraId="1F05EEB8"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rPr>
            </w:pPr>
          </w:p>
        </w:tc>
        <w:tc>
          <w:tcPr>
            <w:tcW w:w="1530" w:type="dxa"/>
            <w:tcBorders>
              <w:top w:val="single" w:sz="4" w:space="0" w:color="auto"/>
            </w:tcBorders>
            <w:vAlign w:val="bottom"/>
          </w:tcPr>
          <w:p w14:paraId="41A3C6BC" w14:textId="77777777" w:rsidR="001B7B70" w:rsidRPr="005241D0"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430BF57C"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7DE465C5"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r>
      <w:tr w:rsidR="001B7B70" w:rsidRPr="009F3026" w14:paraId="20B161BA" w14:textId="02C2B61F" w:rsidTr="001B7B70">
        <w:trPr>
          <w:trHeight w:hRule="exact" w:val="144"/>
        </w:trPr>
        <w:tc>
          <w:tcPr>
            <w:tcW w:w="5122" w:type="dxa"/>
            <w:vAlign w:val="bottom"/>
          </w:tcPr>
          <w:p w14:paraId="63858562"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rPr>
            </w:pPr>
          </w:p>
        </w:tc>
        <w:tc>
          <w:tcPr>
            <w:tcW w:w="1530" w:type="dxa"/>
            <w:vAlign w:val="bottom"/>
          </w:tcPr>
          <w:p w14:paraId="145AFBF0" w14:textId="77777777" w:rsidR="001B7B70" w:rsidRPr="005241D0"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017FD8EB"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17C99D26"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r>
      <w:tr w:rsidR="001B7B70" w:rsidRPr="009F3026" w14:paraId="0B55C09C" w14:textId="397CFA0F" w:rsidTr="001B7B70">
        <w:tc>
          <w:tcPr>
            <w:tcW w:w="5122" w:type="dxa"/>
            <w:vAlign w:val="bottom"/>
          </w:tcPr>
          <w:p w14:paraId="4FFED272" w14:textId="5793B96C" w:rsidR="001B7B70" w:rsidRPr="009F3026" w:rsidRDefault="00681427" w:rsidP="001B7B70">
            <w:pPr>
              <w:tabs>
                <w:tab w:val="left" w:pos="7214"/>
                <w:tab w:val="decimal" w:pos="8107"/>
                <w:tab w:val="left" w:pos="8467"/>
                <w:tab w:val="decimal" w:pos="9360"/>
              </w:tabs>
              <w:spacing w:after="0" w:line="240" w:lineRule="auto"/>
              <w:rPr>
                <w:rFonts w:ascii="Arial" w:hAnsi="Arial" w:cs="Arial"/>
              </w:rPr>
            </w:pPr>
            <w:r>
              <w:rPr>
                <w:rFonts w:ascii="Arial" w:hAnsi="Arial" w:cs="Arial"/>
              </w:rPr>
              <w:t>Shareholders’</w:t>
            </w:r>
            <w:r w:rsidR="001B7B70" w:rsidRPr="009F3026">
              <w:rPr>
                <w:rFonts w:ascii="Arial" w:hAnsi="Arial" w:cs="Arial"/>
              </w:rPr>
              <w:t xml:space="preserve"> </w:t>
            </w:r>
            <w:r w:rsidR="00516896">
              <w:rPr>
                <w:rFonts w:ascii="Arial" w:hAnsi="Arial" w:cs="Arial"/>
              </w:rPr>
              <w:t xml:space="preserve">Equity </w:t>
            </w:r>
          </w:p>
        </w:tc>
        <w:tc>
          <w:tcPr>
            <w:tcW w:w="1530" w:type="dxa"/>
            <w:vAlign w:val="bottom"/>
          </w:tcPr>
          <w:p w14:paraId="7DDC3564" w14:textId="77777777" w:rsidR="001B7B70" w:rsidRPr="005241D0"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03F93AE9"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567220E3"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r>
      <w:tr w:rsidR="001B7B70" w:rsidRPr="009F3026" w14:paraId="08C1860F" w14:textId="19558C90" w:rsidTr="001B7B70">
        <w:trPr>
          <w:trHeight w:hRule="exact" w:val="115"/>
        </w:trPr>
        <w:tc>
          <w:tcPr>
            <w:tcW w:w="5122" w:type="dxa"/>
            <w:vAlign w:val="bottom"/>
          </w:tcPr>
          <w:p w14:paraId="73CACA7B"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rPr>
            </w:pPr>
          </w:p>
        </w:tc>
        <w:tc>
          <w:tcPr>
            <w:tcW w:w="1530" w:type="dxa"/>
            <w:vAlign w:val="bottom"/>
          </w:tcPr>
          <w:p w14:paraId="45C6B829" w14:textId="77777777" w:rsidR="001B7B70" w:rsidRPr="005241D0"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7393D0E3"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70D2AD91"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r>
      <w:tr w:rsidR="004252DF" w:rsidRPr="009F3026" w14:paraId="7687ACDA" w14:textId="0F229D60" w:rsidTr="001B7B70">
        <w:tc>
          <w:tcPr>
            <w:tcW w:w="5122" w:type="dxa"/>
            <w:vAlign w:val="bottom"/>
          </w:tcPr>
          <w:p w14:paraId="6386DD74" w14:textId="17614C32" w:rsidR="004252DF" w:rsidRPr="009F3026" w:rsidRDefault="00E565BC" w:rsidP="00681427">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 xml:space="preserve">Common </w:t>
            </w:r>
            <w:r w:rsidR="00681427">
              <w:rPr>
                <w:rFonts w:ascii="Arial" w:hAnsi="Arial" w:cs="Arial"/>
              </w:rPr>
              <w:t>shares</w:t>
            </w:r>
            <w:r w:rsidR="004252DF" w:rsidRPr="009F3026">
              <w:rPr>
                <w:rFonts w:ascii="Arial" w:hAnsi="Arial" w:cs="Arial"/>
              </w:rPr>
              <w:t xml:space="preserve"> </w:t>
            </w:r>
            <w:r w:rsidR="004252DF">
              <w:rPr>
                <w:rFonts w:ascii="Arial" w:hAnsi="Arial" w:cs="Arial"/>
              </w:rPr>
              <w:t>(Note 1</w:t>
            </w:r>
            <w:r w:rsidR="00B256C2">
              <w:rPr>
                <w:rFonts w:ascii="Arial" w:hAnsi="Arial" w:cs="Arial"/>
              </w:rPr>
              <w:t>2</w:t>
            </w:r>
            <w:r w:rsidR="004252DF">
              <w:rPr>
                <w:rFonts w:ascii="Arial" w:hAnsi="Arial" w:cs="Arial"/>
              </w:rPr>
              <w:t>)</w:t>
            </w:r>
          </w:p>
        </w:tc>
        <w:tc>
          <w:tcPr>
            <w:tcW w:w="1530" w:type="dxa"/>
            <w:vAlign w:val="bottom"/>
          </w:tcPr>
          <w:p w14:paraId="47EAA367" w14:textId="48D4C246" w:rsidR="004252DF" w:rsidRPr="005241D0" w:rsidRDefault="006A20DB" w:rsidP="00F010A8">
            <w:pPr>
              <w:tabs>
                <w:tab w:val="left" w:pos="7214"/>
                <w:tab w:val="decimal" w:pos="8107"/>
                <w:tab w:val="left" w:pos="8467"/>
                <w:tab w:val="decimal" w:pos="9360"/>
              </w:tabs>
              <w:spacing w:after="0" w:line="240" w:lineRule="auto"/>
              <w:ind w:right="180"/>
              <w:jc w:val="right"/>
              <w:rPr>
                <w:rFonts w:ascii="Arial" w:hAnsi="Arial" w:cs="Arial"/>
                <w:szCs w:val="20"/>
              </w:rPr>
            </w:pPr>
            <w:r w:rsidRPr="005241D0">
              <w:rPr>
                <w:rFonts w:ascii="Arial" w:hAnsi="Arial" w:cs="Arial"/>
                <w:szCs w:val="20"/>
              </w:rPr>
              <w:t>40,</w:t>
            </w:r>
            <w:r w:rsidR="005241D0" w:rsidRPr="005241D0">
              <w:rPr>
                <w:rFonts w:ascii="Arial" w:hAnsi="Arial" w:cs="Arial"/>
                <w:szCs w:val="20"/>
              </w:rPr>
              <w:t>290,</w:t>
            </w:r>
            <w:r w:rsidR="005E7F51">
              <w:rPr>
                <w:rFonts w:ascii="Arial" w:hAnsi="Arial" w:cs="Arial"/>
                <w:szCs w:val="20"/>
              </w:rPr>
              <w:t>2</w:t>
            </w:r>
            <w:r w:rsidR="00FA3B86">
              <w:rPr>
                <w:rFonts w:ascii="Arial" w:hAnsi="Arial" w:cs="Arial"/>
                <w:szCs w:val="20"/>
              </w:rPr>
              <w:t>10</w:t>
            </w:r>
          </w:p>
        </w:tc>
        <w:tc>
          <w:tcPr>
            <w:tcW w:w="1530" w:type="dxa"/>
            <w:vAlign w:val="bottom"/>
          </w:tcPr>
          <w:p w14:paraId="0F8B855B" w14:textId="48015333" w:rsidR="004252DF" w:rsidRPr="009F3026" w:rsidRDefault="004252DF" w:rsidP="00864115">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szCs w:val="20"/>
              </w:rPr>
              <w:t>21,</w:t>
            </w:r>
            <w:r w:rsidR="00864115">
              <w:rPr>
                <w:rFonts w:ascii="Arial" w:hAnsi="Arial" w:cs="Arial"/>
                <w:szCs w:val="20"/>
              </w:rPr>
              <w:t>395,999</w:t>
            </w:r>
          </w:p>
        </w:tc>
        <w:tc>
          <w:tcPr>
            <w:tcW w:w="1530" w:type="dxa"/>
            <w:vAlign w:val="bottom"/>
          </w:tcPr>
          <w:p w14:paraId="4E4C0A5A" w14:textId="0CBF7F45"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10,047,733</w:t>
            </w:r>
          </w:p>
        </w:tc>
      </w:tr>
      <w:tr w:rsidR="004252DF" w:rsidRPr="009F3026" w14:paraId="0B38257F" w14:textId="77777777" w:rsidTr="00D011D8">
        <w:trPr>
          <w:trHeight w:hRule="exact" w:val="230"/>
        </w:trPr>
        <w:tc>
          <w:tcPr>
            <w:tcW w:w="5122" w:type="dxa"/>
            <w:vAlign w:val="bottom"/>
          </w:tcPr>
          <w:p w14:paraId="3966F5A2" w14:textId="28E1AA86" w:rsidR="004252DF" w:rsidRPr="009F3026" w:rsidRDefault="004252DF" w:rsidP="00681427">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 xml:space="preserve">Common </w:t>
            </w:r>
            <w:r w:rsidR="00681427">
              <w:rPr>
                <w:rFonts w:ascii="Arial" w:hAnsi="Arial" w:cs="Arial"/>
              </w:rPr>
              <w:t>shares</w:t>
            </w:r>
            <w:r>
              <w:rPr>
                <w:rFonts w:ascii="Arial" w:hAnsi="Arial" w:cs="Arial"/>
              </w:rPr>
              <w:t xml:space="preserve"> issuable</w:t>
            </w:r>
          </w:p>
        </w:tc>
        <w:tc>
          <w:tcPr>
            <w:tcW w:w="1530" w:type="dxa"/>
            <w:shd w:val="clear" w:color="auto" w:fill="auto"/>
            <w:vAlign w:val="bottom"/>
          </w:tcPr>
          <w:p w14:paraId="3DEA079E" w14:textId="4DE0B21D" w:rsidR="004252DF" w:rsidRPr="005241D0" w:rsidRDefault="006A20DB" w:rsidP="004252DF">
            <w:pPr>
              <w:tabs>
                <w:tab w:val="left" w:pos="7214"/>
                <w:tab w:val="decimal" w:pos="8107"/>
                <w:tab w:val="left" w:pos="8467"/>
                <w:tab w:val="decimal" w:pos="9360"/>
              </w:tabs>
              <w:spacing w:after="0" w:line="240" w:lineRule="auto"/>
              <w:ind w:right="180"/>
              <w:jc w:val="right"/>
              <w:rPr>
                <w:rFonts w:ascii="Arial" w:hAnsi="Arial" w:cs="Arial"/>
              </w:rPr>
            </w:pPr>
            <w:r w:rsidRPr="005241D0">
              <w:rPr>
                <w:rFonts w:ascii="Arial" w:hAnsi="Arial" w:cs="Arial"/>
              </w:rPr>
              <w:t>–</w:t>
            </w:r>
          </w:p>
        </w:tc>
        <w:tc>
          <w:tcPr>
            <w:tcW w:w="1530" w:type="dxa"/>
            <w:vAlign w:val="bottom"/>
          </w:tcPr>
          <w:p w14:paraId="563301FA" w14:textId="2697A0A7" w:rsidR="004252DF" w:rsidRPr="000A5F3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szCs w:val="20"/>
              </w:rPr>
              <w:t>10,000</w:t>
            </w:r>
          </w:p>
        </w:tc>
        <w:tc>
          <w:tcPr>
            <w:tcW w:w="1530" w:type="dxa"/>
            <w:vAlign w:val="bottom"/>
          </w:tcPr>
          <w:p w14:paraId="7DDFBBE4" w14:textId="0298797B"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szCs w:val="20"/>
              </w:rPr>
            </w:pPr>
            <w:r w:rsidRPr="009F3026">
              <w:rPr>
                <w:rFonts w:ascii="Arial" w:hAnsi="Arial" w:cs="Arial"/>
              </w:rPr>
              <w:t>–</w:t>
            </w:r>
          </w:p>
        </w:tc>
      </w:tr>
      <w:tr w:rsidR="004252DF" w:rsidRPr="009F3026" w14:paraId="01331542" w14:textId="2F302261" w:rsidTr="001B7B70">
        <w:trPr>
          <w:trHeight w:hRule="exact" w:val="230"/>
        </w:trPr>
        <w:tc>
          <w:tcPr>
            <w:tcW w:w="5122" w:type="dxa"/>
            <w:vAlign w:val="bottom"/>
          </w:tcPr>
          <w:p w14:paraId="77C18965" w14:textId="6D414BE7" w:rsidR="004252DF" w:rsidRPr="009F3026" w:rsidRDefault="004252DF" w:rsidP="004252DF">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 xml:space="preserve">Reserves </w:t>
            </w:r>
          </w:p>
        </w:tc>
        <w:tc>
          <w:tcPr>
            <w:tcW w:w="1530" w:type="dxa"/>
            <w:shd w:val="clear" w:color="auto" w:fill="auto"/>
            <w:vAlign w:val="bottom"/>
          </w:tcPr>
          <w:p w14:paraId="56C0D6F5" w14:textId="5EC9B9DF" w:rsidR="004252DF" w:rsidRPr="005241D0" w:rsidRDefault="005241D0" w:rsidP="00F010A8">
            <w:pPr>
              <w:tabs>
                <w:tab w:val="left" w:pos="7214"/>
                <w:tab w:val="decimal" w:pos="8107"/>
                <w:tab w:val="left" w:pos="8467"/>
                <w:tab w:val="decimal" w:pos="9360"/>
              </w:tabs>
              <w:spacing w:after="0" w:line="240" w:lineRule="auto"/>
              <w:ind w:right="180"/>
              <w:jc w:val="right"/>
              <w:rPr>
                <w:rFonts w:ascii="Arial" w:hAnsi="Arial" w:cs="Arial"/>
              </w:rPr>
            </w:pPr>
            <w:r w:rsidRPr="005241D0">
              <w:rPr>
                <w:rFonts w:ascii="Arial" w:hAnsi="Arial" w:cs="Arial"/>
              </w:rPr>
              <w:t>18,111,298</w:t>
            </w:r>
          </w:p>
        </w:tc>
        <w:tc>
          <w:tcPr>
            <w:tcW w:w="1530" w:type="dxa"/>
            <w:vAlign w:val="bottom"/>
          </w:tcPr>
          <w:p w14:paraId="3F036B2B" w14:textId="4E2E82D3" w:rsidR="004252DF" w:rsidRPr="000A5F3F" w:rsidRDefault="00864115"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szCs w:val="20"/>
              </w:rPr>
              <w:t>17,038,202</w:t>
            </w:r>
          </w:p>
        </w:tc>
        <w:tc>
          <w:tcPr>
            <w:tcW w:w="1530" w:type="dxa"/>
            <w:vAlign w:val="bottom"/>
          </w:tcPr>
          <w:p w14:paraId="2C8DAA63" w14:textId="77FB803C"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15,713,439</w:t>
            </w:r>
          </w:p>
        </w:tc>
      </w:tr>
      <w:tr w:rsidR="004252DF" w:rsidRPr="009F3026" w14:paraId="210DD5C3" w14:textId="13483722" w:rsidTr="001B7B70">
        <w:trPr>
          <w:trHeight w:hRule="exact" w:val="230"/>
        </w:trPr>
        <w:tc>
          <w:tcPr>
            <w:tcW w:w="5122" w:type="dxa"/>
            <w:vAlign w:val="bottom"/>
          </w:tcPr>
          <w:p w14:paraId="754973E7" w14:textId="77777777" w:rsidR="004252DF" w:rsidRPr="009F3026" w:rsidRDefault="004252DF" w:rsidP="004252DF">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Accumulated other comprehensive income</w:t>
            </w:r>
          </w:p>
        </w:tc>
        <w:tc>
          <w:tcPr>
            <w:tcW w:w="1530" w:type="dxa"/>
            <w:shd w:val="clear" w:color="auto" w:fill="auto"/>
            <w:vAlign w:val="bottom"/>
          </w:tcPr>
          <w:p w14:paraId="1DF04940" w14:textId="6AE6A738" w:rsidR="004252DF" w:rsidRPr="005241D0" w:rsidRDefault="005241D0" w:rsidP="00F010A8">
            <w:pPr>
              <w:tabs>
                <w:tab w:val="left" w:pos="7214"/>
                <w:tab w:val="decimal" w:pos="8107"/>
                <w:tab w:val="left" w:pos="8467"/>
                <w:tab w:val="decimal" w:pos="9360"/>
              </w:tabs>
              <w:spacing w:after="0" w:line="240" w:lineRule="auto"/>
              <w:ind w:right="180"/>
              <w:jc w:val="right"/>
              <w:rPr>
                <w:rFonts w:ascii="Arial" w:hAnsi="Arial" w:cs="Arial"/>
              </w:rPr>
            </w:pPr>
            <w:r w:rsidRPr="005241D0">
              <w:rPr>
                <w:rFonts w:ascii="Arial" w:hAnsi="Arial" w:cs="Arial"/>
              </w:rPr>
              <w:t>140,536</w:t>
            </w:r>
          </w:p>
        </w:tc>
        <w:tc>
          <w:tcPr>
            <w:tcW w:w="1530" w:type="dxa"/>
            <w:vAlign w:val="bottom"/>
          </w:tcPr>
          <w:p w14:paraId="2636D81F" w14:textId="0A343E18" w:rsidR="004252DF" w:rsidRPr="000A5F3F" w:rsidRDefault="004252DF" w:rsidP="00C241ED">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szCs w:val="20"/>
              </w:rPr>
              <w:t>123,</w:t>
            </w:r>
            <w:r w:rsidR="00C241ED">
              <w:rPr>
                <w:rFonts w:ascii="Arial" w:hAnsi="Arial" w:cs="Arial"/>
                <w:szCs w:val="20"/>
              </w:rPr>
              <w:t>089</w:t>
            </w:r>
          </w:p>
        </w:tc>
        <w:tc>
          <w:tcPr>
            <w:tcW w:w="1530" w:type="dxa"/>
            <w:vAlign w:val="bottom"/>
          </w:tcPr>
          <w:p w14:paraId="63B94841" w14:textId="434D2B5A"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szCs w:val="20"/>
              </w:rPr>
            </w:pPr>
            <w:r w:rsidRPr="009F3026">
              <w:rPr>
                <w:rFonts w:ascii="Arial" w:hAnsi="Arial" w:cs="Arial"/>
              </w:rPr>
              <w:t>–</w:t>
            </w:r>
          </w:p>
        </w:tc>
      </w:tr>
      <w:tr w:rsidR="004252DF" w:rsidRPr="009F3026" w14:paraId="34DFA7BE" w14:textId="690F05DE" w:rsidTr="001B7B70">
        <w:trPr>
          <w:trHeight w:hRule="exact" w:val="238"/>
        </w:trPr>
        <w:tc>
          <w:tcPr>
            <w:tcW w:w="5122" w:type="dxa"/>
            <w:vAlign w:val="bottom"/>
          </w:tcPr>
          <w:p w14:paraId="6CAA82B5" w14:textId="77777777" w:rsidR="004252DF" w:rsidRPr="009F3026" w:rsidRDefault="004252DF" w:rsidP="004252DF">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Accumulated deficit</w:t>
            </w:r>
          </w:p>
        </w:tc>
        <w:tc>
          <w:tcPr>
            <w:tcW w:w="1530" w:type="dxa"/>
            <w:shd w:val="clear" w:color="auto" w:fill="auto"/>
            <w:vAlign w:val="bottom"/>
          </w:tcPr>
          <w:p w14:paraId="6465450D" w14:textId="625DD5DB" w:rsidR="004252DF" w:rsidRPr="005241D0" w:rsidRDefault="006A20DB" w:rsidP="00F010A8">
            <w:pPr>
              <w:tabs>
                <w:tab w:val="left" w:pos="7214"/>
                <w:tab w:val="decimal" w:pos="8107"/>
                <w:tab w:val="left" w:pos="8467"/>
                <w:tab w:val="decimal" w:pos="9360"/>
              </w:tabs>
              <w:spacing w:after="0" w:line="240" w:lineRule="auto"/>
              <w:ind w:right="180"/>
              <w:jc w:val="right"/>
              <w:rPr>
                <w:rFonts w:ascii="Arial" w:hAnsi="Arial" w:cs="Arial"/>
              </w:rPr>
            </w:pPr>
            <w:r w:rsidRPr="005241D0">
              <w:rPr>
                <w:rFonts w:ascii="Arial" w:hAnsi="Arial" w:cs="Arial"/>
              </w:rPr>
              <w:t>(</w:t>
            </w:r>
            <w:r w:rsidR="005241D0" w:rsidRPr="005241D0">
              <w:rPr>
                <w:rFonts w:ascii="Arial" w:hAnsi="Arial" w:cs="Arial"/>
              </w:rPr>
              <w:t>43,</w:t>
            </w:r>
            <w:r w:rsidR="00F62DC5">
              <w:rPr>
                <w:rFonts w:ascii="Arial" w:hAnsi="Arial" w:cs="Arial"/>
              </w:rPr>
              <w:t>986,179</w:t>
            </w:r>
            <w:r w:rsidRPr="005241D0">
              <w:rPr>
                <w:rFonts w:ascii="Arial" w:hAnsi="Arial" w:cs="Arial"/>
              </w:rPr>
              <w:t>)</w:t>
            </w:r>
          </w:p>
        </w:tc>
        <w:tc>
          <w:tcPr>
            <w:tcW w:w="1530" w:type="dxa"/>
            <w:vAlign w:val="bottom"/>
          </w:tcPr>
          <w:p w14:paraId="1C16E1C3" w14:textId="16401064" w:rsidR="004252DF" w:rsidRPr="009F3026" w:rsidRDefault="004252DF" w:rsidP="00C241ED">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r w:rsidR="00864115">
              <w:rPr>
                <w:rFonts w:ascii="Arial" w:hAnsi="Arial" w:cs="Arial"/>
                <w:szCs w:val="20"/>
              </w:rPr>
              <w:t>35,</w:t>
            </w:r>
            <w:r w:rsidR="00C241ED">
              <w:rPr>
                <w:rFonts w:ascii="Arial" w:hAnsi="Arial" w:cs="Arial"/>
                <w:szCs w:val="20"/>
              </w:rPr>
              <w:t>067,677</w:t>
            </w:r>
            <w:r w:rsidRPr="009F3026">
              <w:rPr>
                <w:rFonts w:ascii="Arial" w:hAnsi="Arial" w:cs="Arial"/>
              </w:rPr>
              <w:t>)</w:t>
            </w:r>
          </w:p>
        </w:tc>
        <w:tc>
          <w:tcPr>
            <w:tcW w:w="1530" w:type="dxa"/>
            <w:vAlign w:val="bottom"/>
          </w:tcPr>
          <w:p w14:paraId="4741E0FF" w14:textId="51C92DCA"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r>
              <w:rPr>
                <w:rFonts w:ascii="Arial" w:hAnsi="Arial" w:cs="Arial"/>
                <w:szCs w:val="20"/>
              </w:rPr>
              <w:t>25,816,964</w:t>
            </w:r>
            <w:r w:rsidRPr="009F3026">
              <w:rPr>
                <w:rFonts w:ascii="Arial" w:hAnsi="Arial" w:cs="Arial"/>
              </w:rPr>
              <w:t>)</w:t>
            </w:r>
          </w:p>
        </w:tc>
      </w:tr>
      <w:tr w:rsidR="001B7B70" w:rsidRPr="009F3026" w14:paraId="277B8D15" w14:textId="25E3D123" w:rsidTr="001B7B70">
        <w:trPr>
          <w:trHeight w:hRule="exact" w:val="115"/>
        </w:trPr>
        <w:tc>
          <w:tcPr>
            <w:tcW w:w="5122" w:type="dxa"/>
            <w:tcBorders>
              <w:top w:val="single" w:sz="4" w:space="0" w:color="auto"/>
            </w:tcBorders>
            <w:vAlign w:val="bottom"/>
          </w:tcPr>
          <w:p w14:paraId="0332FCD1"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rPr>
            </w:pPr>
          </w:p>
        </w:tc>
        <w:tc>
          <w:tcPr>
            <w:tcW w:w="1530" w:type="dxa"/>
            <w:tcBorders>
              <w:top w:val="single" w:sz="4" w:space="0" w:color="auto"/>
            </w:tcBorders>
            <w:shd w:val="clear" w:color="auto" w:fill="auto"/>
            <w:vAlign w:val="bottom"/>
          </w:tcPr>
          <w:p w14:paraId="56199AC4" w14:textId="77777777" w:rsidR="001B7B70" w:rsidRPr="005241D0"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2F533DEE"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44787D43"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r>
      <w:tr w:rsidR="004252DF" w:rsidRPr="009F3026" w14:paraId="04FD04E6" w14:textId="00685909" w:rsidTr="001B7B70">
        <w:tc>
          <w:tcPr>
            <w:tcW w:w="5122" w:type="dxa"/>
            <w:tcBorders>
              <w:bottom w:val="single" w:sz="4" w:space="0" w:color="auto"/>
            </w:tcBorders>
            <w:vAlign w:val="bottom"/>
          </w:tcPr>
          <w:p w14:paraId="49E02C41" w14:textId="214F9BD6" w:rsidR="004252DF" w:rsidRPr="009F3026" w:rsidRDefault="004252DF" w:rsidP="00681427">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 xml:space="preserve">Total </w:t>
            </w:r>
            <w:r w:rsidR="00681427">
              <w:rPr>
                <w:rFonts w:ascii="Arial" w:hAnsi="Arial" w:cs="Arial"/>
              </w:rPr>
              <w:t>shareholders’</w:t>
            </w:r>
            <w:r w:rsidRPr="009F3026">
              <w:rPr>
                <w:rFonts w:ascii="Arial" w:hAnsi="Arial" w:cs="Arial"/>
              </w:rPr>
              <w:t xml:space="preserve"> </w:t>
            </w:r>
            <w:r>
              <w:rPr>
                <w:rFonts w:ascii="Arial" w:hAnsi="Arial" w:cs="Arial"/>
              </w:rPr>
              <w:t>equity</w:t>
            </w:r>
          </w:p>
        </w:tc>
        <w:tc>
          <w:tcPr>
            <w:tcW w:w="1530" w:type="dxa"/>
            <w:tcBorders>
              <w:bottom w:val="single" w:sz="4" w:space="0" w:color="auto"/>
            </w:tcBorders>
            <w:shd w:val="clear" w:color="auto" w:fill="auto"/>
            <w:vAlign w:val="bottom"/>
          </w:tcPr>
          <w:p w14:paraId="380E9A59" w14:textId="5BC7BA4D" w:rsidR="004252DF" w:rsidRPr="005241D0" w:rsidRDefault="00F62DC5" w:rsidP="00F010A8">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14,555,865</w:t>
            </w:r>
          </w:p>
        </w:tc>
        <w:tc>
          <w:tcPr>
            <w:tcW w:w="1530" w:type="dxa"/>
            <w:tcBorders>
              <w:bottom w:val="single" w:sz="4" w:space="0" w:color="auto"/>
            </w:tcBorders>
            <w:vAlign w:val="bottom"/>
          </w:tcPr>
          <w:p w14:paraId="23440EEB" w14:textId="3AAC6D81" w:rsidR="004252DF" w:rsidRPr="009F3026" w:rsidRDefault="00864115"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3,499,613</w:t>
            </w:r>
          </w:p>
        </w:tc>
        <w:tc>
          <w:tcPr>
            <w:tcW w:w="1530" w:type="dxa"/>
            <w:tcBorders>
              <w:bottom w:val="single" w:sz="4" w:space="0" w:color="auto"/>
            </w:tcBorders>
            <w:vAlign w:val="bottom"/>
          </w:tcPr>
          <w:p w14:paraId="52170FC5" w14:textId="7D19231B"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r>
              <w:rPr>
                <w:rFonts w:ascii="Arial" w:hAnsi="Arial" w:cs="Arial"/>
              </w:rPr>
              <w:t>55,792</w:t>
            </w:r>
            <w:r w:rsidRPr="009F3026">
              <w:rPr>
                <w:rFonts w:ascii="Arial" w:hAnsi="Arial" w:cs="Arial"/>
              </w:rPr>
              <w:t>)</w:t>
            </w:r>
          </w:p>
        </w:tc>
      </w:tr>
      <w:tr w:rsidR="004252DF" w:rsidRPr="009F3026" w14:paraId="43C99CA8" w14:textId="48BFC1C6" w:rsidTr="001B7B70">
        <w:trPr>
          <w:trHeight w:hRule="exact" w:val="115"/>
        </w:trPr>
        <w:tc>
          <w:tcPr>
            <w:tcW w:w="5122" w:type="dxa"/>
            <w:tcBorders>
              <w:top w:val="single" w:sz="4" w:space="0" w:color="auto"/>
            </w:tcBorders>
            <w:vAlign w:val="bottom"/>
          </w:tcPr>
          <w:p w14:paraId="79B18F84" w14:textId="77777777" w:rsidR="004252DF" w:rsidRPr="009F3026" w:rsidRDefault="004252DF" w:rsidP="004252DF">
            <w:pPr>
              <w:tabs>
                <w:tab w:val="left" w:pos="7214"/>
                <w:tab w:val="decimal" w:pos="8107"/>
                <w:tab w:val="left" w:pos="8467"/>
                <w:tab w:val="decimal" w:pos="9360"/>
              </w:tabs>
              <w:spacing w:after="0" w:line="240" w:lineRule="auto"/>
              <w:rPr>
                <w:rFonts w:ascii="Arial" w:hAnsi="Arial" w:cs="Arial"/>
              </w:rPr>
            </w:pPr>
          </w:p>
        </w:tc>
        <w:tc>
          <w:tcPr>
            <w:tcW w:w="1530" w:type="dxa"/>
            <w:tcBorders>
              <w:top w:val="single" w:sz="4" w:space="0" w:color="auto"/>
            </w:tcBorders>
            <w:vAlign w:val="bottom"/>
          </w:tcPr>
          <w:p w14:paraId="2BDBC25A" w14:textId="77777777" w:rsidR="004252DF" w:rsidRPr="005241D0"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28BBB2DD"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7091BCE3"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r>
      <w:tr w:rsidR="004252DF" w:rsidRPr="009F3026" w14:paraId="084F20E4" w14:textId="794F06C2" w:rsidTr="001B7B70">
        <w:trPr>
          <w:trHeight w:val="279"/>
        </w:trPr>
        <w:tc>
          <w:tcPr>
            <w:tcW w:w="5122" w:type="dxa"/>
            <w:tcBorders>
              <w:bottom w:val="single" w:sz="12" w:space="0" w:color="auto"/>
            </w:tcBorders>
            <w:vAlign w:val="bottom"/>
          </w:tcPr>
          <w:p w14:paraId="288BA0BD" w14:textId="1E2203DA" w:rsidR="004252DF" w:rsidRPr="009F3026" w:rsidRDefault="004252DF" w:rsidP="00681427">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 xml:space="preserve">Total liabilities and </w:t>
            </w:r>
            <w:r w:rsidR="00681427">
              <w:rPr>
                <w:rFonts w:ascii="Arial" w:hAnsi="Arial" w:cs="Arial"/>
              </w:rPr>
              <w:t>shareholders’</w:t>
            </w:r>
            <w:r w:rsidRPr="009F3026">
              <w:rPr>
                <w:rFonts w:ascii="Arial" w:hAnsi="Arial" w:cs="Arial"/>
              </w:rPr>
              <w:t xml:space="preserve"> </w:t>
            </w:r>
            <w:r>
              <w:rPr>
                <w:rFonts w:ascii="Arial" w:hAnsi="Arial" w:cs="Arial"/>
              </w:rPr>
              <w:t>equity</w:t>
            </w:r>
          </w:p>
        </w:tc>
        <w:tc>
          <w:tcPr>
            <w:tcW w:w="1530" w:type="dxa"/>
            <w:tcBorders>
              <w:bottom w:val="single" w:sz="12" w:space="0" w:color="auto"/>
            </w:tcBorders>
            <w:vAlign w:val="bottom"/>
          </w:tcPr>
          <w:p w14:paraId="0FA245FC" w14:textId="1D322B46" w:rsidR="004252DF" w:rsidRPr="005241D0" w:rsidRDefault="005241D0" w:rsidP="00F010A8">
            <w:pPr>
              <w:tabs>
                <w:tab w:val="left" w:pos="7214"/>
                <w:tab w:val="decimal" w:pos="8107"/>
                <w:tab w:val="left" w:pos="8467"/>
                <w:tab w:val="decimal" w:pos="9360"/>
              </w:tabs>
              <w:spacing w:after="0" w:line="240" w:lineRule="auto"/>
              <w:ind w:right="180"/>
              <w:jc w:val="right"/>
              <w:rPr>
                <w:rFonts w:ascii="Arial" w:hAnsi="Arial" w:cs="Arial"/>
              </w:rPr>
            </w:pPr>
            <w:r w:rsidRPr="005241D0">
              <w:rPr>
                <w:rFonts w:ascii="Arial" w:hAnsi="Arial" w:cs="Arial"/>
              </w:rPr>
              <w:t>16,</w:t>
            </w:r>
            <w:r w:rsidR="00254400">
              <w:rPr>
                <w:rFonts w:ascii="Arial" w:hAnsi="Arial" w:cs="Arial"/>
              </w:rPr>
              <w:t>036,297</w:t>
            </w:r>
          </w:p>
        </w:tc>
        <w:tc>
          <w:tcPr>
            <w:tcW w:w="1530" w:type="dxa"/>
            <w:tcBorders>
              <w:bottom w:val="single" w:sz="12" w:space="0" w:color="auto"/>
            </w:tcBorders>
            <w:vAlign w:val="bottom"/>
          </w:tcPr>
          <w:p w14:paraId="5F63876C" w14:textId="3D397AE0" w:rsidR="004252DF" w:rsidRPr="009F3026" w:rsidRDefault="00864115"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lang w:val="fr-FR"/>
              </w:rPr>
              <w:t>9,718,033</w:t>
            </w:r>
          </w:p>
        </w:tc>
        <w:tc>
          <w:tcPr>
            <w:tcW w:w="1530" w:type="dxa"/>
            <w:tcBorders>
              <w:bottom w:val="single" w:sz="12" w:space="0" w:color="auto"/>
            </w:tcBorders>
            <w:vAlign w:val="bottom"/>
          </w:tcPr>
          <w:p w14:paraId="338467DF" w14:textId="5AEDCF2E"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471,826</w:t>
            </w:r>
          </w:p>
        </w:tc>
      </w:tr>
    </w:tbl>
    <w:p w14:paraId="5EAD7875" w14:textId="77777777" w:rsidR="00790828" w:rsidRPr="009F3026" w:rsidRDefault="00790828" w:rsidP="00790828">
      <w:pPr>
        <w:tabs>
          <w:tab w:val="left" w:pos="7214"/>
          <w:tab w:val="decimal" w:pos="8107"/>
          <w:tab w:val="left" w:pos="8467"/>
          <w:tab w:val="decimal" w:pos="9360"/>
        </w:tabs>
        <w:spacing w:after="0" w:line="240" w:lineRule="auto"/>
        <w:jc w:val="both"/>
        <w:rPr>
          <w:rFonts w:ascii="Arial" w:hAnsi="Arial" w:cs="Arial"/>
        </w:rPr>
      </w:pPr>
    </w:p>
    <w:p w14:paraId="7A397204" w14:textId="5C9B1FA1" w:rsidR="004056B2" w:rsidRDefault="00E565BC"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rPr>
      </w:pPr>
      <w:r>
        <w:rPr>
          <w:rFonts w:ascii="Arial" w:hAnsi="Arial" w:cs="Arial"/>
        </w:rPr>
        <w:t>Approved on behalf of the Board of Directors</w:t>
      </w:r>
    </w:p>
    <w:p w14:paraId="54C5097C" w14:textId="271A3670" w:rsidR="00E565BC" w:rsidRDefault="00E565BC" w:rsidP="00F62DC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0" w:line="240" w:lineRule="auto"/>
        <w:rPr>
          <w:rFonts w:ascii="Arial" w:hAnsi="Arial" w:cs="Arial"/>
        </w:rPr>
      </w:pPr>
      <w:r w:rsidRPr="00E565BC">
        <w:rPr>
          <w:rFonts w:ascii="Arial" w:hAnsi="Arial" w:cs="Arial"/>
          <w:i/>
          <w:u w:val="single"/>
        </w:rPr>
        <w:t>“Krisztian Toth”</w:t>
      </w:r>
      <w:r w:rsidRPr="00E565BC">
        <w:rPr>
          <w:rFonts w:ascii="Arial" w:hAnsi="Arial" w:cs="Arial"/>
          <w:i/>
          <w:u w:val="single"/>
        </w:rPr>
        <w:tab/>
      </w:r>
      <w:r w:rsidRPr="00E565BC">
        <w:rPr>
          <w:rFonts w:ascii="Arial" w:hAnsi="Arial" w:cs="Arial"/>
          <w:i/>
          <w:u w:val="single"/>
        </w:rPr>
        <w:tab/>
      </w:r>
      <w:r w:rsidRPr="00E565BC">
        <w:rPr>
          <w:rFonts w:ascii="Arial" w:hAnsi="Arial" w:cs="Arial"/>
          <w:i/>
          <w:u w:val="single"/>
        </w:rPr>
        <w:tab/>
      </w:r>
      <w:r w:rsidRPr="00E565BC">
        <w:rPr>
          <w:rFonts w:ascii="Arial" w:hAnsi="Arial" w:cs="Arial"/>
          <w:i/>
        </w:rPr>
        <w:tab/>
      </w:r>
      <w:r w:rsidRPr="00E565BC">
        <w:rPr>
          <w:rFonts w:ascii="Arial" w:hAnsi="Arial" w:cs="Arial"/>
        </w:rPr>
        <w:t>Director</w:t>
      </w:r>
    </w:p>
    <w:p w14:paraId="57104B00" w14:textId="239E4A82" w:rsidR="00E565BC" w:rsidRDefault="00E565BC" w:rsidP="00F62DC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0" w:line="240" w:lineRule="auto"/>
        <w:rPr>
          <w:rFonts w:ascii="Arial" w:hAnsi="Arial" w:cs="Arial"/>
        </w:rPr>
      </w:pPr>
      <w:r w:rsidRPr="00E565BC">
        <w:rPr>
          <w:rFonts w:ascii="Arial" w:hAnsi="Arial" w:cs="Arial"/>
          <w:i/>
          <w:u w:val="single"/>
        </w:rPr>
        <w:t>“Joseph Borovsky”</w:t>
      </w:r>
      <w:r w:rsidRPr="00E565BC">
        <w:rPr>
          <w:rFonts w:ascii="Arial" w:hAnsi="Arial" w:cs="Arial"/>
          <w:i/>
          <w:u w:val="single"/>
        </w:rPr>
        <w:tab/>
      </w:r>
      <w:r w:rsidRPr="00E565BC">
        <w:rPr>
          <w:rFonts w:ascii="Arial" w:hAnsi="Arial" w:cs="Arial"/>
          <w:i/>
          <w:u w:val="single"/>
        </w:rPr>
        <w:tab/>
      </w:r>
      <w:r w:rsidRPr="00E565BC">
        <w:rPr>
          <w:rFonts w:ascii="Arial" w:hAnsi="Arial" w:cs="Arial"/>
          <w:i/>
        </w:rPr>
        <w:tab/>
      </w:r>
      <w:r w:rsidRPr="00E565BC">
        <w:rPr>
          <w:rFonts w:ascii="Arial" w:hAnsi="Arial" w:cs="Arial"/>
        </w:rPr>
        <w:t>Director</w:t>
      </w:r>
    </w:p>
    <w:p w14:paraId="0AC82058" w14:textId="77777777" w:rsidR="00E565BC" w:rsidRDefault="00E565BC"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p>
    <w:p w14:paraId="35DD160F" w14:textId="77777777" w:rsidR="00E565BC" w:rsidRDefault="00E565BC"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p>
    <w:p w14:paraId="1F6EB111" w14:textId="02378674" w:rsidR="00790828"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r w:rsidRPr="009F3026">
        <w:rPr>
          <w:rFonts w:ascii="Arial" w:hAnsi="Arial" w:cs="Arial"/>
          <w:szCs w:val="20"/>
        </w:rPr>
        <w:t xml:space="preserve">(The accompanying notes are an integral part of these </w:t>
      </w:r>
      <w:r w:rsidR="008B680A">
        <w:rPr>
          <w:rFonts w:ascii="Arial" w:hAnsi="Arial" w:cs="Arial"/>
          <w:szCs w:val="20"/>
        </w:rPr>
        <w:t>condensed consolidated interim financial statements</w:t>
      </w:r>
      <w:r w:rsidRPr="009F3026">
        <w:rPr>
          <w:rFonts w:ascii="Arial" w:hAnsi="Arial" w:cs="Arial"/>
          <w:szCs w:val="20"/>
        </w:rPr>
        <w:t>)</w:t>
      </w:r>
    </w:p>
    <w:p w14:paraId="4267BDD9" w14:textId="77777777" w:rsidR="000F2E3C" w:rsidRDefault="00790828" w:rsidP="000F2E3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14"/>
          <w:tab w:val="left" w:pos="7560"/>
          <w:tab w:val="left" w:pos="7920"/>
          <w:tab w:val="left" w:pos="8280"/>
          <w:tab w:val="left" w:pos="8640"/>
          <w:tab w:val="left" w:pos="9000"/>
          <w:tab w:val="left" w:pos="9360"/>
        </w:tabs>
        <w:spacing w:after="0" w:line="240" w:lineRule="auto"/>
        <w:rPr>
          <w:rFonts w:ascii="Arial" w:hAnsi="Arial" w:cs="Arial"/>
          <w:b/>
          <w:bCs/>
          <w:szCs w:val="20"/>
        </w:rPr>
      </w:pPr>
      <w:r>
        <w:rPr>
          <w:rFonts w:cs="Arial"/>
          <w:b/>
          <w:bCs/>
          <w:sz w:val="24"/>
        </w:rPr>
        <w:br w:type="page"/>
      </w:r>
      <w:r w:rsidR="000F2E3C">
        <w:rPr>
          <w:rFonts w:ascii="Arial" w:hAnsi="Arial" w:cs="Arial"/>
          <w:b/>
          <w:bCs/>
          <w:sz w:val="24"/>
        </w:rPr>
        <w:lastRenderedPageBreak/>
        <w:t xml:space="preserve">BETTERLIFE PHARMA INC. </w:t>
      </w:r>
      <w:r w:rsidR="000F2E3C" w:rsidRPr="000F2E3C">
        <w:rPr>
          <w:rFonts w:ascii="Arial" w:hAnsi="Arial" w:cs="Arial"/>
          <w:b/>
          <w:bCs/>
          <w:szCs w:val="20"/>
        </w:rPr>
        <w:t>(formerly Pivot Pharmaceuticals Inc.)</w:t>
      </w:r>
    </w:p>
    <w:p w14:paraId="2B5D14C9" w14:textId="476D2D18" w:rsidR="00790828" w:rsidRPr="009F3026" w:rsidRDefault="008E7C6B" w:rsidP="000F2E3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14"/>
          <w:tab w:val="left" w:pos="7560"/>
          <w:tab w:val="left" w:pos="7920"/>
          <w:tab w:val="left" w:pos="8280"/>
          <w:tab w:val="left" w:pos="8640"/>
          <w:tab w:val="left" w:pos="9000"/>
          <w:tab w:val="left" w:pos="9360"/>
        </w:tabs>
        <w:spacing w:after="0" w:line="240" w:lineRule="auto"/>
        <w:rPr>
          <w:rFonts w:ascii="Arial" w:hAnsi="Arial" w:cs="Arial"/>
          <w:bCs/>
        </w:rPr>
      </w:pPr>
      <w:r>
        <w:rPr>
          <w:rFonts w:ascii="Arial" w:hAnsi="Arial" w:cs="Arial"/>
          <w:bCs/>
        </w:rPr>
        <w:t xml:space="preserve">Consolidated </w:t>
      </w:r>
      <w:r w:rsidR="00790828" w:rsidRPr="009F3026">
        <w:rPr>
          <w:rFonts w:ascii="Arial" w:hAnsi="Arial" w:cs="Arial"/>
          <w:bCs/>
        </w:rPr>
        <w:t xml:space="preserve">Statements of </w:t>
      </w:r>
      <w:r w:rsidR="008B4AE2">
        <w:rPr>
          <w:rFonts w:ascii="Arial" w:hAnsi="Arial" w:cs="Arial"/>
          <w:bCs/>
        </w:rPr>
        <w:t>Comprehensive Loss</w:t>
      </w:r>
      <w:r w:rsidR="00DA2635">
        <w:rPr>
          <w:rFonts w:ascii="Arial" w:hAnsi="Arial" w:cs="Arial"/>
          <w:bCs/>
        </w:rPr>
        <w:t xml:space="preserve"> (unaudited)</w:t>
      </w:r>
    </w:p>
    <w:p w14:paraId="2CF33478" w14:textId="4F6D6D87" w:rsidR="00790828" w:rsidRDefault="00790828" w:rsidP="00790828">
      <w:pPr>
        <w:tabs>
          <w:tab w:val="left" w:pos="7214"/>
          <w:tab w:val="decimal" w:pos="8107"/>
          <w:tab w:val="left" w:pos="8467"/>
          <w:tab w:val="decimal" w:pos="9360"/>
        </w:tabs>
        <w:spacing w:after="0" w:line="240" w:lineRule="auto"/>
        <w:jc w:val="both"/>
        <w:rPr>
          <w:rFonts w:ascii="Arial" w:hAnsi="Arial" w:cs="Arial"/>
        </w:rPr>
      </w:pPr>
      <w:r w:rsidRPr="009F3026">
        <w:rPr>
          <w:rFonts w:ascii="Arial" w:hAnsi="Arial" w:cs="Arial"/>
        </w:rPr>
        <w:t>(Expressed in</w:t>
      </w:r>
      <w:r w:rsidR="0070656C">
        <w:rPr>
          <w:rFonts w:ascii="Arial" w:hAnsi="Arial" w:cs="Arial"/>
        </w:rPr>
        <w:t xml:space="preserve"> Canadian</w:t>
      </w:r>
      <w:r w:rsidRPr="009F3026">
        <w:rPr>
          <w:rFonts w:ascii="Arial" w:hAnsi="Arial" w:cs="Arial"/>
        </w:rPr>
        <w:t xml:space="preserve"> dollars)</w:t>
      </w:r>
    </w:p>
    <w:p w14:paraId="7C0BC8B1" w14:textId="77777777" w:rsidR="00DA2635" w:rsidRPr="009F3026" w:rsidRDefault="00DA2635" w:rsidP="00790828">
      <w:pPr>
        <w:tabs>
          <w:tab w:val="left" w:pos="7214"/>
          <w:tab w:val="decimal" w:pos="8107"/>
          <w:tab w:val="left" w:pos="8467"/>
          <w:tab w:val="decimal" w:pos="9360"/>
        </w:tabs>
        <w:spacing w:after="0" w:line="240" w:lineRule="auto"/>
        <w:jc w:val="both"/>
        <w:rPr>
          <w:rFonts w:ascii="Arial" w:hAnsi="Arial" w:cs="Arial"/>
        </w:rPr>
      </w:pPr>
    </w:p>
    <w:tbl>
      <w:tblPr>
        <w:tblW w:w="9952" w:type="dxa"/>
        <w:tblInd w:w="8" w:type="dxa"/>
        <w:tblLayout w:type="fixed"/>
        <w:tblCellMar>
          <w:left w:w="0" w:type="dxa"/>
          <w:right w:w="0" w:type="dxa"/>
        </w:tblCellMar>
        <w:tblLook w:val="0000" w:firstRow="0" w:lastRow="0" w:firstColumn="0" w:lastColumn="0" w:noHBand="0" w:noVBand="0"/>
      </w:tblPr>
      <w:tblGrid>
        <w:gridCol w:w="3772"/>
        <w:gridCol w:w="1620"/>
        <w:gridCol w:w="1440"/>
        <w:gridCol w:w="1554"/>
        <w:gridCol w:w="6"/>
        <w:gridCol w:w="1549"/>
        <w:gridCol w:w="11"/>
      </w:tblGrid>
      <w:tr w:rsidR="00555018" w:rsidRPr="009F3026" w14:paraId="62C87791" w14:textId="77777777" w:rsidTr="00EA1905">
        <w:tc>
          <w:tcPr>
            <w:tcW w:w="3772" w:type="dxa"/>
          </w:tcPr>
          <w:p w14:paraId="6B33C961" w14:textId="77777777" w:rsidR="00555018" w:rsidRPr="009F3026" w:rsidRDefault="00555018" w:rsidP="00EA1905">
            <w:pPr>
              <w:tabs>
                <w:tab w:val="left" w:pos="7214"/>
                <w:tab w:val="decimal" w:pos="8107"/>
                <w:tab w:val="left" w:pos="8467"/>
                <w:tab w:val="decimal" w:pos="9360"/>
              </w:tabs>
              <w:spacing w:after="0" w:line="240" w:lineRule="auto"/>
              <w:rPr>
                <w:rFonts w:ascii="Arial" w:hAnsi="Arial" w:cs="Arial"/>
                <w:sz w:val="18"/>
                <w:szCs w:val="18"/>
              </w:rPr>
            </w:pPr>
          </w:p>
        </w:tc>
        <w:tc>
          <w:tcPr>
            <w:tcW w:w="3060" w:type="dxa"/>
            <w:gridSpan w:val="2"/>
          </w:tcPr>
          <w:p w14:paraId="7F1F5391" w14:textId="68D5312D" w:rsidR="00555018" w:rsidRPr="009F3026" w:rsidRDefault="00555018"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Three Months Ended</w:t>
            </w:r>
          </w:p>
        </w:tc>
        <w:tc>
          <w:tcPr>
            <w:tcW w:w="3120" w:type="dxa"/>
            <w:gridSpan w:val="4"/>
          </w:tcPr>
          <w:p w14:paraId="330F0891" w14:textId="40FDA0F6" w:rsidR="00555018" w:rsidRPr="009F3026" w:rsidRDefault="000F2E3C"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Nine</w:t>
            </w:r>
            <w:r w:rsidR="00555018">
              <w:rPr>
                <w:rFonts w:ascii="Arial" w:hAnsi="Arial" w:cs="Arial"/>
                <w:szCs w:val="20"/>
              </w:rPr>
              <w:t xml:space="preserve"> Months Ended</w:t>
            </w:r>
          </w:p>
        </w:tc>
      </w:tr>
      <w:tr w:rsidR="00790828" w:rsidRPr="009F3026" w14:paraId="534865FE" w14:textId="77777777" w:rsidTr="00555018">
        <w:tc>
          <w:tcPr>
            <w:tcW w:w="3772" w:type="dxa"/>
            <w:tcBorders>
              <w:bottom w:val="single" w:sz="4" w:space="0" w:color="auto"/>
            </w:tcBorders>
          </w:tcPr>
          <w:p w14:paraId="466A3530" w14:textId="77777777" w:rsidR="00790828" w:rsidRPr="009F3026" w:rsidRDefault="00790828" w:rsidP="00790828">
            <w:pPr>
              <w:tabs>
                <w:tab w:val="left" w:pos="7214"/>
                <w:tab w:val="decimal" w:pos="8107"/>
                <w:tab w:val="left" w:pos="8467"/>
                <w:tab w:val="decimal" w:pos="9360"/>
              </w:tabs>
              <w:spacing w:after="0" w:line="240" w:lineRule="auto"/>
              <w:rPr>
                <w:rFonts w:ascii="Arial" w:hAnsi="Arial" w:cs="Arial"/>
                <w:sz w:val="18"/>
                <w:szCs w:val="18"/>
              </w:rPr>
            </w:pPr>
          </w:p>
        </w:tc>
        <w:tc>
          <w:tcPr>
            <w:tcW w:w="1620" w:type="dxa"/>
            <w:tcBorders>
              <w:bottom w:val="single" w:sz="4" w:space="0" w:color="auto"/>
            </w:tcBorders>
          </w:tcPr>
          <w:p w14:paraId="5499E6A7" w14:textId="5A1BFFB6" w:rsidR="008568A1" w:rsidRPr="00B256C2" w:rsidRDefault="000F2E3C" w:rsidP="00790828">
            <w:pPr>
              <w:tabs>
                <w:tab w:val="left" w:pos="7214"/>
                <w:tab w:val="decimal" w:pos="8107"/>
                <w:tab w:val="left" w:pos="8467"/>
                <w:tab w:val="decimal" w:pos="9360"/>
              </w:tabs>
              <w:spacing w:after="0" w:line="240" w:lineRule="auto"/>
              <w:ind w:left="-20" w:right="-80"/>
              <w:jc w:val="center"/>
              <w:rPr>
                <w:rFonts w:ascii="Arial" w:hAnsi="Arial" w:cs="Arial"/>
                <w:szCs w:val="20"/>
              </w:rPr>
            </w:pPr>
            <w:r w:rsidRPr="00B256C2">
              <w:rPr>
                <w:rFonts w:ascii="Arial" w:hAnsi="Arial" w:cs="Arial"/>
                <w:szCs w:val="20"/>
              </w:rPr>
              <w:t>October</w:t>
            </w:r>
            <w:r w:rsidR="008568A1" w:rsidRPr="00B256C2">
              <w:rPr>
                <w:rFonts w:ascii="Arial" w:hAnsi="Arial" w:cs="Arial"/>
                <w:szCs w:val="20"/>
              </w:rPr>
              <w:t xml:space="preserve"> 31,</w:t>
            </w:r>
          </w:p>
          <w:p w14:paraId="17AEFEA8" w14:textId="034ECD43" w:rsidR="008568A1" w:rsidRDefault="008568A1" w:rsidP="00790828">
            <w:pPr>
              <w:tabs>
                <w:tab w:val="left" w:pos="7214"/>
                <w:tab w:val="decimal" w:pos="8107"/>
                <w:tab w:val="left" w:pos="8467"/>
                <w:tab w:val="decimal" w:pos="9360"/>
              </w:tabs>
              <w:spacing w:after="0" w:line="240" w:lineRule="auto"/>
              <w:ind w:left="-20" w:right="-80"/>
              <w:jc w:val="center"/>
              <w:rPr>
                <w:rFonts w:ascii="Arial" w:hAnsi="Arial" w:cs="Arial"/>
                <w:szCs w:val="20"/>
              </w:rPr>
            </w:pPr>
            <w:r w:rsidRPr="00B256C2">
              <w:rPr>
                <w:rFonts w:ascii="Arial" w:hAnsi="Arial" w:cs="Arial"/>
                <w:szCs w:val="20"/>
              </w:rPr>
              <w:t>2019</w:t>
            </w:r>
          </w:p>
          <w:p w14:paraId="738748FA" w14:textId="6281766C" w:rsidR="008568A1" w:rsidRPr="009F3026" w:rsidRDefault="00555018"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w:t>
            </w:r>
          </w:p>
        </w:tc>
        <w:tc>
          <w:tcPr>
            <w:tcW w:w="1440" w:type="dxa"/>
            <w:tcBorders>
              <w:bottom w:val="single" w:sz="4" w:space="0" w:color="auto"/>
            </w:tcBorders>
          </w:tcPr>
          <w:p w14:paraId="6B55697C" w14:textId="33A5D0F3" w:rsidR="008568A1" w:rsidRDefault="000F2E3C" w:rsidP="008568A1">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 xml:space="preserve">October </w:t>
            </w:r>
            <w:r w:rsidR="008568A1">
              <w:rPr>
                <w:rFonts w:ascii="Arial" w:hAnsi="Arial" w:cs="Arial"/>
                <w:szCs w:val="20"/>
              </w:rPr>
              <w:t>31,</w:t>
            </w:r>
          </w:p>
          <w:p w14:paraId="664D2C1D" w14:textId="3A0CAB47" w:rsidR="008568A1" w:rsidRDefault="008568A1" w:rsidP="008568A1">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2018</w:t>
            </w:r>
          </w:p>
          <w:p w14:paraId="6CD627CE" w14:textId="3C421838" w:rsidR="00790828" w:rsidRPr="009F3026" w:rsidRDefault="00555018"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w:t>
            </w:r>
          </w:p>
        </w:tc>
        <w:tc>
          <w:tcPr>
            <w:tcW w:w="1560" w:type="dxa"/>
            <w:gridSpan w:val="2"/>
            <w:tcBorders>
              <w:bottom w:val="single" w:sz="4" w:space="0" w:color="auto"/>
            </w:tcBorders>
          </w:tcPr>
          <w:p w14:paraId="1986C1AA" w14:textId="70BBB801" w:rsidR="008568A1" w:rsidRPr="003F0E70" w:rsidRDefault="000F2E3C" w:rsidP="008568A1">
            <w:pPr>
              <w:tabs>
                <w:tab w:val="left" w:pos="7214"/>
                <w:tab w:val="decimal" w:pos="8107"/>
                <w:tab w:val="left" w:pos="8467"/>
                <w:tab w:val="decimal" w:pos="9360"/>
              </w:tabs>
              <w:spacing w:after="0" w:line="240" w:lineRule="auto"/>
              <w:ind w:left="-20" w:right="-80"/>
              <w:jc w:val="center"/>
              <w:rPr>
                <w:rFonts w:ascii="Arial" w:hAnsi="Arial" w:cs="Arial"/>
                <w:szCs w:val="20"/>
              </w:rPr>
            </w:pPr>
            <w:r w:rsidRPr="003F0E70">
              <w:rPr>
                <w:rFonts w:ascii="Arial" w:hAnsi="Arial" w:cs="Arial"/>
                <w:szCs w:val="20"/>
              </w:rPr>
              <w:t xml:space="preserve">October </w:t>
            </w:r>
            <w:r w:rsidR="008568A1" w:rsidRPr="003F0E70">
              <w:rPr>
                <w:rFonts w:ascii="Arial" w:hAnsi="Arial" w:cs="Arial"/>
                <w:szCs w:val="20"/>
              </w:rPr>
              <w:t>31,</w:t>
            </w:r>
          </w:p>
          <w:p w14:paraId="40F6E62E" w14:textId="353A52C9" w:rsidR="008568A1" w:rsidRPr="003F0E70" w:rsidRDefault="008568A1" w:rsidP="008568A1">
            <w:pPr>
              <w:tabs>
                <w:tab w:val="left" w:pos="7214"/>
                <w:tab w:val="decimal" w:pos="8107"/>
                <w:tab w:val="left" w:pos="8467"/>
                <w:tab w:val="decimal" w:pos="9360"/>
              </w:tabs>
              <w:spacing w:after="0" w:line="240" w:lineRule="auto"/>
              <w:ind w:left="-20" w:right="-80"/>
              <w:jc w:val="center"/>
              <w:rPr>
                <w:rFonts w:ascii="Arial" w:hAnsi="Arial" w:cs="Arial"/>
                <w:szCs w:val="20"/>
              </w:rPr>
            </w:pPr>
            <w:r w:rsidRPr="003F0E70">
              <w:rPr>
                <w:rFonts w:ascii="Arial" w:hAnsi="Arial" w:cs="Arial"/>
                <w:szCs w:val="20"/>
              </w:rPr>
              <w:t>2019</w:t>
            </w:r>
          </w:p>
          <w:p w14:paraId="2F776F30" w14:textId="1A54B500" w:rsidR="00790828" w:rsidRPr="009F3026" w:rsidRDefault="00555018"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sidRPr="003F0E70">
              <w:rPr>
                <w:rFonts w:ascii="Arial" w:hAnsi="Arial" w:cs="Arial"/>
                <w:szCs w:val="20"/>
              </w:rPr>
              <w:t>$</w:t>
            </w:r>
          </w:p>
        </w:tc>
        <w:tc>
          <w:tcPr>
            <w:tcW w:w="1560" w:type="dxa"/>
            <w:gridSpan w:val="2"/>
            <w:tcBorders>
              <w:bottom w:val="single" w:sz="4" w:space="0" w:color="auto"/>
            </w:tcBorders>
          </w:tcPr>
          <w:p w14:paraId="6EBDEEF1" w14:textId="4175F8B4" w:rsidR="008568A1" w:rsidRDefault="000F2E3C" w:rsidP="008568A1">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 xml:space="preserve">October </w:t>
            </w:r>
            <w:r w:rsidR="008568A1">
              <w:rPr>
                <w:rFonts w:ascii="Arial" w:hAnsi="Arial" w:cs="Arial"/>
                <w:szCs w:val="20"/>
              </w:rPr>
              <w:t>31,</w:t>
            </w:r>
          </w:p>
          <w:p w14:paraId="5F82AAC1" w14:textId="2E8B4BCC" w:rsidR="008568A1" w:rsidRDefault="008568A1" w:rsidP="008568A1">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2018</w:t>
            </w:r>
          </w:p>
          <w:p w14:paraId="306950AA" w14:textId="6F566C29" w:rsidR="00790828" w:rsidRPr="009F3026" w:rsidRDefault="008568A1"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w:t>
            </w:r>
          </w:p>
        </w:tc>
      </w:tr>
      <w:tr w:rsidR="00790828" w:rsidRPr="009F3026" w14:paraId="2BE61722" w14:textId="77777777" w:rsidTr="008568A1">
        <w:trPr>
          <w:trHeight w:val="305"/>
        </w:trPr>
        <w:tc>
          <w:tcPr>
            <w:tcW w:w="3772" w:type="dxa"/>
            <w:tcBorders>
              <w:top w:val="single" w:sz="4" w:space="0" w:color="auto"/>
            </w:tcBorders>
          </w:tcPr>
          <w:p w14:paraId="1B7DB21E" w14:textId="078475EF" w:rsidR="00790828" w:rsidRPr="009F3026" w:rsidRDefault="00790828" w:rsidP="005F40A9">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4" w:space="0" w:color="auto"/>
            </w:tcBorders>
          </w:tcPr>
          <w:p w14:paraId="4026F181" w14:textId="77777777" w:rsidR="00790828" w:rsidRPr="009F3026" w:rsidRDefault="00790828" w:rsidP="005F40A9">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4" w:space="0" w:color="auto"/>
            </w:tcBorders>
          </w:tcPr>
          <w:p w14:paraId="310BBC14" w14:textId="37DA7343" w:rsidR="00790828" w:rsidRPr="009F3026" w:rsidRDefault="008568A1" w:rsidP="00824168">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(Note 2</w:t>
            </w:r>
            <w:r w:rsidR="00C83768">
              <w:rPr>
                <w:rFonts w:ascii="Arial" w:hAnsi="Arial" w:cs="Arial"/>
              </w:rPr>
              <w:t>4</w:t>
            </w:r>
            <w:r>
              <w:rPr>
                <w:rFonts w:ascii="Arial" w:hAnsi="Arial" w:cs="Arial"/>
              </w:rPr>
              <w:t>)</w:t>
            </w:r>
          </w:p>
        </w:tc>
        <w:tc>
          <w:tcPr>
            <w:tcW w:w="1560" w:type="dxa"/>
            <w:gridSpan w:val="2"/>
            <w:tcBorders>
              <w:top w:val="single" w:sz="4" w:space="0" w:color="auto"/>
            </w:tcBorders>
          </w:tcPr>
          <w:p w14:paraId="2A3B196B" w14:textId="77777777" w:rsidR="00790828" w:rsidRPr="009F3026" w:rsidRDefault="00790828" w:rsidP="005F40A9">
            <w:pPr>
              <w:tabs>
                <w:tab w:val="left" w:pos="7214"/>
                <w:tab w:val="decimal" w:pos="8107"/>
                <w:tab w:val="left" w:pos="8467"/>
                <w:tab w:val="decimal" w:pos="9360"/>
              </w:tabs>
              <w:spacing w:after="0" w:line="240" w:lineRule="auto"/>
              <w:ind w:right="114"/>
              <w:jc w:val="center"/>
              <w:rPr>
                <w:rFonts w:ascii="Arial" w:hAnsi="Arial" w:cs="Arial"/>
              </w:rPr>
            </w:pPr>
          </w:p>
        </w:tc>
        <w:tc>
          <w:tcPr>
            <w:tcW w:w="1560" w:type="dxa"/>
            <w:gridSpan w:val="2"/>
            <w:tcBorders>
              <w:top w:val="single" w:sz="4" w:space="0" w:color="auto"/>
            </w:tcBorders>
          </w:tcPr>
          <w:p w14:paraId="384AE2A8" w14:textId="71F45EAB" w:rsidR="00790828" w:rsidRPr="009F3026" w:rsidRDefault="00370EC4" w:rsidP="00824168">
            <w:pPr>
              <w:tabs>
                <w:tab w:val="left" w:pos="7214"/>
                <w:tab w:val="decimal" w:pos="8107"/>
                <w:tab w:val="left" w:pos="8467"/>
                <w:tab w:val="decimal" w:pos="9360"/>
              </w:tabs>
              <w:spacing w:after="0" w:line="240" w:lineRule="auto"/>
              <w:ind w:right="114"/>
              <w:jc w:val="center"/>
              <w:rPr>
                <w:rFonts w:ascii="Arial" w:hAnsi="Arial" w:cs="Arial"/>
              </w:rPr>
            </w:pPr>
            <w:r>
              <w:rPr>
                <w:rFonts w:ascii="Arial" w:hAnsi="Arial" w:cs="Arial"/>
              </w:rPr>
              <w:t>(Note</w:t>
            </w:r>
            <w:r w:rsidR="005F40A9">
              <w:rPr>
                <w:rFonts w:ascii="Arial" w:hAnsi="Arial" w:cs="Arial"/>
              </w:rPr>
              <w:t xml:space="preserve"> 2</w:t>
            </w:r>
            <w:r w:rsidR="00C83768">
              <w:rPr>
                <w:rFonts w:ascii="Arial" w:hAnsi="Arial" w:cs="Arial"/>
              </w:rPr>
              <w:t>4</w:t>
            </w:r>
            <w:r>
              <w:rPr>
                <w:rFonts w:ascii="Arial" w:hAnsi="Arial" w:cs="Arial"/>
              </w:rPr>
              <w:t>)</w:t>
            </w:r>
          </w:p>
        </w:tc>
      </w:tr>
      <w:tr w:rsidR="00CD67B3" w:rsidRPr="009F3026" w14:paraId="3752D9F2" w14:textId="77777777" w:rsidTr="008568A1">
        <w:tc>
          <w:tcPr>
            <w:tcW w:w="3772" w:type="dxa"/>
            <w:tcBorders>
              <w:bottom w:val="single" w:sz="4" w:space="0" w:color="auto"/>
            </w:tcBorders>
            <w:vAlign w:val="bottom"/>
          </w:tcPr>
          <w:p w14:paraId="35122D7F"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Revenue</w:t>
            </w:r>
          </w:p>
        </w:tc>
        <w:tc>
          <w:tcPr>
            <w:tcW w:w="1620" w:type="dxa"/>
            <w:tcBorders>
              <w:bottom w:val="single" w:sz="4" w:space="0" w:color="auto"/>
            </w:tcBorders>
          </w:tcPr>
          <w:p w14:paraId="1568392E" w14:textId="0D4512A7" w:rsidR="00CD67B3" w:rsidRPr="009F3026" w:rsidRDefault="008568A1" w:rsidP="00CD67B3">
            <w:pPr>
              <w:tabs>
                <w:tab w:val="left" w:pos="7214"/>
                <w:tab w:val="decimal" w:pos="8107"/>
                <w:tab w:val="left" w:pos="8467"/>
                <w:tab w:val="decimal" w:pos="9360"/>
              </w:tabs>
              <w:spacing w:after="0" w:line="240" w:lineRule="auto"/>
              <w:ind w:right="270"/>
              <w:jc w:val="right"/>
              <w:rPr>
                <w:rFonts w:ascii="Arial" w:hAnsi="Arial" w:cs="Arial"/>
              </w:rPr>
            </w:pPr>
            <w:r w:rsidRPr="009F3026">
              <w:rPr>
                <w:rFonts w:ascii="Arial" w:hAnsi="Arial" w:cs="Arial"/>
              </w:rPr>
              <w:t>–</w:t>
            </w:r>
          </w:p>
        </w:tc>
        <w:tc>
          <w:tcPr>
            <w:tcW w:w="1440" w:type="dxa"/>
            <w:tcBorders>
              <w:bottom w:val="single" w:sz="4" w:space="0" w:color="auto"/>
            </w:tcBorders>
            <w:vAlign w:val="bottom"/>
          </w:tcPr>
          <w:p w14:paraId="5A665D98" w14:textId="2CD1F231" w:rsidR="00CD67B3" w:rsidRPr="009F3026" w:rsidRDefault="008568A1"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sidRPr="009F3026">
              <w:rPr>
                <w:rFonts w:ascii="Arial" w:hAnsi="Arial" w:cs="Arial"/>
              </w:rPr>
              <w:t>–</w:t>
            </w:r>
          </w:p>
        </w:tc>
        <w:tc>
          <w:tcPr>
            <w:tcW w:w="1560" w:type="dxa"/>
            <w:gridSpan w:val="2"/>
            <w:tcBorders>
              <w:bottom w:val="single" w:sz="4" w:space="0" w:color="auto"/>
            </w:tcBorders>
          </w:tcPr>
          <w:p w14:paraId="24217FCA"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c>
          <w:tcPr>
            <w:tcW w:w="1560" w:type="dxa"/>
            <w:gridSpan w:val="2"/>
            <w:tcBorders>
              <w:bottom w:val="single" w:sz="4" w:space="0" w:color="auto"/>
            </w:tcBorders>
          </w:tcPr>
          <w:p w14:paraId="34302D9E"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r>
      <w:tr w:rsidR="00CD67B3" w:rsidRPr="009F3026" w14:paraId="0A13BA81" w14:textId="77777777" w:rsidTr="008568A1">
        <w:tc>
          <w:tcPr>
            <w:tcW w:w="3772" w:type="dxa"/>
            <w:tcBorders>
              <w:top w:val="single" w:sz="4" w:space="0" w:color="auto"/>
            </w:tcBorders>
            <w:vAlign w:val="bottom"/>
          </w:tcPr>
          <w:p w14:paraId="007FE0B3"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4" w:space="0" w:color="auto"/>
            </w:tcBorders>
          </w:tcPr>
          <w:p w14:paraId="44DBE6F4"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4" w:space="0" w:color="auto"/>
            </w:tcBorders>
            <w:vAlign w:val="bottom"/>
          </w:tcPr>
          <w:p w14:paraId="4337F3C3"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4" w:space="0" w:color="auto"/>
            </w:tcBorders>
          </w:tcPr>
          <w:p w14:paraId="548F4BF7"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1862318D"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53391FBE" w14:textId="77777777" w:rsidTr="008568A1">
        <w:tc>
          <w:tcPr>
            <w:tcW w:w="3772" w:type="dxa"/>
            <w:vAlign w:val="bottom"/>
          </w:tcPr>
          <w:p w14:paraId="31E696E5"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Expenses</w:t>
            </w:r>
          </w:p>
        </w:tc>
        <w:tc>
          <w:tcPr>
            <w:tcW w:w="1620" w:type="dxa"/>
          </w:tcPr>
          <w:p w14:paraId="76379339"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vAlign w:val="bottom"/>
          </w:tcPr>
          <w:p w14:paraId="4D17EF36"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2A40CE0C"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132D7DA0"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4CABD000" w14:textId="77777777" w:rsidTr="008568A1">
        <w:trPr>
          <w:trHeight w:hRule="exact" w:val="115"/>
        </w:trPr>
        <w:tc>
          <w:tcPr>
            <w:tcW w:w="3772" w:type="dxa"/>
            <w:vAlign w:val="bottom"/>
          </w:tcPr>
          <w:p w14:paraId="518393D7"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Pr>
          <w:p w14:paraId="3FCB7473"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vAlign w:val="bottom"/>
          </w:tcPr>
          <w:p w14:paraId="7B3F3558"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42EE5B71"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4D36DC3C"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1A350D0F" w14:textId="77777777" w:rsidTr="008568A1">
        <w:tc>
          <w:tcPr>
            <w:tcW w:w="3772" w:type="dxa"/>
            <w:vAlign w:val="bottom"/>
          </w:tcPr>
          <w:p w14:paraId="7657608C" w14:textId="4315FC0B" w:rsidR="00CD67B3" w:rsidRPr="009F3026" w:rsidRDefault="003131A7" w:rsidP="00CD67B3">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Depreciation and a</w:t>
            </w:r>
            <w:r w:rsidR="00CD67B3" w:rsidRPr="009F3026">
              <w:rPr>
                <w:rFonts w:ascii="Arial" w:hAnsi="Arial" w:cs="Arial"/>
              </w:rPr>
              <w:t>mortization</w:t>
            </w:r>
            <w:r>
              <w:rPr>
                <w:rFonts w:ascii="Arial" w:hAnsi="Arial" w:cs="Arial"/>
              </w:rPr>
              <w:t xml:space="preserve"> (Notes 7 and 8)</w:t>
            </w:r>
          </w:p>
        </w:tc>
        <w:tc>
          <w:tcPr>
            <w:tcW w:w="1620" w:type="dxa"/>
          </w:tcPr>
          <w:p w14:paraId="7F411D71" w14:textId="77777777" w:rsidR="003131A7" w:rsidRDefault="003131A7" w:rsidP="00CD67B3">
            <w:pPr>
              <w:tabs>
                <w:tab w:val="left" w:pos="7214"/>
                <w:tab w:val="decimal" w:pos="8107"/>
                <w:tab w:val="left" w:pos="8467"/>
                <w:tab w:val="decimal" w:pos="9360"/>
              </w:tabs>
              <w:spacing w:after="0" w:line="240" w:lineRule="auto"/>
              <w:ind w:right="270"/>
              <w:jc w:val="right"/>
              <w:rPr>
                <w:rFonts w:ascii="Arial" w:hAnsi="Arial" w:cs="Arial"/>
              </w:rPr>
            </w:pPr>
          </w:p>
          <w:p w14:paraId="111FBED1" w14:textId="3D72FC2D" w:rsidR="00CD67B3" w:rsidRPr="009F3026" w:rsidRDefault="003F0E70"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247,568</w:t>
            </w:r>
          </w:p>
        </w:tc>
        <w:tc>
          <w:tcPr>
            <w:tcW w:w="1440" w:type="dxa"/>
            <w:vAlign w:val="bottom"/>
          </w:tcPr>
          <w:p w14:paraId="09E81765" w14:textId="54E2DBD0" w:rsidR="00CD67B3" w:rsidRPr="009F3026" w:rsidRDefault="00496385"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243,785</w:t>
            </w:r>
          </w:p>
        </w:tc>
        <w:tc>
          <w:tcPr>
            <w:tcW w:w="1560" w:type="dxa"/>
            <w:gridSpan w:val="2"/>
          </w:tcPr>
          <w:p w14:paraId="02C02C68" w14:textId="77777777" w:rsidR="003131A7" w:rsidRDefault="003131A7" w:rsidP="00CD67B3">
            <w:pPr>
              <w:tabs>
                <w:tab w:val="left" w:pos="7214"/>
                <w:tab w:val="decimal" w:pos="8107"/>
                <w:tab w:val="left" w:pos="8467"/>
                <w:tab w:val="decimal" w:pos="9360"/>
              </w:tabs>
              <w:spacing w:after="0" w:line="240" w:lineRule="auto"/>
              <w:ind w:right="114"/>
              <w:jc w:val="right"/>
              <w:rPr>
                <w:rFonts w:ascii="Arial" w:hAnsi="Arial" w:cs="Arial"/>
              </w:rPr>
            </w:pPr>
          </w:p>
          <w:p w14:paraId="27D62B66" w14:textId="001362C1" w:rsidR="00CD67B3" w:rsidRPr="009F3026" w:rsidRDefault="003F0E70"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736,951</w:t>
            </w:r>
          </w:p>
        </w:tc>
        <w:tc>
          <w:tcPr>
            <w:tcW w:w="1560" w:type="dxa"/>
            <w:gridSpan w:val="2"/>
          </w:tcPr>
          <w:p w14:paraId="03868056" w14:textId="77777777" w:rsidR="003131A7" w:rsidRDefault="003131A7" w:rsidP="00CD67B3">
            <w:pPr>
              <w:tabs>
                <w:tab w:val="left" w:pos="7214"/>
                <w:tab w:val="decimal" w:pos="8107"/>
                <w:tab w:val="left" w:pos="8467"/>
                <w:tab w:val="decimal" w:pos="9360"/>
              </w:tabs>
              <w:spacing w:after="0" w:line="240" w:lineRule="auto"/>
              <w:ind w:right="114"/>
              <w:jc w:val="right"/>
              <w:rPr>
                <w:rFonts w:ascii="Arial" w:hAnsi="Arial" w:cs="Arial"/>
              </w:rPr>
            </w:pPr>
          </w:p>
          <w:p w14:paraId="5E4BBA40" w14:textId="21743E4B" w:rsidR="00CD67B3" w:rsidRPr="009F3026" w:rsidRDefault="00A96E0A"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652,707</w:t>
            </w:r>
          </w:p>
        </w:tc>
      </w:tr>
      <w:tr w:rsidR="000621E8" w:rsidRPr="009F3026" w14:paraId="477BAA96" w14:textId="77777777" w:rsidTr="008568A1">
        <w:tc>
          <w:tcPr>
            <w:tcW w:w="3772" w:type="dxa"/>
            <w:vAlign w:val="bottom"/>
          </w:tcPr>
          <w:p w14:paraId="0042A9D5" w14:textId="77777777" w:rsidR="000621E8" w:rsidRPr="009F3026" w:rsidRDefault="000621E8" w:rsidP="00CD67B3">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Due diligence costs</w:t>
            </w:r>
          </w:p>
        </w:tc>
        <w:tc>
          <w:tcPr>
            <w:tcW w:w="1620" w:type="dxa"/>
          </w:tcPr>
          <w:p w14:paraId="1879F865" w14:textId="6985670E" w:rsidR="000621E8"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sidRPr="009F3026">
              <w:rPr>
                <w:rFonts w:ascii="Arial" w:hAnsi="Arial" w:cs="Arial"/>
              </w:rPr>
              <w:t>–</w:t>
            </w:r>
          </w:p>
        </w:tc>
        <w:tc>
          <w:tcPr>
            <w:tcW w:w="1440" w:type="dxa"/>
            <w:vAlign w:val="bottom"/>
          </w:tcPr>
          <w:p w14:paraId="1A3AEE05" w14:textId="23BA40CF" w:rsidR="000621E8" w:rsidRPr="009F3026" w:rsidRDefault="00496385"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68,100</w:t>
            </w:r>
          </w:p>
        </w:tc>
        <w:tc>
          <w:tcPr>
            <w:tcW w:w="1560" w:type="dxa"/>
            <w:gridSpan w:val="2"/>
          </w:tcPr>
          <w:p w14:paraId="61CA07EB" w14:textId="0452FEE7" w:rsidR="000621E8" w:rsidRDefault="00602051" w:rsidP="00CD67B3">
            <w:pPr>
              <w:tabs>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c>
          <w:tcPr>
            <w:tcW w:w="1560" w:type="dxa"/>
            <w:gridSpan w:val="2"/>
          </w:tcPr>
          <w:p w14:paraId="1E9EA70F" w14:textId="6A40645E" w:rsidR="000621E8" w:rsidRPr="009F3026" w:rsidRDefault="00A96E0A"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234,362</w:t>
            </w:r>
          </w:p>
        </w:tc>
      </w:tr>
      <w:tr w:rsidR="0070656C" w:rsidRPr="009F3026" w14:paraId="1C5D0F7E" w14:textId="77777777" w:rsidTr="008568A1">
        <w:tc>
          <w:tcPr>
            <w:tcW w:w="3772" w:type="dxa"/>
            <w:vAlign w:val="bottom"/>
          </w:tcPr>
          <w:p w14:paraId="099AD383" w14:textId="516C5E6D" w:rsidR="0070656C" w:rsidRDefault="0070656C" w:rsidP="00CD67B3">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Finders fee expense</w:t>
            </w:r>
          </w:p>
        </w:tc>
        <w:tc>
          <w:tcPr>
            <w:tcW w:w="1620" w:type="dxa"/>
          </w:tcPr>
          <w:p w14:paraId="13B0F0AE" w14:textId="7ED2A13F" w:rsidR="0070656C" w:rsidRPr="009F3026" w:rsidRDefault="003F0E70" w:rsidP="00CD67B3">
            <w:pPr>
              <w:tabs>
                <w:tab w:val="left" w:pos="7214"/>
                <w:tab w:val="decimal" w:pos="8107"/>
                <w:tab w:val="left" w:pos="8467"/>
                <w:tab w:val="decimal" w:pos="9360"/>
              </w:tabs>
              <w:spacing w:after="0" w:line="240" w:lineRule="auto"/>
              <w:ind w:right="270"/>
              <w:jc w:val="right"/>
              <w:rPr>
                <w:rFonts w:ascii="Arial" w:hAnsi="Arial" w:cs="Arial"/>
              </w:rPr>
            </w:pPr>
            <w:r w:rsidRPr="009F3026">
              <w:rPr>
                <w:rFonts w:ascii="Arial" w:hAnsi="Arial" w:cs="Arial"/>
              </w:rPr>
              <w:t>–</w:t>
            </w:r>
          </w:p>
        </w:tc>
        <w:tc>
          <w:tcPr>
            <w:tcW w:w="1440" w:type="dxa"/>
            <w:vAlign w:val="bottom"/>
          </w:tcPr>
          <w:p w14:paraId="060DFD82" w14:textId="4543B0D4" w:rsidR="0070656C" w:rsidRPr="009F3026" w:rsidRDefault="00E34E8E"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sidRPr="009F3026">
              <w:rPr>
                <w:rFonts w:ascii="Arial" w:hAnsi="Arial" w:cs="Arial"/>
              </w:rPr>
              <w:t>–</w:t>
            </w:r>
          </w:p>
        </w:tc>
        <w:tc>
          <w:tcPr>
            <w:tcW w:w="1560" w:type="dxa"/>
            <w:gridSpan w:val="2"/>
          </w:tcPr>
          <w:p w14:paraId="61C323D7" w14:textId="7F098CFA" w:rsidR="0070656C" w:rsidRDefault="00602051"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100,000</w:t>
            </w:r>
          </w:p>
        </w:tc>
        <w:tc>
          <w:tcPr>
            <w:tcW w:w="1560" w:type="dxa"/>
            <w:gridSpan w:val="2"/>
          </w:tcPr>
          <w:p w14:paraId="1642D11D" w14:textId="3050DDEB" w:rsidR="0070656C" w:rsidRPr="009F3026" w:rsidRDefault="00E34E8E" w:rsidP="00CD67B3">
            <w:pPr>
              <w:tabs>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r>
      <w:tr w:rsidR="00CD67B3" w:rsidRPr="009F3026" w14:paraId="34E8E8CA" w14:textId="77777777" w:rsidTr="008568A1">
        <w:tc>
          <w:tcPr>
            <w:tcW w:w="3772" w:type="dxa"/>
            <w:vAlign w:val="bottom"/>
          </w:tcPr>
          <w:p w14:paraId="6E4C28E9" w14:textId="0EDC74C8" w:rsidR="00CD67B3" w:rsidRPr="009F3026" w:rsidRDefault="00CD67B3" w:rsidP="00CD67B3">
            <w:pPr>
              <w:tabs>
                <w:tab w:val="left" w:pos="7214"/>
                <w:tab w:val="decimal" w:pos="8107"/>
                <w:tab w:val="left" w:pos="8467"/>
                <w:tab w:val="decimal" w:pos="9360"/>
              </w:tabs>
              <w:spacing w:after="0" w:line="240" w:lineRule="auto"/>
              <w:ind w:left="144"/>
              <w:rPr>
                <w:rFonts w:ascii="Arial" w:hAnsi="Arial" w:cs="Arial"/>
              </w:rPr>
            </w:pPr>
            <w:r w:rsidRPr="009F3026">
              <w:rPr>
                <w:rFonts w:ascii="Arial" w:hAnsi="Arial" w:cs="Arial"/>
              </w:rPr>
              <w:t>Foreign exchange</w:t>
            </w:r>
            <w:r>
              <w:rPr>
                <w:rFonts w:ascii="Arial" w:hAnsi="Arial" w:cs="Arial"/>
              </w:rPr>
              <w:t xml:space="preserve"> loss</w:t>
            </w:r>
          </w:p>
        </w:tc>
        <w:tc>
          <w:tcPr>
            <w:tcW w:w="1620" w:type="dxa"/>
          </w:tcPr>
          <w:p w14:paraId="7ACA6C7A" w14:textId="6617C0D6" w:rsidR="00CD67B3" w:rsidRPr="009F3026" w:rsidRDefault="003F0E70"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7,833</w:t>
            </w:r>
          </w:p>
        </w:tc>
        <w:tc>
          <w:tcPr>
            <w:tcW w:w="1440" w:type="dxa"/>
            <w:vAlign w:val="bottom"/>
          </w:tcPr>
          <w:p w14:paraId="42B06BA6" w14:textId="74226716" w:rsidR="00CD67B3" w:rsidRPr="009F3026" w:rsidRDefault="00496385"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39,881</w:t>
            </w:r>
          </w:p>
        </w:tc>
        <w:tc>
          <w:tcPr>
            <w:tcW w:w="1560" w:type="dxa"/>
            <w:gridSpan w:val="2"/>
          </w:tcPr>
          <w:p w14:paraId="051E855E" w14:textId="1E096BE4" w:rsidR="00CD67B3" w:rsidRPr="009F3026" w:rsidRDefault="003F0E70" w:rsidP="004B6CC5">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49,930</w:t>
            </w:r>
          </w:p>
        </w:tc>
        <w:tc>
          <w:tcPr>
            <w:tcW w:w="1560" w:type="dxa"/>
            <w:gridSpan w:val="2"/>
          </w:tcPr>
          <w:p w14:paraId="7EEF1440" w14:textId="43CD6287" w:rsidR="00CD67B3" w:rsidRPr="009F3026" w:rsidRDefault="00A96E0A" w:rsidP="00516896">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83,848</w:t>
            </w:r>
          </w:p>
        </w:tc>
      </w:tr>
      <w:tr w:rsidR="00CD67B3" w:rsidRPr="009F3026" w14:paraId="473CFEDD" w14:textId="77777777" w:rsidTr="008568A1">
        <w:tc>
          <w:tcPr>
            <w:tcW w:w="3772" w:type="dxa"/>
            <w:vAlign w:val="bottom"/>
          </w:tcPr>
          <w:p w14:paraId="66376BDE" w14:textId="77777777" w:rsidR="00CD67B3" w:rsidRPr="009F3026" w:rsidRDefault="00CD67B3" w:rsidP="00CD67B3">
            <w:pPr>
              <w:tabs>
                <w:tab w:val="left" w:pos="7214"/>
                <w:tab w:val="decimal" w:pos="8107"/>
                <w:tab w:val="left" w:pos="8467"/>
                <w:tab w:val="decimal" w:pos="9360"/>
              </w:tabs>
              <w:spacing w:after="0" w:line="240" w:lineRule="auto"/>
              <w:ind w:left="144"/>
              <w:rPr>
                <w:rFonts w:ascii="Arial" w:hAnsi="Arial" w:cs="Arial"/>
              </w:rPr>
            </w:pPr>
            <w:r w:rsidRPr="009F3026">
              <w:rPr>
                <w:rFonts w:ascii="Arial" w:hAnsi="Arial" w:cs="Arial"/>
              </w:rPr>
              <w:t>General and administrative</w:t>
            </w:r>
          </w:p>
        </w:tc>
        <w:tc>
          <w:tcPr>
            <w:tcW w:w="1620" w:type="dxa"/>
          </w:tcPr>
          <w:p w14:paraId="7731FF5C" w14:textId="498E3C9A" w:rsidR="00CD67B3" w:rsidRPr="009F3026" w:rsidRDefault="007751E2"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722,258</w:t>
            </w:r>
          </w:p>
        </w:tc>
        <w:tc>
          <w:tcPr>
            <w:tcW w:w="1440" w:type="dxa"/>
            <w:vAlign w:val="bottom"/>
          </w:tcPr>
          <w:p w14:paraId="541E52D9" w14:textId="71393FDE" w:rsidR="00CD67B3" w:rsidRPr="009F3026" w:rsidRDefault="00496385" w:rsidP="00D3123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554,923</w:t>
            </w:r>
          </w:p>
        </w:tc>
        <w:tc>
          <w:tcPr>
            <w:tcW w:w="1560" w:type="dxa"/>
            <w:gridSpan w:val="2"/>
          </w:tcPr>
          <w:p w14:paraId="2A5D345D" w14:textId="5D59AD72" w:rsidR="00CD67B3" w:rsidRPr="009F3026" w:rsidRDefault="003F0E70" w:rsidP="00714A27">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w:t>
            </w:r>
            <w:r w:rsidR="00254400">
              <w:rPr>
                <w:rFonts w:ascii="Arial" w:hAnsi="Arial" w:cs="Arial"/>
              </w:rPr>
              <w:t>934,838</w:t>
            </w:r>
          </w:p>
        </w:tc>
        <w:tc>
          <w:tcPr>
            <w:tcW w:w="1560" w:type="dxa"/>
            <w:gridSpan w:val="2"/>
          </w:tcPr>
          <w:p w14:paraId="54AE8BFB" w14:textId="72413AAF" w:rsidR="00CD67B3" w:rsidRPr="009F3026" w:rsidRDefault="00A96E0A" w:rsidP="00D3123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2,073,262</w:t>
            </w:r>
          </w:p>
        </w:tc>
      </w:tr>
      <w:tr w:rsidR="00864115" w:rsidRPr="009F3026" w14:paraId="715E93D1" w14:textId="77777777" w:rsidTr="00677109">
        <w:tc>
          <w:tcPr>
            <w:tcW w:w="3772" w:type="dxa"/>
            <w:vAlign w:val="bottom"/>
          </w:tcPr>
          <w:p w14:paraId="6C27026E" w14:textId="503E33CD" w:rsidR="00864115" w:rsidRPr="009F3026" w:rsidRDefault="00864115" w:rsidP="00864115">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 xml:space="preserve">Lease expense (Note </w:t>
            </w:r>
            <w:r w:rsidR="003131A7">
              <w:rPr>
                <w:rFonts w:ascii="Arial" w:hAnsi="Arial" w:cs="Arial"/>
              </w:rPr>
              <w:t>9</w:t>
            </w:r>
            <w:r>
              <w:rPr>
                <w:rFonts w:ascii="Arial" w:hAnsi="Arial" w:cs="Arial"/>
              </w:rPr>
              <w:t>)</w:t>
            </w:r>
          </w:p>
        </w:tc>
        <w:tc>
          <w:tcPr>
            <w:tcW w:w="1620" w:type="dxa"/>
          </w:tcPr>
          <w:p w14:paraId="2F952814" w14:textId="0BD730A7" w:rsidR="00864115" w:rsidRDefault="003F0E70" w:rsidP="00864115">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104,541</w:t>
            </w:r>
          </w:p>
        </w:tc>
        <w:tc>
          <w:tcPr>
            <w:tcW w:w="1440" w:type="dxa"/>
            <w:vAlign w:val="bottom"/>
          </w:tcPr>
          <w:p w14:paraId="082F5352" w14:textId="650EFDD6" w:rsidR="00864115" w:rsidRDefault="00496385" w:rsidP="00AA0C36">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103,533</w:t>
            </w:r>
          </w:p>
        </w:tc>
        <w:tc>
          <w:tcPr>
            <w:tcW w:w="1560" w:type="dxa"/>
            <w:gridSpan w:val="2"/>
          </w:tcPr>
          <w:p w14:paraId="1A9C3247" w14:textId="2830E8DD" w:rsidR="00864115" w:rsidRPr="009F3026" w:rsidRDefault="003F0E70" w:rsidP="00864115">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314,098</w:t>
            </w:r>
          </w:p>
        </w:tc>
        <w:tc>
          <w:tcPr>
            <w:tcW w:w="1560" w:type="dxa"/>
            <w:gridSpan w:val="2"/>
            <w:vAlign w:val="bottom"/>
          </w:tcPr>
          <w:p w14:paraId="75419E30" w14:textId="1A198DF3" w:rsidR="00864115" w:rsidRDefault="00A96E0A" w:rsidP="00864115">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137,974</w:t>
            </w:r>
          </w:p>
        </w:tc>
      </w:tr>
      <w:tr w:rsidR="00864115" w:rsidRPr="009F3026" w14:paraId="1278D7A9" w14:textId="77777777" w:rsidTr="00677109">
        <w:tc>
          <w:tcPr>
            <w:tcW w:w="3772" w:type="dxa"/>
            <w:vAlign w:val="bottom"/>
          </w:tcPr>
          <w:p w14:paraId="510DAB98" w14:textId="6BCDDB75" w:rsidR="00864115" w:rsidRPr="009F3026" w:rsidRDefault="00864115" w:rsidP="00864115">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 xml:space="preserve">Lease liability expense (Note </w:t>
            </w:r>
            <w:r w:rsidR="003131A7">
              <w:rPr>
                <w:rFonts w:ascii="Arial" w:hAnsi="Arial" w:cs="Arial"/>
              </w:rPr>
              <w:t>9</w:t>
            </w:r>
            <w:r>
              <w:rPr>
                <w:rFonts w:ascii="Arial" w:hAnsi="Arial" w:cs="Arial"/>
              </w:rPr>
              <w:t>)</w:t>
            </w:r>
          </w:p>
        </w:tc>
        <w:tc>
          <w:tcPr>
            <w:tcW w:w="1620" w:type="dxa"/>
          </w:tcPr>
          <w:p w14:paraId="147CD1AB" w14:textId="077DD958" w:rsidR="00864115" w:rsidRDefault="003F0E70" w:rsidP="00864115">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42,115</w:t>
            </w:r>
          </w:p>
        </w:tc>
        <w:tc>
          <w:tcPr>
            <w:tcW w:w="1440" w:type="dxa"/>
            <w:vAlign w:val="bottom"/>
          </w:tcPr>
          <w:p w14:paraId="138452BC" w14:textId="32F9FD21" w:rsidR="00864115" w:rsidRDefault="00496385" w:rsidP="00864115">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53,291</w:t>
            </w:r>
          </w:p>
        </w:tc>
        <w:tc>
          <w:tcPr>
            <w:tcW w:w="1560" w:type="dxa"/>
            <w:gridSpan w:val="2"/>
          </w:tcPr>
          <w:p w14:paraId="56669FF5" w14:textId="4FA80288" w:rsidR="00864115" w:rsidRPr="009F3026" w:rsidRDefault="003F0E70" w:rsidP="00864115">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135,209</w:t>
            </w:r>
          </w:p>
        </w:tc>
        <w:tc>
          <w:tcPr>
            <w:tcW w:w="1560" w:type="dxa"/>
            <w:gridSpan w:val="2"/>
            <w:vAlign w:val="bottom"/>
          </w:tcPr>
          <w:p w14:paraId="3A13538B" w14:textId="6C22D23E" w:rsidR="00864115" w:rsidRDefault="00A96E0A" w:rsidP="00864115">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71,916</w:t>
            </w:r>
          </w:p>
        </w:tc>
      </w:tr>
      <w:tr w:rsidR="0070656C" w:rsidRPr="009F3026" w14:paraId="3C86CEDD" w14:textId="77777777" w:rsidTr="008568A1">
        <w:tc>
          <w:tcPr>
            <w:tcW w:w="3772" w:type="dxa"/>
            <w:vAlign w:val="bottom"/>
          </w:tcPr>
          <w:p w14:paraId="69518E78" w14:textId="1ABABF5E" w:rsidR="0070656C" w:rsidRPr="009F3026" w:rsidRDefault="0070656C" w:rsidP="00CD67B3">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Licensing fees</w:t>
            </w:r>
          </w:p>
        </w:tc>
        <w:tc>
          <w:tcPr>
            <w:tcW w:w="1620" w:type="dxa"/>
          </w:tcPr>
          <w:p w14:paraId="78D37C5D" w14:textId="47A40CE4" w:rsidR="0070656C" w:rsidRPr="009F3026" w:rsidRDefault="003F0E70"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(39,837)</w:t>
            </w:r>
          </w:p>
        </w:tc>
        <w:tc>
          <w:tcPr>
            <w:tcW w:w="1440" w:type="dxa"/>
            <w:vAlign w:val="bottom"/>
          </w:tcPr>
          <w:p w14:paraId="6456F5C4" w14:textId="2EA026E9" w:rsidR="0070656C" w:rsidRPr="009F3026" w:rsidRDefault="00496385"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30,000</w:t>
            </w:r>
          </w:p>
        </w:tc>
        <w:tc>
          <w:tcPr>
            <w:tcW w:w="1560" w:type="dxa"/>
            <w:gridSpan w:val="2"/>
          </w:tcPr>
          <w:p w14:paraId="771F5550" w14:textId="2F73F865" w:rsidR="0070656C" w:rsidRDefault="003F0E70"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40,029</w:t>
            </w:r>
          </w:p>
        </w:tc>
        <w:tc>
          <w:tcPr>
            <w:tcW w:w="1560" w:type="dxa"/>
            <w:gridSpan w:val="2"/>
          </w:tcPr>
          <w:p w14:paraId="0818DA99" w14:textId="6B103237" w:rsidR="0070656C" w:rsidRDefault="00A96E0A"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30,000</w:t>
            </w:r>
          </w:p>
        </w:tc>
      </w:tr>
      <w:tr w:rsidR="00CD67B3" w:rsidRPr="009F3026" w14:paraId="11DED38E" w14:textId="77777777" w:rsidTr="008568A1">
        <w:tc>
          <w:tcPr>
            <w:tcW w:w="3772" w:type="dxa"/>
            <w:vAlign w:val="bottom"/>
          </w:tcPr>
          <w:p w14:paraId="025C54B8" w14:textId="77777777" w:rsidR="00CD67B3" w:rsidRPr="009F3026" w:rsidRDefault="00CD67B3" w:rsidP="00CD67B3">
            <w:pPr>
              <w:tabs>
                <w:tab w:val="left" w:pos="7214"/>
                <w:tab w:val="decimal" w:pos="8107"/>
                <w:tab w:val="left" w:pos="8467"/>
                <w:tab w:val="decimal" w:pos="9360"/>
              </w:tabs>
              <w:spacing w:after="0" w:line="240" w:lineRule="auto"/>
              <w:ind w:left="144"/>
              <w:rPr>
                <w:rFonts w:ascii="Arial" w:hAnsi="Arial" w:cs="Arial"/>
              </w:rPr>
            </w:pPr>
            <w:r w:rsidRPr="009F3026">
              <w:rPr>
                <w:rFonts w:ascii="Arial" w:hAnsi="Arial" w:cs="Arial"/>
              </w:rPr>
              <w:t>Professional fees</w:t>
            </w:r>
          </w:p>
        </w:tc>
        <w:tc>
          <w:tcPr>
            <w:tcW w:w="1620" w:type="dxa"/>
          </w:tcPr>
          <w:p w14:paraId="2B2ACA9F" w14:textId="3BF603E9" w:rsidR="00CD67B3" w:rsidRPr="009F3026" w:rsidRDefault="003F0E70"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390,221</w:t>
            </w:r>
          </w:p>
        </w:tc>
        <w:tc>
          <w:tcPr>
            <w:tcW w:w="1440" w:type="dxa"/>
            <w:vAlign w:val="bottom"/>
          </w:tcPr>
          <w:p w14:paraId="23ABFCF3" w14:textId="5468DBA6" w:rsidR="00CD67B3" w:rsidRPr="009F3026" w:rsidRDefault="00240976"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278,634</w:t>
            </w:r>
          </w:p>
        </w:tc>
        <w:tc>
          <w:tcPr>
            <w:tcW w:w="1560" w:type="dxa"/>
            <w:gridSpan w:val="2"/>
          </w:tcPr>
          <w:p w14:paraId="1813AFD3" w14:textId="0F18ABE1" w:rsidR="00CD67B3" w:rsidRPr="009F3026" w:rsidRDefault="003F0E70"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821,658</w:t>
            </w:r>
          </w:p>
        </w:tc>
        <w:tc>
          <w:tcPr>
            <w:tcW w:w="1560" w:type="dxa"/>
            <w:gridSpan w:val="2"/>
          </w:tcPr>
          <w:p w14:paraId="464CF84F" w14:textId="1763F4E1" w:rsidR="00CD67B3" w:rsidRPr="009F3026" w:rsidRDefault="00A96E0A"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605,731</w:t>
            </w:r>
          </w:p>
        </w:tc>
      </w:tr>
      <w:tr w:rsidR="0070656C" w:rsidRPr="009F3026" w14:paraId="321299E8" w14:textId="77777777" w:rsidTr="008568A1">
        <w:tc>
          <w:tcPr>
            <w:tcW w:w="3772" w:type="dxa"/>
            <w:vAlign w:val="bottom"/>
          </w:tcPr>
          <w:p w14:paraId="2E6C5142" w14:textId="443AA44E" w:rsidR="0070656C" w:rsidRPr="009F3026" w:rsidRDefault="0070656C" w:rsidP="0070656C">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Research and development</w:t>
            </w:r>
          </w:p>
        </w:tc>
        <w:tc>
          <w:tcPr>
            <w:tcW w:w="1620" w:type="dxa"/>
          </w:tcPr>
          <w:p w14:paraId="0C760F52" w14:textId="2CB74969" w:rsidR="0070656C"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sidRPr="009F3026">
              <w:rPr>
                <w:rFonts w:ascii="Arial" w:hAnsi="Arial" w:cs="Arial"/>
              </w:rPr>
              <w:t>–</w:t>
            </w:r>
          </w:p>
        </w:tc>
        <w:tc>
          <w:tcPr>
            <w:tcW w:w="1440" w:type="dxa"/>
            <w:vAlign w:val="bottom"/>
          </w:tcPr>
          <w:p w14:paraId="28367510" w14:textId="1350DCF0" w:rsidR="0070656C" w:rsidRPr="009F3026" w:rsidRDefault="00240976"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84,905</w:t>
            </w:r>
          </w:p>
        </w:tc>
        <w:tc>
          <w:tcPr>
            <w:tcW w:w="1560" w:type="dxa"/>
            <w:gridSpan w:val="2"/>
          </w:tcPr>
          <w:p w14:paraId="4C35AA19" w14:textId="51137649" w:rsidR="0070656C" w:rsidRDefault="003F0E70"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59,487</w:t>
            </w:r>
          </w:p>
        </w:tc>
        <w:tc>
          <w:tcPr>
            <w:tcW w:w="1560" w:type="dxa"/>
            <w:gridSpan w:val="2"/>
          </w:tcPr>
          <w:p w14:paraId="41CB5F44" w14:textId="74581B05" w:rsidR="0070656C" w:rsidRDefault="00A96E0A"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306,851</w:t>
            </w:r>
          </w:p>
        </w:tc>
      </w:tr>
      <w:tr w:rsidR="0070656C" w:rsidRPr="009F3026" w14:paraId="27A3F2AF" w14:textId="77777777" w:rsidTr="008568A1">
        <w:tc>
          <w:tcPr>
            <w:tcW w:w="3772" w:type="dxa"/>
            <w:vAlign w:val="bottom"/>
          </w:tcPr>
          <w:p w14:paraId="00DDD7AF" w14:textId="758E3C49" w:rsidR="0070656C" w:rsidRPr="009F3026" w:rsidRDefault="0070656C" w:rsidP="00CD67B3">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Sales and marketing</w:t>
            </w:r>
          </w:p>
        </w:tc>
        <w:tc>
          <w:tcPr>
            <w:tcW w:w="1620" w:type="dxa"/>
          </w:tcPr>
          <w:p w14:paraId="59A7F28B" w14:textId="0E88178A" w:rsidR="0070656C"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sidRPr="009F3026">
              <w:rPr>
                <w:rFonts w:ascii="Arial" w:hAnsi="Arial" w:cs="Arial"/>
              </w:rPr>
              <w:t>–</w:t>
            </w:r>
          </w:p>
        </w:tc>
        <w:tc>
          <w:tcPr>
            <w:tcW w:w="1440" w:type="dxa"/>
            <w:vAlign w:val="bottom"/>
          </w:tcPr>
          <w:p w14:paraId="1B10B184" w14:textId="20D6D94F" w:rsidR="0070656C" w:rsidRPr="009F3026" w:rsidRDefault="00240976"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431</w:t>
            </w:r>
          </w:p>
        </w:tc>
        <w:tc>
          <w:tcPr>
            <w:tcW w:w="1560" w:type="dxa"/>
            <w:gridSpan w:val="2"/>
          </w:tcPr>
          <w:p w14:paraId="6A76CCEC" w14:textId="326BC953" w:rsidR="0070656C" w:rsidRDefault="00602051" w:rsidP="00CD67B3">
            <w:pPr>
              <w:tabs>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c>
          <w:tcPr>
            <w:tcW w:w="1560" w:type="dxa"/>
            <w:gridSpan w:val="2"/>
          </w:tcPr>
          <w:p w14:paraId="6AA06DDF" w14:textId="7065F24F" w:rsidR="0070656C" w:rsidRDefault="00A96E0A"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9,459</w:t>
            </w:r>
          </w:p>
        </w:tc>
      </w:tr>
      <w:tr w:rsidR="00D04F76" w:rsidRPr="009F3026" w14:paraId="30677E78" w14:textId="77777777" w:rsidTr="008568A1">
        <w:tc>
          <w:tcPr>
            <w:tcW w:w="3772" w:type="dxa"/>
            <w:vAlign w:val="bottom"/>
          </w:tcPr>
          <w:p w14:paraId="2C66B4CC" w14:textId="705F56B7" w:rsidR="00D04F76" w:rsidRPr="009F3026" w:rsidRDefault="0070656C" w:rsidP="00CD67B3">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Wages and salaries</w:t>
            </w:r>
          </w:p>
        </w:tc>
        <w:tc>
          <w:tcPr>
            <w:tcW w:w="1620" w:type="dxa"/>
          </w:tcPr>
          <w:p w14:paraId="7B32B126" w14:textId="1078C2C2" w:rsidR="00D04F76" w:rsidRPr="009F3026" w:rsidRDefault="007751E2"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834,</w:t>
            </w:r>
            <w:r w:rsidR="00BC2D49">
              <w:rPr>
                <w:rFonts w:ascii="Arial" w:hAnsi="Arial" w:cs="Arial"/>
              </w:rPr>
              <w:t>9</w:t>
            </w:r>
            <w:r>
              <w:rPr>
                <w:rFonts w:ascii="Arial" w:hAnsi="Arial" w:cs="Arial"/>
              </w:rPr>
              <w:t>45</w:t>
            </w:r>
          </w:p>
        </w:tc>
        <w:tc>
          <w:tcPr>
            <w:tcW w:w="1440" w:type="dxa"/>
            <w:vAlign w:val="bottom"/>
          </w:tcPr>
          <w:p w14:paraId="62C3041A" w14:textId="2998963A" w:rsidR="00D04F76" w:rsidRPr="009F3026" w:rsidRDefault="00240976"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407,859</w:t>
            </w:r>
          </w:p>
        </w:tc>
        <w:tc>
          <w:tcPr>
            <w:tcW w:w="1560" w:type="dxa"/>
            <w:gridSpan w:val="2"/>
          </w:tcPr>
          <w:p w14:paraId="6E8138AD" w14:textId="3DF42432" w:rsidR="00D04F76" w:rsidRDefault="00254400" w:rsidP="00714A27">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2,037,202</w:t>
            </w:r>
          </w:p>
        </w:tc>
        <w:tc>
          <w:tcPr>
            <w:tcW w:w="1560" w:type="dxa"/>
            <w:gridSpan w:val="2"/>
          </w:tcPr>
          <w:p w14:paraId="6E683FE1" w14:textId="2DBA8A27" w:rsidR="00D04F76" w:rsidRDefault="00A96E0A"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1,057,970</w:t>
            </w:r>
          </w:p>
        </w:tc>
      </w:tr>
      <w:tr w:rsidR="00602051" w:rsidRPr="009F3026" w14:paraId="0A422105" w14:textId="77777777" w:rsidTr="008568A1">
        <w:tc>
          <w:tcPr>
            <w:tcW w:w="3772" w:type="dxa"/>
            <w:vAlign w:val="bottom"/>
          </w:tcPr>
          <w:p w14:paraId="47AA855B" w14:textId="2843F67C" w:rsidR="00602051" w:rsidRDefault="00602051" w:rsidP="00E050EF">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Write-off (Note</w:t>
            </w:r>
            <w:r w:rsidR="003F0E70">
              <w:rPr>
                <w:rFonts w:ascii="Arial" w:hAnsi="Arial" w:cs="Arial"/>
              </w:rPr>
              <w:t>s</w:t>
            </w:r>
            <w:r>
              <w:rPr>
                <w:rFonts w:ascii="Arial" w:hAnsi="Arial" w:cs="Arial"/>
              </w:rPr>
              <w:t xml:space="preserve"> </w:t>
            </w:r>
            <w:r w:rsidR="00B256C2">
              <w:rPr>
                <w:rFonts w:ascii="Arial" w:hAnsi="Arial" w:cs="Arial"/>
              </w:rPr>
              <w:t>7</w:t>
            </w:r>
            <w:r w:rsidR="003F0E70">
              <w:rPr>
                <w:rFonts w:ascii="Arial" w:hAnsi="Arial" w:cs="Arial"/>
              </w:rPr>
              <w:t xml:space="preserve"> and </w:t>
            </w:r>
            <w:r w:rsidR="00B256C2">
              <w:rPr>
                <w:rFonts w:ascii="Arial" w:hAnsi="Arial" w:cs="Arial"/>
              </w:rPr>
              <w:t>9</w:t>
            </w:r>
            <w:r>
              <w:rPr>
                <w:rFonts w:ascii="Arial" w:hAnsi="Arial" w:cs="Arial"/>
              </w:rPr>
              <w:t>)</w:t>
            </w:r>
          </w:p>
        </w:tc>
        <w:tc>
          <w:tcPr>
            <w:tcW w:w="1620" w:type="dxa"/>
          </w:tcPr>
          <w:p w14:paraId="73CABFCF" w14:textId="631A3D10" w:rsidR="00602051" w:rsidRDefault="003F0E70"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24,454</w:t>
            </w:r>
          </w:p>
        </w:tc>
        <w:tc>
          <w:tcPr>
            <w:tcW w:w="1440" w:type="dxa"/>
            <w:vAlign w:val="bottom"/>
          </w:tcPr>
          <w:p w14:paraId="442D6601" w14:textId="321FD578" w:rsidR="00602051" w:rsidRDefault="00602051"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sidRPr="009F3026">
              <w:rPr>
                <w:rFonts w:ascii="Arial" w:hAnsi="Arial" w:cs="Arial"/>
              </w:rPr>
              <w:t>–</w:t>
            </w:r>
          </w:p>
        </w:tc>
        <w:tc>
          <w:tcPr>
            <w:tcW w:w="1560" w:type="dxa"/>
            <w:gridSpan w:val="2"/>
          </w:tcPr>
          <w:p w14:paraId="1CAF0D4E" w14:textId="023D5D48" w:rsidR="00602051" w:rsidRDefault="003F0E70" w:rsidP="00714A27">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28,355</w:t>
            </w:r>
          </w:p>
        </w:tc>
        <w:tc>
          <w:tcPr>
            <w:tcW w:w="1560" w:type="dxa"/>
            <w:gridSpan w:val="2"/>
          </w:tcPr>
          <w:p w14:paraId="029E341E" w14:textId="6852CC10" w:rsidR="00602051" w:rsidRDefault="00A96E0A" w:rsidP="00CD67B3">
            <w:pPr>
              <w:tabs>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r>
      <w:tr w:rsidR="00CD67B3" w:rsidRPr="009F3026" w14:paraId="22E96BE3" w14:textId="77777777" w:rsidTr="008568A1">
        <w:trPr>
          <w:trHeight w:hRule="exact" w:val="115"/>
        </w:trPr>
        <w:tc>
          <w:tcPr>
            <w:tcW w:w="3772" w:type="dxa"/>
            <w:tcBorders>
              <w:top w:val="single" w:sz="4" w:space="0" w:color="auto"/>
            </w:tcBorders>
            <w:vAlign w:val="bottom"/>
          </w:tcPr>
          <w:p w14:paraId="0D6B9272"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4" w:space="0" w:color="auto"/>
            </w:tcBorders>
          </w:tcPr>
          <w:p w14:paraId="72DDD283"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4" w:space="0" w:color="auto"/>
            </w:tcBorders>
            <w:vAlign w:val="bottom"/>
          </w:tcPr>
          <w:p w14:paraId="42E1E726"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4" w:space="0" w:color="auto"/>
            </w:tcBorders>
          </w:tcPr>
          <w:p w14:paraId="6F6D6482"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52B5C8E9"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021C24AE" w14:textId="77777777" w:rsidTr="008568A1">
        <w:tc>
          <w:tcPr>
            <w:tcW w:w="3772" w:type="dxa"/>
            <w:tcBorders>
              <w:bottom w:val="single" w:sz="4" w:space="0" w:color="auto"/>
            </w:tcBorders>
            <w:vAlign w:val="bottom"/>
          </w:tcPr>
          <w:p w14:paraId="6FDCA3C0"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Total expenses</w:t>
            </w:r>
          </w:p>
        </w:tc>
        <w:tc>
          <w:tcPr>
            <w:tcW w:w="1620" w:type="dxa"/>
            <w:tcBorders>
              <w:bottom w:val="single" w:sz="4" w:space="0" w:color="auto"/>
            </w:tcBorders>
          </w:tcPr>
          <w:p w14:paraId="7E82F71B" w14:textId="358C52A1" w:rsidR="00CD67B3" w:rsidRPr="009F3026" w:rsidRDefault="005E7F51" w:rsidP="00B56FFD">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2,</w:t>
            </w:r>
            <w:r w:rsidR="007751E2">
              <w:rPr>
                <w:rFonts w:ascii="Arial" w:hAnsi="Arial" w:cs="Arial"/>
              </w:rPr>
              <w:t>334,098</w:t>
            </w:r>
          </w:p>
        </w:tc>
        <w:tc>
          <w:tcPr>
            <w:tcW w:w="1440" w:type="dxa"/>
            <w:tcBorders>
              <w:bottom w:val="single" w:sz="4" w:space="0" w:color="auto"/>
            </w:tcBorders>
            <w:vAlign w:val="bottom"/>
          </w:tcPr>
          <w:p w14:paraId="014EB87B" w14:textId="32AD5EC4" w:rsidR="00CD67B3" w:rsidRPr="009F3026" w:rsidRDefault="00240976" w:rsidP="00D3123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1,865,342</w:t>
            </w:r>
          </w:p>
        </w:tc>
        <w:tc>
          <w:tcPr>
            <w:tcW w:w="1560" w:type="dxa"/>
            <w:gridSpan w:val="2"/>
            <w:tcBorders>
              <w:bottom w:val="single" w:sz="4" w:space="0" w:color="auto"/>
            </w:tcBorders>
          </w:tcPr>
          <w:p w14:paraId="4407E8ED" w14:textId="0D7D04CE" w:rsidR="00CD67B3" w:rsidRPr="009F3026" w:rsidRDefault="003F0E70" w:rsidP="00F010A8">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8,</w:t>
            </w:r>
            <w:r w:rsidR="00254400">
              <w:rPr>
                <w:rFonts w:ascii="Arial" w:hAnsi="Arial" w:cs="Arial"/>
              </w:rPr>
              <w:t>257,757</w:t>
            </w:r>
          </w:p>
        </w:tc>
        <w:tc>
          <w:tcPr>
            <w:tcW w:w="1560" w:type="dxa"/>
            <w:gridSpan w:val="2"/>
            <w:tcBorders>
              <w:bottom w:val="single" w:sz="4" w:space="0" w:color="auto"/>
            </w:tcBorders>
          </w:tcPr>
          <w:p w14:paraId="7E7FA64F" w14:textId="07F96E75" w:rsidR="00CD67B3" w:rsidRPr="009F3026" w:rsidRDefault="00B35340" w:rsidP="00D3123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5,264,080</w:t>
            </w:r>
          </w:p>
        </w:tc>
      </w:tr>
      <w:tr w:rsidR="00CD67B3" w:rsidRPr="009F3026" w14:paraId="316E128D" w14:textId="77777777" w:rsidTr="008568A1">
        <w:trPr>
          <w:trHeight w:hRule="exact" w:val="86"/>
        </w:trPr>
        <w:tc>
          <w:tcPr>
            <w:tcW w:w="3772" w:type="dxa"/>
            <w:tcBorders>
              <w:top w:val="single" w:sz="4" w:space="0" w:color="auto"/>
            </w:tcBorders>
            <w:vAlign w:val="bottom"/>
          </w:tcPr>
          <w:p w14:paraId="0CB7E3FB"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4" w:space="0" w:color="auto"/>
            </w:tcBorders>
          </w:tcPr>
          <w:p w14:paraId="05B1D394"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4" w:space="0" w:color="auto"/>
            </w:tcBorders>
            <w:vAlign w:val="bottom"/>
          </w:tcPr>
          <w:p w14:paraId="120E9280"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4" w:space="0" w:color="auto"/>
            </w:tcBorders>
          </w:tcPr>
          <w:p w14:paraId="5416F67E"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0FFB295A"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1B12FE08" w14:textId="77777777" w:rsidTr="008568A1">
        <w:tc>
          <w:tcPr>
            <w:tcW w:w="3772" w:type="dxa"/>
            <w:tcBorders>
              <w:bottom w:val="single" w:sz="4" w:space="0" w:color="auto"/>
            </w:tcBorders>
            <w:vAlign w:val="bottom"/>
          </w:tcPr>
          <w:p w14:paraId="66CA6F2E"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Loss from operations</w:t>
            </w:r>
          </w:p>
        </w:tc>
        <w:tc>
          <w:tcPr>
            <w:tcW w:w="1620" w:type="dxa"/>
            <w:tcBorders>
              <w:bottom w:val="single" w:sz="4" w:space="0" w:color="auto"/>
            </w:tcBorders>
          </w:tcPr>
          <w:p w14:paraId="7F182E3E" w14:textId="6C587FAA" w:rsidR="00CD67B3" w:rsidRPr="009F3026" w:rsidRDefault="005E7F51"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(2,</w:t>
            </w:r>
            <w:r w:rsidR="007751E2">
              <w:rPr>
                <w:rFonts w:ascii="Arial" w:hAnsi="Arial" w:cs="Arial"/>
              </w:rPr>
              <w:t>334,098</w:t>
            </w:r>
            <w:r>
              <w:rPr>
                <w:rFonts w:ascii="Arial" w:hAnsi="Arial" w:cs="Arial"/>
              </w:rPr>
              <w:t>)</w:t>
            </w:r>
          </w:p>
        </w:tc>
        <w:tc>
          <w:tcPr>
            <w:tcW w:w="1440" w:type="dxa"/>
            <w:tcBorders>
              <w:bottom w:val="single" w:sz="4" w:space="0" w:color="auto"/>
            </w:tcBorders>
            <w:vAlign w:val="bottom"/>
          </w:tcPr>
          <w:p w14:paraId="5DB30E5C" w14:textId="5C74E787" w:rsidR="00CD67B3" w:rsidRPr="009F3026" w:rsidRDefault="00602051" w:rsidP="00D3123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w:t>
            </w:r>
            <w:r w:rsidR="00240976">
              <w:rPr>
                <w:rFonts w:ascii="Arial" w:hAnsi="Arial" w:cs="Arial"/>
              </w:rPr>
              <w:t>1,865,342</w:t>
            </w:r>
            <w:r>
              <w:rPr>
                <w:rFonts w:ascii="Arial" w:hAnsi="Arial" w:cs="Arial"/>
              </w:rPr>
              <w:t>)</w:t>
            </w:r>
          </w:p>
        </w:tc>
        <w:tc>
          <w:tcPr>
            <w:tcW w:w="1560" w:type="dxa"/>
            <w:gridSpan w:val="2"/>
            <w:tcBorders>
              <w:bottom w:val="single" w:sz="4" w:space="0" w:color="auto"/>
            </w:tcBorders>
          </w:tcPr>
          <w:p w14:paraId="393AD9C8" w14:textId="72053583" w:rsidR="00CD67B3" w:rsidRPr="009F3026" w:rsidRDefault="003F0E70" w:rsidP="00714A27">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(8,</w:t>
            </w:r>
            <w:r w:rsidR="00254400">
              <w:rPr>
                <w:rFonts w:ascii="Arial" w:hAnsi="Arial" w:cs="Arial"/>
              </w:rPr>
              <w:t>257,757</w:t>
            </w:r>
            <w:r>
              <w:rPr>
                <w:rFonts w:ascii="Arial" w:hAnsi="Arial" w:cs="Arial"/>
              </w:rPr>
              <w:t>)</w:t>
            </w:r>
          </w:p>
        </w:tc>
        <w:tc>
          <w:tcPr>
            <w:tcW w:w="1560" w:type="dxa"/>
            <w:gridSpan w:val="2"/>
            <w:tcBorders>
              <w:bottom w:val="single" w:sz="4" w:space="0" w:color="auto"/>
            </w:tcBorders>
          </w:tcPr>
          <w:p w14:paraId="21C198E3" w14:textId="3A866EDE" w:rsidR="00CD67B3" w:rsidRPr="009F3026" w:rsidRDefault="00602051" w:rsidP="00D3123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B35340">
              <w:rPr>
                <w:rFonts w:ascii="Arial" w:hAnsi="Arial" w:cs="Arial"/>
              </w:rPr>
              <w:t>5,264,080</w:t>
            </w:r>
            <w:r>
              <w:rPr>
                <w:rFonts w:ascii="Arial" w:hAnsi="Arial" w:cs="Arial"/>
              </w:rPr>
              <w:t>)</w:t>
            </w:r>
          </w:p>
        </w:tc>
      </w:tr>
      <w:tr w:rsidR="00CD67B3" w:rsidRPr="009F3026" w14:paraId="4B1263D1" w14:textId="77777777" w:rsidTr="008568A1">
        <w:trPr>
          <w:trHeight w:hRule="exact" w:val="86"/>
        </w:trPr>
        <w:tc>
          <w:tcPr>
            <w:tcW w:w="3772" w:type="dxa"/>
            <w:vAlign w:val="bottom"/>
          </w:tcPr>
          <w:p w14:paraId="42A829E9"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Pr>
          <w:p w14:paraId="485CA18A"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vAlign w:val="bottom"/>
          </w:tcPr>
          <w:p w14:paraId="24AE196E"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461252D3"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48003587"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666F7BF9" w14:textId="77777777" w:rsidTr="008568A1">
        <w:tc>
          <w:tcPr>
            <w:tcW w:w="3772" w:type="dxa"/>
            <w:vAlign w:val="bottom"/>
          </w:tcPr>
          <w:p w14:paraId="1B8C38B9"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 xml:space="preserve">Other (expenses) income </w:t>
            </w:r>
          </w:p>
        </w:tc>
        <w:tc>
          <w:tcPr>
            <w:tcW w:w="1620" w:type="dxa"/>
          </w:tcPr>
          <w:p w14:paraId="6D68C4FB"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vAlign w:val="bottom"/>
          </w:tcPr>
          <w:p w14:paraId="6759BEBA"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78F6D4FC"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3055CB92"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53E6C38B" w14:textId="77777777" w:rsidTr="008568A1">
        <w:trPr>
          <w:trHeight w:hRule="exact" w:val="86"/>
        </w:trPr>
        <w:tc>
          <w:tcPr>
            <w:tcW w:w="3772" w:type="dxa"/>
            <w:vAlign w:val="bottom"/>
          </w:tcPr>
          <w:p w14:paraId="5DF3FACA"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Pr>
          <w:p w14:paraId="73E8F078"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vAlign w:val="bottom"/>
          </w:tcPr>
          <w:p w14:paraId="4A5E2AAC"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1997E4B9"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732E57AF"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864115" w:rsidRPr="009F3026" w14:paraId="4470583D" w14:textId="77777777" w:rsidTr="00677109">
        <w:tc>
          <w:tcPr>
            <w:tcW w:w="3772" w:type="dxa"/>
            <w:vAlign w:val="bottom"/>
          </w:tcPr>
          <w:p w14:paraId="431AB3BF" w14:textId="03FDBB81" w:rsidR="00864115" w:rsidRDefault="00864115" w:rsidP="00677109">
            <w:pPr>
              <w:tabs>
                <w:tab w:val="left" w:pos="7214"/>
                <w:tab w:val="decimal" w:pos="8107"/>
                <w:tab w:val="left" w:pos="8467"/>
                <w:tab w:val="decimal" w:pos="9360"/>
              </w:tabs>
              <w:spacing w:after="0" w:line="240" w:lineRule="auto"/>
              <w:ind w:left="276" w:hanging="142"/>
              <w:rPr>
                <w:rFonts w:ascii="Arial" w:hAnsi="Arial" w:cs="Arial"/>
              </w:rPr>
            </w:pPr>
            <w:r>
              <w:rPr>
                <w:rFonts w:ascii="Arial" w:hAnsi="Arial" w:cs="Arial"/>
              </w:rPr>
              <w:t>Amortization of discount on convertible debentures</w:t>
            </w:r>
          </w:p>
        </w:tc>
        <w:tc>
          <w:tcPr>
            <w:tcW w:w="1620" w:type="dxa"/>
          </w:tcPr>
          <w:p w14:paraId="380F043A" w14:textId="77777777" w:rsidR="00864115" w:rsidRDefault="00864115" w:rsidP="00677109">
            <w:pPr>
              <w:tabs>
                <w:tab w:val="left" w:pos="7214"/>
                <w:tab w:val="decimal" w:pos="8107"/>
                <w:tab w:val="left" w:pos="8467"/>
                <w:tab w:val="decimal" w:pos="9360"/>
              </w:tabs>
              <w:spacing w:after="0" w:line="240" w:lineRule="auto"/>
              <w:ind w:right="270"/>
              <w:jc w:val="right"/>
              <w:rPr>
                <w:rFonts w:ascii="Arial" w:hAnsi="Arial" w:cs="Arial"/>
              </w:rPr>
            </w:pPr>
          </w:p>
          <w:p w14:paraId="726E7E0D" w14:textId="40929B75" w:rsidR="00864115" w:rsidRPr="009F3026" w:rsidRDefault="005E7F51" w:rsidP="00677109">
            <w:pPr>
              <w:tabs>
                <w:tab w:val="left" w:pos="7214"/>
                <w:tab w:val="decimal" w:pos="8107"/>
                <w:tab w:val="left" w:pos="8467"/>
                <w:tab w:val="decimal" w:pos="9360"/>
              </w:tabs>
              <w:spacing w:after="0" w:line="240" w:lineRule="auto"/>
              <w:ind w:right="270"/>
              <w:jc w:val="right"/>
              <w:rPr>
                <w:rFonts w:ascii="Arial" w:hAnsi="Arial" w:cs="Arial"/>
              </w:rPr>
            </w:pPr>
            <w:r w:rsidRPr="009F3026">
              <w:rPr>
                <w:rFonts w:ascii="Arial" w:hAnsi="Arial" w:cs="Arial"/>
              </w:rPr>
              <w:t>–</w:t>
            </w:r>
          </w:p>
        </w:tc>
        <w:tc>
          <w:tcPr>
            <w:tcW w:w="1440" w:type="dxa"/>
            <w:vAlign w:val="bottom"/>
          </w:tcPr>
          <w:p w14:paraId="13E6A67F" w14:textId="321A9A1C" w:rsidR="00864115" w:rsidRPr="009F3026" w:rsidRDefault="00864115" w:rsidP="00AA0C36">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w:t>
            </w:r>
            <w:r w:rsidR="00496385">
              <w:rPr>
                <w:rFonts w:ascii="Arial" w:hAnsi="Arial" w:cs="Arial"/>
              </w:rPr>
              <w:t>321,479</w:t>
            </w:r>
            <w:r>
              <w:rPr>
                <w:rFonts w:ascii="Arial" w:hAnsi="Arial" w:cs="Arial"/>
              </w:rPr>
              <w:t>)</w:t>
            </w:r>
          </w:p>
        </w:tc>
        <w:tc>
          <w:tcPr>
            <w:tcW w:w="1560" w:type="dxa"/>
            <w:gridSpan w:val="2"/>
          </w:tcPr>
          <w:p w14:paraId="380F42A7" w14:textId="77777777" w:rsidR="00864115" w:rsidRDefault="00864115" w:rsidP="00677109">
            <w:pPr>
              <w:tabs>
                <w:tab w:val="left" w:pos="1260"/>
                <w:tab w:val="left" w:pos="7214"/>
                <w:tab w:val="decimal" w:pos="8107"/>
                <w:tab w:val="left" w:pos="8467"/>
                <w:tab w:val="decimal" w:pos="9360"/>
              </w:tabs>
              <w:spacing w:after="0" w:line="240" w:lineRule="auto"/>
              <w:ind w:right="114"/>
              <w:jc w:val="right"/>
              <w:rPr>
                <w:rFonts w:ascii="Arial" w:hAnsi="Arial" w:cs="Arial"/>
              </w:rPr>
            </w:pPr>
          </w:p>
          <w:p w14:paraId="128E0DA9" w14:textId="3E64B8F9" w:rsidR="00864115" w:rsidRDefault="003F0E70" w:rsidP="00677109">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9123B0">
              <w:rPr>
                <w:rFonts w:ascii="Arial" w:hAnsi="Arial" w:cs="Arial"/>
              </w:rPr>
              <w:t>294,000</w:t>
            </w:r>
            <w:r>
              <w:rPr>
                <w:rFonts w:ascii="Arial" w:hAnsi="Arial" w:cs="Arial"/>
              </w:rPr>
              <w:t>)</w:t>
            </w:r>
          </w:p>
        </w:tc>
        <w:tc>
          <w:tcPr>
            <w:tcW w:w="1560" w:type="dxa"/>
            <w:gridSpan w:val="2"/>
          </w:tcPr>
          <w:p w14:paraId="380BCEF4" w14:textId="77777777" w:rsidR="00864115" w:rsidRDefault="00864115" w:rsidP="00677109">
            <w:pPr>
              <w:tabs>
                <w:tab w:val="left" w:pos="1260"/>
                <w:tab w:val="left" w:pos="7214"/>
                <w:tab w:val="decimal" w:pos="8107"/>
                <w:tab w:val="left" w:pos="8467"/>
                <w:tab w:val="decimal" w:pos="9360"/>
              </w:tabs>
              <w:spacing w:after="0" w:line="240" w:lineRule="auto"/>
              <w:ind w:right="114"/>
              <w:jc w:val="right"/>
              <w:rPr>
                <w:rFonts w:ascii="Arial" w:hAnsi="Arial" w:cs="Arial"/>
              </w:rPr>
            </w:pPr>
          </w:p>
          <w:p w14:paraId="6EAED6B9" w14:textId="2AB079C8" w:rsidR="00864115" w:rsidRPr="009F3026" w:rsidRDefault="00864115" w:rsidP="00677109">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B35340">
              <w:rPr>
                <w:rFonts w:ascii="Arial" w:hAnsi="Arial" w:cs="Arial"/>
              </w:rPr>
              <w:t>827,728</w:t>
            </w:r>
            <w:r>
              <w:rPr>
                <w:rFonts w:ascii="Arial" w:hAnsi="Arial" w:cs="Arial"/>
              </w:rPr>
              <w:t>)</w:t>
            </w:r>
          </w:p>
        </w:tc>
      </w:tr>
      <w:tr w:rsidR="005F6D78" w:rsidRPr="009F3026" w14:paraId="56F16CAC" w14:textId="77777777" w:rsidTr="008568A1">
        <w:tc>
          <w:tcPr>
            <w:tcW w:w="3772" w:type="dxa"/>
            <w:vAlign w:val="bottom"/>
          </w:tcPr>
          <w:p w14:paraId="1D6E9266" w14:textId="48C946B6" w:rsidR="005F6D78" w:rsidRDefault="005F6D78" w:rsidP="00CD67B3">
            <w:pPr>
              <w:tabs>
                <w:tab w:val="left" w:pos="7214"/>
                <w:tab w:val="decimal" w:pos="8107"/>
                <w:tab w:val="left" w:pos="8467"/>
                <w:tab w:val="decimal" w:pos="9360"/>
              </w:tabs>
              <w:spacing w:after="0" w:line="240" w:lineRule="auto"/>
              <w:ind w:left="276" w:hanging="142"/>
              <w:rPr>
                <w:rFonts w:ascii="Arial" w:hAnsi="Arial" w:cs="Arial"/>
              </w:rPr>
            </w:pPr>
            <w:r>
              <w:rPr>
                <w:rFonts w:ascii="Arial" w:hAnsi="Arial" w:cs="Arial"/>
              </w:rPr>
              <w:t>Gain on repayment of promissory note</w:t>
            </w:r>
          </w:p>
        </w:tc>
        <w:tc>
          <w:tcPr>
            <w:tcW w:w="1620" w:type="dxa"/>
          </w:tcPr>
          <w:p w14:paraId="35F313B8" w14:textId="27E2DBB7" w:rsidR="005F6D78"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sidRPr="009F3026">
              <w:rPr>
                <w:rFonts w:ascii="Arial" w:hAnsi="Arial" w:cs="Arial"/>
              </w:rPr>
              <w:t>–</w:t>
            </w:r>
          </w:p>
        </w:tc>
        <w:tc>
          <w:tcPr>
            <w:tcW w:w="1440" w:type="dxa"/>
            <w:vAlign w:val="bottom"/>
          </w:tcPr>
          <w:p w14:paraId="49484A51" w14:textId="09F2E22B" w:rsidR="005F6D78" w:rsidRPr="009F3026" w:rsidRDefault="00E34E8E"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sidRPr="009F3026">
              <w:rPr>
                <w:rFonts w:ascii="Arial" w:hAnsi="Arial" w:cs="Arial"/>
              </w:rPr>
              <w:t>–</w:t>
            </w:r>
          </w:p>
        </w:tc>
        <w:tc>
          <w:tcPr>
            <w:tcW w:w="1560" w:type="dxa"/>
            <w:gridSpan w:val="2"/>
          </w:tcPr>
          <w:p w14:paraId="7557E269" w14:textId="04000690" w:rsidR="005F6D78" w:rsidRDefault="00E34E8E" w:rsidP="000F4278">
            <w:pPr>
              <w:tabs>
                <w:tab w:val="left" w:pos="1260"/>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c>
          <w:tcPr>
            <w:tcW w:w="1560" w:type="dxa"/>
            <w:gridSpan w:val="2"/>
          </w:tcPr>
          <w:p w14:paraId="4795BFF1" w14:textId="59DEC1FA" w:rsidR="005F6D78" w:rsidRPr="009F3026" w:rsidRDefault="00E34E8E" w:rsidP="00CD67B3">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8,890</w:t>
            </w:r>
          </w:p>
        </w:tc>
      </w:tr>
      <w:tr w:rsidR="00CD67B3" w:rsidRPr="009F3026" w14:paraId="04A508AF" w14:textId="77777777" w:rsidTr="008568A1">
        <w:tc>
          <w:tcPr>
            <w:tcW w:w="3772" w:type="dxa"/>
            <w:vAlign w:val="bottom"/>
          </w:tcPr>
          <w:p w14:paraId="76D5BA51" w14:textId="77777777" w:rsidR="00CD67B3" w:rsidRPr="009F3026" w:rsidRDefault="00CD67B3" w:rsidP="00CD67B3">
            <w:pPr>
              <w:tabs>
                <w:tab w:val="left" w:pos="7214"/>
                <w:tab w:val="decimal" w:pos="8107"/>
                <w:tab w:val="left" w:pos="8467"/>
                <w:tab w:val="decimal" w:pos="9360"/>
              </w:tabs>
              <w:spacing w:after="0" w:line="240" w:lineRule="auto"/>
              <w:ind w:left="276" w:hanging="142"/>
              <w:rPr>
                <w:rFonts w:ascii="Arial" w:hAnsi="Arial" w:cs="Arial"/>
              </w:rPr>
            </w:pPr>
            <w:r w:rsidRPr="009F3026">
              <w:rPr>
                <w:rFonts w:ascii="Arial" w:hAnsi="Arial" w:cs="Arial"/>
              </w:rPr>
              <w:t>Interest expense</w:t>
            </w:r>
          </w:p>
        </w:tc>
        <w:tc>
          <w:tcPr>
            <w:tcW w:w="1620" w:type="dxa"/>
          </w:tcPr>
          <w:p w14:paraId="0059B3D6" w14:textId="11565FE1" w:rsidR="00CD67B3" w:rsidRPr="009F3026" w:rsidRDefault="005E7F51" w:rsidP="00B56FFD">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(480)</w:t>
            </w:r>
          </w:p>
        </w:tc>
        <w:tc>
          <w:tcPr>
            <w:tcW w:w="1440" w:type="dxa"/>
            <w:vAlign w:val="bottom"/>
          </w:tcPr>
          <w:p w14:paraId="0C54B658" w14:textId="5A52C315" w:rsidR="00CD67B3" w:rsidRPr="009F3026" w:rsidRDefault="00496385" w:rsidP="00864115">
            <w:pPr>
              <w:tabs>
                <w:tab w:val="left" w:pos="1260"/>
                <w:tab w:val="left" w:pos="7214"/>
                <w:tab w:val="decimal" w:pos="8107"/>
                <w:tab w:val="left" w:pos="8467"/>
                <w:tab w:val="decimal" w:pos="9360"/>
              </w:tabs>
              <w:spacing w:after="0" w:line="240" w:lineRule="auto"/>
              <w:ind w:right="90"/>
              <w:jc w:val="right"/>
              <w:rPr>
                <w:rFonts w:ascii="Arial" w:hAnsi="Arial" w:cs="Arial"/>
              </w:rPr>
            </w:pPr>
            <w:r w:rsidRPr="009F3026">
              <w:rPr>
                <w:rFonts w:ascii="Arial" w:hAnsi="Arial" w:cs="Arial"/>
              </w:rPr>
              <w:t>–</w:t>
            </w:r>
          </w:p>
        </w:tc>
        <w:tc>
          <w:tcPr>
            <w:tcW w:w="1560" w:type="dxa"/>
            <w:gridSpan w:val="2"/>
          </w:tcPr>
          <w:p w14:paraId="28E3F7C8" w14:textId="1EA7F106" w:rsidR="00CD67B3" w:rsidRPr="009F3026" w:rsidRDefault="003F0E70" w:rsidP="00302F03">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9123B0">
              <w:rPr>
                <w:rFonts w:ascii="Arial" w:hAnsi="Arial" w:cs="Arial"/>
              </w:rPr>
              <w:t>134,778</w:t>
            </w:r>
            <w:r>
              <w:rPr>
                <w:rFonts w:ascii="Arial" w:hAnsi="Arial" w:cs="Arial"/>
              </w:rPr>
              <w:t>)</w:t>
            </w:r>
          </w:p>
        </w:tc>
        <w:tc>
          <w:tcPr>
            <w:tcW w:w="1560" w:type="dxa"/>
            <w:gridSpan w:val="2"/>
          </w:tcPr>
          <w:p w14:paraId="4CA58325" w14:textId="21DFABE3" w:rsidR="00CD67B3" w:rsidRPr="009F3026" w:rsidRDefault="00E34E8E" w:rsidP="00864115">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864115">
              <w:rPr>
                <w:rFonts w:ascii="Arial" w:hAnsi="Arial" w:cs="Arial"/>
              </w:rPr>
              <w:t>4,126</w:t>
            </w:r>
            <w:r>
              <w:rPr>
                <w:rFonts w:ascii="Arial" w:hAnsi="Arial" w:cs="Arial"/>
              </w:rPr>
              <w:t>)</w:t>
            </w:r>
          </w:p>
        </w:tc>
      </w:tr>
      <w:tr w:rsidR="00496385" w:rsidRPr="009F3026" w14:paraId="5475A97B" w14:textId="77777777" w:rsidTr="008568A1">
        <w:tc>
          <w:tcPr>
            <w:tcW w:w="3772" w:type="dxa"/>
            <w:vAlign w:val="bottom"/>
          </w:tcPr>
          <w:p w14:paraId="5FD04C38" w14:textId="6477E030" w:rsidR="00496385" w:rsidRPr="009F3026" w:rsidRDefault="00496385" w:rsidP="00CD67B3">
            <w:pPr>
              <w:tabs>
                <w:tab w:val="left" w:pos="7214"/>
                <w:tab w:val="decimal" w:pos="8107"/>
                <w:tab w:val="left" w:pos="8467"/>
                <w:tab w:val="decimal" w:pos="9360"/>
              </w:tabs>
              <w:spacing w:after="0" w:line="240" w:lineRule="auto"/>
              <w:ind w:left="276" w:hanging="142"/>
              <w:rPr>
                <w:rFonts w:ascii="Arial" w:hAnsi="Arial" w:cs="Arial"/>
              </w:rPr>
            </w:pPr>
            <w:r>
              <w:rPr>
                <w:rFonts w:ascii="Arial" w:hAnsi="Arial" w:cs="Arial"/>
              </w:rPr>
              <w:t>Interest income</w:t>
            </w:r>
          </w:p>
        </w:tc>
        <w:tc>
          <w:tcPr>
            <w:tcW w:w="1620" w:type="dxa"/>
          </w:tcPr>
          <w:p w14:paraId="5508DA08" w14:textId="54FBE702" w:rsidR="00496385" w:rsidRDefault="005E7F51" w:rsidP="00B56FFD">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4,591</w:t>
            </w:r>
          </w:p>
        </w:tc>
        <w:tc>
          <w:tcPr>
            <w:tcW w:w="1440" w:type="dxa"/>
            <w:vAlign w:val="bottom"/>
          </w:tcPr>
          <w:p w14:paraId="4FA14F01" w14:textId="0898BD41" w:rsidR="00496385" w:rsidRDefault="00496385" w:rsidP="00864115">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3,783</w:t>
            </w:r>
          </w:p>
        </w:tc>
        <w:tc>
          <w:tcPr>
            <w:tcW w:w="1560" w:type="dxa"/>
            <w:gridSpan w:val="2"/>
          </w:tcPr>
          <w:p w14:paraId="7A60BAFE" w14:textId="1271CBA4" w:rsidR="00496385" w:rsidRDefault="003F0E70" w:rsidP="00302F03">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4,591</w:t>
            </w:r>
          </w:p>
        </w:tc>
        <w:tc>
          <w:tcPr>
            <w:tcW w:w="1560" w:type="dxa"/>
            <w:gridSpan w:val="2"/>
          </w:tcPr>
          <w:p w14:paraId="6BF2961C" w14:textId="4BF33173" w:rsidR="00496385" w:rsidRDefault="00B35340" w:rsidP="00864115">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3,783</w:t>
            </w:r>
          </w:p>
        </w:tc>
      </w:tr>
      <w:tr w:rsidR="00496385" w:rsidRPr="009F3026" w14:paraId="4DD8D875" w14:textId="77777777" w:rsidTr="008568A1">
        <w:tc>
          <w:tcPr>
            <w:tcW w:w="3772" w:type="dxa"/>
            <w:vAlign w:val="bottom"/>
          </w:tcPr>
          <w:p w14:paraId="6E5322F9" w14:textId="673A754E" w:rsidR="00496385" w:rsidRDefault="00496385" w:rsidP="00CD67B3">
            <w:pPr>
              <w:tabs>
                <w:tab w:val="left" w:pos="7214"/>
                <w:tab w:val="decimal" w:pos="8107"/>
                <w:tab w:val="left" w:pos="8467"/>
                <w:tab w:val="decimal" w:pos="9360"/>
              </w:tabs>
              <w:spacing w:after="0" w:line="240" w:lineRule="auto"/>
              <w:ind w:left="276" w:hanging="142"/>
              <w:rPr>
                <w:rFonts w:ascii="Arial" w:hAnsi="Arial" w:cs="Arial"/>
              </w:rPr>
            </w:pPr>
            <w:r>
              <w:rPr>
                <w:rFonts w:ascii="Arial" w:hAnsi="Arial" w:cs="Arial"/>
              </w:rPr>
              <w:t>Loss on extinguishment of convertible debentures</w:t>
            </w:r>
            <w:r w:rsidR="00F53473">
              <w:rPr>
                <w:rFonts w:ascii="Arial" w:hAnsi="Arial" w:cs="Arial"/>
              </w:rPr>
              <w:t xml:space="preserve"> (Note </w:t>
            </w:r>
            <w:r w:rsidR="00B256C2">
              <w:rPr>
                <w:rFonts w:ascii="Arial" w:hAnsi="Arial" w:cs="Arial"/>
              </w:rPr>
              <w:t>10</w:t>
            </w:r>
            <w:r w:rsidR="00F53473">
              <w:rPr>
                <w:rFonts w:ascii="Arial" w:hAnsi="Arial" w:cs="Arial"/>
              </w:rPr>
              <w:t>)</w:t>
            </w:r>
          </w:p>
        </w:tc>
        <w:tc>
          <w:tcPr>
            <w:tcW w:w="1620" w:type="dxa"/>
          </w:tcPr>
          <w:p w14:paraId="6EA45C10" w14:textId="77777777" w:rsidR="00496385" w:rsidRDefault="00496385" w:rsidP="00B56FFD">
            <w:pPr>
              <w:tabs>
                <w:tab w:val="left" w:pos="7214"/>
                <w:tab w:val="decimal" w:pos="8107"/>
                <w:tab w:val="left" w:pos="8467"/>
                <w:tab w:val="decimal" w:pos="9360"/>
              </w:tabs>
              <w:spacing w:after="0" w:line="240" w:lineRule="auto"/>
              <w:ind w:right="270"/>
              <w:jc w:val="right"/>
              <w:rPr>
                <w:rFonts w:ascii="Arial" w:hAnsi="Arial" w:cs="Arial"/>
              </w:rPr>
            </w:pPr>
          </w:p>
          <w:p w14:paraId="067196E2" w14:textId="326CB505" w:rsidR="005E7F51" w:rsidRDefault="005E7F51" w:rsidP="00B56FFD">
            <w:pPr>
              <w:tabs>
                <w:tab w:val="left" w:pos="7214"/>
                <w:tab w:val="decimal" w:pos="8107"/>
                <w:tab w:val="left" w:pos="8467"/>
                <w:tab w:val="decimal" w:pos="9360"/>
              </w:tabs>
              <w:spacing w:after="0" w:line="240" w:lineRule="auto"/>
              <w:ind w:right="270"/>
              <w:jc w:val="right"/>
              <w:rPr>
                <w:rFonts w:ascii="Arial" w:hAnsi="Arial" w:cs="Arial"/>
              </w:rPr>
            </w:pPr>
            <w:r w:rsidRPr="009F3026">
              <w:rPr>
                <w:rFonts w:ascii="Arial" w:hAnsi="Arial" w:cs="Arial"/>
              </w:rPr>
              <w:t>–</w:t>
            </w:r>
          </w:p>
        </w:tc>
        <w:tc>
          <w:tcPr>
            <w:tcW w:w="1440" w:type="dxa"/>
            <w:vAlign w:val="bottom"/>
          </w:tcPr>
          <w:p w14:paraId="4EB60948" w14:textId="7A13A5D1" w:rsidR="00496385" w:rsidRDefault="00496385" w:rsidP="00864115">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w:t>
            </w:r>
            <w:bookmarkStart w:id="0" w:name="_Hlk25940180"/>
            <w:r>
              <w:rPr>
                <w:rFonts w:ascii="Arial" w:hAnsi="Arial" w:cs="Arial"/>
              </w:rPr>
              <w:t>1,240,773</w:t>
            </w:r>
            <w:bookmarkEnd w:id="0"/>
            <w:r>
              <w:rPr>
                <w:rFonts w:ascii="Arial" w:hAnsi="Arial" w:cs="Arial"/>
              </w:rPr>
              <w:t>)</w:t>
            </w:r>
          </w:p>
        </w:tc>
        <w:tc>
          <w:tcPr>
            <w:tcW w:w="1560" w:type="dxa"/>
            <w:gridSpan w:val="2"/>
          </w:tcPr>
          <w:p w14:paraId="77372ADC" w14:textId="77777777" w:rsidR="00496385" w:rsidRDefault="00496385" w:rsidP="00302F03">
            <w:pPr>
              <w:tabs>
                <w:tab w:val="left" w:pos="1260"/>
                <w:tab w:val="left" w:pos="7214"/>
                <w:tab w:val="decimal" w:pos="8107"/>
                <w:tab w:val="left" w:pos="8467"/>
                <w:tab w:val="decimal" w:pos="9360"/>
              </w:tabs>
              <w:spacing w:after="0" w:line="240" w:lineRule="auto"/>
              <w:ind w:right="114"/>
              <w:jc w:val="right"/>
              <w:rPr>
                <w:rFonts w:ascii="Arial" w:hAnsi="Arial" w:cs="Arial"/>
              </w:rPr>
            </w:pPr>
          </w:p>
          <w:p w14:paraId="388EFD4D" w14:textId="1A743CF9" w:rsidR="003F0E70" w:rsidRDefault="003F0E70" w:rsidP="00302F03">
            <w:pPr>
              <w:tabs>
                <w:tab w:val="left" w:pos="1260"/>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c>
          <w:tcPr>
            <w:tcW w:w="1560" w:type="dxa"/>
            <w:gridSpan w:val="2"/>
          </w:tcPr>
          <w:p w14:paraId="281ADB66" w14:textId="77777777" w:rsidR="00496385" w:rsidRDefault="00496385" w:rsidP="00864115">
            <w:pPr>
              <w:tabs>
                <w:tab w:val="left" w:pos="1260"/>
                <w:tab w:val="left" w:pos="7214"/>
                <w:tab w:val="decimal" w:pos="8107"/>
                <w:tab w:val="left" w:pos="8467"/>
                <w:tab w:val="decimal" w:pos="9360"/>
              </w:tabs>
              <w:spacing w:after="0" w:line="240" w:lineRule="auto"/>
              <w:ind w:right="114"/>
              <w:jc w:val="right"/>
              <w:rPr>
                <w:rFonts w:ascii="Arial" w:hAnsi="Arial" w:cs="Arial"/>
              </w:rPr>
            </w:pPr>
          </w:p>
          <w:p w14:paraId="60984D42" w14:textId="37666018" w:rsidR="00B35340" w:rsidRDefault="00B21C1E" w:rsidP="00864115">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B35340">
              <w:rPr>
                <w:rFonts w:ascii="Arial" w:hAnsi="Arial" w:cs="Arial"/>
              </w:rPr>
              <w:t>1,240,773)</w:t>
            </w:r>
          </w:p>
        </w:tc>
      </w:tr>
      <w:tr w:rsidR="00496385" w:rsidRPr="009F3026" w14:paraId="48E022CC" w14:textId="77777777" w:rsidTr="00B35340">
        <w:tc>
          <w:tcPr>
            <w:tcW w:w="3772" w:type="dxa"/>
            <w:vAlign w:val="bottom"/>
          </w:tcPr>
          <w:p w14:paraId="562E2117" w14:textId="5547E91C" w:rsidR="00496385" w:rsidRPr="009F3026" w:rsidRDefault="00496385" w:rsidP="00B35340">
            <w:pPr>
              <w:tabs>
                <w:tab w:val="left" w:pos="7214"/>
                <w:tab w:val="decimal" w:pos="8107"/>
                <w:tab w:val="left" w:pos="8467"/>
                <w:tab w:val="decimal" w:pos="9360"/>
              </w:tabs>
              <w:spacing w:after="0" w:line="240" w:lineRule="auto"/>
              <w:ind w:left="276" w:hanging="142"/>
              <w:rPr>
                <w:rFonts w:ascii="Arial" w:hAnsi="Arial" w:cs="Arial"/>
              </w:rPr>
            </w:pPr>
            <w:r>
              <w:rPr>
                <w:rFonts w:ascii="Arial" w:hAnsi="Arial" w:cs="Arial"/>
              </w:rPr>
              <w:t>Other</w:t>
            </w:r>
            <w:r w:rsidR="00897369">
              <w:rPr>
                <w:rFonts w:ascii="Arial" w:hAnsi="Arial" w:cs="Arial"/>
              </w:rPr>
              <w:t xml:space="preserve"> (Note 19)</w:t>
            </w:r>
          </w:p>
        </w:tc>
        <w:tc>
          <w:tcPr>
            <w:tcW w:w="1620" w:type="dxa"/>
          </w:tcPr>
          <w:p w14:paraId="42B85230" w14:textId="0EC88E16" w:rsidR="00496385" w:rsidRPr="009F3026" w:rsidRDefault="00897369" w:rsidP="00B35340">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(263,200)</w:t>
            </w:r>
          </w:p>
        </w:tc>
        <w:tc>
          <w:tcPr>
            <w:tcW w:w="1440" w:type="dxa"/>
            <w:vAlign w:val="bottom"/>
          </w:tcPr>
          <w:p w14:paraId="3435C551" w14:textId="7829570D" w:rsidR="00496385" w:rsidRPr="009F3026" w:rsidRDefault="00496385" w:rsidP="00B35340">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(117)</w:t>
            </w:r>
          </w:p>
        </w:tc>
        <w:tc>
          <w:tcPr>
            <w:tcW w:w="1560" w:type="dxa"/>
            <w:gridSpan w:val="2"/>
          </w:tcPr>
          <w:p w14:paraId="0DDF9204" w14:textId="12838424" w:rsidR="00496385" w:rsidRDefault="00897369" w:rsidP="00B35340">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(236,558)</w:t>
            </w:r>
          </w:p>
        </w:tc>
        <w:tc>
          <w:tcPr>
            <w:tcW w:w="1560" w:type="dxa"/>
            <w:gridSpan w:val="2"/>
          </w:tcPr>
          <w:p w14:paraId="54F151E8" w14:textId="0CC1B021" w:rsidR="00496385" w:rsidRDefault="00496385" w:rsidP="00B35340">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(34,</w:t>
            </w:r>
            <w:r w:rsidR="00B35340">
              <w:rPr>
                <w:rFonts w:ascii="Arial" w:hAnsi="Arial" w:cs="Arial"/>
              </w:rPr>
              <w:t>899</w:t>
            </w:r>
            <w:r>
              <w:rPr>
                <w:rFonts w:ascii="Arial" w:hAnsi="Arial" w:cs="Arial"/>
              </w:rPr>
              <w:t>)</w:t>
            </w:r>
          </w:p>
        </w:tc>
      </w:tr>
      <w:tr w:rsidR="005F6D78" w:rsidRPr="009F3026" w14:paraId="6FF9FE1D" w14:textId="77777777" w:rsidTr="008568A1">
        <w:tc>
          <w:tcPr>
            <w:tcW w:w="3772" w:type="dxa"/>
            <w:vAlign w:val="bottom"/>
          </w:tcPr>
          <w:p w14:paraId="2FBDF660" w14:textId="1B2A67B5" w:rsidR="005F6D78" w:rsidRPr="009F3026" w:rsidRDefault="00496385" w:rsidP="00CD67B3">
            <w:pPr>
              <w:tabs>
                <w:tab w:val="left" w:pos="7214"/>
                <w:tab w:val="decimal" w:pos="8107"/>
                <w:tab w:val="left" w:pos="8467"/>
                <w:tab w:val="decimal" w:pos="9360"/>
              </w:tabs>
              <w:spacing w:after="0" w:line="240" w:lineRule="auto"/>
              <w:ind w:left="276" w:hanging="142"/>
              <w:rPr>
                <w:rFonts w:ascii="Arial" w:hAnsi="Arial" w:cs="Arial"/>
              </w:rPr>
            </w:pPr>
            <w:r>
              <w:rPr>
                <w:rFonts w:ascii="Arial" w:hAnsi="Arial" w:cs="Arial"/>
              </w:rPr>
              <w:t>Write-off of deposit</w:t>
            </w:r>
            <w:r w:rsidR="004E594E">
              <w:rPr>
                <w:rFonts w:ascii="Arial" w:hAnsi="Arial" w:cs="Arial"/>
              </w:rPr>
              <w:t xml:space="preserve"> (Note 1</w:t>
            </w:r>
            <w:r w:rsidR="00B256C2">
              <w:rPr>
                <w:rFonts w:ascii="Arial" w:hAnsi="Arial" w:cs="Arial"/>
              </w:rPr>
              <w:t>5</w:t>
            </w:r>
            <w:r w:rsidR="004E594E">
              <w:rPr>
                <w:rFonts w:ascii="Arial" w:hAnsi="Arial" w:cs="Arial"/>
              </w:rPr>
              <w:t>)</w:t>
            </w:r>
          </w:p>
        </w:tc>
        <w:tc>
          <w:tcPr>
            <w:tcW w:w="1620" w:type="dxa"/>
          </w:tcPr>
          <w:p w14:paraId="25A199E4" w14:textId="5E51DF74" w:rsidR="005F6D78"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sidRPr="009F3026">
              <w:rPr>
                <w:rFonts w:ascii="Arial" w:hAnsi="Arial" w:cs="Arial"/>
              </w:rPr>
              <w:t>–</w:t>
            </w:r>
          </w:p>
        </w:tc>
        <w:tc>
          <w:tcPr>
            <w:tcW w:w="1440" w:type="dxa"/>
            <w:vAlign w:val="bottom"/>
          </w:tcPr>
          <w:p w14:paraId="43999193" w14:textId="5187B9F7" w:rsidR="005F6D78" w:rsidRPr="009F3026" w:rsidRDefault="00496385"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(250,000)</w:t>
            </w:r>
          </w:p>
        </w:tc>
        <w:tc>
          <w:tcPr>
            <w:tcW w:w="1560" w:type="dxa"/>
            <w:gridSpan w:val="2"/>
          </w:tcPr>
          <w:p w14:paraId="757294C2" w14:textId="465667B7" w:rsidR="005F6D78" w:rsidRDefault="003F0E70" w:rsidP="00BA285C">
            <w:pPr>
              <w:tabs>
                <w:tab w:val="left" w:pos="1260"/>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c>
          <w:tcPr>
            <w:tcW w:w="1560" w:type="dxa"/>
            <w:gridSpan w:val="2"/>
          </w:tcPr>
          <w:p w14:paraId="47C1C6F2" w14:textId="5AAA1BD3" w:rsidR="005F6D78" w:rsidRDefault="00E34E8E" w:rsidP="00CD67B3">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B35340">
              <w:rPr>
                <w:rFonts w:ascii="Arial" w:hAnsi="Arial" w:cs="Arial"/>
              </w:rPr>
              <w:t>250,000</w:t>
            </w:r>
            <w:r>
              <w:rPr>
                <w:rFonts w:ascii="Arial" w:hAnsi="Arial" w:cs="Arial"/>
              </w:rPr>
              <w:t>)</w:t>
            </w:r>
          </w:p>
        </w:tc>
      </w:tr>
      <w:tr w:rsidR="00CD67B3" w:rsidRPr="009F3026" w14:paraId="546F864B" w14:textId="77777777" w:rsidTr="008568A1">
        <w:trPr>
          <w:trHeight w:hRule="exact" w:val="86"/>
        </w:trPr>
        <w:tc>
          <w:tcPr>
            <w:tcW w:w="3772" w:type="dxa"/>
            <w:tcBorders>
              <w:top w:val="single" w:sz="4" w:space="0" w:color="auto"/>
            </w:tcBorders>
            <w:vAlign w:val="bottom"/>
          </w:tcPr>
          <w:p w14:paraId="4A4AE276"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4" w:space="0" w:color="auto"/>
            </w:tcBorders>
          </w:tcPr>
          <w:p w14:paraId="35DEAE3F"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4" w:space="0" w:color="auto"/>
            </w:tcBorders>
            <w:vAlign w:val="bottom"/>
          </w:tcPr>
          <w:p w14:paraId="3ACF7783"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center"/>
              <w:rPr>
                <w:rFonts w:ascii="Arial" w:hAnsi="Arial" w:cs="Arial"/>
              </w:rPr>
            </w:pPr>
          </w:p>
        </w:tc>
        <w:tc>
          <w:tcPr>
            <w:tcW w:w="1560" w:type="dxa"/>
            <w:gridSpan w:val="2"/>
            <w:tcBorders>
              <w:top w:val="single" w:sz="4" w:space="0" w:color="auto"/>
            </w:tcBorders>
          </w:tcPr>
          <w:p w14:paraId="4428A126" w14:textId="77777777" w:rsidR="00CD67B3" w:rsidRPr="009F3026" w:rsidRDefault="00CD67B3" w:rsidP="00CD67B3">
            <w:pPr>
              <w:tabs>
                <w:tab w:val="left" w:pos="1260"/>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65BB105C" w14:textId="77777777" w:rsidR="00CD67B3" w:rsidRPr="009F3026" w:rsidRDefault="00CD67B3" w:rsidP="00CD67B3">
            <w:pPr>
              <w:tabs>
                <w:tab w:val="left" w:pos="1260"/>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5CC440E4" w14:textId="77777777" w:rsidTr="008568A1">
        <w:tc>
          <w:tcPr>
            <w:tcW w:w="3772" w:type="dxa"/>
            <w:tcBorders>
              <w:bottom w:val="single" w:sz="4" w:space="0" w:color="auto"/>
            </w:tcBorders>
            <w:vAlign w:val="bottom"/>
          </w:tcPr>
          <w:p w14:paraId="557FC229"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Total other</w:t>
            </w:r>
            <w:r>
              <w:rPr>
                <w:rFonts w:ascii="Arial" w:hAnsi="Arial" w:cs="Arial"/>
              </w:rPr>
              <w:t xml:space="preserve"> income</w:t>
            </w:r>
            <w:r w:rsidRPr="009F3026">
              <w:rPr>
                <w:rFonts w:ascii="Arial" w:hAnsi="Arial" w:cs="Arial"/>
              </w:rPr>
              <w:t xml:space="preserve"> (expenses) </w:t>
            </w:r>
          </w:p>
        </w:tc>
        <w:tc>
          <w:tcPr>
            <w:tcW w:w="1620" w:type="dxa"/>
            <w:tcBorders>
              <w:bottom w:val="single" w:sz="4" w:space="0" w:color="auto"/>
            </w:tcBorders>
          </w:tcPr>
          <w:p w14:paraId="214893B6" w14:textId="10E75EA2" w:rsidR="00CD67B3" w:rsidRPr="009F3026" w:rsidRDefault="00897369" w:rsidP="00B56FFD">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(259,089)</w:t>
            </w:r>
          </w:p>
        </w:tc>
        <w:tc>
          <w:tcPr>
            <w:tcW w:w="1440" w:type="dxa"/>
            <w:tcBorders>
              <w:bottom w:val="single" w:sz="4" w:space="0" w:color="auto"/>
            </w:tcBorders>
            <w:vAlign w:val="bottom"/>
          </w:tcPr>
          <w:p w14:paraId="78576769" w14:textId="013F0239" w:rsidR="00CD67B3" w:rsidRPr="009F3026" w:rsidRDefault="00E34E8E" w:rsidP="008920C4">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w:t>
            </w:r>
            <w:r w:rsidR="00496385">
              <w:rPr>
                <w:rFonts w:ascii="Arial" w:hAnsi="Arial" w:cs="Arial"/>
              </w:rPr>
              <w:t>1,808,586</w:t>
            </w:r>
            <w:r>
              <w:rPr>
                <w:rFonts w:ascii="Arial" w:hAnsi="Arial" w:cs="Arial"/>
              </w:rPr>
              <w:t>)</w:t>
            </w:r>
          </w:p>
        </w:tc>
        <w:tc>
          <w:tcPr>
            <w:tcW w:w="1560" w:type="dxa"/>
            <w:gridSpan w:val="2"/>
            <w:tcBorders>
              <w:bottom w:val="single" w:sz="4" w:space="0" w:color="auto"/>
            </w:tcBorders>
          </w:tcPr>
          <w:p w14:paraId="4C270D1F" w14:textId="1F9F9E9C" w:rsidR="00CD67B3" w:rsidRPr="009F3026" w:rsidRDefault="003F0E70" w:rsidP="00302F03">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897369">
              <w:rPr>
                <w:rFonts w:ascii="Arial" w:hAnsi="Arial" w:cs="Arial"/>
              </w:rPr>
              <w:t>660,745</w:t>
            </w:r>
            <w:r>
              <w:rPr>
                <w:rFonts w:ascii="Arial" w:hAnsi="Arial" w:cs="Arial"/>
              </w:rPr>
              <w:t>)</w:t>
            </w:r>
          </w:p>
        </w:tc>
        <w:tc>
          <w:tcPr>
            <w:tcW w:w="1560" w:type="dxa"/>
            <w:gridSpan w:val="2"/>
            <w:tcBorders>
              <w:bottom w:val="single" w:sz="4" w:space="0" w:color="auto"/>
            </w:tcBorders>
          </w:tcPr>
          <w:p w14:paraId="112F4059" w14:textId="42B80480" w:rsidR="00CD67B3" w:rsidRPr="009F3026" w:rsidRDefault="00E34E8E" w:rsidP="00864115">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B35340">
              <w:rPr>
                <w:rFonts w:ascii="Arial" w:hAnsi="Arial" w:cs="Arial"/>
              </w:rPr>
              <w:t>2,344,853</w:t>
            </w:r>
            <w:r>
              <w:rPr>
                <w:rFonts w:ascii="Arial" w:hAnsi="Arial" w:cs="Arial"/>
              </w:rPr>
              <w:t>)</w:t>
            </w:r>
          </w:p>
        </w:tc>
      </w:tr>
      <w:tr w:rsidR="00CD67B3" w:rsidRPr="009F3026" w14:paraId="41BB30D7" w14:textId="77777777" w:rsidTr="008568A1">
        <w:trPr>
          <w:trHeight w:hRule="exact" w:val="115"/>
        </w:trPr>
        <w:tc>
          <w:tcPr>
            <w:tcW w:w="3772" w:type="dxa"/>
            <w:tcBorders>
              <w:top w:val="single" w:sz="4" w:space="0" w:color="auto"/>
            </w:tcBorders>
            <w:vAlign w:val="bottom"/>
          </w:tcPr>
          <w:p w14:paraId="6FFA4B42"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4" w:space="0" w:color="auto"/>
            </w:tcBorders>
          </w:tcPr>
          <w:p w14:paraId="70261A69"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4" w:space="0" w:color="auto"/>
            </w:tcBorders>
            <w:vAlign w:val="bottom"/>
          </w:tcPr>
          <w:p w14:paraId="00D01CAB"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4" w:space="0" w:color="auto"/>
            </w:tcBorders>
          </w:tcPr>
          <w:p w14:paraId="4AE87C99"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5400E76D"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5A000B5D" w14:textId="77777777" w:rsidTr="008568A1">
        <w:tc>
          <w:tcPr>
            <w:tcW w:w="3772" w:type="dxa"/>
            <w:tcBorders>
              <w:bottom w:val="single" w:sz="12" w:space="0" w:color="auto"/>
            </w:tcBorders>
            <w:vAlign w:val="bottom"/>
          </w:tcPr>
          <w:p w14:paraId="454D85B1"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Pr>
                <w:rFonts w:ascii="Arial" w:hAnsi="Arial" w:cs="Arial"/>
              </w:rPr>
              <w:t>Net loss</w:t>
            </w:r>
            <w:r w:rsidRPr="009F3026">
              <w:rPr>
                <w:rFonts w:ascii="Arial" w:hAnsi="Arial" w:cs="Arial"/>
              </w:rPr>
              <w:t xml:space="preserve"> </w:t>
            </w:r>
          </w:p>
        </w:tc>
        <w:tc>
          <w:tcPr>
            <w:tcW w:w="1620" w:type="dxa"/>
            <w:tcBorders>
              <w:bottom w:val="single" w:sz="12" w:space="0" w:color="auto"/>
            </w:tcBorders>
          </w:tcPr>
          <w:p w14:paraId="4A0EAC1F" w14:textId="456EAFB1" w:rsidR="00CD67B3" w:rsidRPr="009F3026" w:rsidRDefault="005E7F51" w:rsidP="00B56FFD">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(2,</w:t>
            </w:r>
            <w:r w:rsidR="00897369">
              <w:rPr>
                <w:rFonts w:ascii="Arial" w:hAnsi="Arial" w:cs="Arial"/>
              </w:rPr>
              <w:t>593,187</w:t>
            </w:r>
            <w:r>
              <w:rPr>
                <w:rFonts w:ascii="Arial" w:hAnsi="Arial" w:cs="Arial"/>
              </w:rPr>
              <w:t>)</w:t>
            </w:r>
          </w:p>
        </w:tc>
        <w:tc>
          <w:tcPr>
            <w:tcW w:w="1440" w:type="dxa"/>
            <w:tcBorders>
              <w:bottom w:val="single" w:sz="12" w:space="0" w:color="auto"/>
            </w:tcBorders>
            <w:vAlign w:val="bottom"/>
          </w:tcPr>
          <w:p w14:paraId="2FEDEC6B" w14:textId="5130C821" w:rsidR="00CD67B3" w:rsidRPr="009F3026" w:rsidRDefault="00E34E8E" w:rsidP="00D3123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w:t>
            </w:r>
            <w:r w:rsidR="00240976">
              <w:rPr>
                <w:rFonts w:ascii="Arial" w:hAnsi="Arial" w:cs="Arial"/>
              </w:rPr>
              <w:t>3,673,928</w:t>
            </w:r>
            <w:r w:rsidR="00496385">
              <w:rPr>
                <w:rFonts w:ascii="Arial" w:hAnsi="Arial" w:cs="Arial"/>
              </w:rPr>
              <w:t>)</w:t>
            </w:r>
          </w:p>
        </w:tc>
        <w:tc>
          <w:tcPr>
            <w:tcW w:w="1560" w:type="dxa"/>
            <w:gridSpan w:val="2"/>
            <w:tcBorders>
              <w:bottom w:val="single" w:sz="12" w:space="0" w:color="auto"/>
            </w:tcBorders>
          </w:tcPr>
          <w:p w14:paraId="55937F77" w14:textId="633E5488" w:rsidR="00CD67B3" w:rsidRPr="009F3026" w:rsidRDefault="003F0E70" w:rsidP="00F010A8">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(8,</w:t>
            </w:r>
            <w:r w:rsidR="00450E9E">
              <w:rPr>
                <w:rFonts w:ascii="Arial" w:hAnsi="Arial" w:cs="Arial"/>
              </w:rPr>
              <w:t>918,502</w:t>
            </w:r>
            <w:r>
              <w:rPr>
                <w:rFonts w:ascii="Arial" w:hAnsi="Arial" w:cs="Arial"/>
              </w:rPr>
              <w:t>)</w:t>
            </w:r>
          </w:p>
        </w:tc>
        <w:tc>
          <w:tcPr>
            <w:tcW w:w="1560" w:type="dxa"/>
            <w:gridSpan w:val="2"/>
            <w:tcBorders>
              <w:bottom w:val="single" w:sz="12" w:space="0" w:color="auto"/>
            </w:tcBorders>
          </w:tcPr>
          <w:p w14:paraId="168DD3B9" w14:textId="7A639DF1" w:rsidR="00CD67B3" w:rsidRPr="009F3026" w:rsidRDefault="00E34E8E" w:rsidP="00D3123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B35340">
              <w:rPr>
                <w:rFonts w:ascii="Arial" w:hAnsi="Arial" w:cs="Arial"/>
              </w:rPr>
              <w:t>7,608,933</w:t>
            </w:r>
            <w:r>
              <w:rPr>
                <w:rFonts w:ascii="Arial" w:hAnsi="Arial" w:cs="Arial"/>
              </w:rPr>
              <w:t>)</w:t>
            </w:r>
          </w:p>
        </w:tc>
      </w:tr>
      <w:tr w:rsidR="00CD67B3" w:rsidRPr="009F3026" w14:paraId="55BED344" w14:textId="77777777" w:rsidTr="008568A1">
        <w:tc>
          <w:tcPr>
            <w:tcW w:w="3772" w:type="dxa"/>
            <w:tcBorders>
              <w:top w:val="single" w:sz="12" w:space="0" w:color="auto"/>
            </w:tcBorders>
            <w:vAlign w:val="bottom"/>
          </w:tcPr>
          <w:p w14:paraId="4EC0E09A" w14:textId="77777777" w:rsidR="00CD67B3"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12" w:space="0" w:color="auto"/>
            </w:tcBorders>
          </w:tcPr>
          <w:p w14:paraId="58754A69"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12" w:space="0" w:color="auto"/>
            </w:tcBorders>
            <w:vAlign w:val="bottom"/>
          </w:tcPr>
          <w:p w14:paraId="26B48F83"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12" w:space="0" w:color="auto"/>
            </w:tcBorders>
          </w:tcPr>
          <w:p w14:paraId="77F2679B"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12" w:space="0" w:color="auto"/>
            </w:tcBorders>
          </w:tcPr>
          <w:p w14:paraId="297DAF67"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72FC1827" w14:textId="77777777" w:rsidTr="008568A1">
        <w:tc>
          <w:tcPr>
            <w:tcW w:w="3772" w:type="dxa"/>
            <w:vAlign w:val="bottom"/>
          </w:tcPr>
          <w:p w14:paraId="14BBB12C" w14:textId="669B3561" w:rsidR="00CD67B3" w:rsidRDefault="00CD67B3" w:rsidP="00797DFA">
            <w:pPr>
              <w:tabs>
                <w:tab w:val="left" w:pos="7214"/>
                <w:tab w:val="decimal" w:pos="8107"/>
                <w:tab w:val="left" w:pos="8467"/>
                <w:tab w:val="decimal" w:pos="9360"/>
              </w:tabs>
              <w:spacing w:after="0" w:line="240" w:lineRule="auto"/>
              <w:rPr>
                <w:rFonts w:ascii="Arial" w:hAnsi="Arial" w:cs="Arial"/>
              </w:rPr>
            </w:pPr>
            <w:r>
              <w:rPr>
                <w:rFonts w:ascii="Arial" w:hAnsi="Arial" w:cs="Arial"/>
              </w:rPr>
              <w:t>Other comprehensive</w:t>
            </w:r>
            <w:r w:rsidR="00C755FA">
              <w:rPr>
                <w:rFonts w:ascii="Arial" w:hAnsi="Arial" w:cs="Arial"/>
              </w:rPr>
              <w:t xml:space="preserve"> </w:t>
            </w:r>
            <w:r w:rsidR="00797DFA">
              <w:rPr>
                <w:rFonts w:ascii="Arial" w:hAnsi="Arial" w:cs="Arial"/>
              </w:rPr>
              <w:t>gain</w:t>
            </w:r>
            <w:r>
              <w:rPr>
                <w:rFonts w:ascii="Arial" w:hAnsi="Arial" w:cs="Arial"/>
              </w:rPr>
              <w:t xml:space="preserve"> </w:t>
            </w:r>
          </w:p>
        </w:tc>
        <w:tc>
          <w:tcPr>
            <w:tcW w:w="1620" w:type="dxa"/>
          </w:tcPr>
          <w:p w14:paraId="7F8893D0"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vAlign w:val="bottom"/>
          </w:tcPr>
          <w:p w14:paraId="359B808F"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299FBA4E"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6FBAF955"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05096122" w14:textId="77777777" w:rsidTr="008568A1">
        <w:tc>
          <w:tcPr>
            <w:tcW w:w="3772" w:type="dxa"/>
            <w:vAlign w:val="bottom"/>
          </w:tcPr>
          <w:p w14:paraId="4C378E1F" w14:textId="77777777" w:rsidR="00CD67B3" w:rsidRDefault="00CD67B3" w:rsidP="00CD67B3">
            <w:pPr>
              <w:tabs>
                <w:tab w:val="left" w:pos="7214"/>
                <w:tab w:val="decimal" w:pos="8107"/>
                <w:tab w:val="left" w:pos="8467"/>
                <w:tab w:val="decimal" w:pos="9360"/>
              </w:tabs>
              <w:spacing w:after="0" w:line="240" w:lineRule="auto"/>
              <w:ind w:left="172"/>
              <w:rPr>
                <w:rFonts w:ascii="Arial" w:hAnsi="Arial" w:cs="Arial"/>
              </w:rPr>
            </w:pPr>
            <w:r>
              <w:rPr>
                <w:rFonts w:ascii="Arial" w:hAnsi="Arial" w:cs="Arial"/>
              </w:rPr>
              <w:t>Foreign currency translation adjustment</w:t>
            </w:r>
          </w:p>
        </w:tc>
        <w:tc>
          <w:tcPr>
            <w:tcW w:w="1620" w:type="dxa"/>
          </w:tcPr>
          <w:p w14:paraId="0A542224" w14:textId="510DFF96" w:rsidR="00CD67B3" w:rsidRPr="009F3026" w:rsidRDefault="005E7F51"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4,891</w:t>
            </w:r>
          </w:p>
        </w:tc>
        <w:tc>
          <w:tcPr>
            <w:tcW w:w="1440" w:type="dxa"/>
            <w:vAlign w:val="bottom"/>
          </w:tcPr>
          <w:p w14:paraId="58AE819D" w14:textId="5B30A5E3" w:rsidR="00CD67B3" w:rsidRPr="009F3026" w:rsidRDefault="00496385" w:rsidP="00F314AC">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61,184</w:t>
            </w:r>
          </w:p>
        </w:tc>
        <w:tc>
          <w:tcPr>
            <w:tcW w:w="1560" w:type="dxa"/>
            <w:gridSpan w:val="2"/>
            <w:shd w:val="clear" w:color="auto" w:fill="auto"/>
          </w:tcPr>
          <w:p w14:paraId="39AF4944" w14:textId="2CC4D882" w:rsidR="00CD67B3" w:rsidRPr="00BD3189" w:rsidRDefault="003F0E70" w:rsidP="00C7081F">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17,447</w:t>
            </w:r>
          </w:p>
        </w:tc>
        <w:tc>
          <w:tcPr>
            <w:tcW w:w="1560" w:type="dxa"/>
            <w:gridSpan w:val="2"/>
          </w:tcPr>
          <w:p w14:paraId="149A7864" w14:textId="0FF21D9F" w:rsidR="00CD67B3" w:rsidRPr="009F3026" w:rsidRDefault="00B35340" w:rsidP="00F314AC">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114,482</w:t>
            </w:r>
          </w:p>
        </w:tc>
      </w:tr>
      <w:tr w:rsidR="00CD67B3" w:rsidRPr="009F3026" w14:paraId="2B7E1F92" w14:textId="77777777" w:rsidTr="008568A1">
        <w:trPr>
          <w:trHeight w:hRule="exact" w:val="86"/>
        </w:trPr>
        <w:tc>
          <w:tcPr>
            <w:tcW w:w="3772" w:type="dxa"/>
            <w:tcBorders>
              <w:top w:val="single" w:sz="4" w:space="0" w:color="auto"/>
            </w:tcBorders>
            <w:vAlign w:val="bottom"/>
          </w:tcPr>
          <w:p w14:paraId="53E00FCB"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4" w:space="0" w:color="auto"/>
            </w:tcBorders>
          </w:tcPr>
          <w:p w14:paraId="55CAD2A9"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4" w:space="0" w:color="auto"/>
            </w:tcBorders>
            <w:vAlign w:val="bottom"/>
          </w:tcPr>
          <w:p w14:paraId="61007728"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center"/>
              <w:rPr>
                <w:rFonts w:ascii="Arial" w:hAnsi="Arial" w:cs="Arial"/>
              </w:rPr>
            </w:pPr>
          </w:p>
        </w:tc>
        <w:tc>
          <w:tcPr>
            <w:tcW w:w="1560" w:type="dxa"/>
            <w:gridSpan w:val="2"/>
            <w:tcBorders>
              <w:top w:val="single" w:sz="4" w:space="0" w:color="auto"/>
            </w:tcBorders>
            <w:shd w:val="clear" w:color="auto" w:fill="auto"/>
          </w:tcPr>
          <w:p w14:paraId="69E82A99" w14:textId="77777777" w:rsidR="00CD67B3" w:rsidRPr="00BD3189" w:rsidRDefault="00CD67B3" w:rsidP="00CD67B3">
            <w:pPr>
              <w:tabs>
                <w:tab w:val="left" w:pos="1260"/>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0AB70D19" w14:textId="77777777" w:rsidR="00CD67B3" w:rsidRPr="009F3026" w:rsidRDefault="00CD67B3" w:rsidP="00CD67B3">
            <w:pPr>
              <w:tabs>
                <w:tab w:val="left" w:pos="1260"/>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18942CB7" w14:textId="77777777" w:rsidTr="008568A1">
        <w:tc>
          <w:tcPr>
            <w:tcW w:w="3772" w:type="dxa"/>
            <w:tcBorders>
              <w:bottom w:val="single" w:sz="12" w:space="0" w:color="auto"/>
            </w:tcBorders>
            <w:vAlign w:val="bottom"/>
          </w:tcPr>
          <w:p w14:paraId="208DF351" w14:textId="77777777" w:rsidR="00CD67B3" w:rsidRPr="009F3026" w:rsidRDefault="00CD67B3" w:rsidP="006711D0">
            <w:pPr>
              <w:tabs>
                <w:tab w:val="left" w:pos="7214"/>
                <w:tab w:val="decimal" w:pos="8107"/>
                <w:tab w:val="left" w:pos="8467"/>
                <w:tab w:val="decimal" w:pos="9360"/>
              </w:tabs>
              <w:spacing w:after="0" w:line="240" w:lineRule="auto"/>
              <w:rPr>
                <w:rFonts w:ascii="Arial" w:hAnsi="Arial" w:cs="Arial"/>
              </w:rPr>
            </w:pPr>
            <w:r>
              <w:rPr>
                <w:rFonts w:ascii="Arial" w:hAnsi="Arial" w:cs="Arial"/>
              </w:rPr>
              <w:t>Net comprehensive</w:t>
            </w:r>
            <w:r w:rsidR="000F4278">
              <w:rPr>
                <w:rFonts w:ascii="Arial" w:hAnsi="Arial" w:cs="Arial"/>
              </w:rPr>
              <w:t xml:space="preserve"> </w:t>
            </w:r>
            <w:r>
              <w:rPr>
                <w:rFonts w:ascii="Arial" w:hAnsi="Arial" w:cs="Arial"/>
              </w:rPr>
              <w:t>loss</w:t>
            </w:r>
            <w:r w:rsidRPr="009F3026">
              <w:rPr>
                <w:rFonts w:ascii="Arial" w:hAnsi="Arial" w:cs="Arial"/>
              </w:rPr>
              <w:t xml:space="preserve"> </w:t>
            </w:r>
          </w:p>
        </w:tc>
        <w:tc>
          <w:tcPr>
            <w:tcW w:w="1620" w:type="dxa"/>
            <w:tcBorders>
              <w:bottom w:val="single" w:sz="12" w:space="0" w:color="auto"/>
            </w:tcBorders>
          </w:tcPr>
          <w:p w14:paraId="00BC24A6" w14:textId="70AC1BF7" w:rsidR="00CD67B3" w:rsidRPr="009F3026" w:rsidRDefault="005E7F51" w:rsidP="00CD21AD">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(2,</w:t>
            </w:r>
            <w:r w:rsidR="00897369">
              <w:rPr>
                <w:rFonts w:ascii="Arial" w:hAnsi="Arial" w:cs="Arial"/>
              </w:rPr>
              <w:t>588,296</w:t>
            </w:r>
            <w:r>
              <w:rPr>
                <w:rFonts w:ascii="Arial" w:hAnsi="Arial" w:cs="Arial"/>
              </w:rPr>
              <w:t>)</w:t>
            </w:r>
          </w:p>
        </w:tc>
        <w:tc>
          <w:tcPr>
            <w:tcW w:w="1440" w:type="dxa"/>
            <w:tcBorders>
              <w:bottom w:val="single" w:sz="12" w:space="0" w:color="auto"/>
            </w:tcBorders>
            <w:vAlign w:val="bottom"/>
          </w:tcPr>
          <w:p w14:paraId="4CD6ACF3" w14:textId="63EC7F95" w:rsidR="00CD67B3" w:rsidRPr="009F3026" w:rsidRDefault="00E34E8E" w:rsidP="00D3123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w:t>
            </w:r>
            <w:r w:rsidR="00240976">
              <w:rPr>
                <w:rFonts w:ascii="Arial" w:hAnsi="Arial" w:cs="Arial"/>
              </w:rPr>
              <w:t>3,612,744</w:t>
            </w:r>
            <w:r>
              <w:rPr>
                <w:rFonts w:ascii="Arial" w:hAnsi="Arial" w:cs="Arial"/>
              </w:rPr>
              <w:t>)</w:t>
            </w:r>
          </w:p>
        </w:tc>
        <w:tc>
          <w:tcPr>
            <w:tcW w:w="1560" w:type="dxa"/>
            <w:gridSpan w:val="2"/>
            <w:tcBorders>
              <w:bottom w:val="single" w:sz="12" w:space="0" w:color="auto"/>
            </w:tcBorders>
            <w:shd w:val="clear" w:color="auto" w:fill="auto"/>
          </w:tcPr>
          <w:p w14:paraId="62B5CC67" w14:textId="327E1B22" w:rsidR="00CD67B3" w:rsidRPr="00BD3189" w:rsidRDefault="003F0E70" w:rsidP="00C7081F">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254400">
              <w:rPr>
                <w:rFonts w:ascii="Arial" w:hAnsi="Arial" w:cs="Arial"/>
              </w:rPr>
              <w:t>8,</w:t>
            </w:r>
            <w:r w:rsidR="00897369">
              <w:rPr>
                <w:rFonts w:ascii="Arial" w:hAnsi="Arial" w:cs="Arial"/>
              </w:rPr>
              <w:t>901,055</w:t>
            </w:r>
            <w:r>
              <w:rPr>
                <w:rFonts w:ascii="Arial" w:hAnsi="Arial" w:cs="Arial"/>
              </w:rPr>
              <w:t>)</w:t>
            </w:r>
          </w:p>
        </w:tc>
        <w:tc>
          <w:tcPr>
            <w:tcW w:w="1560" w:type="dxa"/>
            <w:gridSpan w:val="2"/>
            <w:tcBorders>
              <w:bottom w:val="single" w:sz="12" w:space="0" w:color="auto"/>
            </w:tcBorders>
          </w:tcPr>
          <w:p w14:paraId="736F86D2" w14:textId="60AABE37" w:rsidR="00CD67B3" w:rsidRPr="009F3026" w:rsidRDefault="00E34E8E" w:rsidP="00D3123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B35340">
              <w:rPr>
                <w:rFonts w:ascii="Arial" w:hAnsi="Arial" w:cs="Arial"/>
              </w:rPr>
              <w:t>7,494,451</w:t>
            </w:r>
            <w:r>
              <w:rPr>
                <w:rFonts w:ascii="Arial" w:hAnsi="Arial" w:cs="Arial"/>
              </w:rPr>
              <w:t>)</w:t>
            </w:r>
          </w:p>
        </w:tc>
      </w:tr>
      <w:tr w:rsidR="00CD67B3" w:rsidRPr="009F3026" w14:paraId="3FD46713" w14:textId="77777777" w:rsidTr="008568A1">
        <w:tc>
          <w:tcPr>
            <w:tcW w:w="3772" w:type="dxa"/>
            <w:tcBorders>
              <w:top w:val="single" w:sz="12" w:space="0" w:color="auto"/>
            </w:tcBorders>
            <w:vAlign w:val="bottom"/>
          </w:tcPr>
          <w:p w14:paraId="078416DD"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12" w:space="0" w:color="auto"/>
            </w:tcBorders>
          </w:tcPr>
          <w:p w14:paraId="716DE078"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12" w:space="0" w:color="auto"/>
            </w:tcBorders>
            <w:vAlign w:val="bottom"/>
          </w:tcPr>
          <w:p w14:paraId="1F4940AD"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12" w:space="0" w:color="auto"/>
            </w:tcBorders>
            <w:vAlign w:val="bottom"/>
          </w:tcPr>
          <w:p w14:paraId="5842E1AC"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12" w:space="0" w:color="auto"/>
            </w:tcBorders>
            <w:vAlign w:val="bottom"/>
          </w:tcPr>
          <w:p w14:paraId="18D85F80"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1DC30923" w14:textId="77777777" w:rsidTr="008568A1">
        <w:trPr>
          <w:gridAfter w:val="1"/>
          <w:wAfter w:w="11" w:type="dxa"/>
          <w:trHeight w:val="245"/>
        </w:trPr>
        <w:tc>
          <w:tcPr>
            <w:tcW w:w="3772" w:type="dxa"/>
            <w:tcBorders>
              <w:bottom w:val="single" w:sz="12" w:space="0" w:color="auto"/>
            </w:tcBorders>
            <w:vAlign w:val="bottom"/>
          </w:tcPr>
          <w:p w14:paraId="528318DF"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Pr>
                <w:rFonts w:ascii="Arial" w:hAnsi="Arial" w:cs="Arial"/>
              </w:rPr>
              <w:t xml:space="preserve">Net </w:t>
            </w:r>
            <w:r w:rsidRPr="009F3026">
              <w:rPr>
                <w:rFonts w:ascii="Arial" w:hAnsi="Arial" w:cs="Arial"/>
              </w:rPr>
              <w:t xml:space="preserve">loss per share, basic </w:t>
            </w:r>
            <w:r>
              <w:rPr>
                <w:rFonts w:ascii="Arial" w:hAnsi="Arial" w:cs="Arial"/>
              </w:rPr>
              <w:t>and diluted</w:t>
            </w:r>
          </w:p>
        </w:tc>
        <w:tc>
          <w:tcPr>
            <w:tcW w:w="1620" w:type="dxa"/>
            <w:tcBorders>
              <w:bottom w:val="single" w:sz="12" w:space="0" w:color="auto"/>
            </w:tcBorders>
          </w:tcPr>
          <w:p w14:paraId="0A5DFC1B" w14:textId="153148C0" w:rsidR="00CD67B3" w:rsidRPr="009F3026" w:rsidRDefault="005E7F51" w:rsidP="008C08DD">
            <w:pPr>
              <w:spacing w:after="0" w:line="240" w:lineRule="auto"/>
              <w:ind w:right="270"/>
              <w:jc w:val="right"/>
              <w:rPr>
                <w:rFonts w:ascii="Arial" w:hAnsi="Arial" w:cs="Arial"/>
              </w:rPr>
            </w:pPr>
            <w:r>
              <w:rPr>
                <w:rFonts w:ascii="Arial" w:hAnsi="Arial" w:cs="Arial"/>
              </w:rPr>
              <w:t>(0.0</w:t>
            </w:r>
            <w:r w:rsidR="00897369">
              <w:rPr>
                <w:rFonts w:ascii="Arial" w:hAnsi="Arial" w:cs="Arial"/>
              </w:rPr>
              <w:t>2</w:t>
            </w:r>
            <w:r>
              <w:rPr>
                <w:rFonts w:ascii="Arial" w:hAnsi="Arial" w:cs="Arial"/>
              </w:rPr>
              <w:t>)</w:t>
            </w:r>
          </w:p>
        </w:tc>
        <w:tc>
          <w:tcPr>
            <w:tcW w:w="1440" w:type="dxa"/>
            <w:tcBorders>
              <w:bottom w:val="single" w:sz="12" w:space="0" w:color="auto"/>
            </w:tcBorders>
            <w:vAlign w:val="bottom"/>
          </w:tcPr>
          <w:p w14:paraId="529D4A29" w14:textId="23B58948" w:rsidR="00CD67B3" w:rsidRPr="009F3026" w:rsidRDefault="00F635F0" w:rsidP="00CD67B3">
            <w:pPr>
              <w:tabs>
                <w:tab w:val="left" w:pos="1260"/>
              </w:tabs>
              <w:spacing w:after="0" w:line="240" w:lineRule="auto"/>
              <w:ind w:right="90"/>
              <w:jc w:val="right"/>
              <w:rPr>
                <w:rFonts w:ascii="Arial" w:hAnsi="Arial" w:cs="Arial"/>
              </w:rPr>
            </w:pPr>
            <w:r>
              <w:rPr>
                <w:rFonts w:ascii="Arial" w:hAnsi="Arial" w:cs="Arial"/>
              </w:rPr>
              <w:t>(0.0</w:t>
            </w:r>
            <w:r w:rsidR="00004217">
              <w:rPr>
                <w:rFonts w:ascii="Arial" w:hAnsi="Arial" w:cs="Arial"/>
              </w:rPr>
              <w:t>4</w:t>
            </w:r>
            <w:r>
              <w:rPr>
                <w:rFonts w:ascii="Arial" w:hAnsi="Arial" w:cs="Arial"/>
              </w:rPr>
              <w:t>)</w:t>
            </w:r>
          </w:p>
        </w:tc>
        <w:tc>
          <w:tcPr>
            <w:tcW w:w="1554" w:type="dxa"/>
            <w:tcBorders>
              <w:bottom w:val="single" w:sz="12" w:space="0" w:color="auto"/>
            </w:tcBorders>
            <w:vAlign w:val="bottom"/>
          </w:tcPr>
          <w:p w14:paraId="7732E321" w14:textId="390772EF" w:rsidR="00CD67B3" w:rsidRPr="009F3026" w:rsidRDefault="003F0E70" w:rsidP="00BD3189">
            <w:pPr>
              <w:spacing w:after="0" w:line="240" w:lineRule="auto"/>
              <w:ind w:right="114"/>
              <w:jc w:val="right"/>
              <w:rPr>
                <w:rFonts w:ascii="Arial" w:hAnsi="Arial" w:cs="Arial"/>
              </w:rPr>
            </w:pPr>
            <w:r>
              <w:rPr>
                <w:rFonts w:ascii="Arial" w:hAnsi="Arial" w:cs="Arial"/>
              </w:rPr>
              <w:t>(0.06)</w:t>
            </w:r>
          </w:p>
        </w:tc>
        <w:tc>
          <w:tcPr>
            <w:tcW w:w="1555" w:type="dxa"/>
            <w:gridSpan w:val="2"/>
            <w:tcBorders>
              <w:bottom w:val="single" w:sz="12" w:space="0" w:color="auto"/>
            </w:tcBorders>
            <w:vAlign w:val="bottom"/>
          </w:tcPr>
          <w:p w14:paraId="764059D4" w14:textId="4507C7FC" w:rsidR="00CD67B3" w:rsidRPr="009F3026" w:rsidRDefault="00F635F0" w:rsidP="00CD67B3">
            <w:pPr>
              <w:spacing w:after="0" w:line="240" w:lineRule="auto"/>
              <w:ind w:right="114"/>
              <w:jc w:val="right"/>
              <w:rPr>
                <w:rFonts w:ascii="Arial" w:hAnsi="Arial" w:cs="Arial"/>
              </w:rPr>
            </w:pPr>
            <w:r>
              <w:rPr>
                <w:rFonts w:ascii="Arial" w:hAnsi="Arial" w:cs="Arial"/>
              </w:rPr>
              <w:t>(0.0</w:t>
            </w:r>
            <w:r w:rsidR="000C2D35">
              <w:rPr>
                <w:rFonts w:ascii="Arial" w:hAnsi="Arial" w:cs="Arial"/>
              </w:rPr>
              <w:t>9</w:t>
            </w:r>
            <w:r>
              <w:rPr>
                <w:rFonts w:ascii="Arial" w:hAnsi="Arial" w:cs="Arial"/>
              </w:rPr>
              <w:t>)</w:t>
            </w:r>
          </w:p>
        </w:tc>
      </w:tr>
      <w:tr w:rsidR="00CD67B3" w:rsidRPr="009F3026" w14:paraId="02313769" w14:textId="77777777" w:rsidTr="008568A1">
        <w:tc>
          <w:tcPr>
            <w:tcW w:w="3772" w:type="dxa"/>
            <w:tcBorders>
              <w:top w:val="single" w:sz="12" w:space="0" w:color="auto"/>
            </w:tcBorders>
            <w:vAlign w:val="bottom"/>
          </w:tcPr>
          <w:p w14:paraId="5E424593"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12" w:space="0" w:color="auto"/>
            </w:tcBorders>
          </w:tcPr>
          <w:p w14:paraId="2F740BA5"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12" w:space="0" w:color="auto"/>
            </w:tcBorders>
            <w:vAlign w:val="bottom"/>
          </w:tcPr>
          <w:p w14:paraId="11EF7A5B"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12" w:space="0" w:color="auto"/>
            </w:tcBorders>
            <w:vAlign w:val="bottom"/>
          </w:tcPr>
          <w:p w14:paraId="2B35BE7D"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12" w:space="0" w:color="auto"/>
            </w:tcBorders>
            <w:vAlign w:val="bottom"/>
          </w:tcPr>
          <w:p w14:paraId="47D99B8C"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66786B77" w14:textId="77777777" w:rsidTr="008568A1">
        <w:trPr>
          <w:gridAfter w:val="1"/>
          <w:wAfter w:w="11" w:type="dxa"/>
          <w:trHeight w:val="245"/>
        </w:trPr>
        <w:tc>
          <w:tcPr>
            <w:tcW w:w="3772" w:type="dxa"/>
            <w:tcBorders>
              <w:bottom w:val="single" w:sz="12" w:space="0" w:color="auto"/>
            </w:tcBorders>
            <w:vAlign w:val="bottom"/>
          </w:tcPr>
          <w:p w14:paraId="352759B0"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 xml:space="preserve">Weighted average shares outstanding </w:t>
            </w:r>
            <w:r>
              <w:rPr>
                <w:rFonts w:ascii="Arial" w:hAnsi="Arial" w:cs="Arial"/>
              </w:rPr>
              <w:t>–</w:t>
            </w:r>
            <w:r w:rsidRPr="009F3026">
              <w:rPr>
                <w:rFonts w:ascii="Arial" w:hAnsi="Arial" w:cs="Arial"/>
              </w:rPr>
              <w:t xml:space="preserve"> basic</w:t>
            </w:r>
            <w:r>
              <w:rPr>
                <w:rFonts w:ascii="Arial" w:hAnsi="Arial" w:cs="Arial"/>
              </w:rPr>
              <w:t xml:space="preserve"> and diluted</w:t>
            </w:r>
          </w:p>
        </w:tc>
        <w:tc>
          <w:tcPr>
            <w:tcW w:w="1620" w:type="dxa"/>
            <w:tcBorders>
              <w:bottom w:val="single" w:sz="12" w:space="0" w:color="auto"/>
            </w:tcBorders>
          </w:tcPr>
          <w:p w14:paraId="0F2B62B0" w14:textId="77777777" w:rsidR="00CD67B3" w:rsidRDefault="00CD67B3" w:rsidP="00CD67B3">
            <w:pPr>
              <w:spacing w:after="0" w:line="240" w:lineRule="auto"/>
              <w:jc w:val="center"/>
              <w:rPr>
                <w:rFonts w:ascii="Arial" w:hAnsi="Arial" w:cs="Arial"/>
              </w:rPr>
            </w:pPr>
          </w:p>
          <w:p w14:paraId="41A884AA" w14:textId="7E708037" w:rsidR="009262C7" w:rsidRPr="009F3026" w:rsidRDefault="003F0E70" w:rsidP="00CD67B3">
            <w:pPr>
              <w:spacing w:after="0" w:line="240" w:lineRule="auto"/>
              <w:jc w:val="center"/>
              <w:rPr>
                <w:rFonts w:ascii="Arial" w:hAnsi="Arial" w:cs="Arial"/>
              </w:rPr>
            </w:pPr>
            <w:r>
              <w:rPr>
                <w:rFonts w:ascii="Arial" w:hAnsi="Arial" w:cs="Arial"/>
              </w:rPr>
              <w:t>171,140,260</w:t>
            </w:r>
          </w:p>
        </w:tc>
        <w:tc>
          <w:tcPr>
            <w:tcW w:w="1440" w:type="dxa"/>
            <w:tcBorders>
              <w:bottom w:val="single" w:sz="12" w:space="0" w:color="auto"/>
            </w:tcBorders>
            <w:vAlign w:val="bottom"/>
          </w:tcPr>
          <w:p w14:paraId="78F6426C" w14:textId="0E33F248" w:rsidR="00CD67B3" w:rsidRPr="009F3026" w:rsidRDefault="000C2D35" w:rsidP="00CD67B3">
            <w:pPr>
              <w:tabs>
                <w:tab w:val="left" w:pos="1190"/>
                <w:tab w:val="left" w:pos="1260"/>
              </w:tabs>
              <w:spacing w:after="0" w:line="240" w:lineRule="auto"/>
              <w:ind w:right="90"/>
              <w:jc w:val="right"/>
              <w:rPr>
                <w:rFonts w:ascii="Arial" w:hAnsi="Arial" w:cs="Arial"/>
              </w:rPr>
            </w:pPr>
            <w:r w:rsidRPr="000C2D35">
              <w:rPr>
                <w:rFonts w:ascii="Arial" w:hAnsi="Arial" w:cs="Arial"/>
              </w:rPr>
              <w:t>89,623,532</w:t>
            </w:r>
          </w:p>
        </w:tc>
        <w:tc>
          <w:tcPr>
            <w:tcW w:w="1554" w:type="dxa"/>
            <w:tcBorders>
              <w:bottom w:val="single" w:sz="12" w:space="0" w:color="auto"/>
            </w:tcBorders>
            <w:vAlign w:val="bottom"/>
          </w:tcPr>
          <w:p w14:paraId="1A5F332E" w14:textId="22A185A5" w:rsidR="00CD67B3" w:rsidRPr="009F3026" w:rsidRDefault="003F0E70" w:rsidP="00CD67B3">
            <w:pPr>
              <w:tabs>
                <w:tab w:val="left" w:pos="1190"/>
              </w:tabs>
              <w:spacing w:after="0" w:line="240" w:lineRule="auto"/>
              <w:ind w:right="114"/>
              <w:jc w:val="right"/>
              <w:rPr>
                <w:rFonts w:ascii="Arial" w:hAnsi="Arial" w:cs="Arial"/>
              </w:rPr>
            </w:pPr>
            <w:r>
              <w:rPr>
                <w:rFonts w:ascii="Arial" w:hAnsi="Arial" w:cs="Arial"/>
              </w:rPr>
              <w:t>143,282,106</w:t>
            </w:r>
          </w:p>
        </w:tc>
        <w:tc>
          <w:tcPr>
            <w:tcW w:w="1555" w:type="dxa"/>
            <w:gridSpan w:val="2"/>
            <w:tcBorders>
              <w:bottom w:val="single" w:sz="12" w:space="0" w:color="auto"/>
            </w:tcBorders>
            <w:vAlign w:val="bottom"/>
          </w:tcPr>
          <w:p w14:paraId="513B2E9F" w14:textId="33B731E0" w:rsidR="00CD67B3" w:rsidRPr="009F3026" w:rsidRDefault="000C2D35" w:rsidP="00CD67B3">
            <w:pPr>
              <w:tabs>
                <w:tab w:val="left" w:pos="1190"/>
              </w:tabs>
              <w:spacing w:after="0" w:line="240" w:lineRule="auto"/>
              <w:ind w:right="114"/>
              <w:jc w:val="right"/>
              <w:rPr>
                <w:rFonts w:ascii="Arial" w:hAnsi="Arial" w:cs="Arial"/>
              </w:rPr>
            </w:pPr>
            <w:r w:rsidRPr="000C2D35">
              <w:rPr>
                <w:rFonts w:ascii="Arial" w:hAnsi="Arial" w:cs="Arial"/>
              </w:rPr>
              <w:t>88,079,787</w:t>
            </w:r>
          </w:p>
        </w:tc>
      </w:tr>
      <w:tr w:rsidR="004C644B" w:rsidRPr="009F3026" w14:paraId="7106B280" w14:textId="77777777" w:rsidTr="008568A1">
        <w:trPr>
          <w:gridAfter w:val="1"/>
          <w:wAfter w:w="11" w:type="dxa"/>
          <w:trHeight w:hRule="exact" w:val="101"/>
        </w:trPr>
        <w:tc>
          <w:tcPr>
            <w:tcW w:w="3772" w:type="dxa"/>
            <w:tcBorders>
              <w:top w:val="single" w:sz="12" w:space="0" w:color="auto"/>
            </w:tcBorders>
            <w:vAlign w:val="bottom"/>
          </w:tcPr>
          <w:p w14:paraId="34BFAF0A" w14:textId="77777777" w:rsidR="004C644B" w:rsidRPr="009F3026" w:rsidRDefault="004C644B" w:rsidP="004C644B">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12" w:space="0" w:color="auto"/>
            </w:tcBorders>
          </w:tcPr>
          <w:p w14:paraId="38AAE14F" w14:textId="77777777" w:rsidR="004C644B" w:rsidRPr="009F3026" w:rsidRDefault="004C644B" w:rsidP="004C644B">
            <w:pPr>
              <w:spacing w:after="0" w:line="240" w:lineRule="auto"/>
              <w:jc w:val="center"/>
              <w:rPr>
                <w:rFonts w:ascii="Arial" w:hAnsi="Arial" w:cs="Arial"/>
              </w:rPr>
            </w:pPr>
          </w:p>
        </w:tc>
        <w:tc>
          <w:tcPr>
            <w:tcW w:w="1440" w:type="dxa"/>
            <w:tcBorders>
              <w:top w:val="single" w:sz="12" w:space="0" w:color="auto"/>
            </w:tcBorders>
            <w:vAlign w:val="bottom"/>
          </w:tcPr>
          <w:p w14:paraId="0E9262E7" w14:textId="77777777" w:rsidR="004C644B" w:rsidRPr="009F3026" w:rsidRDefault="004C644B" w:rsidP="004C644B">
            <w:pPr>
              <w:tabs>
                <w:tab w:val="left" w:pos="1190"/>
                <w:tab w:val="left" w:pos="1260"/>
              </w:tabs>
              <w:spacing w:after="0" w:line="240" w:lineRule="auto"/>
              <w:ind w:right="90"/>
              <w:jc w:val="right"/>
              <w:rPr>
                <w:rFonts w:ascii="Arial" w:hAnsi="Arial" w:cs="Arial"/>
              </w:rPr>
            </w:pPr>
          </w:p>
        </w:tc>
        <w:tc>
          <w:tcPr>
            <w:tcW w:w="1554" w:type="dxa"/>
            <w:tcBorders>
              <w:top w:val="single" w:sz="12" w:space="0" w:color="auto"/>
            </w:tcBorders>
            <w:vAlign w:val="bottom"/>
          </w:tcPr>
          <w:p w14:paraId="20E8EB2C" w14:textId="77777777" w:rsidR="004C644B" w:rsidRPr="009F3026" w:rsidRDefault="004C644B" w:rsidP="004C644B">
            <w:pPr>
              <w:tabs>
                <w:tab w:val="left" w:pos="1190"/>
              </w:tabs>
              <w:spacing w:after="0" w:line="240" w:lineRule="auto"/>
              <w:ind w:right="114"/>
              <w:jc w:val="right"/>
              <w:rPr>
                <w:rFonts w:ascii="Arial" w:hAnsi="Arial" w:cs="Arial"/>
              </w:rPr>
            </w:pPr>
          </w:p>
        </w:tc>
        <w:tc>
          <w:tcPr>
            <w:tcW w:w="1555" w:type="dxa"/>
            <w:gridSpan w:val="2"/>
            <w:tcBorders>
              <w:top w:val="single" w:sz="12" w:space="0" w:color="auto"/>
            </w:tcBorders>
            <w:vAlign w:val="bottom"/>
          </w:tcPr>
          <w:p w14:paraId="2292B3C1" w14:textId="77777777" w:rsidR="004C644B" w:rsidRPr="009F3026" w:rsidRDefault="004C644B" w:rsidP="004C644B">
            <w:pPr>
              <w:tabs>
                <w:tab w:val="left" w:pos="1190"/>
              </w:tabs>
              <w:spacing w:after="0" w:line="240" w:lineRule="auto"/>
              <w:ind w:right="114"/>
              <w:jc w:val="right"/>
              <w:rPr>
                <w:rFonts w:ascii="Arial" w:hAnsi="Arial" w:cs="Arial"/>
              </w:rPr>
            </w:pPr>
          </w:p>
        </w:tc>
      </w:tr>
    </w:tbl>
    <w:p w14:paraId="112A319D" w14:textId="77777777" w:rsidR="006001E6" w:rsidRDefault="006001E6" w:rsidP="006A20D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p>
    <w:p w14:paraId="0ADA5344" w14:textId="77777777" w:rsidR="004056B2" w:rsidRDefault="004056B2" w:rsidP="006A20D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p>
    <w:p w14:paraId="74B90D20" w14:textId="77777777" w:rsidR="004056B2" w:rsidRDefault="004056B2" w:rsidP="006A20D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p>
    <w:p w14:paraId="45FADBA3" w14:textId="49A82E7B" w:rsidR="00790828" w:rsidRDefault="00790828" w:rsidP="006A20D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rPr>
      </w:pPr>
      <w:r w:rsidRPr="009F3026">
        <w:rPr>
          <w:rFonts w:ascii="Arial" w:hAnsi="Arial" w:cs="Arial"/>
          <w:szCs w:val="20"/>
        </w:rPr>
        <w:t xml:space="preserve">(The accompanying notes are an integral part of these </w:t>
      </w:r>
      <w:r w:rsidR="008B680A">
        <w:rPr>
          <w:rFonts w:ascii="Arial" w:hAnsi="Arial" w:cs="Arial"/>
          <w:szCs w:val="20"/>
        </w:rPr>
        <w:t>condensed consolidated interim financial statements</w:t>
      </w:r>
      <w:r w:rsidRPr="009F3026">
        <w:rPr>
          <w:rFonts w:ascii="Arial" w:hAnsi="Arial" w:cs="Arial"/>
          <w:szCs w:val="20"/>
        </w:rPr>
        <w:t>)</w:t>
      </w:r>
      <w:r>
        <w:rPr>
          <w:rFonts w:ascii="Arial" w:hAnsi="Arial" w:cs="Arial"/>
        </w:rPr>
        <w:br w:type="page"/>
      </w:r>
    </w:p>
    <w:p w14:paraId="43C8E1AB" w14:textId="70F74128" w:rsidR="00790828" w:rsidRPr="009F3026" w:rsidRDefault="000F2E3C" w:rsidP="00790828">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
          <w:bCs/>
          <w:sz w:val="24"/>
        </w:rPr>
      </w:pPr>
      <w:r>
        <w:rPr>
          <w:rFonts w:ascii="Arial" w:hAnsi="Arial" w:cs="Arial"/>
          <w:b/>
          <w:bCs/>
          <w:sz w:val="24"/>
        </w:rPr>
        <w:lastRenderedPageBreak/>
        <w:t xml:space="preserve">BETTERLIFE PHARMA INC. </w:t>
      </w:r>
      <w:r w:rsidRPr="000F2E3C">
        <w:rPr>
          <w:rFonts w:ascii="Arial" w:hAnsi="Arial" w:cs="Arial"/>
          <w:b/>
          <w:bCs/>
          <w:szCs w:val="20"/>
        </w:rPr>
        <w:t>(formerly Pivot Pharmaceuticals Inc.)</w:t>
      </w:r>
      <w:r w:rsidR="008E7C6B">
        <w:rPr>
          <w:rFonts w:ascii="Arial" w:hAnsi="Arial" w:cs="Arial"/>
          <w:b/>
          <w:bCs/>
          <w:sz w:val="24"/>
        </w:rPr>
        <w:t xml:space="preserve"> </w:t>
      </w:r>
    </w:p>
    <w:p w14:paraId="0C8634B7" w14:textId="11B8D896" w:rsidR="00790828" w:rsidRPr="009F3026" w:rsidRDefault="008E7C6B" w:rsidP="00790828">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14"/>
          <w:tab w:val="left" w:pos="7560"/>
          <w:tab w:val="left" w:pos="7920"/>
          <w:tab w:val="left" w:pos="8280"/>
          <w:tab w:val="left" w:pos="8640"/>
          <w:tab w:val="left" w:pos="9000"/>
          <w:tab w:val="left" w:pos="9360"/>
        </w:tabs>
        <w:spacing w:after="0"/>
        <w:jc w:val="both"/>
        <w:rPr>
          <w:rFonts w:ascii="Arial" w:hAnsi="Arial" w:cs="Arial"/>
          <w:bCs/>
          <w:szCs w:val="20"/>
        </w:rPr>
      </w:pPr>
      <w:r>
        <w:rPr>
          <w:rFonts w:ascii="Arial" w:hAnsi="Arial" w:cs="Arial"/>
          <w:bCs/>
          <w:szCs w:val="20"/>
        </w:rPr>
        <w:t xml:space="preserve">Consolidated </w:t>
      </w:r>
      <w:r w:rsidR="00790828" w:rsidRPr="009F3026">
        <w:rPr>
          <w:rFonts w:ascii="Arial" w:hAnsi="Arial" w:cs="Arial"/>
          <w:bCs/>
          <w:szCs w:val="20"/>
        </w:rPr>
        <w:t xml:space="preserve">Statements of </w:t>
      </w:r>
      <w:r w:rsidR="00681427">
        <w:rPr>
          <w:rFonts w:ascii="Arial" w:hAnsi="Arial" w:cs="Arial"/>
          <w:bCs/>
          <w:szCs w:val="20"/>
        </w:rPr>
        <w:t>Shareholders’ Equity (unaudited)</w:t>
      </w:r>
    </w:p>
    <w:p w14:paraId="13A110EC" w14:textId="2A1B715B" w:rsidR="00790828"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Cs w:val="20"/>
        </w:rPr>
      </w:pPr>
      <w:r w:rsidRPr="009F3026">
        <w:rPr>
          <w:rFonts w:ascii="Arial" w:hAnsi="Arial" w:cs="Arial"/>
          <w:bCs/>
          <w:szCs w:val="20"/>
        </w:rPr>
        <w:t xml:space="preserve">(Expressed in </w:t>
      </w:r>
      <w:r w:rsidR="00BD3189">
        <w:rPr>
          <w:rFonts w:ascii="Arial" w:hAnsi="Arial" w:cs="Arial"/>
          <w:bCs/>
          <w:szCs w:val="20"/>
        </w:rPr>
        <w:t>Canadian</w:t>
      </w:r>
      <w:r w:rsidRPr="009F3026">
        <w:rPr>
          <w:rFonts w:ascii="Arial" w:hAnsi="Arial" w:cs="Arial"/>
          <w:szCs w:val="20"/>
        </w:rPr>
        <w:t xml:space="preserve"> dollars)</w:t>
      </w:r>
    </w:p>
    <w:p w14:paraId="618D1852" w14:textId="77777777" w:rsidR="00790828" w:rsidRPr="009D54BC"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Cs w:val="20"/>
        </w:rPr>
      </w:pPr>
    </w:p>
    <w:tbl>
      <w:tblPr>
        <w:tblpPr w:leftFromText="180" w:rightFromText="180" w:vertAnchor="text" w:tblpX="-862" w:tblpY="1"/>
        <w:tblOverlap w:val="never"/>
        <w:tblW w:w="12105" w:type="dxa"/>
        <w:tblLayout w:type="fixed"/>
        <w:tblCellMar>
          <w:left w:w="0" w:type="dxa"/>
          <w:right w:w="0" w:type="dxa"/>
        </w:tblCellMar>
        <w:tblLook w:val="0000" w:firstRow="0" w:lastRow="0" w:firstColumn="0" w:lastColumn="0" w:noHBand="0" w:noVBand="0"/>
      </w:tblPr>
      <w:tblGrid>
        <w:gridCol w:w="2880"/>
        <w:gridCol w:w="349"/>
        <w:gridCol w:w="927"/>
        <w:gridCol w:w="423"/>
        <w:gridCol w:w="821"/>
        <w:gridCol w:w="423"/>
        <w:gridCol w:w="569"/>
        <w:gridCol w:w="490"/>
        <w:gridCol w:w="644"/>
        <w:gridCol w:w="632"/>
        <w:gridCol w:w="803"/>
        <w:gridCol w:w="565"/>
        <w:gridCol w:w="711"/>
        <w:gridCol w:w="565"/>
        <w:gridCol w:w="738"/>
        <w:gridCol w:w="565"/>
      </w:tblGrid>
      <w:tr w:rsidR="006F321B" w:rsidRPr="00370EC4" w14:paraId="5089807A" w14:textId="77777777" w:rsidTr="008627E3">
        <w:trPr>
          <w:gridAfter w:val="1"/>
          <w:wAfter w:w="565" w:type="dxa"/>
          <w:trHeight w:val="810"/>
        </w:trPr>
        <w:tc>
          <w:tcPr>
            <w:tcW w:w="2880" w:type="dxa"/>
            <w:tcBorders>
              <w:top w:val="nil"/>
              <w:left w:val="nil"/>
            </w:tcBorders>
            <w:noWrap/>
            <w:tcMar>
              <w:right w:w="216" w:type="dxa"/>
            </w:tcMar>
            <w:vAlign w:val="bottom"/>
          </w:tcPr>
          <w:p w14:paraId="7CEAEA76" w14:textId="77777777" w:rsidR="006F321B" w:rsidRPr="00370EC4" w:rsidRDefault="006F321B" w:rsidP="00C75109">
            <w:pPr>
              <w:rPr>
                <w:rFonts w:ascii="Arial" w:eastAsia="Arial Unicode MS" w:hAnsi="Arial" w:cs="Arial"/>
                <w:sz w:val="18"/>
                <w:szCs w:val="18"/>
              </w:rPr>
            </w:pPr>
          </w:p>
        </w:tc>
        <w:tc>
          <w:tcPr>
            <w:tcW w:w="2520" w:type="dxa"/>
            <w:gridSpan w:val="4"/>
            <w:tcBorders>
              <w:bottom w:val="single" w:sz="4" w:space="0" w:color="auto"/>
              <w:right w:val="nil"/>
            </w:tcBorders>
            <w:shd w:val="clear" w:color="auto" w:fill="auto"/>
            <w:vAlign w:val="bottom"/>
          </w:tcPr>
          <w:p w14:paraId="5B31A78D" w14:textId="7E243E29" w:rsidR="006F321B" w:rsidRPr="00370EC4" w:rsidRDefault="006F321B" w:rsidP="00681427">
            <w:pPr>
              <w:spacing w:after="0" w:line="240" w:lineRule="auto"/>
              <w:ind w:right="154"/>
              <w:jc w:val="center"/>
              <w:rPr>
                <w:rFonts w:ascii="Arial" w:hAnsi="Arial" w:cs="Arial"/>
                <w:sz w:val="18"/>
                <w:szCs w:val="18"/>
              </w:rPr>
            </w:pPr>
            <w:r w:rsidRPr="00370EC4">
              <w:rPr>
                <w:rFonts w:ascii="Arial" w:hAnsi="Arial" w:cs="Arial"/>
                <w:sz w:val="18"/>
                <w:szCs w:val="18"/>
              </w:rPr>
              <w:t xml:space="preserve">Common </w:t>
            </w:r>
            <w:r w:rsidR="00681427">
              <w:rPr>
                <w:rFonts w:ascii="Arial" w:hAnsi="Arial" w:cs="Arial"/>
                <w:sz w:val="18"/>
                <w:szCs w:val="18"/>
              </w:rPr>
              <w:t>Shares</w:t>
            </w:r>
          </w:p>
        </w:tc>
        <w:tc>
          <w:tcPr>
            <w:tcW w:w="992" w:type="dxa"/>
            <w:gridSpan w:val="2"/>
            <w:vMerge w:val="restart"/>
            <w:tcBorders>
              <w:left w:val="nil"/>
              <w:bottom w:val="single" w:sz="4" w:space="0" w:color="auto"/>
              <w:right w:val="nil"/>
            </w:tcBorders>
            <w:vAlign w:val="bottom"/>
          </w:tcPr>
          <w:p w14:paraId="1775F734" w14:textId="3C49C70F" w:rsidR="006F321B" w:rsidRPr="00370EC4" w:rsidRDefault="008627E3" w:rsidP="00C75109">
            <w:pPr>
              <w:pStyle w:val="EnvelopeReturn"/>
              <w:jc w:val="center"/>
              <w:rPr>
                <w:rFonts w:eastAsia="Arial Unicode MS" w:cs="Arial"/>
                <w:sz w:val="18"/>
                <w:szCs w:val="18"/>
              </w:rPr>
            </w:pPr>
            <w:r>
              <w:rPr>
                <w:rFonts w:eastAsia="Arial Unicode MS" w:cs="Arial"/>
                <w:sz w:val="18"/>
                <w:szCs w:val="18"/>
              </w:rPr>
              <w:t>C</w:t>
            </w:r>
            <w:r w:rsidR="006F321B" w:rsidRPr="00370EC4">
              <w:rPr>
                <w:rFonts w:eastAsia="Arial Unicode MS" w:cs="Arial"/>
                <w:sz w:val="18"/>
                <w:szCs w:val="18"/>
              </w:rPr>
              <w:t>ommon</w:t>
            </w:r>
          </w:p>
          <w:p w14:paraId="23994488" w14:textId="6440F7EE" w:rsidR="006F321B" w:rsidRPr="00370EC4" w:rsidRDefault="00681427" w:rsidP="00C75109">
            <w:pPr>
              <w:pStyle w:val="EnvelopeReturn"/>
              <w:jc w:val="center"/>
              <w:rPr>
                <w:rFonts w:eastAsia="Arial Unicode MS" w:cs="Arial"/>
                <w:sz w:val="18"/>
                <w:szCs w:val="18"/>
              </w:rPr>
            </w:pPr>
            <w:r>
              <w:rPr>
                <w:rFonts w:eastAsia="Arial Unicode MS" w:cs="Arial"/>
                <w:sz w:val="18"/>
                <w:szCs w:val="18"/>
              </w:rPr>
              <w:t>Shares</w:t>
            </w:r>
          </w:p>
          <w:p w14:paraId="49E6E98D" w14:textId="77777777" w:rsidR="006F321B" w:rsidRPr="00370EC4" w:rsidRDefault="006F321B" w:rsidP="00C75109">
            <w:pPr>
              <w:pStyle w:val="EnvelopeReturn"/>
              <w:jc w:val="center"/>
              <w:rPr>
                <w:rFonts w:eastAsia="Arial Unicode MS" w:cs="Arial"/>
                <w:sz w:val="18"/>
                <w:szCs w:val="18"/>
              </w:rPr>
            </w:pPr>
            <w:r w:rsidRPr="00370EC4">
              <w:rPr>
                <w:rFonts w:eastAsia="Arial Unicode MS" w:cs="Arial"/>
                <w:sz w:val="18"/>
                <w:szCs w:val="18"/>
              </w:rPr>
              <w:t>Issuable</w:t>
            </w:r>
          </w:p>
          <w:p w14:paraId="3A9A9F63" w14:textId="77777777" w:rsidR="006F321B" w:rsidRPr="00370EC4" w:rsidRDefault="006F321B" w:rsidP="00C75109">
            <w:pPr>
              <w:pStyle w:val="EnvelopeReturn"/>
              <w:jc w:val="center"/>
              <w:rPr>
                <w:rFonts w:cs="Arial"/>
                <w:sz w:val="18"/>
                <w:szCs w:val="18"/>
              </w:rPr>
            </w:pPr>
            <w:r w:rsidRPr="00370EC4">
              <w:rPr>
                <w:rFonts w:eastAsia="Arial Unicode MS" w:cs="Arial"/>
                <w:sz w:val="18"/>
                <w:szCs w:val="18"/>
              </w:rPr>
              <w:t>$</w:t>
            </w:r>
          </w:p>
        </w:tc>
        <w:tc>
          <w:tcPr>
            <w:tcW w:w="1134" w:type="dxa"/>
            <w:gridSpan w:val="2"/>
            <w:vMerge w:val="restart"/>
            <w:tcBorders>
              <w:left w:val="nil"/>
              <w:bottom w:val="single" w:sz="4" w:space="0" w:color="auto"/>
              <w:right w:val="nil"/>
            </w:tcBorders>
            <w:vAlign w:val="bottom"/>
          </w:tcPr>
          <w:p w14:paraId="7B5589A8" w14:textId="3C2EE19F" w:rsidR="006F321B" w:rsidRPr="00370EC4" w:rsidRDefault="00397EA0" w:rsidP="00C75109">
            <w:pPr>
              <w:pStyle w:val="EnvelopeReturn"/>
              <w:jc w:val="center"/>
              <w:rPr>
                <w:rFonts w:eastAsia="Arial Unicode MS" w:cs="Arial"/>
                <w:sz w:val="18"/>
                <w:szCs w:val="18"/>
              </w:rPr>
            </w:pPr>
            <w:r>
              <w:rPr>
                <w:rFonts w:eastAsia="Arial Unicode MS" w:cs="Arial"/>
                <w:sz w:val="18"/>
                <w:szCs w:val="18"/>
              </w:rPr>
              <w:t>Reserves</w:t>
            </w:r>
          </w:p>
          <w:p w14:paraId="1B8EE87F" w14:textId="77777777" w:rsidR="006F321B" w:rsidRPr="00370EC4" w:rsidRDefault="006F321B" w:rsidP="00C75109">
            <w:pPr>
              <w:pStyle w:val="EnvelopeReturn"/>
              <w:jc w:val="center"/>
              <w:rPr>
                <w:rFonts w:cs="Arial"/>
                <w:sz w:val="18"/>
                <w:szCs w:val="18"/>
              </w:rPr>
            </w:pPr>
            <w:r w:rsidRPr="00370EC4">
              <w:rPr>
                <w:rFonts w:eastAsia="Arial Unicode MS" w:cs="Arial"/>
                <w:sz w:val="18"/>
                <w:szCs w:val="18"/>
              </w:rPr>
              <w:t>$</w:t>
            </w:r>
          </w:p>
        </w:tc>
        <w:tc>
          <w:tcPr>
            <w:tcW w:w="1435" w:type="dxa"/>
            <w:gridSpan w:val="2"/>
            <w:tcBorders>
              <w:left w:val="nil"/>
              <w:right w:val="nil"/>
            </w:tcBorders>
          </w:tcPr>
          <w:p w14:paraId="547A0A5B" w14:textId="77777777" w:rsidR="00C75109" w:rsidRPr="00370EC4" w:rsidRDefault="00C75109" w:rsidP="00C75109">
            <w:pPr>
              <w:pStyle w:val="EnvelopeReturn"/>
              <w:jc w:val="center"/>
              <w:rPr>
                <w:rFonts w:eastAsia="Arial Unicode MS" w:cs="Arial"/>
                <w:sz w:val="18"/>
                <w:szCs w:val="18"/>
              </w:rPr>
            </w:pPr>
          </w:p>
          <w:p w14:paraId="7566675B" w14:textId="77777777" w:rsidR="008627E3" w:rsidRDefault="008627E3" w:rsidP="00C75109">
            <w:pPr>
              <w:pStyle w:val="EnvelopeReturn"/>
              <w:jc w:val="center"/>
              <w:rPr>
                <w:rFonts w:eastAsia="Arial Unicode MS" w:cs="Arial"/>
                <w:sz w:val="18"/>
                <w:szCs w:val="18"/>
              </w:rPr>
            </w:pPr>
          </w:p>
          <w:p w14:paraId="68EC2411" w14:textId="77777777" w:rsidR="00C75109" w:rsidRPr="00370EC4" w:rsidRDefault="00C75109" w:rsidP="00C75109">
            <w:pPr>
              <w:pStyle w:val="EnvelopeReturn"/>
              <w:jc w:val="center"/>
              <w:rPr>
                <w:rFonts w:eastAsia="Arial Unicode MS" w:cs="Arial"/>
                <w:sz w:val="18"/>
                <w:szCs w:val="18"/>
              </w:rPr>
            </w:pPr>
            <w:r w:rsidRPr="00370EC4">
              <w:rPr>
                <w:rFonts w:eastAsia="Arial Unicode MS" w:cs="Arial"/>
                <w:sz w:val="18"/>
                <w:szCs w:val="18"/>
              </w:rPr>
              <w:t>Foreign Currency Translation</w:t>
            </w:r>
          </w:p>
        </w:tc>
        <w:tc>
          <w:tcPr>
            <w:tcW w:w="1276" w:type="dxa"/>
            <w:gridSpan w:val="2"/>
            <w:vMerge w:val="restart"/>
            <w:tcBorders>
              <w:left w:val="nil"/>
              <w:bottom w:val="single" w:sz="4" w:space="0" w:color="auto"/>
              <w:right w:val="nil"/>
            </w:tcBorders>
            <w:shd w:val="clear" w:color="auto" w:fill="auto"/>
            <w:vAlign w:val="bottom"/>
          </w:tcPr>
          <w:p w14:paraId="4630864E" w14:textId="77777777" w:rsidR="006F321B" w:rsidRPr="00370EC4" w:rsidRDefault="006F321B" w:rsidP="00C75109">
            <w:pPr>
              <w:pStyle w:val="EnvelopeReturn"/>
              <w:jc w:val="center"/>
              <w:rPr>
                <w:rFonts w:cs="Arial"/>
                <w:sz w:val="18"/>
                <w:szCs w:val="18"/>
              </w:rPr>
            </w:pPr>
            <w:r w:rsidRPr="00370EC4">
              <w:rPr>
                <w:rFonts w:eastAsia="Arial Unicode MS" w:cs="Arial"/>
                <w:sz w:val="18"/>
                <w:szCs w:val="18"/>
              </w:rPr>
              <w:t>Deficit</w:t>
            </w:r>
          </w:p>
          <w:p w14:paraId="4E9D27EA" w14:textId="77777777" w:rsidR="006F321B" w:rsidRPr="00370EC4" w:rsidRDefault="006F321B" w:rsidP="00C75109">
            <w:pPr>
              <w:pStyle w:val="EnvelopeReturn"/>
              <w:jc w:val="center"/>
              <w:rPr>
                <w:rFonts w:cs="Arial"/>
                <w:sz w:val="18"/>
                <w:szCs w:val="18"/>
              </w:rPr>
            </w:pPr>
            <w:r w:rsidRPr="00370EC4">
              <w:rPr>
                <w:rFonts w:eastAsia="Arial Unicode MS" w:cs="Arial"/>
                <w:sz w:val="18"/>
                <w:szCs w:val="18"/>
              </w:rPr>
              <w:t>$</w:t>
            </w:r>
          </w:p>
        </w:tc>
        <w:tc>
          <w:tcPr>
            <w:tcW w:w="1303" w:type="dxa"/>
            <w:gridSpan w:val="2"/>
            <w:vMerge w:val="restart"/>
            <w:tcBorders>
              <w:left w:val="nil"/>
              <w:bottom w:val="single" w:sz="4" w:space="0" w:color="auto"/>
              <w:right w:val="nil"/>
            </w:tcBorders>
            <w:shd w:val="clear" w:color="auto" w:fill="auto"/>
            <w:vAlign w:val="bottom"/>
          </w:tcPr>
          <w:p w14:paraId="7E112414" w14:textId="77777777" w:rsidR="006F321B" w:rsidRPr="00370EC4" w:rsidRDefault="006F321B" w:rsidP="00C75109">
            <w:pPr>
              <w:pStyle w:val="EnvelopeReturn"/>
              <w:ind w:right="142"/>
              <w:jc w:val="center"/>
              <w:rPr>
                <w:rFonts w:eastAsia="Arial Unicode MS" w:cs="Arial"/>
                <w:sz w:val="18"/>
                <w:szCs w:val="18"/>
              </w:rPr>
            </w:pPr>
            <w:r w:rsidRPr="00370EC4">
              <w:rPr>
                <w:rFonts w:eastAsia="Arial Unicode MS" w:cs="Arial"/>
                <w:sz w:val="18"/>
                <w:szCs w:val="18"/>
              </w:rPr>
              <w:t>Total</w:t>
            </w:r>
          </w:p>
          <w:p w14:paraId="72A21EEE" w14:textId="77777777" w:rsidR="006F321B" w:rsidRPr="00370EC4" w:rsidRDefault="006F321B" w:rsidP="00C75109">
            <w:pPr>
              <w:pStyle w:val="EnvelopeReturn"/>
              <w:ind w:right="142"/>
              <w:jc w:val="center"/>
              <w:rPr>
                <w:rFonts w:cs="Arial"/>
                <w:sz w:val="18"/>
                <w:szCs w:val="18"/>
              </w:rPr>
            </w:pPr>
            <w:r w:rsidRPr="00370EC4">
              <w:rPr>
                <w:rFonts w:eastAsia="Arial Unicode MS" w:cs="Arial"/>
                <w:sz w:val="18"/>
                <w:szCs w:val="18"/>
              </w:rPr>
              <w:t>$</w:t>
            </w:r>
          </w:p>
        </w:tc>
      </w:tr>
      <w:tr w:rsidR="006F321B" w:rsidRPr="00370EC4" w14:paraId="6F76B4AF" w14:textId="77777777" w:rsidTr="00C30D1B">
        <w:trPr>
          <w:gridAfter w:val="1"/>
          <w:wAfter w:w="565" w:type="dxa"/>
          <w:trHeight w:val="227"/>
        </w:trPr>
        <w:tc>
          <w:tcPr>
            <w:tcW w:w="2880" w:type="dxa"/>
            <w:tcBorders>
              <w:top w:val="nil"/>
              <w:left w:val="nil"/>
              <w:bottom w:val="single" w:sz="4" w:space="0" w:color="auto"/>
            </w:tcBorders>
            <w:noWrap/>
            <w:tcMar>
              <w:right w:w="216" w:type="dxa"/>
            </w:tcMar>
            <w:vAlign w:val="bottom"/>
          </w:tcPr>
          <w:p w14:paraId="4612B770" w14:textId="77777777" w:rsidR="006F321B" w:rsidRPr="00370EC4" w:rsidRDefault="006F321B" w:rsidP="00C75109">
            <w:pPr>
              <w:tabs>
                <w:tab w:val="left" w:pos="4050"/>
              </w:tabs>
              <w:spacing w:after="0" w:line="240" w:lineRule="auto"/>
              <w:ind w:right="-36"/>
              <w:rPr>
                <w:rFonts w:ascii="Arial" w:eastAsia="Arial Unicode MS" w:hAnsi="Arial" w:cs="Arial"/>
                <w:sz w:val="18"/>
                <w:szCs w:val="18"/>
              </w:rPr>
            </w:pPr>
          </w:p>
        </w:tc>
        <w:tc>
          <w:tcPr>
            <w:tcW w:w="1276" w:type="dxa"/>
            <w:gridSpan w:val="2"/>
            <w:tcBorders>
              <w:top w:val="single" w:sz="4" w:space="0" w:color="auto"/>
              <w:bottom w:val="single" w:sz="4" w:space="0" w:color="auto"/>
              <w:right w:val="nil"/>
            </w:tcBorders>
            <w:shd w:val="clear" w:color="auto" w:fill="auto"/>
            <w:vAlign w:val="bottom"/>
          </w:tcPr>
          <w:p w14:paraId="57142BD6" w14:textId="77777777" w:rsidR="006F321B" w:rsidRPr="00370EC4" w:rsidRDefault="006F321B" w:rsidP="00C75109">
            <w:pPr>
              <w:pStyle w:val="EnvelopeReturn"/>
              <w:ind w:right="118"/>
              <w:jc w:val="center"/>
              <w:rPr>
                <w:rFonts w:eastAsia="Arial Unicode MS" w:cs="Arial"/>
                <w:sz w:val="18"/>
                <w:szCs w:val="18"/>
              </w:rPr>
            </w:pPr>
            <w:r w:rsidRPr="00370EC4">
              <w:rPr>
                <w:rFonts w:eastAsia="Arial Unicode MS" w:cs="Arial"/>
                <w:sz w:val="18"/>
                <w:szCs w:val="18"/>
              </w:rPr>
              <w:t>Shares</w:t>
            </w:r>
          </w:p>
          <w:p w14:paraId="3BE29D04" w14:textId="77777777" w:rsidR="006F321B" w:rsidRPr="00370EC4" w:rsidRDefault="006F321B" w:rsidP="00C75109">
            <w:pPr>
              <w:pStyle w:val="EnvelopeReturn"/>
              <w:ind w:left="-101" w:right="118"/>
              <w:jc w:val="center"/>
              <w:rPr>
                <w:rFonts w:eastAsia="Arial Unicode MS" w:cs="Arial"/>
                <w:sz w:val="18"/>
                <w:szCs w:val="18"/>
              </w:rPr>
            </w:pPr>
            <w:r w:rsidRPr="00370EC4">
              <w:rPr>
                <w:rFonts w:eastAsia="Arial Unicode MS" w:cs="Arial"/>
                <w:sz w:val="18"/>
                <w:szCs w:val="18"/>
              </w:rPr>
              <w:t>#</w:t>
            </w:r>
          </w:p>
        </w:tc>
        <w:tc>
          <w:tcPr>
            <w:tcW w:w="1244" w:type="dxa"/>
            <w:gridSpan w:val="2"/>
            <w:tcBorders>
              <w:top w:val="single" w:sz="4" w:space="0" w:color="auto"/>
              <w:left w:val="nil"/>
              <w:bottom w:val="single" w:sz="4" w:space="0" w:color="auto"/>
              <w:right w:val="nil"/>
            </w:tcBorders>
            <w:shd w:val="clear" w:color="auto" w:fill="auto"/>
            <w:vAlign w:val="bottom"/>
          </w:tcPr>
          <w:p w14:paraId="7FAE67FC" w14:textId="77777777" w:rsidR="006F321B" w:rsidRPr="00370EC4" w:rsidRDefault="006F321B" w:rsidP="00C75109">
            <w:pPr>
              <w:pStyle w:val="EnvelopeReturn"/>
              <w:ind w:right="15"/>
              <w:jc w:val="center"/>
              <w:rPr>
                <w:rFonts w:eastAsia="Arial Unicode MS" w:cs="Arial"/>
                <w:sz w:val="18"/>
                <w:szCs w:val="18"/>
              </w:rPr>
            </w:pPr>
            <w:r w:rsidRPr="00370EC4">
              <w:rPr>
                <w:rFonts w:eastAsia="Arial Unicode MS" w:cs="Arial"/>
                <w:sz w:val="18"/>
                <w:szCs w:val="18"/>
              </w:rPr>
              <w:t>Amount</w:t>
            </w:r>
          </w:p>
          <w:p w14:paraId="60D81DF7" w14:textId="77777777" w:rsidR="006F321B" w:rsidRPr="00370EC4" w:rsidRDefault="006F321B" w:rsidP="00C75109">
            <w:pPr>
              <w:pStyle w:val="EnvelopeReturn"/>
              <w:ind w:right="15"/>
              <w:jc w:val="center"/>
              <w:rPr>
                <w:rFonts w:eastAsia="Arial Unicode MS" w:cs="Arial"/>
                <w:sz w:val="18"/>
                <w:szCs w:val="18"/>
              </w:rPr>
            </w:pPr>
            <w:r w:rsidRPr="00370EC4">
              <w:rPr>
                <w:rFonts w:eastAsia="Arial Unicode MS" w:cs="Arial"/>
                <w:sz w:val="18"/>
                <w:szCs w:val="18"/>
              </w:rPr>
              <w:t>$</w:t>
            </w:r>
          </w:p>
        </w:tc>
        <w:tc>
          <w:tcPr>
            <w:tcW w:w="992" w:type="dxa"/>
            <w:gridSpan w:val="2"/>
            <w:vMerge/>
            <w:tcBorders>
              <w:left w:val="nil"/>
              <w:bottom w:val="single" w:sz="4" w:space="0" w:color="auto"/>
              <w:right w:val="nil"/>
            </w:tcBorders>
          </w:tcPr>
          <w:p w14:paraId="5E026A77" w14:textId="77777777" w:rsidR="006F321B" w:rsidRPr="00370EC4" w:rsidRDefault="006F321B" w:rsidP="00C75109">
            <w:pPr>
              <w:pStyle w:val="EnvelopeReturn"/>
              <w:jc w:val="center"/>
              <w:rPr>
                <w:rFonts w:cs="Arial"/>
                <w:sz w:val="18"/>
                <w:szCs w:val="18"/>
              </w:rPr>
            </w:pPr>
          </w:p>
        </w:tc>
        <w:tc>
          <w:tcPr>
            <w:tcW w:w="1134" w:type="dxa"/>
            <w:gridSpan w:val="2"/>
            <w:vMerge/>
            <w:tcBorders>
              <w:left w:val="nil"/>
              <w:bottom w:val="single" w:sz="4" w:space="0" w:color="auto"/>
              <w:right w:val="nil"/>
            </w:tcBorders>
          </w:tcPr>
          <w:p w14:paraId="1DBB39FD" w14:textId="77777777" w:rsidR="006F321B" w:rsidRPr="00370EC4" w:rsidRDefault="006F321B" w:rsidP="00C75109">
            <w:pPr>
              <w:pStyle w:val="EnvelopeReturn"/>
              <w:jc w:val="center"/>
              <w:rPr>
                <w:rFonts w:eastAsia="Arial Unicode MS" w:cs="Arial"/>
                <w:sz w:val="18"/>
                <w:szCs w:val="18"/>
              </w:rPr>
            </w:pPr>
          </w:p>
        </w:tc>
        <w:tc>
          <w:tcPr>
            <w:tcW w:w="1435" w:type="dxa"/>
            <w:gridSpan w:val="2"/>
            <w:tcBorders>
              <w:left w:val="nil"/>
              <w:bottom w:val="single" w:sz="4" w:space="0" w:color="auto"/>
              <w:right w:val="nil"/>
            </w:tcBorders>
          </w:tcPr>
          <w:p w14:paraId="32AC61D2" w14:textId="77777777" w:rsidR="00C75109" w:rsidRPr="00370EC4" w:rsidRDefault="00C75109" w:rsidP="00C75109">
            <w:pPr>
              <w:pStyle w:val="EnvelopeReturn"/>
              <w:jc w:val="center"/>
              <w:rPr>
                <w:rFonts w:cs="Arial"/>
                <w:sz w:val="18"/>
                <w:szCs w:val="18"/>
              </w:rPr>
            </w:pPr>
            <w:r w:rsidRPr="00370EC4">
              <w:rPr>
                <w:rFonts w:cs="Arial"/>
                <w:sz w:val="18"/>
                <w:szCs w:val="18"/>
              </w:rPr>
              <w:t>Adjustment</w:t>
            </w:r>
          </w:p>
          <w:p w14:paraId="1A319700" w14:textId="77777777" w:rsidR="006F321B" w:rsidRPr="00370EC4" w:rsidRDefault="00C75109" w:rsidP="00C75109">
            <w:pPr>
              <w:pStyle w:val="EnvelopeReturn"/>
              <w:jc w:val="center"/>
              <w:rPr>
                <w:rFonts w:cs="Arial"/>
                <w:sz w:val="18"/>
                <w:szCs w:val="18"/>
              </w:rPr>
            </w:pPr>
            <w:r w:rsidRPr="00370EC4">
              <w:rPr>
                <w:rFonts w:cs="Arial"/>
                <w:sz w:val="18"/>
                <w:szCs w:val="18"/>
              </w:rPr>
              <w:t>$</w:t>
            </w:r>
          </w:p>
        </w:tc>
        <w:tc>
          <w:tcPr>
            <w:tcW w:w="1276" w:type="dxa"/>
            <w:gridSpan w:val="2"/>
            <w:vMerge/>
            <w:tcBorders>
              <w:left w:val="nil"/>
              <w:bottom w:val="single" w:sz="4" w:space="0" w:color="auto"/>
              <w:right w:val="nil"/>
            </w:tcBorders>
            <w:shd w:val="clear" w:color="auto" w:fill="auto"/>
            <w:vAlign w:val="bottom"/>
          </w:tcPr>
          <w:p w14:paraId="7B7A8914" w14:textId="77777777" w:rsidR="006F321B" w:rsidRPr="00370EC4" w:rsidRDefault="006F321B" w:rsidP="00C75109">
            <w:pPr>
              <w:pStyle w:val="EnvelopeReturn"/>
              <w:jc w:val="center"/>
              <w:rPr>
                <w:rFonts w:cs="Arial"/>
                <w:sz w:val="18"/>
                <w:szCs w:val="18"/>
              </w:rPr>
            </w:pPr>
          </w:p>
        </w:tc>
        <w:tc>
          <w:tcPr>
            <w:tcW w:w="1303" w:type="dxa"/>
            <w:gridSpan w:val="2"/>
            <w:vMerge/>
            <w:tcBorders>
              <w:left w:val="nil"/>
              <w:bottom w:val="single" w:sz="4" w:space="0" w:color="auto"/>
              <w:right w:val="nil"/>
            </w:tcBorders>
            <w:shd w:val="clear" w:color="auto" w:fill="auto"/>
            <w:vAlign w:val="bottom"/>
          </w:tcPr>
          <w:p w14:paraId="26E9B94E" w14:textId="77777777" w:rsidR="006F321B" w:rsidRPr="00370EC4" w:rsidRDefault="006F321B" w:rsidP="00C75109">
            <w:pPr>
              <w:pStyle w:val="EnvelopeReturn"/>
              <w:ind w:right="142"/>
              <w:jc w:val="center"/>
              <w:rPr>
                <w:rFonts w:eastAsia="Arial Unicode MS" w:cs="Arial"/>
                <w:sz w:val="18"/>
                <w:szCs w:val="18"/>
              </w:rPr>
            </w:pPr>
          </w:p>
        </w:tc>
      </w:tr>
      <w:tr w:rsidR="008568A1" w:rsidRPr="00370EC4" w14:paraId="3E9A8277" w14:textId="77777777" w:rsidTr="00904B26">
        <w:trPr>
          <w:gridAfter w:val="1"/>
          <w:wAfter w:w="565" w:type="dxa"/>
          <w:trHeight w:hRule="exact" w:val="366"/>
        </w:trPr>
        <w:tc>
          <w:tcPr>
            <w:tcW w:w="2880" w:type="dxa"/>
            <w:tcBorders>
              <w:top w:val="nil"/>
              <w:left w:val="nil"/>
            </w:tcBorders>
            <w:noWrap/>
            <w:tcMar>
              <w:right w:w="216" w:type="dxa"/>
            </w:tcMar>
            <w:vAlign w:val="bottom"/>
          </w:tcPr>
          <w:p w14:paraId="0CEAD5C1" w14:textId="77AFDE5A" w:rsidR="008568A1" w:rsidRPr="00370EC4" w:rsidRDefault="008568A1" w:rsidP="00524166">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Balance – </w:t>
            </w:r>
            <w:r w:rsidR="00524166">
              <w:rPr>
                <w:rFonts w:ascii="Arial" w:eastAsia="Arial Unicode MS" w:hAnsi="Arial" w:cs="Arial"/>
                <w:sz w:val="18"/>
                <w:szCs w:val="18"/>
              </w:rPr>
              <w:t>January</w:t>
            </w:r>
            <w:r>
              <w:rPr>
                <w:rFonts w:ascii="Arial" w:eastAsia="Arial Unicode MS" w:hAnsi="Arial" w:cs="Arial"/>
                <w:sz w:val="18"/>
                <w:szCs w:val="18"/>
              </w:rPr>
              <w:t xml:space="preserve"> </w:t>
            </w:r>
            <w:r w:rsidR="00040621">
              <w:rPr>
                <w:rFonts w:ascii="Arial" w:eastAsia="Arial Unicode MS" w:hAnsi="Arial" w:cs="Arial"/>
                <w:sz w:val="18"/>
                <w:szCs w:val="18"/>
              </w:rPr>
              <w:t>3</w:t>
            </w:r>
            <w:r>
              <w:rPr>
                <w:rFonts w:ascii="Arial" w:eastAsia="Arial Unicode MS" w:hAnsi="Arial" w:cs="Arial"/>
                <w:sz w:val="18"/>
                <w:szCs w:val="18"/>
              </w:rPr>
              <w:t>1, 2018</w:t>
            </w:r>
          </w:p>
        </w:tc>
        <w:tc>
          <w:tcPr>
            <w:tcW w:w="1276" w:type="dxa"/>
            <w:gridSpan w:val="2"/>
            <w:tcBorders>
              <w:right w:val="nil"/>
            </w:tcBorders>
            <w:shd w:val="clear" w:color="auto" w:fill="auto"/>
            <w:vAlign w:val="bottom"/>
          </w:tcPr>
          <w:p w14:paraId="28171798" w14:textId="77777777" w:rsidR="008568A1" w:rsidRPr="00370EC4" w:rsidRDefault="008568A1" w:rsidP="008568A1">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82,373,559</w:t>
            </w:r>
          </w:p>
        </w:tc>
        <w:tc>
          <w:tcPr>
            <w:tcW w:w="1244" w:type="dxa"/>
            <w:gridSpan w:val="2"/>
            <w:tcBorders>
              <w:left w:val="nil"/>
              <w:right w:val="nil"/>
            </w:tcBorders>
            <w:shd w:val="clear" w:color="auto" w:fill="auto"/>
            <w:vAlign w:val="bottom"/>
          </w:tcPr>
          <w:p w14:paraId="18F0EAD4" w14:textId="77777777" w:rsidR="008568A1" w:rsidRPr="00370EC4" w:rsidRDefault="008568A1" w:rsidP="008568A1">
            <w:pPr>
              <w:spacing w:after="0" w:line="240" w:lineRule="auto"/>
              <w:ind w:right="154"/>
              <w:jc w:val="right"/>
              <w:rPr>
                <w:rFonts w:ascii="Arial" w:hAnsi="Arial" w:cs="Arial"/>
                <w:sz w:val="18"/>
                <w:szCs w:val="18"/>
              </w:rPr>
            </w:pPr>
            <w:r w:rsidRPr="00370EC4">
              <w:rPr>
                <w:rFonts w:ascii="Arial" w:hAnsi="Arial" w:cs="Arial"/>
                <w:sz w:val="18"/>
                <w:szCs w:val="18"/>
              </w:rPr>
              <w:t>10,047,733</w:t>
            </w:r>
          </w:p>
        </w:tc>
        <w:tc>
          <w:tcPr>
            <w:tcW w:w="992" w:type="dxa"/>
            <w:gridSpan w:val="2"/>
            <w:tcBorders>
              <w:left w:val="nil"/>
              <w:right w:val="nil"/>
            </w:tcBorders>
            <w:vAlign w:val="bottom"/>
          </w:tcPr>
          <w:p w14:paraId="6D6D7ADD" w14:textId="77777777" w:rsidR="008568A1" w:rsidRPr="00370EC4" w:rsidRDefault="008568A1" w:rsidP="008568A1">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1C0F64CD" w14:textId="77777777" w:rsidR="008568A1" w:rsidRPr="00370EC4" w:rsidRDefault="008568A1" w:rsidP="008568A1">
            <w:pPr>
              <w:spacing w:after="0" w:line="240" w:lineRule="auto"/>
              <w:ind w:right="5"/>
              <w:jc w:val="right"/>
              <w:rPr>
                <w:rFonts w:ascii="Arial" w:hAnsi="Arial" w:cs="Arial"/>
                <w:sz w:val="18"/>
                <w:szCs w:val="18"/>
              </w:rPr>
            </w:pPr>
            <w:r w:rsidRPr="00370EC4">
              <w:rPr>
                <w:rFonts w:ascii="Arial" w:hAnsi="Arial" w:cs="Arial"/>
                <w:sz w:val="18"/>
                <w:szCs w:val="18"/>
              </w:rPr>
              <w:t>15,713,439</w:t>
            </w:r>
          </w:p>
        </w:tc>
        <w:tc>
          <w:tcPr>
            <w:tcW w:w="1435" w:type="dxa"/>
            <w:gridSpan w:val="2"/>
            <w:tcBorders>
              <w:left w:val="nil"/>
              <w:right w:val="nil"/>
            </w:tcBorders>
            <w:vAlign w:val="bottom"/>
          </w:tcPr>
          <w:p w14:paraId="159AD156" w14:textId="31F9239D" w:rsidR="008568A1" w:rsidRPr="00370EC4" w:rsidRDefault="0046105F" w:rsidP="008568A1">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6F5D80F1" w14:textId="52FB279F" w:rsidR="008568A1" w:rsidRPr="00370EC4" w:rsidRDefault="008568A1" w:rsidP="0046105F">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(25,</w:t>
            </w:r>
            <w:r w:rsidR="0046105F">
              <w:rPr>
                <w:rFonts w:ascii="Arial" w:hAnsi="Arial" w:cs="Arial"/>
                <w:sz w:val="18"/>
                <w:szCs w:val="18"/>
              </w:rPr>
              <w:t>816,964</w:t>
            </w: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7128A04C" w14:textId="77777777" w:rsidR="008568A1" w:rsidRPr="00370EC4" w:rsidRDefault="008568A1" w:rsidP="008568A1">
            <w:pPr>
              <w:tabs>
                <w:tab w:val="decimal" w:pos="1126"/>
              </w:tabs>
              <w:spacing w:after="0" w:line="240" w:lineRule="auto"/>
              <w:ind w:right="142"/>
              <w:jc w:val="right"/>
              <w:rPr>
                <w:rFonts w:ascii="Arial" w:hAnsi="Arial" w:cs="Arial"/>
                <w:sz w:val="18"/>
                <w:szCs w:val="18"/>
              </w:rPr>
            </w:pPr>
            <w:r w:rsidRPr="00370EC4">
              <w:rPr>
                <w:rFonts w:ascii="Arial" w:hAnsi="Arial" w:cs="Arial"/>
                <w:sz w:val="18"/>
                <w:szCs w:val="18"/>
              </w:rPr>
              <w:t>(55,792)</w:t>
            </w:r>
          </w:p>
        </w:tc>
      </w:tr>
      <w:tr w:rsidR="00CA4544" w:rsidRPr="00370EC4" w14:paraId="66ACB67A" w14:textId="77777777" w:rsidTr="00904B26">
        <w:trPr>
          <w:gridAfter w:val="1"/>
          <w:wAfter w:w="565" w:type="dxa"/>
          <w:trHeight w:hRule="exact" w:val="502"/>
        </w:trPr>
        <w:tc>
          <w:tcPr>
            <w:tcW w:w="2880" w:type="dxa"/>
            <w:tcBorders>
              <w:left w:val="nil"/>
            </w:tcBorders>
            <w:noWrap/>
            <w:tcMar>
              <w:right w:w="216" w:type="dxa"/>
            </w:tcMar>
            <w:vAlign w:val="bottom"/>
          </w:tcPr>
          <w:p w14:paraId="488BD6A3" w14:textId="2657CD3A" w:rsidR="00CA4544" w:rsidRPr="00370EC4" w:rsidRDefault="00CA4544" w:rsidP="00CA4544">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Common </w:t>
            </w:r>
            <w:r>
              <w:rPr>
                <w:rFonts w:ascii="Arial" w:eastAsia="Arial Unicode MS" w:hAnsi="Arial" w:cs="Arial"/>
                <w:sz w:val="18"/>
                <w:szCs w:val="18"/>
              </w:rPr>
              <w:t>shares</w:t>
            </w:r>
            <w:r w:rsidRPr="00370EC4">
              <w:rPr>
                <w:rFonts w:ascii="Arial" w:eastAsia="Arial Unicode MS" w:hAnsi="Arial" w:cs="Arial"/>
                <w:sz w:val="18"/>
                <w:szCs w:val="18"/>
              </w:rPr>
              <w:t xml:space="preserve"> issued for services</w:t>
            </w:r>
            <w:r>
              <w:rPr>
                <w:rFonts w:ascii="Arial" w:eastAsia="Arial Unicode MS" w:hAnsi="Arial" w:cs="Arial"/>
                <w:sz w:val="18"/>
                <w:szCs w:val="18"/>
              </w:rPr>
              <w:t xml:space="preserve"> (Notes 1</w:t>
            </w:r>
            <w:r w:rsidR="00B256C2">
              <w:rPr>
                <w:rFonts w:ascii="Arial" w:eastAsia="Arial Unicode MS" w:hAnsi="Arial" w:cs="Arial"/>
                <w:sz w:val="18"/>
                <w:szCs w:val="18"/>
              </w:rPr>
              <w:t>2</w:t>
            </w:r>
            <w:r>
              <w:rPr>
                <w:rFonts w:ascii="Arial" w:eastAsia="Arial Unicode MS" w:hAnsi="Arial" w:cs="Arial"/>
                <w:sz w:val="18"/>
                <w:szCs w:val="18"/>
              </w:rPr>
              <w:t>(i) and 1</w:t>
            </w:r>
            <w:r w:rsidR="00B256C2">
              <w:rPr>
                <w:rFonts w:ascii="Arial" w:eastAsia="Arial Unicode MS" w:hAnsi="Arial" w:cs="Arial"/>
                <w:sz w:val="18"/>
                <w:szCs w:val="18"/>
              </w:rPr>
              <w:t>2</w:t>
            </w:r>
            <w:r>
              <w:rPr>
                <w:rFonts w:ascii="Arial" w:eastAsia="Arial Unicode MS" w:hAnsi="Arial" w:cs="Arial"/>
                <w:sz w:val="18"/>
                <w:szCs w:val="18"/>
              </w:rPr>
              <w:t>(j))</w:t>
            </w:r>
          </w:p>
        </w:tc>
        <w:tc>
          <w:tcPr>
            <w:tcW w:w="1276" w:type="dxa"/>
            <w:gridSpan w:val="2"/>
            <w:tcBorders>
              <w:right w:val="nil"/>
            </w:tcBorders>
            <w:shd w:val="clear" w:color="auto" w:fill="auto"/>
            <w:vAlign w:val="bottom"/>
          </w:tcPr>
          <w:p w14:paraId="37B60907" w14:textId="0841D851"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876,426</w:t>
            </w:r>
          </w:p>
        </w:tc>
        <w:tc>
          <w:tcPr>
            <w:tcW w:w="1244" w:type="dxa"/>
            <w:gridSpan w:val="2"/>
            <w:tcBorders>
              <w:left w:val="nil"/>
              <w:right w:val="nil"/>
            </w:tcBorders>
            <w:shd w:val="clear" w:color="auto" w:fill="auto"/>
            <w:vAlign w:val="bottom"/>
          </w:tcPr>
          <w:p w14:paraId="5D8514E7" w14:textId="65E0B842" w:rsidR="00CA4544" w:rsidRPr="00370EC4" w:rsidRDefault="00CA4544" w:rsidP="00CA4544">
            <w:pPr>
              <w:spacing w:after="0" w:line="240" w:lineRule="auto"/>
              <w:ind w:right="154"/>
              <w:jc w:val="right"/>
              <w:rPr>
                <w:rFonts w:ascii="Arial" w:hAnsi="Arial" w:cs="Arial"/>
                <w:sz w:val="18"/>
                <w:szCs w:val="18"/>
              </w:rPr>
            </w:pPr>
            <w:r>
              <w:rPr>
                <w:rFonts w:ascii="Arial" w:hAnsi="Arial" w:cs="Arial"/>
                <w:sz w:val="18"/>
                <w:szCs w:val="18"/>
              </w:rPr>
              <w:t>548,435</w:t>
            </w:r>
          </w:p>
        </w:tc>
        <w:tc>
          <w:tcPr>
            <w:tcW w:w="992" w:type="dxa"/>
            <w:gridSpan w:val="2"/>
            <w:tcBorders>
              <w:left w:val="nil"/>
              <w:right w:val="nil"/>
            </w:tcBorders>
            <w:vAlign w:val="bottom"/>
          </w:tcPr>
          <w:p w14:paraId="557FC712" w14:textId="02DBE259"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2204DF9F" w14:textId="030852CB" w:rsidR="00CA4544" w:rsidRPr="00370EC4" w:rsidRDefault="00CA4544" w:rsidP="00CA4544">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right w:val="nil"/>
            </w:tcBorders>
            <w:vAlign w:val="bottom"/>
          </w:tcPr>
          <w:p w14:paraId="3003A7B0" w14:textId="1286373E"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1744C502" w14:textId="5F3ED7BE"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4446AECD" w14:textId="0A977AED" w:rsidR="00CA4544" w:rsidRPr="00370EC4" w:rsidRDefault="00CA4544" w:rsidP="00CA4544">
            <w:pPr>
              <w:tabs>
                <w:tab w:val="decimal" w:pos="1126"/>
              </w:tabs>
              <w:spacing w:after="0" w:line="240" w:lineRule="auto"/>
              <w:ind w:right="142"/>
              <w:jc w:val="right"/>
              <w:rPr>
                <w:rFonts w:ascii="Arial" w:hAnsi="Arial" w:cs="Arial"/>
                <w:sz w:val="18"/>
                <w:szCs w:val="18"/>
              </w:rPr>
            </w:pPr>
            <w:r>
              <w:rPr>
                <w:rFonts w:ascii="Arial" w:hAnsi="Arial" w:cs="Arial"/>
                <w:sz w:val="18"/>
                <w:szCs w:val="18"/>
              </w:rPr>
              <w:t>548,435</w:t>
            </w:r>
          </w:p>
        </w:tc>
      </w:tr>
      <w:tr w:rsidR="00CA4544" w:rsidRPr="00370EC4" w14:paraId="6B189E69" w14:textId="77777777" w:rsidTr="00A81BEF">
        <w:trPr>
          <w:gridAfter w:val="1"/>
          <w:wAfter w:w="565" w:type="dxa"/>
          <w:trHeight w:hRule="exact" w:val="672"/>
        </w:trPr>
        <w:tc>
          <w:tcPr>
            <w:tcW w:w="2880" w:type="dxa"/>
            <w:tcBorders>
              <w:left w:val="nil"/>
            </w:tcBorders>
            <w:noWrap/>
            <w:tcMar>
              <w:right w:w="216" w:type="dxa"/>
            </w:tcMar>
            <w:vAlign w:val="bottom"/>
          </w:tcPr>
          <w:p w14:paraId="736FAC9D" w14:textId="1B74D9A9" w:rsidR="00CA4544" w:rsidRPr="00CA4544" w:rsidRDefault="00CA4544" w:rsidP="00CA4544">
            <w:pPr>
              <w:tabs>
                <w:tab w:val="left" w:pos="4050"/>
              </w:tabs>
              <w:spacing w:after="0" w:line="240" w:lineRule="auto"/>
              <w:ind w:right="-36"/>
              <w:rPr>
                <w:rFonts w:ascii="Arial" w:eastAsia="Arial Unicode MS" w:hAnsi="Arial" w:cs="Arial"/>
                <w:sz w:val="18"/>
                <w:szCs w:val="18"/>
              </w:rPr>
            </w:pPr>
            <w:r w:rsidRPr="00CA4544">
              <w:rPr>
                <w:rFonts w:ascii="Arial" w:eastAsia="Arial Unicode MS" w:hAnsi="Arial" w:cs="Arial"/>
                <w:sz w:val="18"/>
                <w:szCs w:val="18"/>
              </w:rPr>
              <w:t xml:space="preserve">Common </w:t>
            </w:r>
            <w:r w:rsidR="0045782B">
              <w:rPr>
                <w:rFonts w:ascii="Arial" w:eastAsia="Arial Unicode MS" w:hAnsi="Arial" w:cs="Arial"/>
                <w:sz w:val="18"/>
                <w:szCs w:val="18"/>
              </w:rPr>
              <w:t>shares</w:t>
            </w:r>
            <w:r w:rsidRPr="00CA4544">
              <w:rPr>
                <w:rFonts w:ascii="Arial" w:eastAsia="Arial Unicode MS" w:hAnsi="Arial" w:cs="Arial"/>
                <w:sz w:val="18"/>
                <w:szCs w:val="18"/>
              </w:rPr>
              <w:t xml:space="preserve"> issued for settlement of </w:t>
            </w:r>
            <w:r w:rsidRPr="000C2D35">
              <w:rPr>
                <w:rFonts w:ascii="Arial" w:eastAsia="Arial Unicode MS" w:hAnsi="Arial" w:cs="Arial"/>
                <w:sz w:val="18"/>
                <w:szCs w:val="18"/>
              </w:rPr>
              <w:t>convertible debenture (Note</w:t>
            </w:r>
            <w:r w:rsidR="000C2D35" w:rsidRPr="000C2D35">
              <w:rPr>
                <w:rFonts w:ascii="Arial" w:eastAsia="Arial Unicode MS" w:hAnsi="Arial" w:cs="Arial"/>
                <w:sz w:val="18"/>
                <w:szCs w:val="18"/>
              </w:rPr>
              <w:t>s</w:t>
            </w:r>
            <w:r w:rsidRPr="000C2D35">
              <w:rPr>
                <w:rFonts w:ascii="Arial" w:eastAsia="Arial Unicode MS" w:hAnsi="Arial" w:cs="Arial"/>
                <w:sz w:val="18"/>
                <w:szCs w:val="18"/>
              </w:rPr>
              <w:t xml:space="preserve"> </w:t>
            </w:r>
            <w:r w:rsidR="00B256C2">
              <w:rPr>
                <w:rFonts w:ascii="Arial" w:eastAsia="Arial Unicode MS" w:hAnsi="Arial" w:cs="Arial"/>
                <w:sz w:val="18"/>
                <w:szCs w:val="18"/>
              </w:rPr>
              <w:t>10</w:t>
            </w:r>
            <w:r w:rsidRPr="000C2D35">
              <w:rPr>
                <w:rFonts w:ascii="Arial" w:eastAsia="Arial Unicode MS" w:hAnsi="Arial" w:cs="Arial"/>
                <w:sz w:val="18"/>
                <w:szCs w:val="18"/>
              </w:rPr>
              <w:t xml:space="preserve"> and </w:t>
            </w:r>
            <w:r w:rsidR="000C2D35" w:rsidRPr="000C2D35">
              <w:rPr>
                <w:rFonts w:ascii="Arial" w:eastAsia="Arial Unicode MS" w:hAnsi="Arial" w:cs="Arial"/>
                <w:sz w:val="18"/>
                <w:szCs w:val="18"/>
              </w:rPr>
              <w:t>1</w:t>
            </w:r>
            <w:r w:rsidR="00B256C2">
              <w:rPr>
                <w:rFonts w:ascii="Arial" w:eastAsia="Arial Unicode MS" w:hAnsi="Arial" w:cs="Arial"/>
                <w:sz w:val="18"/>
                <w:szCs w:val="18"/>
              </w:rPr>
              <w:t>2</w:t>
            </w:r>
            <w:r w:rsidR="000C2D35" w:rsidRPr="000C2D35">
              <w:rPr>
                <w:rFonts w:ascii="Arial" w:eastAsia="Arial Unicode MS" w:hAnsi="Arial" w:cs="Arial"/>
                <w:sz w:val="18"/>
                <w:szCs w:val="18"/>
              </w:rPr>
              <w:t>(k)</w:t>
            </w:r>
            <w:r w:rsidRPr="000C2D35">
              <w:rPr>
                <w:rFonts w:ascii="Arial" w:eastAsia="Arial Unicode MS" w:hAnsi="Arial" w:cs="Arial"/>
                <w:sz w:val="18"/>
                <w:szCs w:val="18"/>
              </w:rPr>
              <w:t>)</w:t>
            </w:r>
          </w:p>
        </w:tc>
        <w:tc>
          <w:tcPr>
            <w:tcW w:w="1276" w:type="dxa"/>
            <w:gridSpan w:val="2"/>
            <w:tcBorders>
              <w:right w:val="nil"/>
            </w:tcBorders>
            <w:shd w:val="clear" w:color="auto" w:fill="auto"/>
            <w:vAlign w:val="bottom"/>
          </w:tcPr>
          <w:p w14:paraId="1E3E0B2F" w14:textId="59B8F104" w:rsidR="00CA4544" w:rsidRDefault="00CA4544" w:rsidP="00CA4544">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3,750,000</w:t>
            </w:r>
          </w:p>
        </w:tc>
        <w:tc>
          <w:tcPr>
            <w:tcW w:w="1244" w:type="dxa"/>
            <w:gridSpan w:val="2"/>
            <w:tcBorders>
              <w:left w:val="nil"/>
              <w:right w:val="nil"/>
            </w:tcBorders>
            <w:shd w:val="clear" w:color="auto" w:fill="auto"/>
            <w:vAlign w:val="bottom"/>
          </w:tcPr>
          <w:p w14:paraId="4D3FBF33" w14:textId="22A38210" w:rsidR="00CA4544" w:rsidRDefault="00CA4544" w:rsidP="00CA4544">
            <w:pPr>
              <w:spacing w:after="0" w:line="240" w:lineRule="auto"/>
              <w:ind w:right="154"/>
              <w:jc w:val="right"/>
              <w:rPr>
                <w:rFonts w:ascii="Arial" w:hAnsi="Arial" w:cs="Arial"/>
                <w:sz w:val="18"/>
                <w:szCs w:val="18"/>
              </w:rPr>
            </w:pPr>
            <w:r>
              <w:rPr>
                <w:rFonts w:ascii="Arial" w:hAnsi="Arial" w:cs="Arial"/>
                <w:sz w:val="18"/>
                <w:szCs w:val="18"/>
              </w:rPr>
              <w:t>1,668,226</w:t>
            </w:r>
          </w:p>
        </w:tc>
        <w:tc>
          <w:tcPr>
            <w:tcW w:w="992" w:type="dxa"/>
            <w:gridSpan w:val="2"/>
            <w:tcBorders>
              <w:left w:val="nil"/>
              <w:right w:val="nil"/>
            </w:tcBorders>
            <w:vAlign w:val="bottom"/>
          </w:tcPr>
          <w:p w14:paraId="2196D90D" w14:textId="6A496BDF"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3311932D" w14:textId="22883739" w:rsidR="00CA4544" w:rsidRPr="00370EC4" w:rsidRDefault="00A734F6" w:rsidP="00CA4544">
            <w:pPr>
              <w:spacing w:after="0" w:line="240" w:lineRule="auto"/>
              <w:ind w:right="5"/>
              <w:jc w:val="right"/>
              <w:rPr>
                <w:rFonts w:ascii="Arial" w:hAnsi="Arial" w:cs="Arial"/>
                <w:sz w:val="18"/>
                <w:szCs w:val="18"/>
              </w:rPr>
            </w:pPr>
            <w:r>
              <w:rPr>
                <w:rFonts w:ascii="Arial" w:hAnsi="Arial" w:cs="Arial"/>
                <w:sz w:val="18"/>
                <w:szCs w:val="18"/>
              </w:rPr>
              <w:t>932,631</w:t>
            </w:r>
          </w:p>
        </w:tc>
        <w:tc>
          <w:tcPr>
            <w:tcW w:w="1435" w:type="dxa"/>
            <w:gridSpan w:val="2"/>
            <w:tcBorders>
              <w:left w:val="nil"/>
              <w:right w:val="nil"/>
            </w:tcBorders>
            <w:vAlign w:val="bottom"/>
          </w:tcPr>
          <w:p w14:paraId="4447FBD1" w14:textId="58A6721D"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18944BEF" w14:textId="44E6E0EE" w:rsidR="00CA4544" w:rsidRPr="00370EC4" w:rsidRDefault="00A734F6"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0C31BC7C" w14:textId="697C5AA9" w:rsidR="00CA4544" w:rsidRDefault="00CA4544" w:rsidP="00CA4544">
            <w:pPr>
              <w:tabs>
                <w:tab w:val="decimal" w:pos="1126"/>
              </w:tabs>
              <w:spacing w:after="0" w:line="240" w:lineRule="auto"/>
              <w:ind w:right="142"/>
              <w:jc w:val="right"/>
              <w:rPr>
                <w:rFonts w:ascii="Arial" w:hAnsi="Arial" w:cs="Arial"/>
                <w:sz w:val="18"/>
                <w:szCs w:val="18"/>
              </w:rPr>
            </w:pPr>
            <w:r>
              <w:rPr>
                <w:rFonts w:ascii="Arial" w:hAnsi="Arial" w:cs="Arial"/>
                <w:sz w:val="18"/>
                <w:szCs w:val="18"/>
              </w:rPr>
              <w:t>2,600,857</w:t>
            </w:r>
          </w:p>
        </w:tc>
      </w:tr>
      <w:tr w:rsidR="00CA4544" w:rsidRPr="00370EC4" w14:paraId="204DBA49" w14:textId="77777777" w:rsidTr="00904B26">
        <w:trPr>
          <w:gridAfter w:val="1"/>
          <w:wAfter w:w="565" w:type="dxa"/>
          <w:trHeight w:hRule="exact" w:val="441"/>
        </w:trPr>
        <w:tc>
          <w:tcPr>
            <w:tcW w:w="2880" w:type="dxa"/>
            <w:tcBorders>
              <w:top w:val="nil"/>
              <w:left w:val="nil"/>
            </w:tcBorders>
            <w:noWrap/>
            <w:tcMar>
              <w:right w:w="216" w:type="dxa"/>
            </w:tcMar>
            <w:vAlign w:val="bottom"/>
          </w:tcPr>
          <w:p w14:paraId="3B424358" w14:textId="6986871E" w:rsidR="00CA4544" w:rsidRPr="00CA4544" w:rsidRDefault="00CA4544" w:rsidP="00CA4544">
            <w:pPr>
              <w:tabs>
                <w:tab w:val="left" w:pos="4050"/>
              </w:tabs>
              <w:spacing w:after="0" w:line="240" w:lineRule="auto"/>
              <w:ind w:right="-36"/>
              <w:rPr>
                <w:rFonts w:ascii="Arial" w:eastAsia="Arial Unicode MS" w:hAnsi="Arial" w:cs="Arial"/>
                <w:sz w:val="18"/>
                <w:szCs w:val="18"/>
              </w:rPr>
            </w:pPr>
            <w:r w:rsidRPr="00CA4544">
              <w:rPr>
                <w:rFonts w:ascii="Arial" w:eastAsia="Arial Unicode MS" w:hAnsi="Arial" w:cs="Arial"/>
                <w:sz w:val="18"/>
                <w:szCs w:val="18"/>
              </w:rPr>
              <w:t>Common shares issued for asset acquisition (Notes 4(b) and 1</w:t>
            </w:r>
            <w:r w:rsidR="00B256C2">
              <w:rPr>
                <w:rFonts w:ascii="Arial" w:eastAsia="Arial Unicode MS" w:hAnsi="Arial" w:cs="Arial"/>
                <w:sz w:val="18"/>
                <w:szCs w:val="18"/>
              </w:rPr>
              <w:t>2</w:t>
            </w:r>
            <w:r w:rsidRPr="00CA4544">
              <w:rPr>
                <w:rFonts w:ascii="Arial" w:eastAsia="Arial Unicode MS" w:hAnsi="Arial" w:cs="Arial"/>
                <w:sz w:val="18"/>
                <w:szCs w:val="18"/>
              </w:rPr>
              <w:t xml:space="preserve">(g)) </w:t>
            </w:r>
          </w:p>
        </w:tc>
        <w:tc>
          <w:tcPr>
            <w:tcW w:w="1276" w:type="dxa"/>
            <w:gridSpan w:val="2"/>
            <w:tcBorders>
              <w:right w:val="nil"/>
            </w:tcBorders>
            <w:shd w:val="clear" w:color="auto" w:fill="auto"/>
            <w:vAlign w:val="bottom"/>
          </w:tcPr>
          <w:p w14:paraId="781E4874" w14:textId="77777777"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5,000,000</w:t>
            </w:r>
          </w:p>
        </w:tc>
        <w:tc>
          <w:tcPr>
            <w:tcW w:w="1244" w:type="dxa"/>
            <w:gridSpan w:val="2"/>
            <w:tcBorders>
              <w:left w:val="nil"/>
              <w:right w:val="nil"/>
            </w:tcBorders>
            <w:shd w:val="clear" w:color="auto" w:fill="auto"/>
            <w:vAlign w:val="bottom"/>
          </w:tcPr>
          <w:p w14:paraId="3CCE80E7" w14:textId="77777777" w:rsidR="00CA4544" w:rsidRPr="00370EC4" w:rsidRDefault="00CA4544" w:rsidP="00CA4544">
            <w:pPr>
              <w:spacing w:after="0" w:line="240" w:lineRule="auto"/>
              <w:ind w:right="154"/>
              <w:jc w:val="right"/>
              <w:rPr>
                <w:rFonts w:ascii="Arial" w:hAnsi="Arial" w:cs="Arial"/>
                <w:sz w:val="18"/>
                <w:szCs w:val="18"/>
              </w:rPr>
            </w:pPr>
            <w:r w:rsidRPr="00370EC4">
              <w:rPr>
                <w:rFonts w:ascii="Arial" w:hAnsi="Arial" w:cs="Arial"/>
                <w:sz w:val="18"/>
                <w:szCs w:val="18"/>
              </w:rPr>
              <w:t>6,650,000</w:t>
            </w:r>
          </w:p>
        </w:tc>
        <w:tc>
          <w:tcPr>
            <w:tcW w:w="992" w:type="dxa"/>
            <w:gridSpan w:val="2"/>
            <w:tcBorders>
              <w:left w:val="nil"/>
              <w:right w:val="nil"/>
            </w:tcBorders>
            <w:vAlign w:val="bottom"/>
          </w:tcPr>
          <w:p w14:paraId="5933F402" w14:textId="77777777"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3924E59E" w14:textId="77777777" w:rsidR="00CA4544" w:rsidRPr="00370EC4" w:rsidRDefault="00CA4544" w:rsidP="00CA4544">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right w:val="nil"/>
            </w:tcBorders>
            <w:vAlign w:val="bottom"/>
          </w:tcPr>
          <w:p w14:paraId="57899FA9"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55BEF840"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1A4691A2" w14:textId="77777777" w:rsidR="00CA4544" w:rsidRPr="00370EC4" w:rsidRDefault="00CA4544" w:rsidP="00CA4544">
            <w:pPr>
              <w:tabs>
                <w:tab w:val="decimal" w:pos="1126"/>
              </w:tabs>
              <w:spacing w:after="0" w:line="240" w:lineRule="auto"/>
              <w:ind w:right="142"/>
              <w:jc w:val="right"/>
              <w:rPr>
                <w:rFonts w:ascii="Arial" w:hAnsi="Arial" w:cs="Arial"/>
                <w:sz w:val="18"/>
                <w:szCs w:val="18"/>
              </w:rPr>
            </w:pPr>
            <w:r w:rsidRPr="00370EC4">
              <w:rPr>
                <w:rFonts w:ascii="Arial" w:hAnsi="Arial" w:cs="Arial"/>
                <w:sz w:val="18"/>
                <w:szCs w:val="18"/>
              </w:rPr>
              <w:t>6,650,000</w:t>
            </w:r>
          </w:p>
        </w:tc>
      </w:tr>
      <w:tr w:rsidR="00CA4544" w:rsidRPr="00370EC4" w14:paraId="2B9E3FE1" w14:textId="77777777" w:rsidTr="00904B26">
        <w:trPr>
          <w:gridAfter w:val="1"/>
          <w:wAfter w:w="565" w:type="dxa"/>
          <w:trHeight w:hRule="exact" w:val="450"/>
        </w:trPr>
        <w:tc>
          <w:tcPr>
            <w:tcW w:w="2880" w:type="dxa"/>
            <w:tcBorders>
              <w:top w:val="nil"/>
              <w:left w:val="nil"/>
            </w:tcBorders>
            <w:noWrap/>
            <w:tcMar>
              <w:right w:w="216" w:type="dxa"/>
            </w:tcMar>
            <w:vAlign w:val="bottom"/>
          </w:tcPr>
          <w:p w14:paraId="60F05277" w14:textId="6B46B603" w:rsidR="00CA4544" w:rsidRPr="00370EC4" w:rsidRDefault="00CA4544" w:rsidP="00CA4544">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Common </w:t>
            </w:r>
            <w:r>
              <w:rPr>
                <w:rFonts w:ascii="Arial" w:eastAsia="Arial Unicode MS" w:hAnsi="Arial" w:cs="Arial"/>
                <w:sz w:val="18"/>
                <w:szCs w:val="18"/>
              </w:rPr>
              <w:t>shares</w:t>
            </w:r>
            <w:r w:rsidRPr="00370EC4">
              <w:rPr>
                <w:rFonts w:ascii="Arial" w:eastAsia="Arial Unicode MS" w:hAnsi="Arial" w:cs="Arial"/>
                <w:sz w:val="18"/>
                <w:szCs w:val="18"/>
              </w:rPr>
              <w:t xml:space="preserve"> issued for </w:t>
            </w:r>
            <w:r>
              <w:rPr>
                <w:rFonts w:ascii="Arial" w:eastAsia="Arial Unicode MS" w:hAnsi="Arial" w:cs="Arial"/>
                <w:sz w:val="18"/>
                <w:szCs w:val="18"/>
              </w:rPr>
              <w:t xml:space="preserve">asset </w:t>
            </w:r>
            <w:r w:rsidRPr="00370EC4">
              <w:rPr>
                <w:rFonts w:ascii="Arial" w:eastAsia="Arial Unicode MS" w:hAnsi="Arial" w:cs="Arial"/>
                <w:sz w:val="18"/>
                <w:szCs w:val="18"/>
              </w:rPr>
              <w:t>acquisition (Note</w:t>
            </w:r>
            <w:r>
              <w:rPr>
                <w:rFonts w:ascii="Arial" w:eastAsia="Arial Unicode MS" w:hAnsi="Arial" w:cs="Arial"/>
                <w:sz w:val="18"/>
                <w:szCs w:val="18"/>
              </w:rPr>
              <w:t>s 4(a) 1</w:t>
            </w:r>
            <w:r w:rsidR="00B256C2">
              <w:rPr>
                <w:rFonts w:ascii="Arial" w:eastAsia="Arial Unicode MS" w:hAnsi="Arial" w:cs="Arial"/>
                <w:sz w:val="18"/>
                <w:szCs w:val="18"/>
              </w:rPr>
              <w:t>2</w:t>
            </w:r>
            <w:r>
              <w:rPr>
                <w:rFonts w:ascii="Arial" w:eastAsia="Arial Unicode MS" w:hAnsi="Arial" w:cs="Arial"/>
                <w:sz w:val="18"/>
                <w:szCs w:val="18"/>
              </w:rPr>
              <w:t>(h)</w:t>
            </w:r>
            <w:r w:rsidRPr="00370EC4">
              <w:rPr>
                <w:rFonts w:ascii="Arial" w:eastAsia="Arial Unicode MS" w:hAnsi="Arial" w:cs="Arial"/>
                <w:sz w:val="18"/>
                <w:szCs w:val="18"/>
              </w:rPr>
              <w:t>)</w:t>
            </w:r>
          </w:p>
        </w:tc>
        <w:tc>
          <w:tcPr>
            <w:tcW w:w="1276" w:type="dxa"/>
            <w:gridSpan w:val="2"/>
            <w:tcBorders>
              <w:right w:val="nil"/>
            </w:tcBorders>
            <w:shd w:val="clear" w:color="auto" w:fill="auto"/>
            <w:vAlign w:val="bottom"/>
          </w:tcPr>
          <w:p w14:paraId="7E989829" w14:textId="77777777"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500,000</w:t>
            </w:r>
          </w:p>
        </w:tc>
        <w:tc>
          <w:tcPr>
            <w:tcW w:w="1244" w:type="dxa"/>
            <w:gridSpan w:val="2"/>
            <w:tcBorders>
              <w:left w:val="nil"/>
              <w:right w:val="nil"/>
            </w:tcBorders>
            <w:shd w:val="clear" w:color="auto" w:fill="auto"/>
            <w:vAlign w:val="bottom"/>
          </w:tcPr>
          <w:p w14:paraId="3F12638B" w14:textId="4AE0D02B" w:rsidR="00CA4544" w:rsidRPr="00370EC4" w:rsidRDefault="00CA4544" w:rsidP="00CA4544">
            <w:pPr>
              <w:spacing w:after="0" w:line="240" w:lineRule="auto"/>
              <w:ind w:right="154"/>
              <w:jc w:val="right"/>
              <w:rPr>
                <w:rFonts w:ascii="Arial" w:hAnsi="Arial" w:cs="Arial"/>
                <w:sz w:val="18"/>
                <w:szCs w:val="18"/>
              </w:rPr>
            </w:pPr>
            <w:r>
              <w:rPr>
                <w:rFonts w:ascii="Arial" w:hAnsi="Arial" w:cs="Arial"/>
                <w:sz w:val="18"/>
                <w:szCs w:val="18"/>
              </w:rPr>
              <w:t>830</w:t>
            </w:r>
            <w:r w:rsidRPr="00370EC4">
              <w:rPr>
                <w:rFonts w:ascii="Arial" w:hAnsi="Arial" w:cs="Arial"/>
                <w:sz w:val="18"/>
                <w:szCs w:val="18"/>
              </w:rPr>
              <w:t>,000</w:t>
            </w:r>
          </w:p>
        </w:tc>
        <w:tc>
          <w:tcPr>
            <w:tcW w:w="992" w:type="dxa"/>
            <w:gridSpan w:val="2"/>
            <w:tcBorders>
              <w:left w:val="nil"/>
              <w:right w:val="nil"/>
            </w:tcBorders>
            <w:vAlign w:val="bottom"/>
          </w:tcPr>
          <w:p w14:paraId="3F818EB5" w14:textId="77777777"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684C8CF8" w14:textId="77777777" w:rsidR="00CA4544" w:rsidRPr="00370EC4" w:rsidRDefault="00CA4544" w:rsidP="00CA4544">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right w:val="nil"/>
            </w:tcBorders>
            <w:vAlign w:val="bottom"/>
          </w:tcPr>
          <w:p w14:paraId="5BC8F06A"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46BC090B"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36B3D279" w14:textId="4E47F9AC" w:rsidR="00CA4544" w:rsidRPr="00370EC4" w:rsidRDefault="00CA4544" w:rsidP="00CA4544">
            <w:pPr>
              <w:tabs>
                <w:tab w:val="decimal" w:pos="1126"/>
              </w:tabs>
              <w:spacing w:after="0" w:line="240" w:lineRule="auto"/>
              <w:ind w:right="142"/>
              <w:jc w:val="right"/>
              <w:rPr>
                <w:rFonts w:ascii="Arial" w:hAnsi="Arial" w:cs="Arial"/>
                <w:sz w:val="18"/>
                <w:szCs w:val="18"/>
              </w:rPr>
            </w:pPr>
            <w:r>
              <w:rPr>
                <w:rFonts w:ascii="Arial" w:hAnsi="Arial" w:cs="Arial"/>
                <w:sz w:val="18"/>
                <w:szCs w:val="18"/>
              </w:rPr>
              <w:t>830</w:t>
            </w:r>
            <w:r w:rsidRPr="00370EC4">
              <w:rPr>
                <w:rFonts w:ascii="Arial" w:hAnsi="Arial" w:cs="Arial"/>
                <w:sz w:val="18"/>
                <w:szCs w:val="18"/>
              </w:rPr>
              <w:t>,000</w:t>
            </w:r>
          </w:p>
        </w:tc>
      </w:tr>
      <w:tr w:rsidR="00CA4544" w:rsidRPr="00370EC4" w14:paraId="5492E0CC" w14:textId="77777777" w:rsidTr="00904B26">
        <w:trPr>
          <w:gridAfter w:val="1"/>
          <w:wAfter w:w="565" w:type="dxa"/>
          <w:trHeight w:hRule="exact" w:val="450"/>
        </w:trPr>
        <w:tc>
          <w:tcPr>
            <w:tcW w:w="2880" w:type="dxa"/>
            <w:tcBorders>
              <w:top w:val="nil"/>
              <w:left w:val="nil"/>
            </w:tcBorders>
            <w:noWrap/>
            <w:tcMar>
              <w:right w:w="216" w:type="dxa"/>
            </w:tcMar>
            <w:vAlign w:val="bottom"/>
          </w:tcPr>
          <w:p w14:paraId="33FFA210" w14:textId="227D6F35" w:rsidR="00CA4544" w:rsidRPr="00370EC4" w:rsidRDefault="00CA4544" w:rsidP="00CA4544">
            <w:pPr>
              <w:tabs>
                <w:tab w:val="left" w:pos="4050"/>
              </w:tabs>
              <w:spacing w:after="0" w:line="240" w:lineRule="auto"/>
              <w:ind w:right="-36"/>
              <w:rPr>
                <w:rFonts w:ascii="Arial" w:eastAsia="Arial Unicode MS" w:hAnsi="Arial" w:cs="Arial"/>
                <w:sz w:val="18"/>
                <w:szCs w:val="18"/>
              </w:rPr>
            </w:pPr>
            <w:r>
              <w:rPr>
                <w:rFonts w:ascii="Arial" w:eastAsia="Arial Unicode MS" w:hAnsi="Arial" w:cs="Arial"/>
                <w:sz w:val="18"/>
                <w:szCs w:val="18"/>
              </w:rPr>
              <w:t>Common shares and warrants issued for cash (Note</w:t>
            </w:r>
            <w:r w:rsidR="000C2D35">
              <w:rPr>
                <w:rFonts w:ascii="Arial" w:eastAsia="Arial Unicode MS" w:hAnsi="Arial" w:cs="Arial"/>
                <w:sz w:val="18"/>
                <w:szCs w:val="18"/>
              </w:rPr>
              <w:t xml:space="preserve"> 1</w:t>
            </w:r>
            <w:r w:rsidR="00B256C2">
              <w:rPr>
                <w:rFonts w:ascii="Arial" w:eastAsia="Arial Unicode MS" w:hAnsi="Arial" w:cs="Arial"/>
                <w:sz w:val="18"/>
                <w:szCs w:val="18"/>
              </w:rPr>
              <w:t>2</w:t>
            </w:r>
            <w:r w:rsidR="000C2D35">
              <w:rPr>
                <w:rFonts w:ascii="Arial" w:eastAsia="Arial Unicode MS" w:hAnsi="Arial" w:cs="Arial"/>
                <w:sz w:val="18"/>
                <w:szCs w:val="18"/>
              </w:rPr>
              <w:t>(l)</w:t>
            </w:r>
            <w:r>
              <w:rPr>
                <w:rFonts w:ascii="Arial" w:eastAsia="Arial Unicode MS" w:hAnsi="Arial" w:cs="Arial"/>
                <w:sz w:val="18"/>
                <w:szCs w:val="18"/>
              </w:rPr>
              <w:t>)</w:t>
            </w:r>
          </w:p>
        </w:tc>
        <w:tc>
          <w:tcPr>
            <w:tcW w:w="1276" w:type="dxa"/>
            <w:gridSpan w:val="2"/>
            <w:tcBorders>
              <w:right w:val="nil"/>
            </w:tcBorders>
            <w:shd w:val="clear" w:color="auto" w:fill="auto"/>
            <w:vAlign w:val="bottom"/>
          </w:tcPr>
          <w:p w14:paraId="70F8FE60" w14:textId="6E810850"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3,328,250</w:t>
            </w:r>
          </w:p>
        </w:tc>
        <w:tc>
          <w:tcPr>
            <w:tcW w:w="1244" w:type="dxa"/>
            <w:gridSpan w:val="2"/>
            <w:tcBorders>
              <w:left w:val="nil"/>
              <w:right w:val="nil"/>
            </w:tcBorders>
            <w:shd w:val="clear" w:color="auto" w:fill="auto"/>
            <w:vAlign w:val="bottom"/>
          </w:tcPr>
          <w:p w14:paraId="1B439C6B" w14:textId="6FA29921" w:rsidR="00CA4544" w:rsidRDefault="00CA4544" w:rsidP="00CA4544">
            <w:pPr>
              <w:spacing w:after="0" w:line="240" w:lineRule="auto"/>
              <w:ind w:right="154"/>
              <w:jc w:val="right"/>
              <w:rPr>
                <w:rFonts w:ascii="Arial" w:hAnsi="Arial" w:cs="Arial"/>
                <w:sz w:val="18"/>
                <w:szCs w:val="18"/>
              </w:rPr>
            </w:pPr>
            <w:r>
              <w:rPr>
                <w:rFonts w:ascii="Arial" w:hAnsi="Arial" w:cs="Arial"/>
                <w:sz w:val="18"/>
                <w:szCs w:val="18"/>
              </w:rPr>
              <w:t>1,263,316</w:t>
            </w:r>
          </w:p>
        </w:tc>
        <w:tc>
          <w:tcPr>
            <w:tcW w:w="992" w:type="dxa"/>
            <w:gridSpan w:val="2"/>
            <w:tcBorders>
              <w:left w:val="nil"/>
              <w:right w:val="nil"/>
            </w:tcBorders>
            <w:vAlign w:val="bottom"/>
          </w:tcPr>
          <w:p w14:paraId="0BD46BF2" w14:textId="2180A405"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6F3DE9CB" w14:textId="5F211A66" w:rsidR="00CA4544" w:rsidRPr="00370EC4" w:rsidRDefault="00CA4544" w:rsidP="00CA4544">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right w:val="nil"/>
            </w:tcBorders>
            <w:vAlign w:val="bottom"/>
          </w:tcPr>
          <w:p w14:paraId="353F0A81" w14:textId="13FE98F1"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4E82D725" w14:textId="293E1FE2"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0C848FF2" w14:textId="1A7CE94D" w:rsidR="00CA4544" w:rsidRDefault="00CA4544" w:rsidP="00CA4544">
            <w:pPr>
              <w:tabs>
                <w:tab w:val="decimal" w:pos="1126"/>
              </w:tabs>
              <w:spacing w:after="0" w:line="240" w:lineRule="auto"/>
              <w:ind w:right="142"/>
              <w:jc w:val="right"/>
              <w:rPr>
                <w:rFonts w:ascii="Arial" w:hAnsi="Arial" w:cs="Arial"/>
                <w:sz w:val="18"/>
                <w:szCs w:val="18"/>
              </w:rPr>
            </w:pPr>
            <w:r>
              <w:rPr>
                <w:rFonts w:ascii="Arial" w:hAnsi="Arial" w:cs="Arial"/>
                <w:sz w:val="18"/>
                <w:szCs w:val="18"/>
              </w:rPr>
              <w:t>1,263,316</w:t>
            </w:r>
          </w:p>
        </w:tc>
      </w:tr>
      <w:tr w:rsidR="00CA4544" w:rsidRPr="00370EC4" w14:paraId="2F2F873C" w14:textId="77777777" w:rsidTr="00904B26">
        <w:trPr>
          <w:gridAfter w:val="1"/>
          <w:wAfter w:w="565" w:type="dxa"/>
          <w:trHeight w:hRule="exact" w:val="261"/>
        </w:trPr>
        <w:tc>
          <w:tcPr>
            <w:tcW w:w="2880" w:type="dxa"/>
            <w:tcBorders>
              <w:top w:val="nil"/>
              <w:left w:val="nil"/>
            </w:tcBorders>
            <w:noWrap/>
            <w:tcMar>
              <w:right w:w="216" w:type="dxa"/>
            </w:tcMar>
            <w:vAlign w:val="bottom"/>
          </w:tcPr>
          <w:p w14:paraId="3A4A322D" w14:textId="77777777" w:rsidR="00CA4544" w:rsidRPr="00370EC4" w:rsidRDefault="00CA4544" w:rsidP="00CA4544">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Warrants issued for finder’s fee</w:t>
            </w:r>
          </w:p>
        </w:tc>
        <w:tc>
          <w:tcPr>
            <w:tcW w:w="1276" w:type="dxa"/>
            <w:gridSpan w:val="2"/>
            <w:tcBorders>
              <w:right w:val="nil"/>
            </w:tcBorders>
            <w:shd w:val="clear" w:color="auto" w:fill="auto"/>
            <w:vAlign w:val="bottom"/>
          </w:tcPr>
          <w:p w14:paraId="4B73AE08" w14:textId="77777777"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44" w:type="dxa"/>
            <w:gridSpan w:val="2"/>
            <w:tcBorders>
              <w:left w:val="nil"/>
              <w:right w:val="nil"/>
            </w:tcBorders>
            <w:shd w:val="clear" w:color="auto" w:fill="auto"/>
            <w:vAlign w:val="bottom"/>
          </w:tcPr>
          <w:p w14:paraId="2FE83FE6" w14:textId="77777777" w:rsidR="00CA4544" w:rsidRPr="00370EC4" w:rsidRDefault="00CA4544" w:rsidP="00CA4544">
            <w:pPr>
              <w:spacing w:after="0" w:line="240" w:lineRule="auto"/>
              <w:ind w:right="154"/>
              <w:jc w:val="right"/>
              <w:rPr>
                <w:rFonts w:ascii="Arial" w:hAnsi="Arial" w:cs="Arial"/>
                <w:sz w:val="18"/>
                <w:szCs w:val="18"/>
              </w:rPr>
            </w:pPr>
            <w:r w:rsidRPr="00370EC4">
              <w:rPr>
                <w:rFonts w:ascii="Arial" w:hAnsi="Arial" w:cs="Arial"/>
                <w:sz w:val="18"/>
                <w:szCs w:val="18"/>
              </w:rPr>
              <w:t>–</w:t>
            </w:r>
          </w:p>
        </w:tc>
        <w:tc>
          <w:tcPr>
            <w:tcW w:w="992" w:type="dxa"/>
            <w:gridSpan w:val="2"/>
            <w:tcBorders>
              <w:left w:val="nil"/>
              <w:right w:val="nil"/>
            </w:tcBorders>
            <w:vAlign w:val="bottom"/>
          </w:tcPr>
          <w:p w14:paraId="7BE82FF8" w14:textId="77777777"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15853FFF" w14:textId="0CF9C0A2" w:rsidR="00CA4544" w:rsidRPr="00370EC4" w:rsidRDefault="00CA4544" w:rsidP="00CA4544">
            <w:pPr>
              <w:spacing w:after="0" w:line="240" w:lineRule="auto"/>
              <w:ind w:right="5"/>
              <w:jc w:val="right"/>
              <w:rPr>
                <w:rFonts w:ascii="Arial" w:hAnsi="Arial" w:cs="Arial"/>
                <w:sz w:val="18"/>
                <w:szCs w:val="18"/>
              </w:rPr>
            </w:pPr>
            <w:r>
              <w:rPr>
                <w:rFonts w:ascii="Arial" w:hAnsi="Arial" w:cs="Arial"/>
                <w:sz w:val="18"/>
                <w:szCs w:val="18"/>
              </w:rPr>
              <w:t>174,813</w:t>
            </w:r>
          </w:p>
        </w:tc>
        <w:tc>
          <w:tcPr>
            <w:tcW w:w="1435" w:type="dxa"/>
            <w:gridSpan w:val="2"/>
            <w:tcBorders>
              <w:left w:val="nil"/>
              <w:right w:val="nil"/>
            </w:tcBorders>
            <w:vAlign w:val="bottom"/>
          </w:tcPr>
          <w:p w14:paraId="33F4D9B4"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53508D7B"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54507F46" w14:textId="504307F0" w:rsidR="00CA4544" w:rsidRPr="00370EC4" w:rsidRDefault="00CA4544" w:rsidP="00CA4544">
            <w:pPr>
              <w:tabs>
                <w:tab w:val="decimal" w:pos="1126"/>
              </w:tabs>
              <w:spacing w:after="0" w:line="240" w:lineRule="auto"/>
              <w:ind w:right="142"/>
              <w:jc w:val="right"/>
              <w:rPr>
                <w:rFonts w:ascii="Arial" w:hAnsi="Arial" w:cs="Arial"/>
                <w:sz w:val="18"/>
                <w:szCs w:val="18"/>
              </w:rPr>
            </w:pPr>
            <w:r>
              <w:rPr>
                <w:rFonts w:ascii="Arial" w:hAnsi="Arial" w:cs="Arial"/>
                <w:sz w:val="18"/>
                <w:szCs w:val="18"/>
              </w:rPr>
              <w:t>174,813</w:t>
            </w:r>
          </w:p>
        </w:tc>
      </w:tr>
      <w:tr w:rsidR="00CA4544" w:rsidRPr="00370EC4" w14:paraId="25E2D29B" w14:textId="77777777" w:rsidTr="00904B26">
        <w:trPr>
          <w:gridAfter w:val="1"/>
          <w:wAfter w:w="565" w:type="dxa"/>
          <w:trHeight w:hRule="exact" w:val="261"/>
        </w:trPr>
        <w:tc>
          <w:tcPr>
            <w:tcW w:w="2880" w:type="dxa"/>
            <w:tcBorders>
              <w:top w:val="nil"/>
              <w:left w:val="nil"/>
            </w:tcBorders>
            <w:noWrap/>
            <w:tcMar>
              <w:right w:w="216" w:type="dxa"/>
            </w:tcMar>
            <w:vAlign w:val="bottom"/>
          </w:tcPr>
          <w:p w14:paraId="0F2D203A" w14:textId="301399D8" w:rsidR="00CA4544" w:rsidRPr="00370EC4" w:rsidRDefault="00CA4544" w:rsidP="00CA4544">
            <w:pPr>
              <w:tabs>
                <w:tab w:val="left" w:pos="4050"/>
              </w:tabs>
              <w:spacing w:after="0" w:line="240" w:lineRule="auto"/>
              <w:ind w:right="-36"/>
              <w:rPr>
                <w:rFonts w:ascii="Arial" w:eastAsia="Arial Unicode MS" w:hAnsi="Arial" w:cs="Arial"/>
                <w:sz w:val="18"/>
                <w:szCs w:val="18"/>
              </w:rPr>
            </w:pPr>
            <w:r>
              <w:rPr>
                <w:rFonts w:ascii="Arial" w:eastAsia="Arial Unicode MS" w:hAnsi="Arial" w:cs="Arial"/>
                <w:sz w:val="18"/>
                <w:szCs w:val="18"/>
              </w:rPr>
              <w:t>Beneficial conversion feature</w:t>
            </w:r>
          </w:p>
        </w:tc>
        <w:tc>
          <w:tcPr>
            <w:tcW w:w="1276" w:type="dxa"/>
            <w:gridSpan w:val="2"/>
            <w:tcBorders>
              <w:right w:val="nil"/>
            </w:tcBorders>
            <w:shd w:val="clear" w:color="auto" w:fill="auto"/>
            <w:vAlign w:val="bottom"/>
          </w:tcPr>
          <w:p w14:paraId="5139F808" w14:textId="7D105811"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44" w:type="dxa"/>
            <w:gridSpan w:val="2"/>
            <w:tcBorders>
              <w:left w:val="nil"/>
              <w:right w:val="nil"/>
            </w:tcBorders>
            <w:shd w:val="clear" w:color="auto" w:fill="auto"/>
            <w:vAlign w:val="bottom"/>
          </w:tcPr>
          <w:p w14:paraId="37ED3621" w14:textId="770F8D4B" w:rsidR="00CA4544" w:rsidRPr="00370EC4" w:rsidRDefault="00CA4544" w:rsidP="00CA4544">
            <w:pPr>
              <w:spacing w:after="0" w:line="240" w:lineRule="auto"/>
              <w:ind w:right="154"/>
              <w:jc w:val="right"/>
              <w:rPr>
                <w:rFonts w:ascii="Arial" w:hAnsi="Arial" w:cs="Arial"/>
                <w:sz w:val="18"/>
                <w:szCs w:val="18"/>
              </w:rPr>
            </w:pPr>
            <w:r w:rsidRPr="00370EC4">
              <w:rPr>
                <w:rFonts w:ascii="Arial" w:hAnsi="Arial" w:cs="Arial"/>
                <w:sz w:val="18"/>
                <w:szCs w:val="18"/>
              </w:rPr>
              <w:t>–</w:t>
            </w:r>
          </w:p>
        </w:tc>
        <w:tc>
          <w:tcPr>
            <w:tcW w:w="992" w:type="dxa"/>
            <w:gridSpan w:val="2"/>
            <w:tcBorders>
              <w:left w:val="nil"/>
              <w:right w:val="nil"/>
            </w:tcBorders>
            <w:vAlign w:val="bottom"/>
          </w:tcPr>
          <w:p w14:paraId="2242670F" w14:textId="2AAC5FAC"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68786078" w14:textId="13F64DE6" w:rsidR="00CA4544" w:rsidRDefault="00CA4544" w:rsidP="00CA4544">
            <w:pPr>
              <w:spacing w:after="0" w:line="240" w:lineRule="auto"/>
              <w:ind w:right="5"/>
              <w:jc w:val="right"/>
              <w:rPr>
                <w:rFonts w:ascii="Arial" w:hAnsi="Arial" w:cs="Arial"/>
                <w:sz w:val="18"/>
                <w:szCs w:val="18"/>
              </w:rPr>
            </w:pPr>
            <w:r>
              <w:rPr>
                <w:rFonts w:ascii="Arial" w:hAnsi="Arial" w:cs="Arial"/>
                <w:sz w:val="18"/>
                <w:szCs w:val="18"/>
              </w:rPr>
              <w:t>185,753</w:t>
            </w:r>
          </w:p>
        </w:tc>
        <w:tc>
          <w:tcPr>
            <w:tcW w:w="1435" w:type="dxa"/>
            <w:gridSpan w:val="2"/>
            <w:tcBorders>
              <w:left w:val="nil"/>
              <w:right w:val="nil"/>
            </w:tcBorders>
            <w:vAlign w:val="bottom"/>
          </w:tcPr>
          <w:p w14:paraId="6D19DA5F" w14:textId="77777777" w:rsidR="00CA4544" w:rsidRPr="00370EC4" w:rsidRDefault="00CA4544" w:rsidP="00CA4544">
            <w:pPr>
              <w:tabs>
                <w:tab w:val="left" w:pos="1080"/>
              </w:tabs>
              <w:spacing w:after="0" w:line="240" w:lineRule="auto"/>
              <w:ind w:right="90"/>
              <w:jc w:val="right"/>
              <w:rPr>
                <w:rFonts w:ascii="Arial" w:hAnsi="Arial" w:cs="Arial"/>
                <w:sz w:val="18"/>
                <w:szCs w:val="18"/>
              </w:rPr>
            </w:pPr>
          </w:p>
        </w:tc>
        <w:tc>
          <w:tcPr>
            <w:tcW w:w="1276" w:type="dxa"/>
            <w:gridSpan w:val="2"/>
            <w:tcBorders>
              <w:left w:val="nil"/>
              <w:right w:val="nil"/>
            </w:tcBorders>
            <w:shd w:val="clear" w:color="auto" w:fill="auto"/>
            <w:vAlign w:val="bottom"/>
          </w:tcPr>
          <w:p w14:paraId="13DB553E" w14:textId="77777777" w:rsidR="00CA4544" w:rsidRPr="00370EC4" w:rsidRDefault="00CA4544" w:rsidP="00CA4544">
            <w:pPr>
              <w:tabs>
                <w:tab w:val="left" w:pos="1080"/>
              </w:tabs>
              <w:spacing w:after="0" w:line="240" w:lineRule="auto"/>
              <w:ind w:right="90"/>
              <w:jc w:val="right"/>
              <w:rPr>
                <w:rFonts w:ascii="Arial" w:hAnsi="Arial" w:cs="Arial"/>
                <w:sz w:val="18"/>
                <w:szCs w:val="18"/>
              </w:rPr>
            </w:pPr>
          </w:p>
        </w:tc>
        <w:tc>
          <w:tcPr>
            <w:tcW w:w="1303" w:type="dxa"/>
            <w:gridSpan w:val="2"/>
            <w:tcBorders>
              <w:left w:val="nil"/>
              <w:right w:val="nil"/>
            </w:tcBorders>
            <w:shd w:val="clear" w:color="auto" w:fill="auto"/>
            <w:vAlign w:val="bottom"/>
          </w:tcPr>
          <w:p w14:paraId="6061E032" w14:textId="7755CAC9" w:rsidR="00CA4544" w:rsidRPr="00370EC4" w:rsidRDefault="00CA4544" w:rsidP="00CA4544">
            <w:pPr>
              <w:tabs>
                <w:tab w:val="decimal" w:pos="1126"/>
              </w:tabs>
              <w:spacing w:after="0" w:line="240" w:lineRule="auto"/>
              <w:ind w:right="142"/>
              <w:jc w:val="right"/>
              <w:rPr>
                <w:rFonts w:ascii="Arial" w:hAnsi="Arial" w:cs="Arial"/>
                <w:sz w:val="18"/>
                <w:szCs w:val="18"/>
              </w:rPr>
            </w:pPr>
            <w:r>
              <w:rPr>
                <w:rFonts w:ascii="Arial" w:hAnsi="Arial" w:cs="Arial"/>
                <w:sz w:val="18"/>
                <w:szCs w:val="18"/>
              </w:rPr>
              <w:t>185,753</w:t>
            </w:r>
          </w:p>
        </w:tc>
      </w:tr>
      <w:tr w:rsidR="00CA4544" w:rsidRPr="00370EC4" w14:paraId="52B30265" w14:textId="77777777" w:rsidTr="00904B26">
        <w:trPr>
          <w:gridAfter w:val="1"/>
          <w:wAfter w:w="565" w:type="dxa"/>
          <w:trHeight w:hRule="exact" w:val="261"/>
        </w:trPr>
        <w:tc>
          <w:tcPr>
            <w:tcW w:w="2880" w:type="dxa"/>
            <w:tcBorders>
              <w:top w:val="nil"/>
              <w:left w:val="nil"/>
            </w:tcBorders>
            <w:noWrap/>
            <w:tcMar>
              <w:right w:w="216" w:type="dxa"/>
            </w:tcMar>
            <w:vAlign w:val="bottom"/>
          </w:tcPr>
          <w:p w14:paraId="4D63C45D" w14:textId="4B1936B3" w:rsidR="00CA4544" w:rsidRPr="00370EC4" w:rsidRDefault="00CA4544" w:rsidP="00CA4544">
            <w:pPr>
              <w:tabs>
                <w:tab w:val="left" w:pos="4050"/>
              </w:tabs>
              <w:spacing w:after="0" w:line="240" w:lineRule="auto"/>
              <w:ind w:right="-36"/>
              <w:rPr>
                <w:rFonts w:ascii="Arial" w:eastAsia="Arial Unicode MS" w:hAnsi="Arial" w:cs="Arial"/>
                <w:sz w:val="18"/>
                <w:szCs w:val="18"/>
              </w:rPr>
            </w:pPr>
            <w:r>
              <w:rPr>
                <w:rFonts w:ascii="Arial" w:eastAsia="Arial Unicode MS" w:hAnsi="Arial" w:cs="Arial"/>
                <w:sz w:val="18"/>
                <w:szCs w:val="18"/>
              </w:rPr>
              <w:t>Share-based payment</w:t>
            </w:r>
            <w:r w:rsidR="0045782B">
              <w:rPr>
                <w:rFonts w:ascii="Arial" w:eastAsia="Arial Unicode MS" w:hAnsi="Arial" w:cs="Arial"/>
                <w:sz w:val="18"/>
                <w:szCs w:val="18"/>
              </w:rPr>
              <w:t>s</w:t>
            </w:r>
            <w:r w:rsidRPr="00370EC4">
              <w:rPr>
                <w:rFonts w:ascii="Arial" w:eastAsia="Arial Unicode MS" w:hAnsi="Arial" w:cs="Arial"/>
                <w:sz w:val="18"/>
                <w:szCs w:val="18"/>
              </w:rPr>
              <w:t xml:space="preserve"> </w:t>
            </w:r>
          </w:p>
        </w:tc>
        <w:tc>
          <w:tcPr>
            <w:tcW w:w="1276" w:type="dxa"/>
            <w:gridSpan w:val="2"/>
            <w:tcBorders>
              <w:right w:val="nil"/>
            </w:tcBorders>
            <w:shd w:val="clear" w:color="auto" w:fill="auto"/>
            <w:vAlign w:val="bottom"/>
          </w:tcPr>
          <w:p w14:paraId="07710D23" w14:textId="77777777"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44" w:type="dxa"/>
            <w:gridSpan w:val="2"/>
            <w:tcBorders>
              <w:left w:val="nil"/>
              <w:right w:val="nil"/>
            </w:tcBorders>
            <w:shd w:val="clear" w:color="auto" w:fill="auto"/>
            <w:vAlign w:val="bottom"/>
          </w:tcPr>
          <w:p w14:paraId="1711BA07" w14:textId="77777777" w:rsidR="00CA4544" w:rsidRPr="00370EC4" w:rsidRDefault="00CA4544" w:rsidP="00CA4544">
            <w:pPr>
              <w:spacing w:after="0" w:line="240" w:lineRule="auto"/>
              <w:ind w:right="154"/>
              <w:jc w:val="right"/>
              <w:rPr>
                <w:rFonts w:ascii="Arial" w:hAnsi="Arial" w:cs="Arial"/>
                <w:sz w:val="18"/>
                <w:szCs w:val="18"/>
              </w:rPr>
            </w:pPr>
            <w:r w:rsidRPr="00370EC4">
              <w:rPr>
                <w:rFonts w:ascii="Arial" w:hAnsi="Arial" w:cs="Arial"/>
                <w:sz w:val="18"/>
                <w:szCs w:val="18"/>
              </w:rPr>
              <w:t>–</w:t>
            </w:r>
          </w:p>
        </w:tc>
        <w:tc>
          <w:tcPr>
            <w:tcW w:w="992" w:type="dxa"/>
            <w:gridSpan w:val="2"/>
            <w:tcBorders>
              <w:left w:val="nil"/>
              <w:right w:val="nil"/>
            </w:tcBorders>
            <w:vAlign w:val="bottom"/>
          </w:tcPr>
          <w:p w14:paraId="1E1A6EDE" w14:textId="77777777"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771C09B2" w14:textId="54827520" w:rsidR="00CA4544" w:rsidRPr="00370EC4" w:rsidRDefault="00CA4544" w:rsidP="00CA4544">
            <w:pPr>
              <w:spacing w:after="0" w:line="240" w:lineRule="auto"/>
              <w:ind w:right="5"/>
              <w:jc w:val="right"/>
              <w:rPr>
                <w:rFonts w:ascii="Arial" w:hAnsi="Arial" w:cs="Arial"/>
                <w:sz w:val="18"/>
                <w:szCs w:val="18"/>
              </w:rPr>
            </w:pPr>
            <w:r>
              <w:rPr>
                <w:rFonts w:ascii="Arial" w:hAnsi="Arial" w:cs="Arial"/>
                <w:sz w:val="18"/>
                <w:szCs w:val="18"/>
              </w:rPr>
              <w:t>75,164</w:t>
            </w:r>
          </w:p>
        </w:tc>
        <w:tc>
          <w:tcPr>
            <w:tcW w:w="1435" w:type="dxa"/>
            <w:gridSpan w:val="2"/>
            <w:tcBorders>
              <w:left w:val="nil"/>
              <w:right w:val="nil"/>
            </w:tcBorders>
            <w:vAlign w:val="bottom"/>
          </w:tcPr>
          <w:p w14:paraId="09ACE3B5"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48A85BEA"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7DDAEC95" w14:textId="08462151" w:rsidR="00CA4544" w:rsidRPr="00370EC4" w:rsidRDefault="00816155" w:rsidP="00CA4544">
            <w:pPr>
              <w:tabs>
                <w:tab w:val="decimal" w:pos="1126"/>
              </w:tabs>
              <w:spacing w:after="0" w:line="240" w:lineRule="auto"/>
              <w:ind w:right="142"/>
              <w:jc w:val="right"/>
              <w:rPr>
                <w:rFonts w:ascii="Arial" w:hAnsi="Arial" w:cs="Arial"/>
                <w:sz w:val="18"/>
                <w:szCs w:val="18"/>
              </w:rPr>
            </w:pPr>
            <w:r>
              <w:rPr>
                <w:rFonts w:ascii="Arial" w:hAnsi="Arial" w:cs="Arial"/>
                <w:sz w:val="18"/>
                <w:szCs w:val="18"/>
              </w:rPr>
              <w:t>75,164</w:t>
            </w:r>
          </w:p>
        </w:tc>
      </w:tr>
      <w:tr w:rsidR="00CA4544" w:rsidRPr="00370EC4" w14:paraId="4C511B8D" w14:textId="77777777" w:rsidTr="00904B26">
        <w:trPr>
          <w:gridAfter w:val="1"/>
          <w:wAfter w:w="565" w:type="dxa"/>
          <w:trHeight w:val="267"/>
        </w:trPr>
        <w:tc>
          <w:tcPr>
            <w:tcW w:w="2880" w:type="dxa"/>
            <w:tcBorders>
              <w:top w:val="nil"/>
              <w:left w:val="nil"/>
              <w:bottom w:val="single" w:sz="4" w:space="0" w:color="auto"/>
            </w:tcBorders>
            <w:noWrap/>
            <w:tcMar>
              <w:right w:w="216" w:type="dxa"/>
            </w:tcMar>
            <w:vAlign w:val="bottom"/>
          </w:tcPr>
          <w:p w14:paraId="386FB6AE" w14:textId="77777777" w:rsidR="00CA4544" w:rsidRPr="00370EC4" w:rsidRDefault="00CA4544" w:rsidP="00CA4544">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Net loss</w:t>
            </w:r>
          </w:p>
        </w:tc>
        <w:tc>
          <w:tcPr>
            <w:tcW w:w="1276" w:type="dxa"/>
            <w:gridSpan w:val="2"/>
            <w:tcBorders>
              <w:bottom w:val="single" w:sz="4" w:space="0" w:color="auto"/>
              <w:right w:val="nil"/>
            </w:tcBorders>
            <w:shd w:val="clear" w:color="auto" w:fill="auto"/>
            <w:vAlign w:val="bottom"/>
          </w:tcPr>
          <w:p w14:paraId="30C010D2" w14:textId="77777777"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44" w:type="dxa"/>
            <w:gridSpan w:val="2"/>
            <w:tcBorders>
              <w:left w:val="nil"/>
              <w:bottom w:val="single" w:sz="4" w:space="0" w:color="auto"/>
              <w:right w:val="nil"/>
            </w:tcBorders>
            <w:shd w:val="clear" w:color="auto" w:fill="auto"/>
            <w:vAlign w:val="bottom"/>
          </w:tcPr>
          <w:p w14:paraId="53521970" w14:textId="77777777" w:rsidR="00CA4544" w:rsidRPr="00370EC4" w:rsidRDefault="00CA4544" w:rsidP="00CA4544">
            <w:pPr>
              <w:spacing w:after="0" w:line="240" w:lineRule="auto"/>
              <w:ind w:right="154"/>
              <w:jc w:val="right"/>
              <w:rPr>
                <w:rFonts w:ascii="Arial" w:hAnsi="Arial" w:cs="Arial"/>
                <w:sz w:val="18"/>
                <w:szCs w:val="18"/>
              </w:rPr>
            </w:pPr>
            <w:r w:rsidRPr="00370EC4">
              <w:rPr>
                <w:rFonts w:ascii="Arial" w:hAnsi="Arial" w:cs="Arial"/>
                <w:sz w:val="18"/>
                <w:szCs w:val="18"/>
              </w:rPr>
              <w:t>–</w:t>
            </w:r>
          </w:p>
        </w:tc>
        <w:tc>
          <w:tcPr>
            <w:tcW w:w="992" w:type="dxa"/>
            <w:gridSpan w:val="2"/>
            <w:tcBorders>
              <w:left w:val="nil"/>
              <w:bottom w:val="single" w:sz="4" w:space="0" w:color="auto"/>
              <w:right w:val="nil"/>
            </w:tcBorders>
            <w:vAlign w:val="bottom"/>
          </w:tcPr>
          <w:p w14:paraId="0FA6ACAA" w14:textId="77777777"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bottom w:val="single" w:sz="4" w:space="0" w:color="auto"/>
              <w:right w:val="nil"/>
            </w:tcBorders>
            <w:vAlign w:val="bottom"/>
          </w:tcPr>
          <w:p w14:paraId="083ABA79" w14:textId="77777777" w:rsidR="00CA4544" w:rsidRPr="00370EC4" w:rsidRDefault="00CA4544" w:rsidP="00CA4544">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bottom w:val="single" w:sz="4" w:space="0" w:color="auto"/>
              <w:right w:val="nil"/>
            </w:tcBorders>
            <w:vAlign w:val="bottom"/>
          </w:tcPr>
          <w:p w14:paraId="501056B9" w14:textId="7BE17D0A" w:rsidR="00CA4544" w:rsidRPr="00370EC4" w:rsidRDefault="00816155" w:rsidP="00CA4544">
            <w:pPr>
              <w:tabs>
                <w:tab w:val="left" w:pos="1080"/>
              </w:tabs>
              <w:spacing w:after="0" w:line="240" w:lineRule="auto"/>
              <w:ind w:right="90"/>
              <w:jc w:val="right"/>
              <w:rPr>
                <w:rFonts w:ascii="Arial" w:hAnsi="Arial" w:cs="Arial"/>
                <w:sz w:val="18"/>
                <w:szCs w:val="18"/>
              </w:rPr>
            </w:pPr>
            <w:r>
              <w:rPr>
                <w:rFonts w:ascii="Arial" w:hAnsi="Arial" w:cs="Arial"/>
                <w:sz w:val="18"/>
                <w:szCs w:val="18"/>
              </w:rPr>
              <w:t>114,482</w:t>
            </w:r>
          </w:p>
        </w:tc>
        <w:tc>
          <w:tcPr>
            <w:tcW w:w="1276" w:type="dxa"/>
            <w:gridSpan w:val="2"/>
            <w:tcBorders>
              <w:left w:val="nil"/>
              <w:bottom w:val="single" w:sz="4" w:space="0" w:color="auto"/>
              <w:right w:val="nil"/>
            </w:tcBorders>
            <w:shd w:val="clear" w:color="auto" w:fill="auto"/>
            <w:vAlign w:val="bottom"/>
          </w:tcPr>
          <w:p w14:paraId="1DDBDBD7" w14:textId="2A6C7462"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r w:rsidR="00816155">
              <w:rPr>
                <w:rFonts w:ascii="Arial" w:hAnsi="Arial" w:cs="Arial"/>
                <w:sz w:val="18"/>
                <w:szCs w:val="18"/>
              </w:rPr>
              <w:t>7,608,933</w:t>
            </w:r>
            <w:r>
              <w:rPr>
                <w:rFonts w:ascii="Arial" w:hAnsi="Arial" w:cs="Arial"/>
                <w:sz w:val="18"/>
                <w:szCs w:val="18"/>
              </w:rPr>
              <w:t>)</w:t>
            </w:r>
          </w:p>
        </w:tc>
        <w:tc>
          <w:tcPr>
            <w:tcW w:w="1303" w:type="dxa"/>
            <w:gridSpan w:val="2"/>
            <w:tcBorders>
              <w:left w:val="nil"/>
              <w:bottom w:val="single" w:sz="4" w:space="0" w:color="auto"/>
              <w:right w:val="nil"/>
            </w:tcBorders>
            <w:shd w:val="clear" w:color="auto" w:fill="auto"/>
            <w:vAlign w:val="bottom"/>
          </w:tcPr>
          <w:p w14:paraId="168D7869" w14:textId="5CBADF32" w:rsidR="00CA4544" w:rsidRPr="00370EC4" w:rsidRDefault="00CA4544" w:rsidP="00CA4544">
            <w:pPr>
              <w:tabs>
                <w:tab w:val="decimal" w:pos="1126"/>
              </w:tabs>
              <w:spacing w:after="0" w:line="240" w:lineRule="auto"/>
              <w:ind w:right="142"/>
              <w:jc w:val="right"/>
              <w:rPr>
                <w:rFonts w:ascii="Arial" w:hAnsi="Arial" w:cs="Arial"/>
                <w:sz w:val="18"/>
                <w:szCs w:val="18"/>
              </w:rPr>
            </w:pPr>
            <w:r w:rsidRPr="00370EC4">
              <w:rPr>
                <w:rFonts w:ascii="Arial" w:hAnsi="Arial" w:cs="Arial"/>
                <w:sz w:val="18"/>
                <w:szCs w:val="18"/>
              </w:rPr>
              <w:t>(</w:t>
            </w:r>
            <w:r w:rsidR="00816155">
              <w:rPr>
                <w:rFonts w:ascii="Arial" w:hAnsi="Arial" w:cs="Arial"/>
                <w:sz w:val="18"/>
                <w:szCs w:val="18"/>
              </w:rPr>
              <w:t>7,494,451</w:t>
            </w:r>
            <w:r w:rsidRPr="00370EC4">
              <w:rPr>
                <w:rFonts w:ascii="Arial" w:hAnsi="Arial" w:cs="Arial"/>
                <w:sz w:val="18"/>
                <w:szCs w:val="18"/>
              </w:rPr>
              <w:t>)</w:t>
            </w:r>
          </w:p>
        </w:tc>
      </w:tr>
      <w:tr w:rsidR="00CA4544" w:rsidRPr="00370EC4" w14:paraId="53797195" w14:textId="77777777" w:rsidTr="00524166">
        <w:trPr>
          <w:gridAfter w:val="1"/>
          <w:wAfter w:w="565" w:type="dxa"/>
          <w:trHeight w:hRule="exact" w:val="101"/>
        </w:trPr>
        <w:tc>
          <w:tcPr>
            <w:tcW w:w="2880" w:type="dxa"/>
            <w:tcBorders>
              <w:top w:val="single" w:sz="4" w:space="0" w:color="auto"/>
              <w:left w:val="nil"/>
            </w:tcBorders>
            <w:noWrap/>
            <w:tcMar>
              <w:right w:w="216" w:type="dxa"/>
            </w:tcMar>
            <w:vAlign w:val="bottom"/>
          </w:tcPr>
          <w:p w14:paraId="5E9ACE08" w14:textId="77777777" w:rsidR="00CA4544" w:rsidRPr="00370EC4" w:rsidRDefault="00CA4544" w:rsidP="00CA4544">
            <w:pPr>
              <w:tabs>
                <w:tab w:val="left" w:pos="4050"/>
              </w:tabs>
              <w:spacing w:after="0" w:line="240" w:lineRule="auto"/>
              <w:ind w:right="-36"/>
              <w:rPr>
                <w:rFonts w:ascii="Arial" w:eastAsia="Arial Unicode MS" w:hAnsi="Arial" w:cs="Arial"/>
                <w:sz w:val="18"/>
                <w:szCs w:val="18"/>
              </w:rPr>
            </w:pPr>
          </w:p>
        </w:tc>
        <w:tc>
          <w:tcPr>
            <w:tcW w:w="1276" w:type="dxa"/>
            <w:gridSpan w:val="2"/>
            <w:tcBorders>
              <w:top w:val="single" w:sz="4" w:space="0" w:color="auto"/>
              <w:right w:val="nil"/>
            </w:tcBorders>
            <w:shd w:val="clear" w:color="auto" w:fill="auto"/>
            <w:vAlign w:val="bottom"/>
          </w:tcPr>
          <w:p w14:paraId="73DEF2A1" w14:textId="77777777" w:rsidR="00CA4544" w:rsidRPr="00370EC4" w:rsidRDefault="00CA4544" w:rsidP="00CA4544">
            <w:pPr>
              <w:tabs>
                <w:tab w:val="left" w:pos="1155"/>
                <w:tab w:val="left" w:pos="3845"/>
              </w:tabs>
              <w:spacing w:after="0" w:line="240" w:lineRule="auto"/>
              <w:ind w:right="284"/>
              <w:jc w:val="right"/>
              <w:rPr>
                <w:rFonts w:ascii="Arial" w:hAnsi="Arial" w:cs="Arial"/>
                <w:sz w:val="18"/>
                <w:szCs w:val="18"/>
              </w:rPr>
            </w:pPr>
          </w:p>
        </w:tc>
        <w:tc>
          <w:tcPr>
            <w:tcW w:w="1244" w:type="dxa"/>
            <w:gridSpan w:val="2"/>
            <w:tcBorders>
              <w:top w:val="single" w:sz="4" w:space="0" w:color="auto"/>
              <w:left w:val="nil"/>
              <w:right w:val="nil"/>
            </w:tcBorders>
            <w:shd w:val="clear" w:color="auto" w:fill="auto"/>
            <w:vAlign w:val="bottom"/>
          </w:tcPr>
          <w:p w14:paraId="4B0EEFA4" w14:textId="77777777" w:rsidR="00CA4544" w:rsidRPr="00370EC4" w:rsidRDefault="00CA4544" w:rsidP="00CA4544">
            <w:pPr>
              <w:spacing w:after="0" w:line="240" w:lineRule="auto"/>
              <w:ind w:right="154"/>
              <w:jc w:val="right"/>
              <w:rPr>
                <w:rFonts w:ascii="Arial" w:hAnsi="Arial" w:cs="Arial"/>
                <w:sz w:val="18"/>
                <w:szCs w:val="18"/>
              </w:rPr>
            </w:pPr>
          </w:p>
        </w:tc>
        <w:tc>
          <w:tcPr>
            <w:tcW w:w="992" w:type="dxa"/>
            <w:gridSpan w:val="2"/>
            <w:tcBorders>
              <w:top w:val="single" w:sz="4" w:space="0" w:color="auto"/>
              <w:left w:val="nil"/>
              <w:right w:val="nil"/>
            </w:tcBorders>
            <w:vAlign w:val="bottom"/>
          </w:tcPr>
          <w:p w14:paraId="170C48D0" w14:textId="77777777" w:rsidR="00CA4544" w:rsidRPr="00370EC4" w:rsidRDefault="00CA4544" w:rsidP="00CA4544">
            <w:pPr>
              <w:spacing w:after="0" w:line="240" w:lineRule="auto"/>
              <w:ind w:right="90"/>
              <w:jc w:val="right"/>
              <w:rPr>
                <w:rFonts w:ascii="Arial" w:hAnsi="Arial" w:cs="Arial"/>
                <w:sz w:val="18"/>
                <w:szCs w:val="18"/>
              </w:rPr>
            </w:pPr>
          </w:p>
        </w:tc>
        <w:tc>
          <w:tcPr>
            <w:tcW w:w="1134" w:type="dxa"/>
            <w:gridSpan w:val="2"/>
            <w:tcBorders>
              <w:top w:val="single" w:sz="4" w:space="0" w:color="auto"/>
              <w:left w:val="nil"/>
              <w:right w:val="nil"/>
            </w:tcBorders>
            <w:vAlign w:val="bottom"/>
          </w:tcPr>
          <w:p w14:paraId="4D520C0F" w14:textId="77777777" w:rsidR="00CA4544" w:rsidRPr="00370EC4" w:rsidRDefault="00CA4544" w:rsidP="00CA4544">
            <w:pPr>
              <w:spacing w:after="0" w:line="240" w:lineRule="auto"/>
              <w:ind w:right="5"/>
              <w:jc w:val="right"/>
              <w:rPr>
                <w:rFonts w:ascii="Arial" w:hAnsi="Arial" w:cs="Arial"/>
                <w:sz w:val="18"/>
                <w:szCs w:val="18"/>
              </w:rPr>
            </w:pPr>
          </w:p>
        </w:tc>
        <w:tc>
          <w:tcPr>
            <w:tcW w:w="1435" w:type="dxa"/>
            <w:gridSpan w:val="2"/>
            <w:tcBorders>
              <w:top w:val="single" w:sz="4" w:space="0" w:color="auto"/>
              <w:left w:val="nil"/>
              <w:right w:val="nil"/>
            </w:tcBorders>
          </w:tcPr>
          <w:p w14:paraId="5FA573A3" w14:textId="77777777" w:rsidR="00CA4544" w:rsidRPr="00370EC4" w:rsidRDefault="00CA4544" w:rsidP="00CA4544">
            <w:pPr>
              <w:tabs>
                <w:tab w:val="left" w:pos="1080"/>
              </w:tabs>
              <w:spacing w:after="0" w:line="240" w:lineRule="auto"/>
              <w:ind w:right="90"/>
              <w:jc w:val="right"/>
              <w:rPr>
                <w:rFonts w:ascii="Arial" w:hAnsi="Arial" w:cs="Arial"/>
                <w:sz w:val="18"/>
                <w:szCs w:val="18"/>
              </w:rPr>
            </w:pPr>
          </w:p>
        </w:tc>
        <w:tc>
          <w:tcPr>
            <w:tcW w:w="1276" w:type="dxa"/>
            <w:gridSpan w:val="2"/>
            <w:tcBorders>
              <w:top w:val="single" w:sz="4" w:space="0" w:color="auto"/>
              <w:left w:val="nil"/>
              <w:right w:val="nil"/>
            </w:tcBorders>
            <w:shd w:val="clear" w:color="auto" w:fill="auto"/>
            <w:vAlign w:val="bottom"/>
          </w:tcPr>
          <w:p w14:paraId="69522C66" w14:textId="77777777" w:rsidR="00CA4544" w:rsidRPr="00370EC4" w:rsidRDefault="00CA4544" w:rsidP="00CA4544">
            <w:pPr>
              <w:tabs>
                <w:tab w:val="left" w:pos="1080"/>
              </w:tabs>
              <w:spacing w:after="0" w:line="240" w:lineRule="auto"/>
              <w:ind w:right="90"/>
              <w:jc w:val="right"/>
              <w:rPr>
                <w:rFonts w:ascii="Arial" w:hAnsi="Arial" w:cs="Arial"/>
                <w:sz w:val="18"/>
                <w:szCs w:val="18"/>
              </w:rPr>
            </w:pPr>
          </w:p>
        </w:tc>
        <w:tc>
          <w:tcPr>
            <w:tcW w:w="1303" w:type="dxa"/>
            <w:gridSpan w:val="2"/>
            <w:tcBorders>
              <w:top w:val="single" w:sz="4" w:space="0" w:color="auto"/>
              <w:left w:val="nil"/>
              <w:right w:val="nil"/>
            </w:tcBorders>
            <w:shd w:val="clear" w:color="auto" w:fill="auto"/>
            <w:vAlign w:val="bottom"/>
          </w:tcPr>
          <w:p w14:paraId="107E2C62" w14:textId="77777777" w:rsidR="00CA4544" w:rsidRPr="00370EC4" w:rsidRDefault="00CA4544" w:rsidP="00CA4544">
            <w:pPr>
              <w:tabs>
                <w:tab w:val="decimal" w:pos="1126"/>
              </w:tabs>
              <w:spacing w:after="0" w:line="240" w:lineRule="auto"/>
              <w:ind w:right="142"/>
              <w:jc w:val="right"/>
              <w:rPr>
                <w:rFonts w:ascii="Arial" w:hAnsi="Arial" w:cs="Arial"/>
                <w:sz w:val="18"/>
                <w:szCs w:val="18"/>
              </w:rPr>
            </w:pPr>
          </w:p>
        </w:tc>
      </w:tr>
      <w:tr w:rsidR="00CA4544" w:rsidRPr="00370EC4" w14:paraId="72C3EADD" w14:textId="77777777" w:rsidTr="00524166">
        <w:trPr>
          <w:gridAfter w:val="1"/>
          <w:wAfter w:w="565" w:type="dxa"/>
          <w:trHeight w:hRule="exact" w:val="366"/>
        </w:trPr>
        <w:tc>
          <w:tcPr>
            <w:tcW w:w="2880" w:type="dxa"/>
            <w:tcBorders>
              <w:top w:val="nil"/>
              <w:left w:val="nil"/>
              <w:bottom w:val="single" w:sz="12" w:space="0" w:color="auto"/>
            </w:tcBorders>
            <w:noWrap/>
            <w:tcMar>
              <w:right w:w="216" w:type="dxa"/>
            </w:tcMar>
            <w:vAlign w:val="bottom"/>
          </w:tcPr>
          <w:p w14:paraId="750753FE" w14:textId="66D8919A" w:rsidR="00CA4544" w:rsidRPr="00370EC4" w:rsidRDefault="00CA4544" w:rsidP="00CA4544">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Balance – </w:t>
            </w:r>
            <w:r>
              <w:rPr>
                <w:rFonts w:ascii="Arial" w:eastAsia="Arial Unicode MS" w:hAnsi="Arial" w:cs="Arial"/>
                <w:sz w:val="18"/>
                <w:szCs w:val="18"/>
              </w:rPr>
              <w:t>October</w:t>
            </w:r>
            <w:r w:rsidRPr="00370EC4">
              <w:rPr>
                <w:rFonts w:ascii="Arial" w:eastAsia="Arial Unicode MS" w:hAnsi="Arial" w:cs="Arial"/>
                <w:sz w:val="18"/>
                <w:szCs w:val="18"/>
              </w:rPr>
              <w:t xml:space="preserve"> 31, 201</w:t>
            </w:r>
            <w:r>
              <w:rPr>
                <w:rFonts w:ascii="Arial" w:eastAsia="Arial Unicode MS" w:hAnsi="Arial" w:cs="Arial"/>
                <w:sz w:val="18"/>
                <w:szCs w:val="18"/>
              </w:rPr>
              <w:t>8</w:t>
            </w:r>
          </w:p>
        </w:tc>
        <w:tc>
          <w:tcPr>
            <w:tcW w:w="1276" w:type="dxa"/>
            <w:gridSpan w:val="2"/>
            <w:tcBorders>
              <w:bottom w:val="single" w:sz="12" w:space="0" w:color="auto"/>
              <w:right w:val="nil"/>
            </w:tcBorders>
            <w:shd w:val="clear" w:color="auto" w:fill="auto"/>
            <w:vAlign w:val="bottom"/>
          </w:tcPr>
          <w:p w14:paraId="352E2292" w14:textId="3DE60D0B"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95,828,235</w:t>
            </w:r>
          </w:p>
        </w:tc>
        <w:tc>
          <w:tcPr>
            <w:tcW w:w="1244" w:type="dxa"/>
            <w:gridSpan w:val="2"/>
            <w:tcBorders>
              <w:left w:val="nil"/>
              <w:bottom w:val="single" w:sz="12" w:space="0" w:color="auto"/>
              <w:right w:val="nil"/>
            </w:tcBorders>
            <w:shd w:val="clear" w:color="auto" w:fill="auto"/>
            <w:vAlign w:val="bottom"/>
          </w:tcPr>
          <w:p w14:paraId="45F11913" w14:textId="52154640" w:rsidR="00CA4544" w:rsidRPr="00370EC4" w:rsidRDefault="00CA4544" w:rsidP="00CA4544">
            <w:pPr>
              <w:spacing w:after="0" w:line="240" w:lineRule="auto"/>
              <w:ind w:right="154"/>
              <w:jc w:val="right"/>
              <w:rPr>
                <w:rFonts w:ascii="Arial" w:hAnsi="Arial" w:cs="Arial"/>
                <w:sz w:val="18"/>
                <w:szCs w:val="18"/>
              </w:rPr>
            </w:pPr>
            <w:r>
              <w:rPr>
                <w:rFonts w:ascii="Arial" w:hAnsi="Arial" w:cs="Arial"/>
                <w:sz w:val="18"/>
                <w:szCs w:val="18"/>
              </w:rPr>
              <w:t>21,007,710</w:t>
            </w:r>
          </w:p>
        </w:tc>
        <w:tc>
          <w:tcPr>
            <w:tcW w:w="992" w:type="dxa"/>
            <w:gridSpan w:val="2"/>
            <w:tcBorders>
              <w:left w:val="nil"/>
              <w:bottom w:val="single" w:sz="12" w:space="0" w:color="auto"/>
              <w:right w:val="nil"/>
            </w:tcBorders>
            <w:vAlign w:val="bottom"/>
          </w:tcPr>
          <w:p w14:paraId="4D5BC62B" w14:textId="4F2F0550"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bottom w:val="single" w:sz="12" w:space="0" w:color="auto"/>
              <w:right w:val="nil"/>
            </w:tcBorders>
            <w:vAlign w:val="bottom"/>
          </w:tcPr>
          <w:p w14:paraId="54CE3869" w14:textId="1BCBA443" w:rsidR="00CA4544" w:rsidRPr="00370EC4" w:rsidRDefault="00CA4544" w:rsidP="00CA4544">
            <w:pPr>
              <w:spacing w:after="0" w:line="240" w:lineRule="auto"/>
              <w:ind w:right="5"/>
              <w:jc w:val="right"/>
              <w:rPr>
                <w:rFonts w:ascii="Arial" w:hAnsi="Arial" w:cs="Arial"/>
                <w:sz w:val="18"/>
                <w:szCs w:val="18"/>
              </w:rPr>
            </w:pPr>
            <w:r>
              <w:rPr>
                <w:rFonts w:ascii="Arial" w:hAnsi="Arial" w:cs="Arial"/>
                <w:sz w:val="18"/>
                <w:szCs w:val="18"/>
              </w:rPr>
              <w:t>17,081,800</w:t>
            </w:r>
          </w:p>
        </w:tc>
        <w:tc>
          <w:tcPr>
            <w:tcW w:w="1435" w:type="dxa"/>
            <w:gridSpan w:val="2"/>
            <w:tcBorders>
              <w:left w:val="nil"/>
              <w:bottom w:val="single" w:sz="12" w:space="0" w:color="auto"/>
              <w:right w:val="nil"/>
            </w:tcBorders>
            <w:vAlign w:val="bottom"/>
          </w:tcPr>
          <w:p w14:paraId="0656F75A" w14:textId="6BF0E08E" w:rsidR="00CA4544" w:rsidRPr="00CA4544" w:rsidRDefault="00816155" w:rsidP="00CA4544">
            <w:pPr>
              <w:tabs>
                <w:tab w:val="left" w:pos="1080"/>
              </w:tabs>
              <w:spacing w:after="0" w:line="240" w:lineRule="auto"/>
              <w:ind w:right="90"/>
              <w:jc w:val="right"/>
              <w:rPr>
                <w:rFonts w:ascii="Arial" w:hAnsi="Arial" w:cs="Arial"/>
                <w:sz w:val="18"/>
                <w:szCs w:val="18"/>
                <w:highlight w:val="yellow"/>
              </w:rPr>
            </w:pPr>
            <w:r>
              <w:rPr>
                <w:rFonts w:ascii="Arial" w:hAnsi="Arial" w:cs="Arial"/>
                <w:sz w:val="18"/>
                <w:szCs w:val="18"/>
              </w:rPr>
              <w:t>114,482</w:t>
            </w:r>
          </w:p>
        </w:tc>
        <w:tc>
          <w:tcPr>
            <w:tcW w:w="1276" w:type="dxa"/>
            <w:gridSpan w:val="2"/>
            <w:tcBorders>
              <w:left w:val="nil"/>
              <w:bottom w:val="single" w:sz="12" w:space="0" w:color="auto"/>
              <w:right w:val="nil"/>
            </w:tcBorders>
            <w:shd w:val="clear" w:color="auto" w:fill="auto"/>
            <w:vAlign w:val="bottom"/>
          </w:tcPr>
          <w:p w14:paraId="515BFE0D" w14:textId="208AB436" w:rsidR="00CA4544" w:rsidRPr="00A734F6" w:rsidRDefault="00CA4544" w:rsidP="00CA4544">
            <w:pPr>
              <w:tabs>
                <w:tab w:val="left" w:pos="1080"/>
              </w:tabs>
              <w:spacing w:after="0" w:line="240" w:lineRule="auto"/>
              <w:ind w:right="90"/>
              <w:jc w:val="right"/>
              <w:rPr>
                <w:rFonts w:ascii="Arial" w:hAnsi="Arial" w:cs="Arial"/>
                <w:sz w:val="18"/>
                <w:szCs w:val="18"/>
              </w:rPr>
            </w:pPr>
            <w:r w:rsidRPr="00A734F6">
              <w:rPr>
                <w:rFonts w:ascii="Arial" w:hAnsi="Arial" w:cs="Arial"/>
                <w:sz w:val="18"/>
                <w:szCs w:val="18"/>
              </w:rPr>
              <w:t>(</w:t>
            </w:r>
            <w:r w:rsidR="00A734F6" w:rsidRPr="00A734F6">
              <w:rPr>
                <w:rFonts w:ascii="Arial" w:hAnsi="Arial" w:cs="Arial"/>
                <w:sz w:val="18"/>
                <w:szCs w:val="18"/>
              </w:rPr>
              <w:t>33,425,897</w:t>
            </w:r>
            <w:r w:rsidRPr="00A734F6">
              <w:rPr>
                <w:rFonts w:ascii="Arial" w:hAnsi="Arial" w:cs="Arial"/>
                <w:sz w:val="18"/>
                <w:szCs w:val="18"/>
              </w:rPr>
              <w:t>)</w:t>
            </w:r>
          </w:p>
        </w:tc>
        <w:tc>
          <w:tcPr>
            <w:tcW w:w="1303" w:type="dxa"/>
            <w:gridSpan w:val="2"/>
            <w:tcBorders>
              <w:left w:val="nil"/>
              <w:bottom w:val="single" w:sz="12" w:space="0" w:color="auto"/>
              <w:right w:val="nil"/>
            </w:tcBorders>
            <w:shd w:val="clear" w:color="auto" w:fill="auto"/>
            <w:vAlign w:val="bottom"/>
          </w:tcPr>
          <w:p w14:paraId="512E2811" w14:textId="462A2A50" w:rsidR="00CA4544" w:rsidRPr="00A734F6" w:rsidRDefault="00CA4544" w:rsidP="00CA4544">
            <w:pPr>
              <w:tabs>
                <w:tab w:val="decimal" w:pos="1126"/>
              </w:tabs>
              <w:spacing w:after="0" w:line="240" w:lineRule="auto"/>
              <w:ind w:right="142"/>
              <w:jc w:val="right"/>
              <w:rPr>
                <w:rFonts w:ascii="Arial" w:hAnsi="Arial" w:cs="Arial"/>
                <w:sz w:val="18"/>
                <w:szCs w:val="18"/>
              </w:rPr>
            </w:pPr>
            <w:r w:rsidRPr="00A734F6">
              <w:rPr>
                <w:rFonts w:ascii="Arial" w:hAnsi="Arial" w:cs="Arial"/>
                <w:sz w:val="18"/>
                <w:szCs w:val="18"/>
              </w:rPr>
              <w:t>4,</w:t>
            </w:r>
            <w:r w:rsidR="00A734F6">
              <w:rPr>
                <w:rFonts w:ascii="Arial" w:hAnsi="Arial" w:cs="Arial"/>
                <w:sz w:val="18"/>
                <w:szCs w:val="18"/>
              </w:rPr>
              <w:t>778,095</w:t>
            </w:r>
          </w:p>
        </w:tc>
      </w:tr>
      <w:tr w:rsidR="00CA4544" w:rsidRPr="00370EC4" w14:paraId="574083A3" w14:textId="77777777" w:rsidTr="00524166">
        <w:trPr>
          <w:gridAfter w:val="1"/>
          <w:wAfter w:w="565" w:type="dxa"/>
          <w:trHeight w:hRule="exact" w:val="366"/>
        </w:trPr>
        <w:tc>
          <w:tcPr>
            <w:tcW w:w="2880" w:type="dxa"/>
            <w:tcBorders>
              <w:top w:val="single" w:sz="12" w:space="0" w:color="auto"/>
              <w:left w:val="nil"/>
            </w:tcBorders>
            <w:noWrap/>
            <w:tcMar>
              <w:right w:w="216" w:type="dxa"/>
            </w:tcMar>
            <w:vAlign w:val="bottom"/>
          </w:tcPr>
          <w:p w14:paraId="1F71592D" w14:textId="77777777" w:rsidR="00CA4544" w:rsidRPr="00370EC4" w:rsidRDefault="00CA4544" w:rsidP="00CA4544">
            <w:pPr>
              <w:tabs>
                <w:tab w:val="left" w:pos="4050"/>
              </w:tabs>
              <w:spacing w:after="0" w:line="240" w:lineRule="auto"/>
              <w:ind w:right="-36"/>
              <w:rPr>
                <w:rFonts w:ascii="Arial" w:eastAsia="Arial Unicode MS" w:hAnsi="Arial" w:cs="Arial"/>
                <w:sz w:val="18"/>
                <w:szCs w:val="18"/>
              </w:rPr>
            </w:pPr>
          </w:p>
        </w:tc>
        <w:tc>
          <w:tcPr>
            <w:tcW w:w="1276" w:type="dxa"/>
            <w:gridSpan w:val="2"/>
            <w:tcBorders>
              <w:top w:val="single" w:sz="12" w:space="0" w:color="auto"/>
              <w:right w:val="nil"/>
            </w:tcBorders>
            <w:shd w:val="clear" w:color="auto" w:fill="auto"/>
            <w:vAlign w:val="bottom"/>
          </w:tcPr>
          <w:p w14:paraId="5A76C8EC" w14:textId="77777777"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p>
        </w:tc>
        <w:tc>
          <w:tcPr>
            <w:tcW w:w="1244" w:type="dxa"/>
            <w:gridSpan w:val="2"/>
            <w:tcBorders>
              <w:top w:val="single" w:sz="12" w:space="0" w:color="auto"/>
              <w:left w:val="nil"/>
              <w:right w:val="nil"/>
            </w:tcBorders>
            <w:shd w:val="clear" w:color="auto" w:fill="auto"/>
            <w:vAlign w:val="bottom"/>
          </w:tcPr>
          <w:p w14:paraId="1A06DAB5" w14:textId="77777777" w:rsidR="00CA4544" w:rsidRDefault="00CA4544" w:rsidP="00CA4544">
            <w:pPr>
              <w:spacing w:after="0" w:line="240" w:lineRule="auto"/>
              <w:ind w:right="154"/>
              <w:jc w:val="right"/>
              <w:rPr>
                <w:rFonts w:ascii="Arial" w:hAnsi="Arial" w:cs="Arial"/>
                <w:sz w:val="18"/>
                <w:szCs w:val="18"/>
              </w:rPr>
            </w:pPr>
          </w:p>
        </w:tc>
        <w:tc>
          <w:tcPr>
            <w:tcW w:w="992" w:type="dxa"/>
            <w:gridSpan w:val="2"/>
            <w:tcBorders>
              <w:top w:val="single" w:sz="12" w:space="0" w:color="auto"/>
              <w:left w:val="nil"/>
              <w:right w:val="nil"/>
            </w:tcBorders>
            <w:vAlign w:val="bottom"/>
          </w:tcPr>
          <w:p w14:paraId="1401047C" w14:textId="77777777" w:rsidR="00CA4544" w:rsidRPr="00370EC4" w:rsidRDefault="00CA4544" w:rsidP="00CA4544">
            <w:pPr>
              <w:spacing w:after="0" w:line="240" w:lineRule="auto"/>
              <w:ind w:right="90"/>
              <w:jc w:val="right"/>
              <w:rPr>
                <w:rFonts w:ascii="Arial" w:hAnsi="Arial" w:cs="Arial"/>
                <w:sz w:val="18"/>
                <w:szCs w:val="18"/>
              </w:rPr>
            </w:pPr>
          </w:p>
        </w:tc>
        <w:tc>
          <w:tcPr>
            <w:tcW w:w="1134" w:type="dxa"/>
            <w:gridSpan w:val="2"/>
            <w:tcBorders>
              <w:top w:val="single" w:sz="12" w:space="0" w:color="auto"/>
              <w:left w:val="nil"/>
              <w:right w:val="nil"/>
            </w:tcBorders>
            <w:vAlign w:val="bottom"/>
          </w:tcPr>
          <w:p w14:paraId="0615BB67" w14:textId="77777777" w:rsidR="00CA4544" w:rsidRDefault="00CA4544" w:rsidP="00CA4544">
            <w:pPr>
              <w:spacing w:after="0" w:line="240" w:lineRule="auto"/>
              <w:ind w:right="5"/>
              <w:jc w:val="right"/>
              <w:rPr>
                <w:rFonts w:ascii="Arial" w:hAnsi="Arial" w:cs="Arial"/>
                <w:sz w:val="18"/>
                <w:szCs w:val="18"/>
              </w:rPr>
            </w:pPr>
          </w:p>
        </w:tc>
        <w:tc>
          <w:tcPr>
            <w:tcW w:w="1435" w:type="dxa"/>
            <w:gridSpan w:val="2"/>
            <w:tcBorders>
              <w:top w:val="single" w:sz="12" w:space="0" w:color="auto"/>
              <w:left w:val="nil"/>
              <w:right w:val="nil"/>
            </w:tcBorders>
            <w:vAlign w:val="bottom"/>
          </w:tcPr>
          <w:p w14:paraId="0AC3144C" w14:textId="77777777" w:rsidR="00CA4544" w:rsidRDefault="00CA4544" w:rsidP="00CA4544">
            <w:pPr>
              <w:tabs>
                <w:tab w:val="left" w:pos="1080"/>
              </w:tabs>
              <w:spacing w:after="0" w:line="240" w:lineRule="auto"/>
              <w:ind w:right="90"/>
              <w:jc w:val="right"/>
              <w:rPr>
                <w:rFonts w:ascii="Arial" w:hAnsi="Arial" w:cs="Arial"/>
                <w:sz w:val="18"/>
                <w:szCs w:val="18"/>
              </w:rPr>
            </w:pPr>
          </w:p>
        </w:tc>
        <w:tc>
          <w:tcPr>
            <w:tcW w:w="1276" w:type="dxa"/>
            <w:gridSpan w:val="2"/>
            <w:tcBorders>
              <w:top w:val="single" w:sz="12" w:space="0" w:color="auto"/>
              <w:left w:val="nil"/>
              <w:right w:val="nil"/>
            </w:tcBorders>
            <w:shd w:val="clear" w:color="auto" w:fill="auto"/>
            <w:vAlign w:val="bottom"/>
          </w:tcPr>
          <w:p w14:paraId="78EE4BB9" w14:textId="77777777" w:rsidR="00CA4544" w:rsidRPr="00370EC4" w:rsidRDefault="00CA4544" w:rsidP="00CA4544">
            <w:pPr>
              <w:tabs>
                <w:tab w:val="left" w:pos="1080"/>
              </w:tabs>
              <w:spacing w:after="0" w:line="240" w:lineRule="auto"/>
              <w:ind w:right="90"/>
              <w:jc w:val="right"/>
              <w:rPr>
                <w:rFonts w:ascii="Arial" w:hAnsi="Arial" w:cs="Arial"/>
                <w:sz w:val="18"/>
                <w:szCs w:val="18"/>
              </w:rPr>
            </w:pPr>
          </w:p>
        </w:tc>
        <w:tc>
          <w:tcPr>
            <w:tcW w:w="1303" w:type="dxa"/>
            <w:gridSpan w:val="2"/>
            <w:tcBorders>
              <w:top w:val="single" w:sz="12" w:space="0" w:color="auto"/>
              <w:left w:val="nil"/>
              <w:right w:val="nil"/>
            </w:tcBorders>
            <w:shd w:val="clear" w:color="auto" w:fill="auto"/>
            <w:vAlign w:val="bottom"/>
          </w:tcPr>
          <w:p w14:paraId="68DBE72C" w14:textId="77777777" w:rsidR="00CA4544" w:rsidRPr="00370EC4" w:rsidRDefault="00CA4544" w:rsidP="00CA4544">
            <w:pPr>
              <w:tabs>
                <w:tab w:val="decimal" w:pos="1126"/>
              </w:tabs>
              <w:spacing w:after="0" w:line="240" w:lineRule="auto"/>
              <w:ind w:right="142"/>
              <w:jc w:val="right"/>
              <w:rPr>
                <w:rFonts w:ascii="Arial" w:hAnsi="Arial" w:cs="Arial"/>
                <w:sz w:val="18"/>
                <w:szCs w:val="18"/>
              </w:rPr>
            </w:pPr>
          </w:p>
        </w:tc>
      </w:tr>
      <w:tr w:rsidR="00CA4544" w:rsidRPr="00370EC4" w14:paraId="55CAD8FE" w14:textId="77777777" w:rsidTr="00524166">
        <w:trPr>
          <w:gridAfter w:val="1"/>
          <w:wAfter w:w="565" w:type="dxa"/>
          <w:trHeight w:hRule="exact" w:val="366"/>
        </w:trPr>
        <w:tc>
          <w:tcPr>
            <w:tcW w:w="2880" w:type="dxa"/>
            <w:tcBorders>
              <w:left w:val="nil"/>
            </w:tcBorders>
            <w:noWrap/>
            <w:tcMar>
              <w:right w:w="216" w:type="dxa"/>
            </w:tcMar>
            <w:vAlign w:val="bottom"/>
          </w:tcPr>
          <w:p w14:paraId="2E6E68C9" w14:textId="598C5543" w:rsidR="00CA4544" w:rsidRPr="00370EC4" w:rsidRDefault="00CA4544" w:rsidP="00CA4544">
            <w:pPr>
              <w:tabs>
                <w:tab w:val="left" w:pos="4050"/>
              </w:tabs>
              <w:spacing w:after="0" w:line="240" w:lineRule="auto"/>
              <w:ind w:right="-36"/>
              <w:rPr>
                <w:rFonts w:ascii="Arial" w:eastAsia="Arial Unicode MS" w:hAnsi="Arial" w:cs="Arial"/>
                <w:sz w:val="18"/>
                <w:szCs w:val="18"/>
              </w:rPr>
            </w:pPr>
            <w:r w:rsidRPr="00791122">
              <w:rPr>
                <w:rFonts w:ascii="Arial" w:eastAsia="Arial Unicode MS" w:hAnsi="Arial" w:cs="Arial"/>
                <w:sz w:val="18"/>
                <w:szCs w:val="18"/>
              </w:rPr>
              <w:t>Balance – January 31, 2019</w:t>
            </w:r>
          </w:p>
        </w:tc>
        <w:tc>
          <w:tcPr>
            <w:tcW w:w="1276" w:type="dxa"/>
            <w:gridSpan w:val="2"/>
            <w:tcBorders>
              <w:right w:val="nil"/>
            </w:tcBorders>
            <w:shd w:val="clear" w:color="auto" w:fill="auto"/>
            <w:vAlign w:val="bottom"/>
          </w:tcPr>
          <w:p w14:paraId="5CB6C62D" w14:textId="3DA33455"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sidRPr="00707A15">
              <w:rPr>
                <w:rFonts w:ascii="Arial" w:hAnsi="Arial" w:cs="Arial"/>
                <w:sz w:val="18"/>
                <w:szCs w:val="18"/>
              </w:rPr>
              <w:t>96,899,6</w:t>
            </w:r>
            <w:r w:rsidRPr="00773E89">
              <w:rPr>
                <w:rFonts w:ascii="Arial" w:hAnsi="Arial" w:cs="Arial"/>
                <w:sz w:val="18"/>
                <w:szCs w:val="18"/>
              </w:rPr>
              <w:t>78</w:t>
            </w:r>
          </w:p>
        </w:tc>
        <w:tc>
          <w:tcPr>
            <w:tcW w:w="1244" w:type="dxa"/>
            <w:gridSpan w:val="2"/>
            <w:tcBorders>
              <w:left w:val="nil"/>
              <w:right w:val="nil"/>
            </w:tcBorders>
            <w:shd w:val="clear" w:color="auto" w:fill="auto"/>
            <w:vAlign w:val="bottom"/>
          </w:tcPr>
          <w:p w14:paraId="6ADDA069" w14:textId="3C4A2EE5" w:rsidR="00CA4544" w:rsidRDefault="00CA4544" w:rsidP="00CA4544">
            <w:pPr>
              <w:spacing w:after="0" w:line="240" w:lineRule="auto"/>
              <w:ind w:right="154"/>
              <w:jc w:val="right"/>
              <w:rPr>
                <w:rFonts w:ascii="Arial" w:hAnsi="Arial" w:cs="Arial"/>
                <w:sz w:val="18"/>
                <w:szCs w:val="18"/>
              </w:rPr>
            </w:pPr>
            <w:r w:rsidRPr="00707A15">
              <w:rPr>
                <w:rFonts w:ascii="Arial" w:hAnsi="Arial" w:cs="Arial"/>
                <w:sz w:val="18"/>
                <w:szCs w:val="18"/>
              </w:rPr>
              <w:t>21,</w:t>
            </w:r>
            <w:r>
              <w:rPr>
                <w:rFonts w:ascii="Arial" w:hAnsi="Arial" w:cs="Arial"/>
                <w:sz w:val="18"/>
                <w:szCs w:val="18"/>
              </w:rPr>
              <w:t>395,999</w:t>
            </w:r>
          </w:p>
        </w:tc>
        <w:tc>
          <w:tcPr>
            <w:tcW w:w="992" w:type="dxa"/>
            <w:gridSpan w:val="2"/>
            <w:tcBorders>
              <w:left w:val="nil"/>
              <w:right w:val="nil"/>
            </w:tcBorders>
            <w:vAlign w:val="bottom"/>
          </w:tcPr>
          <w:p w14:paraId="535FC3D8" w14:textId="6B4E9866" w:rsidR="00CA4544" w:rsidRPr="00370EC4" w:rsidRDefault="00CA4544" w:rsidP="00CA4544">
            <w:pPr>
              <w:spacing w:after="0" w:line="240" w:lineRule="auto"/>
              <w:ind w:right="90"/>
              <w:jc w:val="right"/>
              <w:rPr>
                <w:rFonts w:ascii="Arial" w:hAnsi="Arial" w:cs="Arial"/>
                <w:sz w:val="18"/>
                <w:szCs w:val="18"/>
              </w:rPr>
            </w:pPr>
            <w:r w:rsidRPr="00707A15">
              <w:rPr>
                <w:rFonts w:ascii="Arial" w:hAnsi="Arial" w:cs="Arial"/>
                <w:sz w:val="18"/>
                <w:szCs w:val="18"/>
              </w:rPr>
              <w:t>10,000</w:t>
            </w:r>
          </w:p>
        </w:tc>
        <w:tc>
          <w:tcPr>
            <w:tcW w:w="1134" w:type="dxa"/>
            <w:gridSpan w:val="2"/>
            <w:tcBorders>
              <w:left w:val="nil"/>
              <w:right w:val="nil"/>
            </w:tcBorders>
            <w:vAlign w:val="bottom"/>
          </w:tcPr>
          <w:p w14:paraId="1BE91E4C" w14:textId="4975E800" w:rsidR="00CA4544" w:rsidRDefault="00CA4544" w:rsidP="00CA4544">
            <w:pPr>
              <w:spacing w:after="0" w:line="240" w:lineRule="auto"/>
              <w:ind w:right="5"/>
              <w:jc w:val="right"/>
              <w:rPr>
                <w:rFonts w:ascii="Arial" w:hAnsi="Arial" w:cs="Arial"/>
                <w:sz w:val="18"/>
                <w:szCs w:val="18"/>
              </w:rPr>
            </w:pPr>
            <w:r>
              <w:rPr>
                <w:rFonts w:ascii="Arial" w:hAnsi="Arial" w:cs="Arial"/>
                <w:sz w:val="18"/>
                <w:szCs w:val="18"/>
              </w:rPr>
              <w:t>17,038,202</w:t>
            </w:r>
          </w:p>
        </w:tc>
        <w:tc>
          <w:tcPr>
            <w:tcW w:w="1435" w:type="dxa"/>
            <w:gridSpan w:val="2"/>
            <w:tcBorders>
              <w:left w:val="nil"/>
              <w:right w:val="nil"/>
            </w:tcBorders>
            <w:vAlign w:val="bottom"/>
          </w:tcPr>
          <w:p w14:paraId="593C0181" w14:textId="605C9D1F" w:rsidR="00CA4544" w:rsidRDefault="00CA4544" w:rsidP="00CA4544">
            <w:pPr>
              <w:tabs>
                <w:tab w:val="left" w:pos="1080"/>
              </w:tabs>
              <w:spacing w:after="0" w:line="240" w:lineRule="auto"/>
              <w:ind w:right="90"/>
              <w:jc w:val="right"/>
              <w:rPr>
                <w:rFonts w:ascii="Arial" w:hAnsi="Arial" w:cs="Arial"/>
                <w:sz w:val="18"/>
                <w:szCs w:val="18"/>
              </w:rPr>
            </w:pPr>
            <w:r w:rsidRPr="00C819E3">
              <w:rPr>
                <w:rFonts w:ascii="Arial" w:hAnsi="Arial" w:cs="Arial"/>
                <w:sz w:val="18"/>
                <w:szCs w:val="18"/>
              </w:rPr>
              <w:t>123,089</w:t>
            </w:r>
          </w:p>
        </w:tc>
        <w:tc>
          <w:tcPr>
            <w:tcW w:w="1276" w:type="dxa"/>
            <w:gridSpan w:val="2"/>
            <w:tcBorders>
              <w:left w:val="nil"/>
              <w:right w:val="nil"/>
            </w:tcBorders>
            <w:shd w:val="clear" w:color="auto" w:fill="auto"/>
            <w:vAlign w:val="bottom"/>
          </w:tcPr>
          <w:p w14:paraId="6E129F08" w14:textId="7F8D22C9" w:rsidR="00CA4544" w:rsidRPr="00370EC4" w:rsidRDefault="00CA4544" w:rsidP="00CA4544">
            <w:pPr>
              <w:tabs>
                <w:tab w:val="left" w:pos="1080"/>
              </w:tabs>
              <w:spacing w:after="0" w:line="240" w:lineRule="auto"/>
              <w:ind w:right="90"/>
              <w:jc w:val="right"/>
              <w:rPr>
                <w:rFonts w:ascii="Arial" w:hAnsi="Arial" w:cs="Arial"/>
                <w:sz w:val="18"/>
                <w:szCs w:val="18"/>
              </w:rPr>
            </w:pPr>
            <w:r w:rsidRPr="00707A15">
              <w:rPr>
                <w:rFonts w:ascii="Arial" w:hAnsi="Arial" w:cs="Arial"/>
                <w:sz w:val="18"/>
                <w:szCs w:val="18"/>
              </w:rPr>
              <w:t>(</w:t>
            </w:r>
            <w:r w:rsidRPr="00C819E3">
              <w:rPr>
                <w:rFonts w:ascii="Arial" w:hAnsi="Arial" w:cs="Arial"/>
                <w:sz w:val="18"/>
                <w:szCs w:val="18"/>
              </w:rPr>
              <w:t>35,067,677</w:t>
            </w:r>
            <w:r w:rsidRPr="00707A15">
              <w:rPr>
                <w:rFonts w:ascii="Arial" w:hAnsi="Arial" w:cs="Arial"/>
                <w:sz w:val="18"/>
                <w:szCs w:val="18"/>
              </w:rPr>
              <w:t>)</w:t>
            </w:r>
          </w:p>
        </w:tc>
        <w:tc>
          <w:tcPr>
            <w:tcW w:w="1303" w:type="dxa"/>
            <w:gridSpan w:val="2"/>
            <w:tcBorders>
              <w:left w:val="nil"/>
              <w:right w:val="nil"/>
            </w:tcBorders>
            <w:shd w:val="clear" w:color="auto" w:fill="auto"/>
            <w:vAlign w:val="bottom"/>
          </w:tcPr>
          <w:p w14:paraId="5B6BE8B2" w14:textId="4E336A69" w:rsidR="00CA4544" w:rsidRPr="00370EC4" w:rsidRDefault="00CA4544" w:rsidP="00CA4544">
            <w:pPr>
              <w:tabs>
                <w:tab w:val="decimal" w:pos="1126"/>
              </w:tabs>
              <w:spacing w:after="0" w:line="240" w:lineRule="auto"/>
              <w:ind w:right="142"/>
              <w:jc w:val="right"/>
              <w:rPr>
                <w:rFonts w:ascii="Arial" w:hAnsi="Arial" w:cs="Arial"/>
                <w:sz w:val="18"/>
                <w:szCs w:val="18"/>
              </w:rPr>
            </w:pPr>
            <w:r w:rsidRPr="00707A15">
              <w:rPr>
                <w:rFonts w:ascii="Arial" w:hAnsi="Arial" w:cs="Arial"/>
                <w:sz w:val="18"/>
                <w:szCs w:val="18"/>
              </w:rPr>
              <w:t>3,</w:t>
            </w:r>
            <w:r w:rsidRPr="00C819E3">
              <w:rPr>
                <w:rFonts w:ascii="Arial" w:hAnsi="Arial" w:cs="Arial"/>
                <w:sz w:val="18"/>
                <w:szCs w:val="18"/>
              </w:rPr>
              <w:t>499,613</w:t>
            </w:r>
          </w:p>
        </w:tc>
      </w:tr>
      <w:tr w:rsidR="00CA4544" w:rsidRPr="00370EC4" w14:paraId="70BED3C5" w14:textId="77777777" w:rsidTr="00FC7923">
        <w:trPr>
          <w:gridAfter w:val="1"/>
          <w:wAfter w:w="565" w:type="dxa"/>
          <w:trHeight w:hRule="exact" w:val="639"/>
        </w:trPr>
        <w:tc>
          <w:tcPr>
            <w:tcW w:w="2880" w:type="dxa"/>
            <w:tcBorders>
              <w:left w:val="nil"/>
            </w:tcBorders>
            <w:noWrap/>
            <w:tcMar>
              <w:right w:w="216" w:type="dxa"/>
            </w:tcMar>
            <w:vAlign w:val="bottom"/>
          </w:tcPr>
          <w:p w14:paraId="156C4BBA" w14:textId="17579475" w:rsidR="00CA4544" w:rsidRPr="00370EC4" w:rsidRDefault="00CA4544" w:rsidP="00CA4544">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Common </w:t>
            </w:r>
            <w:r>
              <w:rPr>
                <w:rFonts w:ascii="Arial" w:eastAsia="Arial Unicode MS" w:hAnsi="Arial" w:cs="Arial"/>
                <w:sz w:val="18"/>
                <w:szCs w:val="18"/>
              </w:rPr>
              <w:t>shares</w:t>
            </w:r>
            <w:r w:rsidRPr="00370EC4">
              <w:rPr>
                <w:rFonts w:ascii="Arial" w:eastAsia="Arial Unicode MS" w:hAnsi="Arial" w:cs="Arial"/>
                <w:sz w:val="18"/>
                <w:szCs w:val="18"/>
              </w:rPr>
              <w:t xml:space="preserve"> issued for services</w:t>
            </w:r>
            <w:r>
              <w:rPr>
                <w:rFonts w:ascii="Arial" w:eastAsia="Arial Unicode MS" w:hAnsi="Arial" w:cs="Arial"/>
                <w:sz w:val="18"/>
                <w:szCs w:val="18"/>
              </w:rPr>
              <w:t xml:space="preserve"> (Notes 1</w:t>
            </w:r>
            <w:r w:rsidR="00B256C2">
              <w:rPr>
                <w:rFonts w:ascii="Arial" w:eastAsia="Arial Unicode MS" w:hAnsi="Arial" w:cs="Arial"/>
                <w:sz w:val="18"/>
                <w:szCs w:val="18"/>
              </w:rPr>
              <w:t>2</w:t>
            </w:r>
            <w:r>
              <w:rPr>
                <w:rFonts w:ascii="Arial" w:eastAsia="Arial Unicode MS" w:hAnsi="Arial" w:cs="Arial"/>
                <w:sz w:val="18"/>
                <w:szCs w:val="18"/>
              </w:rPr>
              <w:t xml:space="preserve">(a), </w:t>
            </w:r>
            <w:r w:rsidR="00FB4A31">
              <w:rPr>
                <w:rFonts w:ascii="Arial" w:eastAsia="Arial Unicode MS" w:hAnsi="Arial" w:cs="Arial"/>
                <w:sz w:val="18"/>
                <w:szCs w:val="18"/>
              </w:rPr>
              <w:t>12</w:t>
            </w:r>
            <w:r>
              <w:rPr>
                <w:rFonts w:ascii="Arial" w:eastAsia="Arial Unicode MS" w:hAnsi="Arial" w:cs="Arial"/>
                <w:sz w:val="18"/>
                <w:szCs w:val="18"/>
              </w:rPr>
              <w:t>(</w:t>
            </w:r>
            <w:r w:rsidR="00FB4A31">
              <w:rPr>
                <w:rFonts w:ascii="Arial" w:eastAsia="Arial Unicode MS" w:hAnsi="Arial" w:cs="Arial"/>
                <w:sz w:val="18"/>
                <w:szCs w:val="18"/>
              </w:rPr>
              <w:t>c</w:t>
            </w:r>
            <w:r>
              <w:rPr>
                <w:rFonts w:ascii="Arial" w:eastAsia="Arial Unicode MS" w:hAnsi="Arial" w:cs="Arial"/>
                <w:sz w:val="18"/>
                <w:szCs w:val="18"/>
              </w:rPr>
              <w:t xml:space="preserve">) and </w:t>
            </w:r>
            <w:r w:rsidR="00FB4A31">
              <w:rPr>
                <w:rFonts w:ascii="Arial" w:eastAsia="Arial Unicode MS" w:hAnsi="Arial" w:cs="Arial"/>
                <w:sz w:val="18"/>
                <w:szCs w:val="18"/>
              </w:rPr>
              <w:t>12</w:t>
            </w:r>
            <w:r>
              <w:rPr>
                <w:rFonts w:ascii="Arial" w:eastAsia="Arial Unicode MS" w:hAnsi="Arial" w:cs="Arial"/>
                <w:sz w:val="18"/>
                <w:szCs w:val="18"/>
              </w:rPr>
              <w:t>(e))</w:t>
            </w:r>
          </w:p>
        </w:tc>
        <w:tc>
          <w:tcPr>
            <w:tcW w:w="1276" w:type="dxa"/>
            <w:gridSpan w:val="2"/>
            <w:tcBorders>
              <w:right w:val="nil"/>
            </w:tcBorders>
            <w:shd w:val="clear" w:color="auto" w:fill="auto"/>
            <w:vAlign w:val="bottom"/>
          </w:tcPr>
          <w:p w14:paraId="76A1CCCC" w14:textId="2FE7831A"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4,</w:t>
            </w:r>
            <w:r w:rsidR="00826396">
              <w:rPr>
                <w:rFonts w:ascii="Arial" w:hAnsi="Arial" w:cs="Arial"/>
                <w:sz w:val="18"/>
                <w:szCs w:val="18"/>
              </w:rPr>
              <w:t>771,229</w:t>
            </w:r>
          </w:p>
        </w:tc>
        <w:tc>
          <w:tcPr>
            <w:tcW w:w="1244" w:type="dxa"/>
            <w:gridSpan w:val="2"/>
            <w:tcBorders>
              <w:left w:val="nil"/>
              <w:right w:val="nil"/>
            </w:tcBorders>
            <w:shd w:val="clear" w:color="auto" w:fill="auto"/>
            <w:vAlign w:val="bottom"/>
          </w:tcPr>
          <w:p w14:paraId="383AB116" w14:textId="120524C0" w:rsidR="00CA4544" w:rsidRPr="00370EC4" w:rsidRDefault="00826396" w:rsidP="00CA4544">
            <w:pPr>
              <w:spacing w:after="0" w:line="240" w:lineRule="auto"/>
              <w:ind w:right="154"/>
              <w:jc w:val="right"/>
              <w:rPr>
                <w:rFonts w:ascii="Arial" w:hAnsi="Arial" w:cs="Arial"/>
                <w:sz w:val="18"/>
                <w:szCs w:val="18"/>
              </w:rPr>
            </w:pPr>
            <w:r>
              <w:rPr>
                <w:rFonts w:ascii="Arial" w:hAnsi="Arial" w:cs="Arial"/>
                <w:sz w:val="18"/>
                <w:szCs w:val="18"/>
              </w:rPr>
              <w:t>2,004,129</w:t>
            </w:r>
          </w:p>
        </w:tc>
        <w:tc>
          <w:tcPr>
            <w:tcW w:w="992" w:type="dxa"/>
            <w:gridSpan w:val="2"/>
            <w:tcBorders>
              <w:left w:val="nil"/>
              <w:right w:val="nil"/>
            </w:tcBorders>
            <w:vAlign w:val="bottom"/>
          </w:tcPr>
          <w:p w14:paraId="3EA85FF3" w14:textId="036B3F05" w:rsidR="00CA4544" w:rsidRPr="00370EC4" w:rsidRDefault="00CA4544" w:rsidP="00CA4544">
            <w:pPr>
              <w:spacing w:after="0" w:line="240" w:lineRule="auto"/>
              <w:ind w:right="90"/>
              <w:jc w:val="right"/>
              <w:rPr>
                <w:rFonts w:ascii="Arial" w:hAnsi="Arial" w:cs="Arial"/>
                <w:sz w:val="18"/>
                <w:szCs w:val="18"/>
              </w:rPr>
            </w:pPr>
            <w:r>
              <w:rPr>
                <w:rFonts w:ascii="Arial" w:hAnsi="Arial" w:cs="Arial"/>
                <w:sz w:val="18"/>
                <w:szCs w:val="18"/>
              </w:rPr>
              <w:t>(</w:t>
            </w:r>
            <w:r w:rsidRPr="00370EC4">
              <w:rPr>
                <w:rFonts w:ascii="Arial" w:hAnsi="Arial" w:cs="Arial"/>
                <w:sz w:val="18"/>
                <w:szCs w:val="18"/>
              </w:rPr>
              <w:t>10,000</w:t>
            </w:r>
            <w:r>
              <w:rPr>
                <w:rFonts w:ascii="Arial" w:hAnsi="Arial" w:cs="Arial"/>
                <w:sz w:val="18"/>
                <w:szCs w:val="18"/>
              </w:rPr>
              <w:t>)</w:t>
            </w:r>
          </w:p>
        </w:tc>
        <w:tc>
          <w:tcPr>
            <w:tcW w:w="1134" w:type="dxa"/>
            <w:gridSpan w:val="2"/>
            <w:tcBorders>
              <w:left w:val="nil"/>
              <w:right w:val="nil"/>
            </w:tcBorders>
            <w:vAlign w:val="bottom"/>
          </w:tcPr>
          <w:p w14:paraId="5C75C7A4" w14:textId="79B93009" w:rsidR="00CA4544" w:rsidRPr="00370EC4" w:rsidRDefault="00CA4544" w:rsidP="00CA4544">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right w:val="nil"/>
            </w:tcBorders>
            <w:vAlign w:val="bottom"/>
          </w:tcPr>
          <w:p w14:paraId="2D78BAAB"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0B9DEEAB"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44D9C09B" w14:textId="6F047861" w:rsidR="00CA4544" w:rsidRPr="00370EC4" w:rsidRDefault="00CA4544" w:rsidP="00CA4544">
            <w:pPr>
              <w:tabs>
                <w:tab w:val="decimal" w:pos="1126"/>
              </w:tabs>
              <w:spacing w:after="0" w:line="240" w:lineRule="auto"/>
              <w:ind w:right="142"/>
              <w:jc w:val="right"/>
              <w:rPr>
                <w:rFonts w:ascii="Arial" w:hAnsi="Arial" w:cs="Arial"/>
                <w:sz w:val="18"/>
                <w:szCs w:val="18"/>
              </w:rPr>
            </w:pPr>
            <w:r>
              <w:rPr>
                <w:rFonts w:ascii="Arial" w:hAnsi="Arial" w:cs="Arial"/>
                <w:sz w:val="18"/>
                <w:szCs w:val="18"/>
              </w:rPr>
              <w:t>1,9</w:t>
            </w:r>
            <w:r w:rsidR="00826396">
              <w:rPr>
                <w:rFonts w:ascii="Arial" w:hAnsi="Arial" w:cs="Arial"/>
                <w:sz w:val="18"/>
                <w:szCs w:val="18"/>
              </w:rPr>
              <w:t>9</w:t>
            </w:r>
            <w:r>
              <w:rPr>
                <w:rFonts w:ascii="Arial" w:hAnsi="Arial" w:cs="Arial"/>
                <w:sz w:val="18"/>
                <w:szCs w:val="18"/>
              </w:rPr>
              <w:t>4,129</w:t>
            </w:r>
          </w:p>
        </w:tc>
      </w:tr>
      <w:tr w:rsidR="00CA4544" w:rsidRPr="00370EC4" w14:paraId="512929DA" w14:textId="77777777" w:rsidTr="0045782B">
        <w:trPr>
          <w:gridAfter w:val="1"/>
          <w:wAfter w:w="565" w:type="dxa"/>
          <w:trHeight w:hRule="exact" w:val="897"/>
        </w:trPr>
        <w:tc>
          <w:tcPr>
            <w:tcW w:w="2880" w:type="dxa"/>
            <w:tcBorders>
              <w:left w:val="nil"/>
            </w:tcBorders>
            <w:noWrap/>
            <w:tcMar>
              <w:right w:w="216" w:type="dxa"/>
            </w:tcMar>
            <w:vAlign w:val="bottom"/>
          </w:tcPr>
          <w:p w14:paraId="63CF281F" w14:textId="6CCEDF77" w:rsidR="00CA4544" w:rsidRPr="00370EC4" w:rsidRDefault="00CA4544" w:rsidP="00CA4544">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Common </w:t>
            </w:r>
            <w:r>
              <w:rPr>
                <w:rFonts w:ascii="Arial" w:eastAsia="Arial Unicode MS" w:hAnsi="Arial" w:cs="Arial"/>
                <w:sz w:val="18"/>
                <w:szCs w:val="18"/>
              </w:rPr>
              <w:t>shares</w:t>
            </w:r>
            <w:r w:rsidRPr="00370EC4">
              <w:rPr>
                <w:rFonts w:ascii="Arial" w:eastAsia="Arial Unicode MS" w:hAnsi="Arial" w:cs="Arial"/>
                <w:sz w:val="18"/>
                <w:szCs w:val="18"/>
              </w:rPr>
              <w:t xml:space="preserve"> issued for settlement of accounts payable and accrued liabilities</w:t>
            </w:r>
            <w:r>
              <w:rPr>
                <w:rFonts w:ascii="Arial" w:eastAsia="Arial Unicode MS" w:hAnsi="Arial" w:cs="Arial"/>
                <w:sz w:val="18"/>
                <w:szCs w:val="18"/>
              </w:rPr>
              <w:t xml:space="preserve"> (Note 1</w:t>
            </w:r>
            <w:r w:rsidR="00B256C2">
              <w:rPr>
                <w:rFonts w:ascii="Arial" w:eastAsia="Arial Unicode MS" w:hAnsi="Arial" w:cs="Arial"/>
                <w:sz w:val="18"/>
                <w:szCs w:val="18"/>
              </w:rPr>
              <w:t>2</w:t>
            </w:r>
            <w:r>
              <w:rPr>
                <w:rFonts w:ascii="Arial" w:eastAsia="Arial Unicode MS" w:hAnsi="Arial" w:cs="Arial"/>
                <w:sz w:val="18"/>
                <w:szCs w:val="18"/>
              </w:rPr>
              <w:t>(b)</w:t>
            </w:r>
            <w:r w:rsidR="0045782B">
              <w:rPr>
                <w:rFonts w:ascii="Arial" w:eastAsia="Arial Unicode MS" w:hAnsi="Arial" w:cs="Arial"/>
                <w:sz w:val="18"/>
                <w:szCs w:val="18"/>
              </w:rPr>
              <w:t>)</w:t>
            </w:r>
          </w:p>
        </w:tc>
        <w:tc>
          <w:tcPr>
            <w:tcW w:w="1276" w:type="dxa"/>
            <w:gridSpan w:val="2"/>
            <w:tcBorders>
              <w:right w:val="nil"/>
            </w:tcBorders>
            <w:shd w:val="clear" w:color="auto" w:fill="auto"/>
            <w:vAlign w:val="bottom"/>
          </w:tcPr>
          <w:p w14:paraId="1D431B55" w14:textId="6A6ED858"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1,690,323</w:t>
            </w:r>
          </w:p>
        </w:tc>
        <w:tc>
          <w:tcPr>
            <w:tcW w:w="1244" w:type="dxa"/>
            <w:gridSpan w:val="2"/>
            <w:tcBorders>
              <w:left w:val="nil"/>
              <w:right w:val="nil"/>
            </w:tcBorders>
            <w:shd w:val="clear" w:color="auto" w:fill="auto"/>
            <w:vAlign w:val="bottom"/>
          </w:tcPr>
          <w:p w14:paraId="327C5F33" w14:textId="2A3D2D12" w:rsidR="00CA4544" w:rsidRPr="00370EC4" w:rsidRDefault="00CA4544" w:rsidP="00CA4544">
            <w:pPr>
              <w:spacing w:after="0" w:line="240" w:lineRule="auto"/>
              <w:ind w:right="154"/>
              <w:jc w:val="right"/>
              <w:rPr>
                <w:rFonts w:ascii="Arial" w:hAnsi="Arial" w:cs="Arial"/>
                <w:sz w:val="18"/>
                <w:szCs w:val="18"/>
              </w:rPr>
            </w:pPr>
            <w:r>
              <w:rPr>
                <w:rFonts w:ascii="Arial" w:hAnsi="Arial" w:cs="Arial"/>
                <w:sz w:val="18"/>
                <w:szCs w:val="18"/>
              </w:rPr>
              <w:t>338,065</w:t>
            </w:r>
          </w:p>
        </w:tc>
        <w:tc>
          <w:tcPr>
            <w:tcW w:w="992" w:type="dxa"/>
            <w:gridSpan w:val="2"/>
            <w:tcBorders>
              <w:left w:val="nil"/>
              <w:right w:val="nil"/>
            </w:tcBorders>
            <w:vAlign w:val="bottom"/>
          </w:tcPr>
          <w:p w14:paraId="685D00C4" w14:textId="77777777"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52F345DB" w14:textId="471E3643" w:rsidR="00CA4544" w:rsidRPr="00370EC4" w:rsidRDefault="00CA4544" w:rsidP="00CA4544">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right w:val="nil"/>
            </w:tcBorders>
            <w:vAlign w:val="bottom"/>
          </w:tcPr>
          <w:p w14:paraId="59CBB68D"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772730D0"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3588837D" w14:textId="57EA2BC5" w:rsidR="00CA4544" w:rsidRPr="00370EC4" w:rsidRDefault="00CA4544" w:rsidP="00CA4544">
            <w:pPr>
              <w:tabs>
                <w:tab w:val="decimal" w:pos="1126"/>
              </w:tabs>
              <w:spacing w:after="0" w:line="240" w:lineRule="auto"/>
              <w:ind w:right="142"/>
              <w:jc w:val="right"/>
              <w:rPr>
                <w:rFonts w:ascii="Arial" w:hAnsi="Arial" w:cs="Arial"/>
                <w:sz w:val="18"/>
                <w:szCs w:val="18"/>
              </w:rPr>
            </w:pPr>
            <w:r>
              <w:rPr>
                <w:rFonts w:ascii="Arial" w:hAnsi="Arial" w:cs="Arial"/>
                <w:sz w:val="18"/>
                <w:szCs w:val="18"/>
              </w:rPr>
              <w:t>338,065</w:t>
            </w:r>
          </w:p>
        </w:tc>
      </w:tr>
      <w:tr w:rsidR="00CA4544" w:rsidRPr="00370EC4" w14:paraId="1CC560B7" w14:textId="77777777" w:rsidTr="001B4793">
        <w:trPr>
          <w:gridAfter w:val="1"/>
          <w:wAfter w:w="565" w:type="dxa"/>
          <w:trHeight w:hRule="exact" w:val="639"/>
        </w:trPr>
        <w:tc>
          <w:tcPr>
            <w:tcW w:w="2880" w:type="dxa"/>
            <w:tcBorders>
              <w:top w:val="nil"/>
              <w:left w:val="nil"/>
            </w:tcBorders>
            <w:noWrap/>
            <w:tcMar>
              <w:right w:w="216" w:type="dxa"/>
            </w:tcMar>
            <w:vAlign w:val="bottom"/>
          </w:tcPr>
          <w:p w14:paraId="33376910" w14:textId="3F22F758" w:rsidR="00CA4544" w:rsidRPr="00370EC4" w:rsidRDefault="00CA4544" w:rsidP="00CA4544">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Common </w:t>
            </w:r>
            <w:r>
              <w:rPr>
                <w:rFonts w:ascii="Arial" w:eastAsia="Arial Unicode MS" w:hAnsi="Arial" w:cs="Arial"/>
                <w:sz w:val="18"/>
                <w:szCs w:val="18"/>
              </w:rPr>
              <w:t>shares issued for conversion of debentures</w:t>
            </w:r>
            <w:r w:rsidRPr="00370EC4">
              <w:rPr>
                <w:rFonts w:ascii="Arial" w:eastAsia="Arial Unicode MS" w:hAnsi="Arial" w:cs="Arial"/>
                <w:sz w:val="18"/>
                <w:szCs w:val="18"/>
              </w:rPr>
              <w:t xml:space="preserve"> (Note</w:t>
            </w:r>
            <w:r>
              <w:rPr>
                <w:rFonts w:ascii="Arial" w:eastAsia="Arial Unicode MS" w:hAnsi="Arial" w:cs="Arial"/>
                <w:sz w:val="18"/>
                <w:szCs w:val="18"/>
              </w:rPr>
              <w:t xml:space="preserve">s </w:t>
            </w:r>
            <w:r w:rsidR="00FB4A31">
              <w:rPr>
                <w:rFonts w:ascii="Arial" w:eastAsia="Arial Unicode MS" w:hAnsi="Arial" w:cs="Arial"/>
                <w:sz w:val="18"/>
                <w:szCs w:val="18"/>
              </w:rPr>
              <w:t>10</w:t>
            </w:r>
            <w:r>
              <w:rPr>
                <w:rFonts w:ascii="Arial" w:eastAsia="Arial Unicode MS" w:hAnsi="Arial" w:cs="Arial"/>
                <w:sz w:val="18"/>
                <w:szCs w:val="18"/>
              </w:rPr>
              <w:t xml:space="preserve"> and 1</w:t>
            </w:r>
            <w:r w:rsidR="00B256C2">
              <w:rPr>
                <w:rFonts w:ascii="Arial" w:eastAsia="Arial Unicode MS" w:hAnsi="Arial" w:cs="Arial"/>
                <w:sz w:val="18"/>
                <w:szCs w:val="18"/>
              </w:rPr>
              <w:t>2</w:t>
            </w:r>
            <w:r>
              <w:rPr>
                <w:rFonts w:ascii="Arial" w:eastAsia="Arial Unicode MS" w:hAnsi="Arial" w:cs="Arial"/>
                <w:sz w:val="18"/>
                <w:szCs w:val="18"/>
              </w:rPr>
              <w:t>(f)</w:t>
            </w:r>
            <w:r w:rsidRPr="00370EC4">
              <w:rPr>
                <w:rFonts w:ascii="Arial" w:eastAsia="Arial Unicode MS" w:hAnsi="Arial" w:cs="Arial"/>
                <w:sz w:val="18"/>
                <w:szCs w:val="18"/>
              </w:rPr>
              <w:t xml:space="preserve">) </w:t>
            </w:r>
          </w:p>
        </w:tc>
        <w:tc>
          <w:tcPr>
            <w:tcW w:w="1276" w:type="dxa"/>
            <w:gridSpan w:val="2"/>
            <w:tcBorders>
              <w:right w:val="nil"/>
            </w:tcBorders>
            <w:shd w:val="clear" w:color="auto" w:fill="auto"/>
            <w:vAlign w:val="bottom"/>
          </w:tcPr>
          <w:p w14:paraId="6FC64E9F" w14:textId="6529A2B5"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595,238</w:t>
            </w:r>
          </w:p>
        </w:tc>
        <w:tc>
          <w:tcPr>
            <w:tcW w:w="1244" w:type="dxa"/>
            <w:gridSpan w:val="2"/>
            <w:tcBorders>
              <w:left w:val="nil"/>
              <w:right w:val="nil"/>
            </w:tcBorders>
            <w:shd w:val="clear" w:color="auto" w:fill="auto"/>
            <w:vAlign w:val="bottom"/>
          </w:tcPr>
          <w:p w14:paraId="25C3125D" w14:textId="7F3E5584" w:rsidR="00CA4544" w:rsidRPr="00370EC4" w:rsidRDefault="00CA4544" w:rsidP="00CA4544">
            <w:pPr>
              <w:spacing w:after="0" w:line="240" w:lineRule="auto"/>
              <w:ind w:right="154"/>
              <w:jc w:val="right"/>
              <w:rPr>
                <w:rFonts w:ascii="Arial" w:hAnsi="Arial" w:cs="Arial"/>
                <w:sz w:val="18"/>
                <w:szCs w:val="18"/>
              </w:rPr>
            </w:pPr>
            <w:r>
              <w:rPr>
                <w:rFonts w:ascii="Arial" w:hAnsi="Arial" w:cs="Arial"/>
                <w:sz w:val="18"/>
                <w:szCs w:val="18"/>
              </w:rPr>
              <w:t>261,821</w:t>
            </w:r>
          </w:p>
        </w:tc>
        <w:tc>
          <w:tcPr>
            <w:tcW w:w="992" w:type="dxa"/>
            <w:gridSpan w:val="2"/>
            <w:tcBorders>
              <w:left w:val="nil"/>
              <w:right w:val="nil"/>
            </w:tcBorders>
            <w:vAlign w:val="bottom"/>
          </w:tcPr>
          <w:p w14:paraId="47A44324" w14:textId="77777777"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03B08F41" w14:textId="32CD2C85" w:rsidR="00CA4544" w:rsidRPr="00370EC4" w:rsidRDefault="00CA4544" w:rsidP="00CA4544">
            <w:pPr>
              <w:spacing w:after="0" w:line="240" w:lineRule="auto"/>
              <w:ind w:right="5"/>
              <w:jc w:val="right"/>
              <w:rPr>
                <w:rFonts w:ascii="Arial" w:hAnsi="Arial" w:cs="Arial"/>
                <w:sz w:val="18"/>
                <w:szCs w:val="18"/>
              </w:rPr>
            </w:pPr>
            <w:r>
              <w:rPr>
                <w:rFonts w:ascii="Arial" w:hAnsi="Arial" w:cs="Arial"/>
                <w:sz w:val="18"/>
                <w:szCs w:val="18"/>
              </w:rPr>
              <w:t>(11,821)</w:t>
            </w:r>
          </w:p>
        </w:tc>
        <w:tc>
          <w:tcPr>
            <w:tcW w:w="1435" w:type="dxa"/>
            <w:gridSpan w:val="2"/>
            <w:tcBorders>
              <w:left w:val="nil"/>
              <w:right w:val="nil"/>
            </w:tcBorders>
            <w:vAlign w:val="bottom"/>
          </w:tcPr>
          <w:p w14:paraId="2774558E"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3502F11E"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4CE8DF25" w14:textId="223640C3" w:rsidR="00CA4544" w:rsidRPr="00370EC4" w:rsidRDefault="00CA4544" w:rsidP="00CA4544">
            <w:pPr>
              <w:tabs>
                <w:tab w:val="decimal" w:pos="1126"/>
              </w:tabs>
              <w:spacing w:after="0" w:line="240" w:lineRule="auto"/>
              <w:ind w:right="142"/>
              <w:jc w:val="right"/>
              <w:rPr>
                <w:rFonts w:ascii="Arial" w:hAnsi="Arial" w:cs="Arial"/>
                <w:sz w:val="18"/>
                <w:szCs w:val="18"/>
              </w:rPr>
            </w:pPr>
            <w:r>
              <w:rPr>
                <w:rFonts w:ascii="Arial" w:hAnsi="Arial" w:cs="Arial"/>
                <w:sz w:val="18"/>
                <w:szCs w:val="18"/>
              </w:rPr>
              <w:t>250</w:t>
            </w:r>
            <w:r w:rsidRPr="00370EC4">
              <w:rPr>
                <w:rFonts w:ascii="Arial" w:hAnsi="Arial" w:cs="Arial"/>
                <w:sz w:val="18"/>
                <w:szCs w:val="18"/>
              </w:rPr>
              <w:t>,000</w:t>
            </w:r>
          </w:p>
        </w:tc>
      </w:tr>
      <w:tr w:rsidR="00CA4544" w:rsidRPr="00370EC4" w14:paraId="4937B9DC" w14:textId="77777777" w:rsidTr="00FC7923">
        <w:trPr>
          <w:gridAfter w:val="1"/>
          <w:wAfter w:w="565" w:type="dxa"/>
          <w:trHeight w:hRule="exact" w:val="684"/>
        </w:trPr>
        <w:tc>
          <w:tcPr>
            <w:tcW w:w="2880" w:type="dxa"/>
            <w:tcBorders>
              <w:top w:val="nil"/>
              <w:left w:val="nil"/>
            </w:tcBorders>
            <w:noWrap/>
            <w:tcMar>
              <w:right w:w="216" w:type="dxa"/>
            </w:tcMar>
            <w:vAlign w:val="bottom"/>
          </w:tcPr>
          <w:p w14:paraId="77154AD2" w14:textId="14F24558" w:rsidR="00CA4544" w:rsidRPr="00370EC4" w:rsidRDefault="00CA4544" w:rsidP="00CA4544">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Common </w:t>
            </w:r>
            <w:r>
              <w:rPr>
                <w:rFonts w:ascii="Arial" w:eastAsia="Arial Unicode MS" w:hAnsi="Arial" w:cs="Arial"/>
                <w:sz w:val="18"/>
                <w:szCs w:val="18"/>
              </w:rPr>
              <w:t>shares</w:t>
            </w:r>
            <w:r w:rsidRPr="00370EC4">
              <w:rPr>
                <w:rFonts w:ascii="Arial" w:eastAsia="Arial Unicode MS" w:hAnsi="Arial" w:cs="Arial"/>
                <w:sz w:val="18"/>
                <w:szCs w:val="18"/>
              </w:rPr>
              <w:t xml:space="preserve"> and warrants issued for cash</w:t>
            </w:r>
            <w:r>
              <w:rPr>
                <w:rFonts w:ascii="Arial" w:eastAsia="Arial Unicode MS" w:hAnsi="Arial" w:cs="Arial"/>
                <w:sz w:val="18"/>
                <w:szCs w:val="18"/>
              </w:rPr>
              <w:t xml:space="preserve"> (Notes 1</w:t>
            </w:r>
            <w:r w:rsidR="00B256C2">
              <w:rPr>
                <w:rFonts w:ascii="Arial" w:eastAsia="Arial Unicode MS" w:hAnsi="Arial" w:cs="Arial"/>
                <w:sz w:val="18"/>
                <w:szCs w:val="18"/>
              </w:rPr>
              <w:t>2</w:t>
            </w:r>
            <w:r>
              <w:rPr>
                <w:rFonts w:ascii="Arial" w:eastAsia="Arial Unicode MS" w:hAnsi="Arial" w:cs="Arial"/>
                <w:sz w:val="18"/>
                <w:szCs w:val="18"/>
              </w:rPr>
              <w:t xml:space="preserve">(d) and </w:t>
            </w:r>
            <w:r w:rsidR="00FB4A31">
              <w:rPr>
                <w:rFonts w:ascii="Arial" w:eastAsia="Arial Unicode MS" w:hAnsi="Arial" w:cs="Arial"/>
                <w:sz w:val="18"/>
                <w:szCs w:val="18"/>
              </w:rPr>
              <w:t>12</w:t>
            </w:r>
            <w:r>
              <w:rPr>
                <w:rFonts w:ascii="Arial" w:eastAsia="Arial Unicode MS" w:hAnsi="Arial" w:cs="Arial"/>
                <w:sz w:val="18"/>
                <w:szCs w:val="18"/>
              </w:rPr>
              <w:t>(e))</w:t>
            </w:r>
          </w:p>
        </w:tc>
        <w:tc>
          <w:tcPr>
            <w:tcW w:w="1276" w:type="dxa"/>
            <w:gridSpan w:val="2"/>
            <w:tcBorders>
              <w:right w:val="nil"/>
            </w:tcBorders>
            <w:shd w:val="clear" w:color="auto" w:fill="auto"/>
            <w:vAlign w:val="bottom"/>
          </w:tcPr>
          <w:p w14:paraId="06E44896" w14:textId="65244610"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66,950,000</w:t>
            </w:r>
          </w:p>
        </w:tc>
        <w:tc>
          <w:tcPr>
            <w:tcW w:w="1244" w:type="dxa"/>
            <w:gridSpan w:val="2"/>
            <w:tcBorders>
              <w:left w:val="nil"/>
              <w:right w:val="nil"/>
            </w:tcBorders>
            <w:shd w:val="clear" w:color="auto" w:fill="auto"/>
            <w:vAlign w:val="bottom"/>
          </w:tcPr>
          <w:p w14:paraId="7EC1645A" w14:textId="1EE34AA8" w:rsidR="00CA4544" w:rsidRPr="00370EC4" w:rsidRDefault="00CA4544" w:rsidP="00CA4544">
            <w:pPr>
              <w:spacing w:after="0" w:line="240" w:lineRule="auto"/>
              <w:ind w:right="154"/>
              <w:jc w:val="right"/>
              <w:rPr>
                <w:rFonts w:ascii="Arial" w:hAnsi="Arial" w:cs="Arial"/>
                <w:sz w:val="18"/>
                <w:szCs w:val="18"/>
              </w:rPr>
            </w:pPr>
            <w:r>
              <w:rPr>
                <w:rFonts w:ascii="Arial" w:hAnsi="Arial" w:cs="Arial"/>
                <w:sz w:val="18"/>
                <w:szCs w:val="18"/>
              </w:rPr>
              <w:t>16,390,000</w:t>
            </w:r>
          </w:p>
        </w:tc>
        <w:tc>
          <w:tcPr>
            <w:tcW w:w="992" w:type="dxa"/>
            <w:gridSpan w:val="2"/>
            <w:tcBorders>
              <w:left w:val="nil"/>
              <w:right w:val="nil"/>
            </w:tcBorders>
            <w:vAlign w:val="bottom"/>
          </w:tcPr>
          <w:p w14:paraId="5C33C3EF" w14:textId="77777777"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48F08FC0" w14:textId="77777777" w:rsidR="00CA4544" w:rsidRPr="00370EC4" w:rsidRDefault="00CA4544" w:rsidP="00CA4544">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right w:val="nil"/>
            </w:tcBorders>
            <w:vAlign w:val="bottom"/>
          </w:tcPr>
          <w:p w14:paraId="4FC7901E"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35F0A0CC"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6B557A0A" w14:textId="7F793E85" w:rsidR="00CA4544" w:rsidRPr="00370EC4" w:rsidRDefault="00CA4544" w:rsidP="00CA4544">
            <w:pPr>
              <w:tabs>
                <w:tab w:val="decimal" w:pos="1126"/>
              </w:tabs>
              <w:spacing w:after="0" w:line="240" w:lineRule="auto"/>
              <w:ind w:right="142"/>
              <w:jc w:val="right"/>
              <w:rPr>
                <w:rFonts w:ascii="Arial" w:hAnsi="Arial" w:cs="Arial"/>
                <w:sz w:val="18"/>
                <w:szCs w:val="18"/>
              </w:rPr>
            </w:pPr>
            <w:r>
              <w:rPr>
                <w:rFonts w:ascii="Arial" w:hAnsi="Arial" w:cs="Arial"/>
                <w:sz w:val="18"/>
                <w:szCs w:val="18"/>
              </w:rPr>
              <w:t>16,390,000</w:t>
            </w:r>
          </w:p>
        </w:tc>
      </w:tr>
      <w:tr w:rsidR="00CA4544" w:rsidRPr="00370EC4" w14:paraId="101C54F2" w14:textId="77777777" w:rsidTr="00EA1905">
        <w:trPr>
          <w:gridAfter w:val="1"/>
          <w:wAfter w:w="565" w:type="dxa"/>
          <w:trHeight w:hRule="exact" w:val="639"/>
        </w:trPr>
        <w:tc>
          <w:tcPr>
            <w:tcW w:w="2880" w:type="dxa"/>
            <w:tcBorders>
              <w:top w:val="nil"/>
              <w:left w:val="nil"/>
            </w:tcBorders>
            <w:noWrap/>
            <w:tcMar>
              <w:right w:w="216" w:type="dxa"/>
            </w:tcMar>
            <w:vAlign w:val="bottom"/>
          </w:tcPr>
          <w:p w14:paraId="79E1F9DF" w14:textId="31C426DF" w:rsidR="00CA4544" w:rsidRPr="00370EC4" w:rsidRDefault="00CA4544" w:rsidP="00CA4544">
            <w:pPr>
              <w:tabs>
                <w:tab w:val="left" w:pos="4050"/>
              </w:tabs>
              <w:spacing w:after="0" w:line="240" w:lineRule="auto"/>
              <w:ind w:right="-36"/>
              <w:rPr>
                <w:rFonts w:ascii="Arial" w:eastAsia="Arial Unicode MS" w:hAnsi="Arial" w:cs="Arial"/>
                <w:sz w:val="18"/>
                <w:szCs w:val="18"/>
              </w:rPr>
            </w:pPr>
            <w:r>
              <w:rPr>
                <w:rFonts w:ascii="Arial" w:eastAsia="Arial Unicode MS" w:hAnsi="Arial" w:cs="Arial"/>
                <w:sz w:val="18"/>
                <w:szCs w:val="18"/>
              </w:rPr>
              <w:t>Common shares and w</w:t>
            </w:r>
            <w:r w:rsidRPr="00370EC4">
              <w:rPr>
                <w:rFonts w:ascii="Arial" w:eastAsia="Arial Unicode MS" w:hAnsi="Arial" w:cs="Arial"/>
                <w:sz w:val="18"/>
                <w:szCs w:val="18"/>
              </w:rPr>
              <w:t>arrants issued</w:t>
            </w:r>
            <w:r>
              <w:rPr>
                <w:rFonts w:ascii="Arial" w:eastAsia="Arial Unicode MS" w:hAnsi="Arial" w:cs="Arial"/>
                <w:sz w:val="18"/>
                <w:szCs w:val="18"/>
              </w:rPr>
              <w:t xml:space="preserve"> and cash paid</w:t>
            </w:r>
            <w:r w:rsidRPr="00370EC4">
              <w:rPr>
                <w:rFonts w:ascii="Arial" w:eastAsia="Arial Unicode MS" w:hAnsi="Arial" w:cs="Arial"/>
                <w:sz w:val="18"/>
                <w:szCs w:val="18"/>
              </w:rPr>
              <w:t xml:space="preserve"> for finder’s fee</w:t>
            </w:r>
            <w:r>
              <w:rPr>
                <w:rFonts w:ascii="Arial" w:eastAsia="Arial Unicode MS" w:hAnsi="Arial" w:cs="Arial"/>
                <w:sz w:val="18"/>
                <w:szCs w:val="18"/>
              </w:rPr>
              <w:t xml:space="preserve"> (Note 1</w:t>
            </w:r>
            <w:r w:rsidR="00B256C2">
              <w:rPr>
                <w:rFonts w:ascii="Arial" w:eastAsia="Arial Unicode MS" w:hAnsi="Arial" w:cs="Arial"/>
                <w:sz w:val="18"/>
                <w:szCs w:val="18"/>
              </w:rPr>
              <w:t>2</w:t>
            </w:r>
            <w:r>
              <w:rPr>
                <w:rFonts w:ascii="Arial" w:eastAsia="Arial Unicode MS" w:hAnsi="Arial" w:cs="Arial"/>
                <w:sz w:val="18"/>
                <w:szCs w:val="18"/>
              </w:rPr>
              <w:t>(d))</w:t>
            </w:r>
          </w:p>
        </w:tc>
        <w:tc>
          <w:tcPr>
            <w:tcW w:w="1276" w:type="dxa"/>
            <w:gridSpan w:val="2"/>
            <w:tcBorders>
              <w:right w:val="nil"/>
            </w:tcBorders>
            <w:shd w:val="clear" w:color="auto" w:fill="auto"/>
            <w:vAlign w:val="bottom"/>
          </w:tcPr>
          <w:p w14:paraId="6D3BCEC1" w14:textId="5127E2BE"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508,000</w:t>
            </w:r>
          </w:p>
        </w:tc>
        <w:tc>
          <w:tcPr>
            <w:tcW w:w="1244" w:type="dxa"/>
            <w:gridSpan w:val="2"/>
            <w:tcBorders>
              <w:left w:val="nil"/>
              <w:right w:val="nil"/>
            </w:tcBorders>
            <w:shd w:val="clear" w:color="auto" w:fill="auto"/>
            <w:vAlign w:val="bottom"/>
          </w:tcPr>
          <w:p w14:paraId="2A77ADF0" w14:textId="43D69DD8" w:rsidR="00CA4544" w:rsidRPr="00370EC4" w:rsidRDefault="00CA4544" w:rsidP="00CA4544">
            <w:pPr>
              <w:spacing w:after="0" w:line="240" w:lineRule="auto"/>
              <w:ind w:right="154"/>
              <w:jc w:val="right"/>
              <w:rPr>
                <w:rFonts w:ascii="Arial" w:hAnsi="Arial" w:cs="Arial"/>
                <w:sz w:val="18"/>
                <w:szCs w:val="18"/>
              </w:rPr>
            </w:pPr>
            <w:r>
              <w:rPr>
                <w:rFonts w:ascii="Arial" w:hAnsi="Arial" w:cs="Arial"/>
                <w:sz w:val="18"/>
                <w:szCs w:val="18"/>
              </w:rPr>
              <w:t>(99,804)</w:t>
            </w:r>
          </w:p>
        </w:tc>
        <w:tc>
          <w:tcPr>
            <w:tcW w:w="992" w:type="dxa"/>
            <w:gridSpan w:val="2"/>
            <w:tcBorders>
              <w:left w:val="nil"/>
              <w:right w:val="nil"/>
            </w:tcBorders>
            <w:vAlign w:val="bottom"/>
          </w:tcPr>
          <w:p w14:paraId="4C589259" w14:textId="77777777"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7CF34914" w14:textId="0E8633B5" w:rsidR="00CA4544" w:rsidRPr="00370EC4" w:rsidRDefault="00CA4544" w:rsidP="00CA4544">
            <w:pPr>
              <w:spacing w:after="0" w:line="240" w:lineRule="auto"/>
              <w:ind w:right="5"/>
              <w:jc w:val="right"/>
              <w:rPr>
                <w:rFonts w:ascii="Arial" w:hAnsi="Arial" w:cs="Arial"/>
                <w:sz w:val="18"/>
                <w:szCs w:val="18"/>
              </w:rPr>
            </w:pPr>
            <w:r>
              <w:rPr>
                <w:rFonts w:ascii="Arial" w:hAnsi="Arial" w:cs="Arial"/>
                <w:sz w:val="18"/>
                <w:szCs w:val="18"/>
              </w:rPr>
              <w:t>19,804</w:t>
            </w:r>
          </w:p>
        </w:tc>
        <w:tc>
          <w:tcPr>
            <w:tcW w:w="1435" w:type="dxa"/>
            <w:gridSpan w:val="2"/>
            <w:tcBorders>
              <w:left w:val="nil"/>
              <w:right w:val="nil"/>
            </w:tcBorders>
            <w:vAlign w:val="bottom"/>
          </w:tcPr>
          <w:p w14:paraId="1C4781EC"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7E5005BC"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5EF8F6AE" w14:textId="109DB7C5" w:rsidR="00CA4544" w:rsidRPr="00370EC4" w:rsidRDefault="00CA4544" w:rsidP="00CA4544">
            <w:pPr>
              <w:tabs>
                <w:tab w:val="decimal" w:pos="1126"/>
              </w:tabs>
              <w:spacing w:after="0" w:line="240" w:lineRule="auto"/>
              <w:ind w:right="142"/>
              <w:jc w:val="right"/>
              <w:rPr>
                <w:rFonts w:ascii="Arial" w:hAnsi="Arial" w:cs="Arial"/>
                <w:sz w:val="18"/>
                <w:szCs w:val="18"/>
              </w:rPr>
            </w:pPr>
            <w:r>
              <w:rPr>
                <w:rFonts w:ascii="Arial" w:hAnsi="Arial" w:cs="Arial"/>
                <w:sz w:val="18"/>
                <w:szCs w:val="18"/>
              </w:rPr>
              <w:t>(80,000)</w:t>
            </w:r>
          </w:p>
        </w:tc>
      </w:tr>
      <w:tr w:rsidR="00CA4544" w:rsidRPr="00370EC4" w14:paraId="44C3F826" w14:textId="77777777" w:rsidTr="001B4793">
        <w:trPr>
          <w:gridAfter w:val="1"/>
          <w:wAfter w:w="565" w:type="dxa"/>
          <w:trHeight w:hRule="exact" w:val="261"/>
        </w:trPr>
        <w:tc>
          <w:tcPr>
            <w:tcW w:w="2880" w:type="dxa"/>
            <w:tcBorders>
              <w:top w:val="nil"/>
              <w:left w:val="nil"/>
            </w:tcBorders>
            <w:noWrap/>
            <w:tcMar>
              <w:right w:w="216" w:type="dxa"/>
            </w:tcMar>
            <w:vAlign w:val="bottom"/>
          </w:tcPr>
          <w:p w14:paraId="29F37253" w14:textId="6C6DCB32" w:rsidR="00CA4544" w:rsidRPr="00370EC4" w:rsidRDefault="00CA4544" w:rsidP="00CA4544">
            <w:pPr>
              <w:tabs>
                <w:tab w:val="left" w:pos="4050"/>
              </w:tabs>
              <w:spacing w:after="0" w:line="240" w:lineRule="auto"/>
              <w:ind w:right="-36"/>
              <w:rPr>
                <w:rFonts w:ascii="Arial" w:eastAsia="Arial Unicode MS" w:hAnsi="Arial" w:cs="Arial"/>
                <w:sz w:val="18"/>
                <w:szCs w:val="18"/>
              </w:rPr>
            </w:pPr>
            <w:r>
              <w:rPr>
                <w:rFonts w:ascii="Arial" w:eastAsia="Arial Unicode MS" w:hAnsi="Arial" w:cs="Arial"/>
                <w:sz w:val="18"/>
                <w:szCs w:val="18"/>
              </w:rPr>
              <w:t>Share-based payment</w:t>
            </w:r>
            <w:r w:rsidR="0045782B">
              <w:rPr>
                <w:rFonts w:ascii="Arial" w:eastAsia="Arial Unicode MS" w:hAnsi="Arial" w:cs="Arial"/>
                <w:sz w:val="18"/>
                <w:szCs w:val="18"/>
              </w:rPr>
              <w:t>s</w:t>
            </w:r>
            <w:r w:rsidRPr="00370EC4">
              <w:rPr>
                <w:rFonts w:ascii="Arial" w:eastAsia="Arial Unicode MS" w:hAnsi="Arial" w:cs="Arial"/>
                <w:sz w:val="18"/>
                <w:szCs w:val="18"/>
              </w:rPr>
              <w:t xml:space="preserve"> </w:t>
            </w:r>
          </w:p>
        </w:tc>
        <w:tc>
          <w:tcPr>
            <w:tcW w:w="1276" w:type="dxa"/>
            <w:gridSpan w:val="2"/>
            <w:tcBorders>
              <w:right w:val="nil"/>
            </w:tcBorders>
            <w:shd w:val="clear" w:color="auto" w:fill="auto"/>
            <w:vAlign w:val="bottom"/>
          </w:tcPr>
          <w:p w14:paraId="7B75ACA5" w14:textId="77777777"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44" w:type="dxa"/>
            <w:gridSpan w:val="2"/>
            <w:tcBorders>
              <w:left w:val="nil"/>
              <w:right w:val="nil"/>
            </w:tcBorders>
            <w:shd w:val="clear" w:color="auto" w:fill="auto"/>
            <w:vAlign w:val="bottom"/>
          </w:tcPr>
          <w:p w14:paraId="6C6D359E" w14:textId="77777777" w:rsidR="00CA4544" w:rsidRPr="00370EC4" w:rsidRDefault="00CA4544" w:rsidP="00CA4544">
            <w:pPr>
              <w:spacing w:after="0" w:line="240" w:lineRule="auto"/>
              <w:ind w:right="154"/>
              <w:jc w:val="right"/>
              <w:rPr>
                <w:rFonts w:ascii="Arial" w:hAnsi="Arial" w:cs="Arial"/>
                <w:sz w:val="18"/>
                <w:szCs w:val="18"/>
              </w:rPr>
            </w:pPr>
            <w:r w:rsidRPr="00370EC4">
              <w:rPr>
                <w:rFonts w:ascii="Arial" w:hAnsi="Arial" w:cs="Arial"/>
                <w:sz w:val="18"/>
                <w:szCs w:val="18"/>
              </w:rPr>
              <w:t>–</w:t>
            </w:r>
          </w:p>
        </w:tc>
        <w:tc>
          <w:tcPr>
            <w:tcW w:w="992" w:type="dxa"/>
            <w:gridSpan w:val="2"/>
            <w:tcBorders>
              <w:left w:val="nil"/>
              <w:right w:val="nil"/>
            </w:tcBorders>
            <w:vAlign w:val="bottom"/>
          </w:tcPr>
          <w:p w14:paraId="34AEDC05" w14:textId="77777777"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333B7BC4" w14:textId="2D1B93EA" w:rsidR="00CA4544" w:rsidRPr="00370EC4" w:rsidRDefault="00826396" w:rsidP="00CA4544">
            <w:pPr>
              <w:spacing w:after="0" w:line="240" w:lineRule="auto"/>
              <w:ind w:right="5"/>
              <w:jc w:val="right"/>
              <w:rPr>
                <w:rFonts w:ascii="Arial" w:hAnsi="Arial" w:cs="Arial"/>
                <w:sz w:val="18"/>
                <w:szCs w:val="18"/>
              </w:rPr>
            </w:pPr>
            <w:r>
              <w:rPr>
                <w:rFonts w:ascii="Arial" w:hAnsi="Arial" w:cs="Arial"/>
                <w:sz w:val="18"/>
                <w:szCs w:val="18"/>
              </w:rPr>
              <w:t>1,065,11</w:t>
            </w:r>
            <w:r w:rsidR="005E7F51">
              <w:rPr>
                <w:rFonts w:ascii="Arial" w:hAnsi="Arial" w:cs="Arial"/>
                <w:sz w:val="18"/>
                <w:szCs w:val="18"/>
              </w:rPr>
              <w:t>3</w:t>
            </w:r>
          </w:p>
        </w:tc>
        <w:tc>
          <w:tcPr>
            <w:tcW w:w="1435" w:type="dxa"/>
            <w:gridSpan w:val="2"/>
            <w:tcBorders>
              <w:left w:val="nil"/>
              <w:right w:val="nil"/>
            </w:tcBorders>
            <w:vAlign w:val="bottom"/>
          </w:tcPr>
          <w:p w14:paraId="0C07E0C7"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2546EC37" w14:textId="77777777" w:rsidR="00CA4544" w:rsidRPr="00370EC4" w:rsidRDefault="00CA4544" w:rsidP="00CA4544">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2CE0BD1E" w14:textId="197B4960" w:rsidR="00CA4544" w:rsidRPr="00370EC4" w:rsidRDefault="00294CF3" w:rsidP="00CA4544">
            <w:pPr>
              <w:tabs>
                <w:tab w:val="decimal" w:pos="1126"/>
              </w:tabs>
              <w:spacing w:after="0" w:line="240" w:lineRule="auto"/>
              <w:ind w:right="142"/>
              <w:jc w:val="right"/>
              <w:rPr>
                <w:rFonts w:ascii="Arial" w:hAnsi="Arial" w:cs="Arial"/>
                <w:sz w:val="18"/>
                <w:szCs w:val="18"/>
              </w:rPr>
            </w:pPr>
            <w:r>
              <w:rPr>
                <w:rFonts w:ascii="Arial" w:hAnsi="Arial" w:cs="Arial"/>
                <w:sz w:val="18"/>
                <w:szCs w:val="18"/>
              </w:rPr>
              <w:t>1,065,11</w:t>
            </w:r>
            <w:r w:rsidR="005E7F51">
              <w:rPr>
                <w:rFonts w:ascii="Arial" w:hAnsi="Arial" w:cs="Arial"/>
                <w:sz w:val="18"/>
                <w:szCs w:val="18"/>
              </w:rPr>
              <w:t>3</w:t>
            </w:r>
          </w:p>
        </w:tc>
      </w:tr>
      <w:tr w:rsidR="00CA4544" w:rsidRPr="00370EC4" w14:paraId="0E01D443" w14:textId="77777777" w:rsidTr="001B4793">
        <w:trPr>
          <w:gridAfter w:val="1"/>
          <w:wAfter w:w="565" w:type="dxa"/>
          <w:trHeight w:val="267"/>
        </w:trPr>
        <w:tc>
          <w:tcPr>
            <w:tcW w:w="2880" w:type="dxa"/>
            <w:tcBorders>
              <w:left w:val="nil"/>
              <w:bottom w:val="single" w:sz="4" w:space="0" w:color="auto"/>
            </w:tcBorders>
            <w:noWrap/>
            <w:tcMar>
              <w:right w:w="216" w:type="dxa"/>
            </w:tcMar>
            <w:vAlign w:val="bottom"/>
          </w:tcPr>
          <w:p w14:paraId="2D1391E3" w14:textId="77777777" w:rsidR="00CA4544" w:rsidRPr="00370EC4" w:rsidRDefault="00CA4544" w:rsidP="00CA4544">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Net loss</w:t>
            </w:r>
          </w:p>
        </w:tc>
        <w:tc>
          <w:tcPr>
            <w:tcW w:w="1276" w:type="dxa"/>
            <w:gridSpan w:val="2"/>
            <w:tcBorders>
              <w:bottom w:val="single" w:sz="4" w:space="0" w:color="auto"/>
              <w:right w:val="nil"/>
            </w:tcBorders>
            <w:shd w:val="clear" w:color="auto" w:fill="auto"/>
            <w:vAlign w:val="bottom"/>
          </w:tcPr>
          <w:p w14:paraId="62D08143" w14:textId="77777777"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44" w:type="dxa"/>
            <w:gridSpan w:val="2"/>
            <w:tcBorders>
              <w:left w:val="nil"/>
              <w:bottom w:val="single" w:sz="4" w:space="0" w:color="auto"/>
              <w:right w:val="nil"/>
            </w:tcBorders>
            <w:shd w:val="clear" w:color="auto" w:fill="auto"/>
            <w:vAlign w:val="bottom"/>
          </w:tcPr>
          <w:p w14:paraId="73FBD256" w14:textId="77777777" w:rsidR="00CA4544" w:rsidRPr="00370EC4" w:rsidRDefault="00CA4544" w:rsidP="00CA4544">
            <w:pPr>
              <w:spacing w:after="0" w:line="240" w:lineRule="auto"/>
              <w:ind w:right="154"/>
              <w:jc w:val="right"/>
              <w:rPr>
                <w:rFonts w:ascii="Arial" w:hAnsi="Arial" w:cs="Arial"/>
                <w:sz w:val="18"/>
                <w:szCs w:val="18"/>
              </w:rPr>
            </w:pPr>
            <w:r w:rsidRPr="00370EC4">
              <w:rPr>
                <w:rFonts w:ascii="Arial" w:hAnsi="Arial" w:cs="Arial"/>
                <w:sz w:val="18"/>
                <w:szCs w:val="18"/>
              </w:rPr>
              <w:t>–</w:t>
            </w:r>
          </w:p>
        </w:tc>
        <w:tc>
          <w:tcPr>
            <w:tcW w:w="992" w:type="dxa"/>
            <w:gridSpan w:val="2"/>
            <w:tcBorders>
              <w:left w:val="nil"/>
              <w:bottom w:val="single" w:sz="4" w:space="0" w:color="auto"/>
              <w:right w:val="nil"/>
            </w:tcBorders>
            <w:vAlign w:val="bottom"/>
          </w:tcPr>
          <w:p w14:paraId="1EC115C5" w14:textId="77777777"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bottom w:val="single" w:sz="4" w:space="0" w:color="auto"/>
              <w:right w:val="nil"/>
            </w:tcBorders>
            <w:vAlign w:val="bottom"/>
          </w:tcPr>
          <w:p w14:paraId="706CE906" w14:textId="77777777" w:rsidR="00CA4544" w:rsidRPr="00370EC4" w:rsidRDefault="00CA4544" w:rsidP="00CA4544">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bottom w:val="single" w:sz="4" w:space="0" w:color="auto"/>
              <w:right w:val="nil"/>
            </w:tcBorders>
            <w:vAlign w:val="bottom"/>
          </w:tcPr>
          <w:p w14:paraId="1D348FCE" w14:textId="392F189A" w:rsidR="00CA4544" w:rsidRPr="00264AC4" w:rsidRDefault="005E7F51" w:rsidP="00CA4544">
            <w:pPr>
              <w:tabs>
                <w:tab w:val="left" w:pos="1080"/>
              </w:tabs>
              <w:spacing w:after="0" w:line="240" w:lineRule="auto"/>
              <w:ind w:right="90"/>
              <w:jc w:val="right"/>
              <w:rPr>
                <w:rFonts w:ascii="Arial" w:hAnsi="Arial" w:cs="Arial"/>
                <w:sz w:val="18"/>
                <w:szCs w:val="18"/>
              </w:rPr>
            </w:pPr>
            <w:r w:rsidRPr="00264AC4">
              <w:rPr>
                <w:rFonts w:ascii="Arial" w:hAnsi="Arial" w:cs="Arial"/>
                <w:sz w:val="18"/>
                <w:szCs w:val="18"/>
              </w:rPr>
              <w:t>17,447</w:t>
            </w:r>
          </w:p>
        </w:tc>
        <w:tc>
          <w:tcPr>
            <w:tcW w:w="1276" w:type="dxa"/>
            <w:gridSpan w:val="2"/>
            <w:tcBorders>
              <w:left w:val="nil"/>
              <w:bottom w:val="single" w:sz="4" w:space="0" w:color="auto"/>
              <w:right w:val="nil"/>
            </w:tcBorders>
            <w:shd w:val="clear" w:color="auto" w:fill="auto"/>
            <w:vAlign w:val="bottom"/>
          </w:tcPr>
          <w:p w14:paraId="047D98CC" w14:textId="6063993F" w:rsidR="00CA4544" w:rsidRPr="00264AC4" w:rsidRDefault="00CA4544" w:rsidP="00CA4544">
            <w:pPr>
              <w:tabs>
                <w:tab w:val="left" w:pos="1080"/>
              </w:tabs>
              <w:spacing w:after="0" w:line="240" w:lineRule="auto"/>
              <w:ind w:right="90"/>
              <w:jc w:val="right"/>
              <w:rPr>
                <w:rFonts w:ascii="Arial" w:hAnsi="Arial" w:cs="Arial"/>
                <w:sz w:val="18"/>
                <w:szCs w:val="18"/>
              </w:rPr>
            </w:pPr>
            <w:r w:rsidRPr="00264AC4">
              <w:rPr>
                <w:rFonts w:ascii="Arial" w:hAnsi="Arial" w:cs="Arial"/>
                <w:sz w:val="18"/>
                <w:szCs w:val="18"/>
              </w:rPr>
              <w:t>(</w:t>
            </w:r>
            <w:r w:rsidR="00897369" w:rsidRPr="00897369">
              <w:rPr>
                <w:rFonts w:ascii="Arial" w:hAnsi="Arial" w:cs="Arial"/>
                <w:sz w:val="18"/>
                <w:szCs w:val="18"/>
              </w:rPr>
              <w:t>8,</w:t>
            </w:r>
            <w:r w:rsidR="00450E9E" w:rsidRPr="00450E9E">
              <w:rPr>
                <w:rFonts w:ascii="Arial" w:hAnsi="Arial" w:cs="Arial"/>
                <w:sz w:val="18"/>
                <w:szCs w:val="18"/>
              </w:rPr>
              <w:t>918,502</w:t>
            </w:r>
            <w:r w:rsidRPr="00264AC4">
              <w:rPr>
                <w:rFonts w:ascii="Arial" w:hAnsi="Arial" w:cs="Arial"/>
                <w:sz w:val="18"/>
                <w:szCs w:val="18"/>
              </w:rPr>
              <w:t>)</w:t>
            </w:r>
          </w:p>
        </w:tc>
        <w:tc>
          <w:tcPr>
            <w:tcW w:w="1303" w:type="dxa"/>
            <w:gridSpan w:val="2"/>
            <w:tcBorders>
              <w:left w:val="nil"/>
              <w:bottom w:val="single" w:sz="4" w:space="0" w:color="auto"/>
              <w:right w:val="nil"/>
            </w:tcBorders>
            <w:shd w:val="clear" w:color="auto" w:fill="auto"/>
            <w:vAlign w:val="bottom"/>
          </w:tcPr>
          <w:p w14:paraId="615B7E1C" w14:textId="48068931" w:rsidR="00CA4544" w:rsidRPr="00370EC4" w:rsidRDefault="00CA4544" w:rsidP="00CA4544">
            <w:pPr>
              <w:tabs>
                <w:tab w:val="decimal" w:pos="1126"/>
              </w:tabs>
              <w:spacing w:after="0" w:line="240" w:lineRule="auto"/>
              <w:ind w:right="142"/>
              <w:jc w:val="right"/>
              <w:rPr>
                <w:rFonts w:ascii="Arial" w:hAnsi="Arial" w:cs="Arial"/>
                <w:sz w:val="18"/>
                <w:szCs w:val="18"/>
              </w:rPr>
            </w:pPr>
            <w:r w:rsidRPr="00370EC4">
              <w:rPr>
                <w:rFonts w:ascii="Arial" w:hAnsi="Arial" w:cs="Arial"/>
                <w:sz w:val="18"/>
                <w:szCs w:val="18"/>
              </w:rPr>
              <w:t>(</w:t>
            </w:r>
            <w:r w:rsidR="00450E9E" w:rsidRPr="00450E9E">
              <w:rPr>
                <w:rFonts w:ascii="Arial" w:hAnsi="Arial" w:cs="Arial"/>
                <w:sz w:val="18"/>
                <w:szCs w:val="18"/>
              </w:rPr>
              <w:t>8,901,055</w:t>
            </w:r>
            <w:r w:rsidRPr="00370EC4">
              <w:rPr>
                <w:rFonts w:ascii="Arial" w:hAnsi="Arial" w:cs="Arial"/>
                <w:sz w:val="18"/>
                <w:szCs w:val="18"/>
              </w:rPr>
              <w:t>)</w:t>
            </w:r>
          </w:p>
        </w:tc>
      </w:tr>
      <w:tr w:rsidR="00CA4544" w:rsidRPr="00370EC4" w14:paraId="7BEE3E6D" w14:textId="77777777" w:rsidTr="0056368C">
        <w:trPr>
          <w:gridAfter w:val="1"/>
          <w:wAfter w:w="565" w:type="dxa"/>
          <w:trHeight w:hRule="exact" w:val="101"/>
        </w:trPr>
        <w:tc>
          <w:tcPr>
            <w:tcW w:w="2880" w:type="dxa"/>
            <w:tcBorders>
              <w:top w:val="single" w:sz="4" w:space="0" w:color="auto"/>
              <w:left w:val="nil"/>
            </w:tcBorders>
            <w:noWrap/>
            <w:tcMar>
              <w:right w:w="216" w:type="dxa"/>
            </w:tcMar>
            <w:vAlign w:val="bottom"/>
          </w:tcPr>
          <w:p w14:paraId="7738CAE1" w14:textId="77777777" w:rsidR="00CA4544" w:rsidRPr="00370EC4" w:rsidRDefault="00CA4544" w:rsidP="00CA4544">
            <w:pPr>
              <w:tabs>
                <w:tab w:val="left" w:pos="4050"/>
              </w:tabs>
              <w:spacing w:after="0" w:line="240" w:lineRule="auto"/>
              <w:ind w:right="-36"/>
              <w:rPr>
                <w:rFonts w:ascii="Arial" w:eastAsia="Arial Unicode MS" w:hAnsi="Arial" w:cs="Arial"/>
                <w:sz w:val="18"/>
                <w:szCs w:val="18"/>
              </w:rPr>
            </w:pPr>
          </w:p>
        </w:tc>
        <w:tc>
          <w:tcPr>
            <w:tcW w:w="1276" w:type="dxa"/>
            <w:gridSpan w:val="2"/>
            <w:tcBorders>
              <w:top w:val="single" w:sz="4" w:space="0" w:color="auto"/>
              <w:right w:val="nil"/>
            </w:tcBorders>
            <w:shd w:val="clear" w:color="auto" w:fill="auto"/>
            <w:vAlign w:val="bottom"/>
          </w:tcPr>
          <w:p w14:paraId="58CC10F3" w14:textId="77777777" w:rsidR="00CA4544" w:rsidRPr="00370EC4" w:rsidRDefault="00CA4544" w:rsidP="00CA4544">
            <w:pPr>
              <w:tabs>
                <w:tab w:val="left" w:pos="1155"/>
                <w:tab w:val="left" w:pos="3845"/>
              </w:tabs>
              <w:spacing w:after="0" w:line="240" w:lineRule="auto"/>
              <w:ind w:right="284"/>
              <w:jc w:val="right"/>
              <w:rPr>
                <w:rFonts w:ascii="Arial" w:hAnsi="Arial" w:cs="Arial"/>
                <w:sz w:val="18"/>
                <w:szCs w:val="18"/>
              </w:rPr>
            </w:pPr>
          </w:p>
        </w:tc>
        <w:tc>
          <w:tcPr>
            <w:tcW w:w="1244" w:type="dxa"/>
            <w:gridSpan w:val="2"/>
            <w:tcBorders>
              <w:top w:val="single" w:sz="4" w:space="0" w:color="auto"/>
              <w:left w:val="nil"/>
              <w:right w:val="nil"/>
            </w:tcBorders>
            <w:shd w:val="clear" w:color="auto" w:fill="auto"/>
            <w:vAlign w:val="bottom"/>
          </w:tcPr>
          <w:p w14:paraId="27B313D2" w14:textId="77777777" w:rsidR="00CA4544" w:rsidRPr="00370EC4" w:rsidRDefault="00CA4544" w:rsidP="00CA4544">
            <w:pPr>
              <w:spacing w:after="0" w:line="240" w:lineRule="auto"/>
              <w:ind w:right="154"/>
              <w:jc w:val="right"/>
              <w:rPr>
                <w:rFonts w:ascii="Arial" w:hAnsi="Arial" w:cs="Arial"/>
                <w:sz w:val="18"/>
                <w:szCs w:val="18"/>
              </w:rPr>
            </w:pPr>
          </w:p>
        </w:tc>
        <w:tc>
          <w:tcPr>
            <w:tcW w:w="992" w:type="dxa"/>
            <w:gridSpan w:val="2"/>
            <w:tcBorders>
              <w:top w:val="single" w:sz="4" w:space="0" w:color="auto"/>
              <w:left w:val="nil"/>
              <w:right w:val="nil"/>
            </w:tcBorders>
            <w:vAlign w:val="bottom"/>
          </w:tcPr>
          <w:p w14:paraId="1C0C1517" w14:textId="77777777" w:rsidR="00CA4544" w:rsidRPr="00370EC4" w:rsidRDefault="00CA4544" w:rsidP="00CA4544">
            <w:pPr>
              <w:spacing w:after="0" w:line="240" w:lineRule="auto"/>
              <w:ind w:right="90"/>
              <w:jc w:val="right"/>
              <w:rPr>
                <w:rFonts w:ascii="Arial" w:hAnsi="Arial" w:cs="Arial"/>
                <w:sz w:val="18"/>
                <w:szCs w:val="18"/>
              </w:rPr>
            </w:pPr>
          </w:p>
        </w:tc>
        <w:tc>
          <w:tcPr>
            <w:tcW w:w="1134" w:type="dxa"/>
            <w:gridSpan w:val="2"/>
            <w:tcBorders>
              <w:top w:val="single" w:sz="4" w:space="0" w:color="auto"/>
              <w:left w:val="nil"/>
              <w:right w:val="nil"/>
            </w:tcBorders>
            <w:vAlign w:val="bottom"/>
          </w:tcPr>
          <w:p w14:paraId="1691D6DE" w14:textId="77777777" w:rsidR="00CA4544" w:rsidRPr="00370EC4" w:rsidRDefault="00CA4544" w:rsidP="00CA4544">
            <w:pPr>
              <w:spacing w:after="0" w:line="240" w:lineRule="auto"/>
              <w:ind w:right="5"/>
              <w:jc w:val="right"/>
              <w:rPr>
                <w:rFonts w:ascii="Arial" w:hAnsi="Arial" w:cs="Arial"/>
                <w:sz w:val="18"/>
                <w:szCs w:val="18"/>
              </w:rPr>
            </w:pPr>
          </w:p>
        </w:tc>
        <w:tc>
          <w:tcPr>
            <w:tcW w:w="1435" w:type="dxa"/>
            <w:gridSpan w:val="2"/>
            <w:tcBorders>
              <w:top w:val="single" w:sz="4" w:space="0" w:color="auto"/>
              <w:left w:val="nil"/>
              <w:right w:val="nil"/>
            </w:tcBorders>
          </w:tcPr>
          <w:p w14:paraId="73ECCF5F" w14:textId="77777777" w:rsidR="00CA4544" w:rsidRPr="00264AC4" w:rsidRDefault="00CA4544" w:rsidP="00CA4544">
            <w:pPr>
              <w:tabs>
                <w:tab w:val="left" w:pos="1080"/>
              </w:tabs>
              <w:spacing w:after="0" w:line="240" w:lineRule="auto"/>
              <w:ind w:right="90"/>
              <w:jc w:val="right"/>
              <w:rPr>
                <w:rFonts w:ascii="Arial" w:hAnsi="Arial" w:cs="Arial"/>
                <w:sz w:val="18"/>
                <w:szCs w:val="18"/>
              </w:rPr>
            </w:pPr>
          </w:p>
        </w:tc>
        <w:tc>
          <w:tcPr>
            <w:tcW w:w="1276" w:type="dxa"/>
            <w:gridSpan w:val="2"/>
            <w:tcBorders>
              <w:top w:val="single" w:sz="4" w:space="0" w:color="auto"/>
              <w:left w:val="nil"/>
              <w:right w:val="nil"/>
            </w:tcBorders>
            <w:shd w:val="clear" w:color="auto" w:fill="auto"/>
            <w:vAlign w:val="bottom"/>
          </w:tcPr>
          <w:p w14:paraId="5EDC6FB6" w14:textId="77777777" w:rsidR="00CA4544" w:rsidRPr="00264AC4" w:rsidRDefault="00CA4544" w:rsidP="00CA4544">
            <w:pPr>
              <w:tabs>
                <w:tab w:val="left" w:pos="1080"/>
              </w:tabs>
              <w:spacing w:after="0" w:line="240" w:lineRule="auto"/>
              <w:ind w:right="90"/>
              <w:jc w:val="right"/>
              <w:rPr>
                <w:rFonts w:ascii="Arial" w:hAnsi="Arial" w:cs="Arial"/>
                <w:sz w:val="18"/>
                <w:szCs w:val="18"/>
              </w:rPr>
            </w:pPr>
          </w:p>
        </w:tc>
        <w:tc>
          <w:tcPr>
            <w:tcW w:w="1303" w:type="dxa"/>
            <w:gridSpan w:val="2"/>
            <w:tcBorders>
              <w:top w:val="single" w:sz="4" w:space="0" w:color="auto"/>
              <w:left w:val="nil"/>
              <w:right w:val="nil"/>
            </w:tcBorders>
            <w:shd w:val="clear" w:color="auto" w:fill="auto"/>
            <w:vAlign w:val="bottom"/>
          </w:tcPr>
          <w:p w14:paraId="49B6913A" w14:textId="77777777" w:rsidR="00CA4544" w:rsidRPr="00370EC4" w:rsidRDefault="00CA4544" w:rsidP="00CA4544">
            <w:pPr>
              <w:tabs>
                <w:tab w:val="decimal" w:pos="1126"/>
              </w:tabs>
              <w:spacing w:after="0" w:line="240" w:lineRule="auto"/>
              <w:ind w:right="142"/>
              <w:jc w:val="right"/>
              <w:rPr>
                <w:rFonts w:ascii="Arial" w:hAnsi="Arial" w:cs="Arial"/>
                <w:sz w:val="18"/>
                <w:szCs w:val="18"/>
              </w:rPr>
            </w:pPr>
          </w:p>
        </w:tc>
      </w:tr>
      <w:tr w:rsidR="00CA4544" w:rsidRPr="00FA3B86" w14:paraId="4F3BE3E2" w14:textId="77777777" w:rsidTr="0056368C">
        <w:trPr>
          <w:gridAfter w:val="1"/>
          <w:wAfter w:w="565" w:type="dxa"/>
          <w:trHeight w:hRule="exact" w:val="366"/>
        </w:trPr>
        <w:tc>
          <w:tcPr>
            <w:tcW w:w="2880" w:type="dxa"/>
            <w:tcBorders>
              <w:top w:val="nil"/>
              <w:left w:val="nil"/>
              <w:bottom w:val="single" w:sz="12" w:space="0" w:color="auto"/>
            </w:tcBorders>
            <w:noWrap/>
            <w:tcMar>
              <w:right w:w="216" w:type="dxa"/>
            </w:tcMar>
            <w:vAlign w:val="bottom"/>
          </w:tcPr>
          <w:p w14:paraId="7DDDCC10" w14:textId="7B1AFA96" w:rsidR="00CA4544" w:rsidRPr="00370EC4" w:rsidRDefault="00CA4544" w:rsidP="00CA4544">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Balance – </w:t>
            </w:r>
            <w:r w:rsidRPr="00264AC4">
              <w:rPr>
                <w:rFonts w:ascii="Arial" w:eastAsia="Arial Unicode MS" w:hAnsi="Arial" w:cs="Arial"/>
                <w:sz w:val="18"/>
                <w:szCs w:val="18"/>
              </w:rPr>
              <w:t>October 31, 2019</w:t>
            </w:r>
          </w:p>
        </w:tc>
        <w:tc>
          <w:tcPr>
            <w:tcW w:w="1276" w:type="dxa"/>
            <w:gridSpan w:val="2"/>
            <w:tcBorders>
              <w:bottom w:val="single" w:sz="12" w:space="0" w:color="auto"/>
              <w:right w:val="nil"/>
            </w:tcBorders>
            <w:shd w:val="clear" w:color="auto" w:fill="auto"/>
            <w:vAlign w:val="bottom"/>
          </w:tcPr>
          <w:p w14:paraId="40EA7461" w14:textId="6A83F541"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171,</w:t>
            </w:r>
            <w:r w:rsidR="00294CF3">
              <w:rPr>
                <w:rFonts w:ascii="Arial" w:hAnsi="Arial" w:cs="Arial"/>
                <w:sz w:val="18"/>
                <w:szCs w:val="18"/>
              </w:rPr>
              <w:t>414,4</w:t>
            </w:r>
            <w:r w:rsidR="00FA3B86">
              <w:rPr>
                <w:rFonts w:ascii="Arial" w:hAnsi="Arial" w:cs="Arial"/>
                <w:sz w:val="18"/>
                <w:szCs w:val="18"/>
              </w:rPr>
              <w:t>68</w:t>
            </w:r>
          </w:p>
        </w:tc>
        <w:tc>
          <w:tcPr>
            <w:tcW w:w="1244" w:type="dxa"/>
            <w:gridSpan w:val="2"/>
            <w:tcBorders>
              <w:left w:val="nil"/>
              <w:bottom w:val="single" w:sz="12" w:space="0" w:color="auto"/>
              <w:right w:val="nil"/>
            </w:tcBorders>
            <w:shd w:val="clear" w:color="auto" w:fill="auto"/>
            <w:vAlign w:val="bottom"/>
          </w:tcPr>
          <w:p w14:paraId="7D7F7CBC" w14:textId="51B5E37D" w:rsidR="00CA4544" w:rsidRPr="00370EC4" w:rsidRDefault="00CA4544" w:rsidP="00CA4544">
            <w:pPr>
              <w:spacing w:after="0" w:line="240" w:lineRule="auto"/>
              <w:ind w:right="154"/>
              <w:jc w:val="right"/>
              <w:rPr>
                <w:rFonts w:ascii="Arial" w:hAnsi="Arial" w:cs="Arial"/>
                <w:sz w:val="18"/>
                <w:szCs w:val="18"/>
              </w:rPr>
            </w:pPr>
            <w:r>
              <w:rPr>
                <w:rFonts w:ascii="Arial" w:hAnsi="Arial" w:cs="Arial"/>
                <w:sz w:val="18"/>
                <w:szCs w:val="18"/>
              </w:rPr>
              <w:t>40,</w:t>
            </w:r>
            <w:r w:rsidR="00294CF3">
              <w:rPr>
                <w:rFonts w:ascii="Arial" w:hAnsi="Arial" w:cs="Arial"/>
                <w:sz w:val="18"/>
                <w:szCs w:val="18"/>
              </w:rPr>
              <w:t>290,2</w:t>
            </w:r>
            <w:r w:rsidR="00FA3B86">
              <w:rPr>
                <w:rFonts w:ascii="Arial" w:hAnsi="Arial" w:cs="Arial"/>
                <w:sz w:val="18"/>
                <w:szCs w:val="18"/>
              </w:rPr>
              <w:t>10</w:t>
            </w:r>
          </w:p>
        </w:tc>
        <w:tc>
          <w:tcPr>
            <w:tcW w:w="992" w:type="dxa"/>
            <w:gridSpan w:val="2"/>
            <w:tcBorders>
              <w:left w:val="nil"/>
              <w:bottom w:val="single" w:sz="12" w:space="0" w:color="auto"/>
              <w:right w:val="nil"/>
            </w:tcBorders>
            <w:vAlign w:val="bottom"/>
          </w:tcPr>
          <w:p w14:paraId="1EE12DC9" w14:textId="6B52CAA4" w:rsidR="00CA4544" w:rsidRPr="00370EC4" w:rsidRDefault="00CA4544" w:rsidP="00CA4544">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bottom w:val="single" w:sz="12" w:space="0" w:color="auto"/>
              <w:right w:val="nil"/>
            </w:tcBorders>
            <w:vAlign w:val="bottom"/>
          </w:tcPr>
          <w:p w14:paraId="3FA64AAA" w14:textId="0A6ACFEC" w:rsidR="00CA4544" w:rsidRPr="00370EC4" w:rsidRDefault="00294CF3" w:rsidP="00CA4544">
            <w:pPr>
              <w:spacing w:after="0" w:line="240" w:lineRule="auto"/>
              <w:ind w:right="5"/>
              <w:jc w:val="right"/>
              <w:rPr>
                <w:rFonts w:ascii="Arial" w:hAnsi="Arial" w:cs="Arial"/>
                <w:sz w:val="18"/>
                <w:szCs w:val="18"/>
              </w:rPr>
            </w:pPr>
            <w:r>
              <w:rPr>
                <w:rFonts w:ascii="Arial" w:hAnsi="Arial" w:cs="Arial"/>
                <w:sz w:val="18"/>
                <w:szCs w:val="18"/>
              </w:rPr>
              <w:t>18,111,29</w:t>
            </w:r>
            <w:r w:rsidR="005E7F51">
              <w:rPr>
                <w:rFonts w:ascii="Arial" w:hAnsi="Arial" w:cs="Arial"/>
                <w:sz w:val="18"/>
                <w:szCs w:val="18"/>
              </w:rPr>
              <w:t>8</w:t>
            </w:r>
          </w:p>
        </w:tc>
        <w:tc>
          <w:tcPr>
            <w:tcW w:w="1435" w:type="dxa"/>
            <w:gridSpan w:val="2"/>
            <w:tcBorders>
              <w:left w:val="nil"/>
              <w:bottom w:val="single" w:sz="12" w:space="0" w:color="auto"/>
              <w:right w:val="nil"/>
            </w:tcBorders>
            <w:vAlign w:val="bottom"/>
          </w:tcPr>
          <w:p w14:paraId="698B4302" w14:textId="20E8D3A3" w:rsidR="00CA4544" w:rsidRPr="00264AC4" w:rsidRDefault="005E7F51" w:rsidP="00CA4544">
            <w:pPr>
              <w:tabs>
                <w:tab w:val="left" w:pos="1080"/>
              </w:tabs>
              <w:spacing w:after="0" w:line="240" w:lineRule="auto"/>
              <w:ind w:right="90"/>
              <w:jc w:val="right"/>
              <w:rPr>
                <w:rFonts w:ascii="Arial" w:hAnsi="Arial" w:cs="Arial"/>
                <w:sz w:val="18"/>
                <w:szCs w:val="18"/>
              </w:rPr>
            </w:pPr>
            <w:r w:rsidRPr="00264AC4">
              <w:rPr>
                <w:rFonts w:ascii="Arial" w:hAnsi="Arial" w:cs="Arial"/>
                <w:sz w:val="18"/>
                <w:szCs w:val="18"/>
              </w:rPr>
              <w:t>140,536</w:t>
            </w:r>
          </w:p>
        </w:tc>
        <w:tc>
          <w:tcPr>
            <w:tcW w:w="1276" w:type="dxa"/>
            <w:gridSpan w:val="2"/>
            <w:tcBorders>
              <w:left w:val="nil"/>
              <w:bottom w:val="single" w:sz="12" w:space="0" w:color="auto"/>
              <w:right w:val="nil"/>
            </w:tcBorders>
            <w:shd w:val="clear" w:color="auto" w:fill="auto"/>
            <w:vAlign w:val="bottom"/>
          </w:tcPr>
          <w:p w14:paraId="1E96891B" w14:textId="7622D46D" w:rsidR="00CA4544" w:rsidRPr="00264AC4" w:rsidRDefault="00CA4544" w:rsidP="00CA4544">
            <w:pPr>
              <w:tabs>
                <w:tab w:val="left" w:pos="1080"/>
              </w:tabs>
              <w:spacing w:after="0" w:line="240" w:lineRule="auto"/>
              <w:ind w:right="90"/>
              <w:jc w:val="right"/>
              <w:rPr>
                <w:rFonts w:ascii="Arial" w:hAnsi="Arial" w:cs="Arial"/>
                <w:sz w:val="18"/>
                <w:szCs w:val="18"/>
              </w:rPr>
            </w:pPr>
            <w:r w:rsidRPr="00264AC4">
              <w:rPr>
                <w:rFonts w:ascii="Arial" w:hAnsi="Arial" w:cs="Arial"/>
                <w:sz w:val="18"/>
                <w:szCs w:val="18"/>
              </w:rPr>
              <w:t>(</w:t>
            </w:r>
            <w:r w:rsidR="00450E9E" w:rsidRPr="00450E9E">
              <w:rPr>
                <w:rFonts w:ascii="Arial" w:hAnsi="Arial" w:cs="Arial"/>
                <w:sz w:val="18"/>
                <w:szCs w:val="18"/>
              </w:rPr>
              <w:t>43,986,179</w:t>
            </w:r>
            <w:r w:rsidRPr="00264AC4">
              <w:rPr>
                <w:rFonts w:ascii="Arial" w:hAnsi="Arial" w:cs="Arial"/>
                <w:sz w:val="18"/>
                <w:szCs w:val="18"/>
              </w:rPr>
              <w:t>)</w:t>
            </w:r>
          </w:p>
        </w:tc>
        <w:tc>
          <w:tcPr>
            <w:tcW w:w="1303" w:type="dxa"/>
            <w:gridSpan w:val="2"/>
            <w:tcBorders>
              <w:left w:val="nil"/>
              <w:bottom w:val="single" w:sz="12" w:space="0" w:color="auto"/>
              <w:right w:val="nil"/>
            </w:tcBorders>
            <w:shd w:val="clear" w:color="auto" w:fill="auto"/>
            <w:vAlign w:val="bottom"/>
          </w:tcPr>
          <w:p w14:paraId="1016A16F" w14:textId="2FA985FA" w:rsidR="00CA4544" w:rsidRPr="00FA3B86" w:rsidRDefault="007751E2" w:rsidP="00CA4544">
            <w:pPr>
              <w:tabs>
                <w:tab w:val="decimal" w:pos="1126"/>
              </w:tabs>
              <w:spacing w:after="0" w:line="240" w:lineRule="auto"/>
              <w:ind w:right="142"/>
              <w:jc w:val="right"/>
              <w:rPr>
                <w:rFonts w:ascii="Arial" w:hAnsi="Arial" w:cs="Arial"/>
                <w:sz w:val="18"/>
                <w:szCs w:val="18"/>
              </w:rPr>
            </w:pPr>
            <w:r w:rsidRPr="00FA3B86">
              <w:rPr>
                <w:rFonts w:ascii="Arial" w:hAnsi="Arial" w:cs="Arial"/>
                <w:sz w:val="18"/>
                <w:szCs w:val="18"/>
              </w:rPr>
              <w:t>14,</w:t>
            </w:r>
            <w:r w:rsidR="00450E9E">
              <w:rPr>
                <w:rFonts w:ascii="Arial" w:hAnsi="Arial" w:cs="Arial"/>
                <w:sz w:val="18"/>
                <w:szCs w:val="18"/>
              </w:rPr>
              <w:t>555,865</w:t>
            </w:r>
          </w:p>
        </w:tc>
      </w:tr>
      <w:tr w:rsidR="00CA4544" w:rsidRPr="00370EC4" w14:paraId="51BA2757" w14:textId="77777777" w:rsidTr="00C30D1B">
        <w:trPr>
          <w:trHeight w:hRule="exact" w:val="320"/>
        </w:trPr>
        <w:tc>
          <w:tcPr>
            <w:tcW w:w="3229" w:type="dxa"/>
            <w:gridSpan w:val="2"/>
            <w:tcBorders>
              <w:top w:val="nil"/>
              <w:left w:val="nil"/>
            </w:tcBorders>
            <w:noWrap/>
            <w:tcMar>
              <w:right w:w="216" w:type="dxa"/>
            </w:tcMar>
            <w:vAlign w:val="bottom"/>
          </w:tcPr>
          <w:p w14:paraId="2B8B5F62" w14:textId="77777777" w:rsidR="00CA4544" w:rsidRPr="00370EC4" w:rsidRDefault="00CA4544" w:rsidP="00CA4544">
            <w:pPr>
              <w:tabs>
                <w:tab w:val="left" w:pos="4050"/>
              </w:tabs>
              <w:spacing w:after="0" w:line="240" w:lineRule="auto"/>
              <w:ind w:right="-36"/>
              <w:rPr>
                <w:rFonts w:ascii="Arial" w:eastAsia="Arial Unicode MS" w:hAnsi="Arial" w:cs="Arial"/>
                <w:sz w:val="18"/>
                <w:szCs w:val="18"/>
              </w:rPr>
            </w:pPr>
          </w:p>
          <w:p w14:paraId="1CD70879" w14:textId="77777777" w:rsidR="00CA4544" w:rsidRPr="00370EC4" w:rsidRDefault="00CA4544" w:rsidP="00CA4544">
            <w:pPr>
              <w:tabs>
                <w:tab w:val="left" w:pos="4050"/>
              </w:tabs>
              <w:spacing w:after="0" w:line="240" w:lineRule="auto"/>
              <w:ind w:right="-36"/>
              <w:rPr>
                <w:rFonts w:ascii="Arial" w:eastAsia="Arial Unicode MS" w:hAnsi="Arial" w:cs="Arial"/>
                <w:sz w:val="18"/>
                <w:szCs w:val="18"/>
              </w:rPr>
            </w:pPr>
          </w:p>
          <w:p w14:paraId="006CC395" w14:textId="77777777" w:rsidR="00CA4544" w:rsidRPr="00370EC4" w:rsidRDefault="00CA4544" w:rsidP="00CA4544">
            <w:pPr>
              <w:tabs>
                <w:tab w:val="left" w:pos="4050"/>
              </w:tabs>
              <w:spacing w:after="0" w:line="240" w:lineRule="auto"/>
              <w:ind w:right="-36"/>
              <w:rPr>
                <w:rFonts w:ascii="Arial" w:eastAsia="Arial Unicode MS" w:hAnsi="Arial" w:cs="Arial"/>
                <w:sz w:val="18"/>
                <w:szCs w:val="18"/>
              </w:rPr>
            </w:pPr>
          </w:p>
        </w:tc>
        <w:tc>
          <w:tcPr>
            <w:tcW w:w="1350" w:type="dxa"/>
            <w:gridSpan w:val="2"/>
            <w:tcBorders>
              <w:right w:val="nil"/>
            </w:tcBorders>
            <w:shd w:val="clear" w:color="auto" w:fill="auto"/>
            <w:vAlign w:val="bottom"/>
          </w:tcPr>
          <w:p w14:paraId="6797D264" w14:textId="77777777" w:rsidR="00CA4544" w:rsidRPr="00370EC4" w:rsidRDefault="00CA4544" w:rsidP="00CA4544">
            <w:pPr>
              <w:tabs>
                <w:tab w:val="left" w:pos="1155"/>
                <w:tab w:val="left" w:pos="3845"/>
              </w:tabs>
              <w:spacing w:after="0" w:line="240" w:lineRule="auto"/>
              <w:ind w:right="90"/>
              <w:jc w:val="right"/>
              <w:rPr>
                <w:rFonts w:ascii="Arial" w:hAnsi="Arial" w:cs="Arial"/>
                <w:sz w:val="18"/>
                <w:szCs w:val="18"/>
              </w:rPr>
            </w:pPr>
          </w:p>
        </w:tc>
        <w:tc>
          <w:tcPr>
            <w:tcW w:w="1244" w:type="dxa"/>
            <w:gridSpan w:val="2"/>
            <w:tcBorders>
              <w:left w:val="nil"/>
              <w:right w:val="nil"/>
            </w:tcBorders>
            <w:shd w:val="clear" w:color="auto" w:fill="auto"/>
            <w:vAlign w:val="bottom"/>
          </w:tcPr>
          <w:p w14:paraId="466F2710" w14:textId="77777777" w:rsidR="00CA4544" w:rsidRPr="00370EC4" w:rsidRDefault="00CA4544" w:rsidP="00CA4544">
            <w:pPr>
              <w:spacing w:after="0" w:line="240" w:lineRule="auto"/>
              <w:ind w:right="154"/>
              <w:jc w:val="right"/>
              <w:rPr>
                <w:rFonts w:ascii="Arial" w:hAnsi="Arial" w:cs="Arial"/>
                <w:sz w:val="18"/>
                <w:szCs w:val="18"/>
              </w:rPr>
            </w:pPr>
          </w:p>
        </w:tc>
        <w:tc>
          <w:tcPr>
            <w:tcW w:w="1059" w:type="dxa"/>
            <w:gridSpan w:val="2"/>
            <w:tcBorders>
              <w:left w:val="nil"/>
              <w:right w:val="nil"/>
            </w:tcBorders>
            <w:vAlign w:val="bottom"/>
          </w:tcPr>
          <w:p w14:paraId="313A62DC" w14:textId="77777777" w:rsidR="00CA4544" w:rsidRPr="00370EC4" w:rsidRDefault="00CA4544" w:rsidP="00CA4544">
            <w:pPr>
              <w:spacing w:after="0" w:line="240" w:lineRule="auto"/>
              <w:ind w:right="90"/>
              <w:jc w:val="right"/>
              <w:rPr>
                <w:rFonts w:ascii="Arial" w:hAnsi="Arial" w:cs="Arial"/>
                <w:sz w:val="18"/>
                <w:szCs w:val="18"/>
              </w:rPr>
            </w:pPr>
          </w:p>
        </w:tc>
        <w:tc>
          <w:tcPr>
            <w:tcW w:w="1276" w:type="dxa"/>
            <w:gridSpan w:val="2"/>
            <w:tcBorders>
              <w:left w:val="nil"/>
              <w:right w:val="nil"/>
            </w:tcBorders>
          </w:tcPr>
          <w:p w14:paraId="27EF67CB" w14:textId="77777777" w:rsidR="00CA4544" w:rsidRPr="00370EC4" w:rsidRDefault="00CA4544" w:rsidP="00CA4544">
            <w:pPr>
              <w:tabs>
                <w:tab w:val="decimal" w:pos="1080"/>
              </w:tabs>
              <w:spacing w:after="0" w:line="240" w:lineRule="auto"/>
              <w:ind w:right="90"/>
              <w:jc w:val="right"/>
              <w:rPr>
                <w:rFonts w:ascii="Arial" w:hAnsi="Arial" w:cs="Arial"/>
                <w:sz w:val="18"/>
                <w:szCs w:val="18"/>
              </w:rPr>
            </w:pPr>
          </w:p>
        </w:tc>
        <w:tc>
          <w:tcPr>
            <w:tcW w:w="1368" w:type="dxa"/>
            <w:gridSpan w:val="2"/>
            <w:tcBorders>
              <w:left w:val="nil"/>
              <w:right w:val="nil"/>
            </w:tcBorders>
            <w:vAlign w:val="bottom"/>
          </w:tcPr>
          <w:p w14:paraId="266D905E" w14:textId="77777777" w:rsidR="00CA4544" w:rsidRPr="00370EC4" w:rsidRDefault="00CA4544" w:rsidP="00CA4544">
            <w:pPr>
              <w:tabs>
                <w:tab w:val="decimal" w:pos="1080"/>
              </w:tabs>
              <w:spacing w:after="0" w:line="240" w:lineRule="auto"/>
              <w:ind w:right="90"/>
              <w:jc w:val="right"/>
              <w:rPr>
                <w:rFonts w:ascii="Arial" w:hAnsi="Arial" w:cs="Arial"/>
                <w:sz w:val="18"/>
                <w:szCs w:val="18"/>
              </w:rPr>
            </w:pPr>
          </w:p>
        </w:tc>
        <w:tc>
          <w:tcPr>
            <w:tcW w:w="1276" w:type="dxa"/>
            <w:gridSpan w:val="2"/>
            <w:tcBorders>
              <w:left w:val="nil"/>
              <w:right w:val="nil"/>
            </w:tcBorders>
            <w:shd w:val="clear" w:color="auto" w:fill="auto"/>
            <w:vAlign w:val="bottom"/>
          </w:tcPr>
          <w:p w14:paraId="544833C6" w14:textId="77777777" w:rsidR="00CA4544" w:rsidRPr="00FA3B86" w:rsidRDefault="00CA4544" w:rsidP="00CA4544">
            <w:pPr>
              <w:tabs>
                <w:tab w:val="left" w:pos="1080"/>
              </w:tabs>
              <w:spacing w:after="0" w:line="240" w:lineRule="auto"/>
              <w:ind w:right="90"/>
              <w:jc w:val="right"/>
              <w:rPr>
                <w:rFonts w:ascii="Arial" w:hAnsi="Arial" w:cs="Arial"/>
                <w:sz w:val="18"/>
                <w:szCs w:val="18"/>
              </w:rPr>
            </w:pPr>
          </w:p>
        </w:tc>
        <w:tc>
          <w:tcPr>
            <w:tcW w:w="1303" w:type="dxa"/>
            <w:gridSpan w:val="2"/>
            <w:tcBorders>
              <w:left w:val="nil"/>
              <w:right w:val="nil"/>
            </w:tcBorders>
            <w:shd w:val="clear" w:color="auto" w:fill="auto"/>
            <w:vAlign w:val="bottom"/>
          </w:tcPr>
          <w:p w14:paraId="70F713A9" w14:textId="77777777" w:rsidR="00CA4544" w:rsidRPr="00FA3B86" w:rsidRDefault="00CA4544" w:rsidP="00CA4544">
            <w:pPr>
              <w:tabs>
                <w:tab w:val="decimal" w:pos="1126"/>
              </w:tabs>
              <w:spacing w:after="0" w:line="240" w:lineRule="auto"/>
              <w:ind w:right="142"/>
              <w:jc w:val="right"/>
              <w:rPr>
                <w:rFonts w:ascii="Arial" w:hAnsi="Arial" w:cs="Arial"/>
                <w:sz w:val="18"/>
                <w:szCs w:val="18"/>
              </w:rPr>
            </w:pPr>
          </w:p>
        </w:tc>
      </w:tr>
      <w:tr w:rsidR="00CA4544" w:rsidRPr="00370EC4" w14:paraId="276CE962" w14:textId="77777777" w:rsidTr="00C30D1B">
        <w:trPr>
          <w:trHeight w:hRule="exact" w:val="101"/>
        </w:trPr>
        <w:tc>
          <w:tcPr>
            <w:tcW w:w="3229" w:type="dxa"/>
            <w:gridSpan w:val="2"/>
            <w:tcBorders>
              <w:left w:val="nil"/>
            </w:tcBorders>
            <w:noWrap/>
            <w:tcMar>
              <w:right w:w="216" w:type="dxa"/>
            </w:tcMar>
            <w:vAlign w:val="bottom"/>
          </w:tcPr>
          <w:p w14:paraId="6D8412A3" w14:textId="77777777" w:rsidR="00CA4544" w:rsidRPr="00370EC4" w:rsidRDefault="00CA4544" w:rsidP="00CA4544">
            <w:pPr>
              <w:tabs>
                <w:tab w:val="left" w:pos="4050"/>
              </w:tabs>
              <w:spacing w:after="0" w:line="240" w:lineRule="auto"/>
              <w:ind w:right="-36"/>
              <w:rPr>
                <w:rFonts w:ascii="Arial" w:eastAsia="Arial Unicode MS" w:hAnsi="Arial" w:cs="Arial"/>
                <w:sz w:val="18"/>
                <w:szCs w:val="18"/>
              </w:rPr>
            </w:pPr>
          </w:p>
        </w:tc>
        <w:tc>
          <w:tcPr>
            <w:tcW w:w="1350" w:type="dxa"/>
            <w:gridSpan w:val="2"/>
            <w:tcBorders>
              <w:right w:val="nil"/>
            </w:tcBorders>
            <w:shd w:val="clear" w:color="auto" w:fill="auto"/>
            <w:vAlign w:val="bottom"/>
          </w:tcPr>
          <w:p w14:paraId="7ECBF5D7" w14:textId="77777777" w:rsidR="00CA4544" w:rsidRPr="00370EC4" w:rsidRDefault="00CA4544" w:rsidP="00CA4544">
            <w:pPr>
              <w:tabs>
                <w:tab w:val="left" w:pos="1155"/>
                <w:tab w:val="left" w:pos="3845"/>
              </w:tabs>
              <w:spacing w:after="0" w:line="240" w:lineRule="auto"/>
              <w:ind w:right="284"/>
              <w:jc w:val="right"/>
              <w:rPr>
                <w:rFonts w:ascii="Arial" w:hAnsi="Arial" w:cs="Arial"/>
                <w:sz w:val="18"/>
                <w:szCs w:val="18"/>
              </w:rPr>
            </w:pPr>
          </w:p>
        </w:tc>
        <w:tc>
          <w:tcPr>
            <w:tcW w:w="1244" w:type="dxa"/>
            <w:gridSpan w:val="2"/>
            <w:tcBorders>
              <w:left w:val="nil"/>
              <w:right w:val="nil"/>
            </w:tcBorders>
            <w:shd w:val="clear" w:color="auto" w:fill="auto"/>
            <w:vAlign w:val="bottom"/>
          </w:tcPr>
          <w:p w14:paraId="71A33868" w14:textId="77777777" w:rsidR="00CA4544" w:rsidRPr="00370EC4" w:rsidRDefault="00CA4544" w:rsidP="00CA4544">
            <w:pPr>
              <w:spacing w:after="0" w:line="240" w:lineRule="auto"/>
              <w:ind w:right="154"/>
              <w:jc w:val="right"/>
              <w:rPr>
                <w:rFonts w:ascii="Arial" w:hAnsi="Arial" w:cs="Arial"/>
                <w:sz w:val="18"/>
                <w:szCs w:val="18"/>
              </w:rPr>
            </w:pPr>
          </w:p>
        </w:tc>
        <w:tc>
          <w:tcPr>
            <w:tcW w:w="1059" w:type="dxa"/>
            <w:gridSpan w:val="2"/>
            <w:tcBorders>
              <w:left w:val="nil"/>
              <w:right w:val="nil"/>
            </w:tcBorders>
            <w:vAlign w:val="bottom"/>
          </w:tcPr>
          <w:p w14:paraId="1DB7DF00" w14:textId="77777777" w:rsidR="00CA4544" w:rsidRPr="00370EC4" w:rsidRDefault="00CA4544" w:rsidP="00CA4544">
            <w:pPr>
              <w:spacing w:after="0" w:line="240" w:lineRule="auto"/>
              <w:ind w:right="90"/>
              <w:jc w:val="right"/>
              <w:rPr>
                <w:rFonts w:ascii="Arial" w:hAnsi="Arial" w:cs="Arial"/>
                <w:sz w:val="18"/>
                <w:szCs w:val="18"/>
              </w:rPr>
            </w:pPr>
          </w:p>
        </w:tc>
        <w:tc>
          <w:tcPr>
            <w:tcW w:w="1276" w:type="dxa"/>
            <w:gridSpan w:val="2"/>
            <w:tcBorders>
              <w:left w:val="nil"/>
              <w:right w:val="nil"/>
            </w:tcBorders>
          </w:tcPr>
          <w:p w14:paraId="31F2C829" w14:textId="77777777" w:rsidR="00CA4544" w:rsidRPr="00370EC4" w:rsidRDefault="00CA4544" w:rsidP="00CA4544">
            <w:pPr>
              <w:tabs>
                <w:tab w:val="decimal" w:pos="1080"/>
              </w:tabs>
              <w:spacing w:after="0" w:line="240" w:lineRule="auto"/>
              <w:ind w:right="90"/>
              <w:jc w:val="right"/>
              <w:rPr>
                <w:rFonts w:ascii="Arial" w:hAnsi="Arial" w:cs="Arial"/>
                <w:sz w:val="18"/>
                <w:szCs w:val="18"/>
              </w:rPr>
            </w:pPr>
          </w:p>
        </w:tc>
        <w:tc>
          <w:tcPr>
            <w:tcW w:w="1368" w:type="dxa"/>
            <w:gridSpan w:val="2"/>
            <w:tcBorders>
              <w:left w:val="nil"/>
              <w:right w:val="nil"/>
            </w:tcBorders>
            <w:vAlign w:val="bottom"/>
          </w:tcPr>
          <w:p w14:paraId="49F59979" w14:textId="77777777" w:rsidR="00CA4544" w:rsidRPr="00370EC4" w:rsidRDefault="00CA4544" w:rsidP="00CA4544">
            <w:pPr>
              <w:tabs>
                <w:tab w:val="decimal" w:pos="1080"/>
              </w:tabs>
              <w:spacing w:after="0" w:line="240" w:lineRule="auto"/>
              <w:ind w:right="90"/>
              <w:jc w:val="right"/>
              <w:rPr>
                <w:rFonts w:ascii="Arial" w:hAnsi="Arial" w:cs="Arial"/>
                <w:sz w:val="18"/>
                <w:szCs w:val="18"/>
              </w:rPr>
            </w:pPr>
          </w:p>
        </w:tc>
        <w:tc>
          <w:tcPr>
            <w:tcW w:w="1276" w:type="dxa"/>
            <w:gridSpan w:val="2"/>
            <w:tcBorders>
              <w:left w:val="nil"/>
              <w:right w:val="nil"/>
            </w:tcBorders>
            <w:shd w:val="clear" w:color="auto" w:fill="auto"/>
            <w:vAlign w:val="bottom"/>
          </w:tcPr>
          <w:p w14:paraId="6E0D82DB" w14:textId="77777777" w:rsidR="00CA4544" w:rsidRPr="00370EC4" w:rsidRDefault="00CA4544" w:rsidP="00CA4544">
            <w:pPr>
              <w:tabs>
                <w:tab w:val="left" w:pos="1080"/>
              </w:tabs>
              <w:spacing w:after="0" w:line="240" w:lineRule="auto"/>
              <w:ind w:right="90"/>
              <w:jc w:val="right"/>
              <w:rPr>
                <w:rFonts w:ascii="Arial" w:hAnsi="Arial" w:cs="Arial"/>
                <w:sz w:val="18"/>
                <w:szCs w:val="18"/>
              </w:rPr>
            </w:pPr>
          </w:p>
        </w:tc>
        <w:tc>
          <w:tcPr>
            <w:tcW w:w="1303" w:type="dxa"/>
            <w:gridSpan w:val="2"/>
            <w:tcBorders>
              <w:left w:val="nil"/>
              <w:right w:val="nil"/>
            </w:tcBorders>
            <w:shd w:val="clear" w:color="auto" w:fill="auto"/>
            <w:vAlign w:val="bottom"/>
          </w:tcPr>
          <w:p w14:paraId="17620BD7" w14:textId="77777777" w:rsidR="00CA4544" w:rsidRPr="00370EC4" w:rsidRDefault="00CA4544" w:rsidP="00CA4544">
            <w:pPr>
              <w:tabs>
                <w:tab w:val="decimal" w:pos="1126"/>
              </w:tabs>
              <w:spacing w:after="0" w:line="240" w:lineRule="auto"/>
              <w:ind w:right="142"/>
              <w:jc w:val="right"/>
              <w:rPr>
                <w:rFonts w:ascii="Arial" w:hAnsi="Arial" w:cs="Arial"/>
                <w:sz w:val="18"/>
                <w:szCs w:val="18"/>
              </w:rPr>
            </w:pPr>
          </w:p>
        </w:tc>
      </w:tr>
    </w:tbl>
    <w:p w14:paraId="145602F0" w14:textId="77777777" w:rsidR="00040621" w:rsidRDefault="00040621" w:rsidP="00790828">
      <w:pPr>
        <w:jc w:val="center"/>
        <w:rPr>
          <w:rFonts w:ascii="Arial" w:hAnsi="Arial" w:cs="Arial"/>
          <w:sz w:val="18"/>
          <w:szCs w:val="18"/>
        </w:rPr>
      </w:pPr>
    </w:p>
    <w:p w14:paraId="53264F67" w14:textId="77777777" w:rsidR="00040621" w:rsidRDefault="00040621" w:rsidP="00790828">
      <w:pPr>
        <w:jc w:val="center"/>
        <w:rPr>
          <w:rFonts w:ascii="Arial" w:hAnsi="Arial" w:cs="Arial"/>
          <w:sz w:val="18"/>
          <w:szCs w:val="18"/>
        </w:rPr>
      </w:pPr>
    </w:p>
    <w:p w14:paraId="3276A75E" w14:textId="7FF7B9A2" w:rsidR="00790828" w:rsidRPr="00040621" w:rsidRDefault="00790828" w:rsidP="00040621">
      <w:pPr>
        <w:jc w:val="center"/>
        <w:rPr>
          <w:rFonts w:ascii="Arial" w:hAnsi="Arial" w:cs="Arial"/>
          <w:sz w:val="18"/>
          <w:szCs w:val="18"/>
        </w:rPr>
      </w:pPr>
      <w:r w:rsidRPr="00370EC4">
        <w:rPr>
          <w:rFonts w:ascii="Arial" w:hAnsi="Arial" w:cs="Arial"/>
          <w:sz w:val="18"/>
          <w:szCs w:val="18"/>
        </w:rPr>
        <w:t>(The accompanying notes are an integral part of these</w:t>
      </w:r>
      <w:r w:rsidR="008E7C6B" w:rsidRPr="00370EC4">
        <w:rPr>
          <w:rFonts w:ascii="Arial" w:hAnsi="Arial" w:cs="Arial"/>
          <w:sz w:val="18"/>
          <w:szCs w:val="18"/>
        </w:rPr>
        <w:t xml:space="preserve"> </w:t>
      </w:r>
      <w:r w:rsidR="008B680A">
        <w:rPr>
          <w:rFonts w:ascii="Arial" w:hAnsi="Arial" w:cs="Arial"/>
          <w:sz w:val="18"/>
          <w:szCs w:val="18"/>
        </w:rPr>
        <w:t>condensed consolidated interim financial statements</w:t>
      </w:r>
      <w:r w:rsidRPr="00370EC4">
        <w:rPr>
          <w:rFonts w:ascii="Arial" w:hAnsi="Arial" w:cs="Arial"/>
          <w:sz w:val="18"/>
          <w:szCs w:val="18"/>
        </w:rPr>
        <w:t>)</w:t>
      </w:r>
    </w:p>
    <w:p w14:paraId="0CFF8FD4" w14:textId="7E5E12FD" w:rsidR="00790828" w:rsidRPr="009F3026" w:rsidRDefault="000F2E3C" w:rsidP="00790828">
      <w:pPr>
        <w:spacing w:after="0"/>
        <w:rPr>
          <w:rFonts w:ascii="Arial" w:hAnsi="Arial" w:cs="Arial"/>
          <w:b/>
          <w:bCs/>
          <w:sz w:val="24"/>
        </w:rPr>
      </w:pPr>
      <w:r>
        <w:rPr>
          <w:rFonts w:ascii="Arial" w:hAnsi="Arial" w:cs="Arial"/>
          <w:b/>
          <w:bCs/>
          <w:sz w:val="24"/>
        </w:rPr>
        <w:lastRenderedPageBreak/>
        <w:t xml:space="preserve">BETTERLIFE PHARMA INC. </w:t>
      </w:r>
      <w:r w:rsidRPr="000F2E3C">
        <w:rPr>
          <w:rFonts w:ascii="Arial" w:hAnsi="Arial" w:cs="Arial"/>
          <w:b/>
          <w:bCs/>
          <w:szCs w:val="20"/>
        </w:rPr>
        <w:t>(formerly Pivot Pharmaceuticals Inc.)</w:t>
      </w:r>
    </w:p>
    <w:p w14:paraId="433D60DA" w14:textId="654853F4" w:rsidR="00790828" w:rsidRPr="009F3026" w:rsidRDefault="008E7C6B"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14"/>
          <w:tab w:val="left" w:pos="7560"/>
          <w:tab w:val="left" w:pos="7920"/>
          <w:tab w:val="left" w:pos="8280"/>
          <w:tab w:val="left" w:pos="8640"/>
          <w:tab w:val="left" w:pos="9000"/>
          <w:tab w:val="left" w:pos="9360"/>
        </w:tabs>
        <w:spacing w:after="0" w:line="240" w:lineRule="auto"/>
        <w:jc w:val="both"/>
        <w:rPr>
          <w:rFonts w:ascii="Arial" w:hAnsi="Arial" w:cs="Arial"/>
          <w:bCs/>
          <w:szCs w:val="20"/>
        </w:rPr>
      </w:pPr>
      <w:r>
        <w:rPr>
          <w:rFonts w:ascii="Arial" w:hAnsi="Arial" w:cs="Arial"/>
          <w:bCs/>
          <w:szCs w:val="20"/>
        </w:rPr>
        <w:t xml:space="preserve">Consolidated </w:t>
      </w:r>
      <w:r w:rsidR="00790828" w:rsidRPr="009F3026">
        <w:rPr>
          <w:rFonts w:ascii="Arial" w:hAnsi="Arial" w:cs="Arial"/>
          <w:bCs/>
          <w:szCs w:val="20"/>
        </w:rPr>
        <w:t>Statements of Cash Flows</w:t>
      </w:r>
      <w:r w:rsidR="004056B2">
        <w:rPr>
          <w:rFonts w:ascii="Arial" w:hAnsi="Arial" w:cs="Arial"/>
          <w:bCs/>
          <w:szCs w:val="20"/>
        </w:rPr>
        <w:t xml:space="preserve"> (unaudited)</w:t>
      </w:r>
    </w:p>
    <w:p w14:paraId="24B964D0" w14:textId="47C0B94E" w:rsidR="00790828" w:rsidRPr="009F3026"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Arial" w:hAnsi="Arial" w:cs="Arial"/>
        </w:rPr>
      </w:pPr>
      <w:r w:rsidRPr="009F3026">
        <w:rPr>
          <w:rFonts w:ascii="Arial" w:hAnsi="Arial" w:cs="Arial"/>
          <w:bCs/>
          <w:szCs w:val="20"/>
        </w:rPr>
        <w:t xml:space="preserve">(Expressed in </w:t>
      </w:r>
      <w:r w:rsidR="008627E3">
        <w:rPr>
          <w:rFonts w:ascii="Arial" w:hAnsi="Arial" w:cs="Arial"/>
          <w:bCs/>
          <w:szCs w:val="20"/>
        </w:rPr>
        <w:t>Canadian</w:t>
      </w:r>
      <w:r w:rsidRPr="009F3026">
        <w:rPr>
          <w:rFonts w:ascii="Arial" w:hAnsi="Arial" w:cs="Arial"/>
        </w:rPr>
        <w:t xml:space="preserve"> dollars)</w:t>
      </w:r>
    </w:p>
    <w:tbl>
      <w:tblPr>
        <w:tblW w:w="9532" w:type="dxa"/>
        <w:tblInd w:w="8" w:type="dxa"/>
        <w:tblLayout w:type="fixed"/>
        <w:tblCellMar>
          <w:left w:w="0" w:type="dxa"/>
          <w:bottom w:w="29" w:type="dxa"/>
          <w:right w:w="0" w:type="dxa"/>
        </w:tblCellMar>
        <w:tblLook w:val="0000" w:firstRow="0" w:lastRow="0" w:firstColumn="0" w:lastColumn="0" w:noHBand="0" w:noVBand="0"/>
      </w:tblPr>
      <w:tblGrid>
        <w:gridCol w:w="6832"/>
        <w:gridCol w:w="1350"/>
        <w:gridCol w:w="1275"/>
        <w:gridCol w:w="75"/>
      </w:tblGrid>
      <w:tr w:rsidR="00681427" w:rsidRPr="009D54BC" w14:paraId="6AD0EEDA" w14:textId="77777777" w:rsidTr="00EA1905">
        <w:trPr>
          <w:gridAfter w:val="1"/>
          <w:wAfter w:w="75" w:type="dxa"/>
        </w:trPr>
        <w:tc>
          <w:tcPr>
            <w:tcW w:w="6832" w:type="dxa"/>
            <w:shd w:val="clear" w:color="auto" w:fill="auto"/>
            <w:vAlign w:val="bottom"/>
          </w:tcPr>
          <w:p w14:paraId="537FF7F8" w14:textId="77777777" w:rsidR="00681427" w:rsidRPr="009D54BC" w:rsidRDefault="00681427" w:rsidP="00EA1905">
            <w:pPr>
              <w:tabs>
                <w:tab w:val="left" w:pos="7272"/>
                <w:tab w:val="decimal" w:pos="8136"/>
                <w:tab w:val="left" w:pos="8496"/>
                <w:tab w:val="decimal" w:pos="9360"/>
              </w:tabs>
              <w:spacing w:after="0" w:line="240" w:lineRule="auto"/>
              <w:rPr>
                <w:rFonts w:ascii="Arial" w:hAnsi="Arial" w:cs="Arial"/>
                <w:szCs w:val="20"/>
              </w:rPr>
            </w:pPr>
          </w:p>
        </w:tc>
        <w:tc>
          <w:tcPr>
            <w:tcW w:w="2625" w:type="dxa"/>
            <w:gridSpan w:val="2"/>
            <w:shd w:val="clear" w:color="auto" w:fill="auto"/>
            <w:vAlign w:val="bottom"/>
          </w:tcPr>
          <w:p w14:paraId="6B710B71" w14:textId="561E5898" w:rsidR="00681427" w:rsidRPr="009123B0" w:rsidRDefault="000F2E3C" w:rsidP="00681427">
            <w:pPr>
              <w:tabs>
                <w:tab w:val="left" w:pos="7214"/>
                <w:tab w:val="decimal" w:pos="8107"/>
                <w:tab w:val="left" w:pos="8467"/>
                <w:tab w:val="decimal" w:pos="9360"/>
              </w:tabs>
              <w:spacing w:after="0" w:line="240" w:lineRule="auto"/>
              <w:ind w:left="-20" w:right="-80"/>
              <w:jc w:val="center"/>
              <w:rPr>
                <w:rFonts w:ascii="Arial" w:hAnsi="Arial" w:cs="Arial"/>
                <w:szCs w:val="20"/>
              </w:rPr>
            </w:pPr>
            <w:r w:rsidRPr="009123B0">
              <w:rPr>
                <w:rFonts w:ascii="Arial" w:hAnsi="Arial" w:cs="Arial"/>
                <w:szCs w:val="20"/>
              </w:rPr>
              <w:t>Nine</w:t>
            </w:r>
            <w:r w:rsidR="00681427" w:rsidRPr="009123B0">
              <w:rPr>
                <w:rFonts w:ascii="Arial" w:hAnsi="Arial" w:cs="Arial"/>
                <w:szCs w:val="20"/>
              </w:rPr>
              <w:t xml:space="preserve"> Months Ended</w:t>
            </w:r>
          </w:p>
        </w:tc>
      </w:tr>
      <w:tr w:rsidR="00790828" w:rsidRPr="009D54BC" w14:paraId="7472956E" w14:textId="77777777" w:rsidTr="00681427">
        <w:trPr>
          <w:gridAfter w:val="1"/>
          <w:wAfter w:w="75" w:type="dxa"/>
        </w:trPr>
        <w:tc>
          <w:tcPr>
            <w:tcW w:w="6832" w:type="dxa"/>
            <w:tcBorders>
              <w:bottom w:val="single" w:sz="4" w:space="0" w:color="auto"/>
            </w:tcBorders>
            <w:vAlign w:val="bottom"/>
          </w:tcPr>
          <w:p w14:paraId="775D3C54" w14:textId="77777777" w:rsidR="00790828" w:rsidRPr="009D54BC" w:rsidRDefault="00790828" w:rsidP="00790828">
            <w:pPr>
              <w:tabs>
                <w:tab w:val="left" w:pos="7272"/>
                <w:tab w:val="decimal" w:pos="8136"/>
                <w:tab w:val="left" w:pos="8496"/>
                <w:tab w:val="decimal" w:pos="9360"/>
              </w:tabs>
              <w:spacing w:after="0" w:line="240" w:lineRule="auto"/>
              <w:rPr>
                <w:rFonts w:ascii="Arial" w:hAnsi="Arial" w:cs="Arial"/>
                <w:szCs w:val="20"/>
              </w:rPr>
            </w:pPr>
          </w:p>
        </w:tc>
        <w:tc>
          <w:tcPr>
            <w:tcW w:w="1350" w:type="dxa"/>
            <w:tcBorders>
              <w:bottom w:val="single" w:sz="4" w:space="0" w:color="auto"/>
            </w:tcBorders>
            <w:vAlign w:val="bottom"/>
          </w:tcPr>
          <w:p w14:paraId="7EFBDDF0" w14:textId="1BE04925" w:rsidR="0046105F" w:rsidRPr="009123B0" w:rsidRDefault="000F2E3C" w:rsidP="00790828">
            <w:pPr>
              <w:tabs>
                <w:tab w:val="left" w:pos="7214"/>
                <w:tab w:val="decimal" w:pos="8107"/>
                <w:tab w:val="left" w:pos="8467"/>
                <w:tab w:val="decimal" w:pos="9360"/>
              </w:tabs>
              <w:spacing w:after="0" w:line="240" w:lineRule="auto"/>
              <w:ind w:left="-20" w:right="-80"/>
              <w:jc w:val="center"/>
              <w:rPr>
                <w:rFonts w:ascii="Arial" w:hAnsi="Arial" w:cs="Arial"/>
                <w:szCs w:val="20"/>
              </w:rPr>
            </w:pPr>
            <w:r w:rsidRPr="009123B0">
              <w:rPr>
                <w:rFonts w:ascii="Arial" w:hAnsi="Arial" w:cs="Arial"/>
                <w:szCs w:val="20"/>
              </w:rPr>
              <w:t>October</w:t>
            </w:r>
            <w:r w:rsidR="0046105F" w:rsidRPr="009123B0">
              <w:rPr>
                <w:rFonts w:ascii="Arial" w:hAnsi="Arial" w:cs="Arial"/>
                <w:szCs w:val="20"/>
              </w:rPr>
              <w:t xml:space="preserve"> 31,</w:t>
            </w:r>
          </w:p>
          <w:p w14:paraId="1D19A3AF" w14:textId="6DE4D63D" w:rsidR="00790828" w:rsidRPr="009123B0" w:rsidRDefault="008627E3" w:rsidP="00790828">
            <w:pPr>
              <w:tabs>
                <w:tab w:val="left" w:pos="7214"/>
                <w:tab w:val="decimal" w:pos="8107"/>
                <w:tab w:val="left" w:pos="8467"/>
                <w:tab w:val="decimal" w:pos="9360"/>
              </w:tabs>
              <w:spacing w:after="0" w:line="240" w:lineRule="auto"/>
              <w:ind w:left="-20" w:right="-80"/>
              <w:jc w:val="center"/>
              <w:rPr>
                <w:rFonts w:ascii="Arial" w:hAnsi="Arial" w:cs="Arial"/>
                <w:szCs w:val="20"/>
              </w:rPr>
            </w:pPr>
            <w:r w:rsidRPr="009123B0">
              <w:rPr>
                <w:rFonts w:ascii="Arial" w:hAnsi="Arial" w:cs="Arial"/>
                <w:szCs w:val="20"/>
              </w:rPr>
              <w:t>2019</w:t>
            </w:r>
          </w:p>
          <w:p w14:paraId="7BA92565" w14:textId="77777777" w:rsidR="00790828" w:rsidRPr="009123B0" w:rsidRDefault="00790828" w:rsidP="00790828">
            <w:pPr>
              <w:tabs>
                <w:tab w:val="left" w:pos="7214"/>
                <w:tab w:val="decimal" w:pos="8107"/>
                <w:tab w:val="left" w:pos="8467"/>
                <w:tab w:val="decimal" w:pos="9360"/>
              </w:tabs>
              <w:spacing w:after="0" w:line="240" w:lineRule="auto"/>
              <w:jc w:val="center"/>
              <w:rPr>
                <w:rFonts w:ascii="Arial" w:hAnsi="Arial" w:cs="Arial"/>
                <w:szCs w:val="20"/>
              </w:rPr>
            </w:pPr>
            <w:r w:rsidRPr="009123B0">
              <w:rPr>
                <w:rFonts w:ascii="Arial" w:hAnsi="Arial" w:cs="Arial"/>
                <w:szCs w:val="20"/>
              </w:rPr>
              <w:t>$</w:t>
            </w:r>
          </w:p>
        </w:tc>
        <w:tc>
          <w:tcPr>
            <w:tcW w:w="1275" w:type="dxa"/>
            <w:tcBorders>
              <w:bottom w:val="single" w:sz="4" w:space="0" w:color="auto"/>
            </w:tcBorders>
            <w:vAlign w:val="bottom"/>
          </w:tcPr>
          <w:p w14:paraId="72B9BB80" w14:textId="068C7E5B" w:rsidR="00790828" w:rsidRPr="00CE5E98" w:rsidRDefault="000F2E3C" w:rsidP="00790828">
            <w:pPr>
              <w:tabs>
                <w:tab w:val="left" w:pos="7214"/>
                <w:tab w:val="decimal" w:pos="8107"/>
                <w:tab w:val="left" w:pos="8467"/>
                <w:tab w:val="decimal" w:pos="9360"/>
              </w:tabs>
              <w:spacing w:after="0" w:line="240" w:lineRule="auto"/>
              <w:ind w:left="-20" w:right="-80"/>
              <w:jc w:val="center"/>
              <w:rPr>
                <w:rFonts w:ascii="Arial" w:hAnsi="Arial" w:cs="Arial"/>
                <w:szCs w:val="20"/>
              </w:rPr>
            </w:pPr>
            <w:r w:rsidRPr="00CE5E98">
              <w:rPr>
                <w:rFonts w:ascii="Arial" w:hAnsi="Arial" w:cs="Arial"/>
                <w:szCs w:val="20"/>
              </w:rPr>
              <w:t xml:space="preserve">October </w:t>
            </w:r>
            <w:r w:rsidR="00790828" w:rsidRPr="00CE5E98">
              <w:rPr>
                <w:rFonts w:ascii="Arial" w:hAnsi="Arial" w:cs="Arial"/>
                <w:szCs w:val="20"/>
              </w:rPr>
              <w:t>31,</w:t>
            </w:r>
          </w:p>
          <w:p w14:paraId="5A5B1CF4" w14:textId="67D30999" w:rsidR="00790828" w:rsidRPr="0093678E" w:rsidRDefault="008627E3" w:rsidP="00790828">
            <w:pPr>
              <w:tabs>
                <w:tab w:val="left" w:pos="7214"/>
                <w:tab w:val="decimal" w:pos="8107"/>
                <w:tab w:val="left" w:pos="8467"/>
                <w:tab w:val="decimal" w:pos="9360"/>
              </w:tabs>
              <w:spacing w:after="0" w:line="240" w:lineRule="auto"/>
              <w:jc w:val="center"/>
              <w:rPr>
                <w:rFonts w:ascii="Arial" w:hAnsi="Arial" w:cs="Arial"/>
                <w:szCs w:val="20"/>
              </w:rPr>
            </w:pPr>
            <w:r w:rsidRPr="00CE5E98">
              <w:rPr>
                <w:rFonts w:ascii="Arial" w:hAnsi="Arial" w:cs="Arial"/>
                <w:szCs w:val="20"/>
              </w:rPr>
              <w:t>2018</w:t>
            </w:r>
            <w:r w:rsidR="00790828" w:rsidRPr="0093678E">
              <w:rPr>
                <w:rFonts w:ascii="Arial" w:hAnsi="Arial" w:cs="Arial"/>
                <w:szCs w:val="20"/>
              </w:rPr>
              <w:br/>
              <w:t>$</w:t>
            </w:r>
          </w:p>
        </w:tc>
      </w:tr>
      <w:tr w:rsidR="00121C26" w:rsidRPr="009D54BC" w14:paraId="17A1C6BE" w14:textId="77777777" w:rsidTr="00121C26">
        <w:trPr>
          <w:gridAfter w:val="1"/>
          <w:wAfter w:w="75" w:type="dxa"/>
        </w:trPr>
        <w:tc>
          <w:tcPr>
            <w:tcW w:w="6832" w:type="dxa"/>
            <w:vAlign w:val="bottom"/>
          </w:tcPr>
          <w:p w14:paraId="787E112C" w14:textId="77777777" w:rsidR="00121C26" w:rsidRPr="009D54BC" w:rsidRDefault="00121C26" w:rsidP="00790828">
            <w:pPr>
              <w:tabs>
                <w:tab w:val="left" w:pos="7272"/>
                <w:tab w:val="decimal" w:pos="8136"/>
                <w:tab w:val="left" w:pos="8496"/>
                <w:tab w:val="decimal" w:pos="9360"/>
              </w:tabs>
              <w:spacing w:after="0" w:line="240" w:lineRule="auto"/>
              <w:rPr>
                <w:rFonts w:ascii="Arial" w:hAnsi="Arial" w:cs="Arial"/>
                <w:szCs w:val="20"/>
              </w:rPr>
            </w:pPr>
          </w:p>
        </w:tc>
        <w:tc>
          <w:tcPr>
            <w:tcW w:w="1350" w:type="dxa"/>
            <w:vAlign w:val="bottom"/>
          </w:tcPr>
          <w:p w14:paraId="1765BAB3" w14:textId="77777777" w:rsidR="00121C26" w:rsidRPr="000F2E3C" w:rsidRDefault="00121C26" w:rsidP="00790828">
            <w:pPr>
              <w:tabs>
                <w:tab w:val="left" w:pos="7214"/>
                <w:tab w:val="decimal" w:pos="8107"/>
                <w:tab w:val="left" w:pos="8467"/>
                <w:tab w:val="decimal" w:pos="9360"/>
              </w:tabs>
              <w:spacing w:after="0" w:line="240" w:lineRule="auto"/>
              <w:ind w:left="-20" w:right="-80"/>
              <w:jc w:val="center"/>
              <w:rPr>
                <w:rFonts w:ascii="Arial" w:hAnsi="Arial" w:cs="Arial"/>
                <w:szCs w:val="20"/>
                <w:highlight w:val="yellow"/>
              </w:rPr>
            </w:pPr>
          </w:p>
        </w:tc>
        <w:tc>
          <w:tcPr>
            <w:tcW w:w="1275" w:type="dxa"/>
            <w:vAlign w:val="bottom"/>
          </w:tcPr>
          <w:p w14:paraId="34B8264A" w14:textId="4D548200" w:rsidR="00121C26" w:rsidRPr="00826396" w:rsidRDefault="00121C26" w:rsidP="00790828">
            <w:pPr>
              <w:tabs>
                <w:tab w:val="left" w:pos="7214"/>
                <w:tab w:val="decimal" w:pos="8107"/>
                <w:tab w:val="left" w:pos="8467"/>
                <w:tab w:val="decimal" w:pos="9360"/>
              </w:tabs>
              <w:spacing w:after="0" w:line="240" w:lineRule="auto"/>
              <w:ind w:left="-20" w:right="-80"/>
              <w:jc w:val="center"/>
              <w:rPr>
                <w:rFonts w:ascii="Arial" w:hAnsi="Arial" w:cs="Arial"/>
                <w:szCs w:val="20"/>
                <w:highlight w:val="yellow"/>
              </w:rPr>
            </w:pPr>
            <w:r w:rsidRPr="00121C26">
              <w:rPr>
                <w:rFonts w:ascii="Arial" w:hAnsi="Arial" w:cs="Arial"/>
                <w:szCs w:val="20"/>
              </w:rPr>
              <w:t>(Note 2</w:t>
            </w:r>
            <w:r w:rsidR="00C83768">
              <w:rPr>
                <w:rFonts w:ascii="Arial" w:hAnsi="Arial" w:cs="Arial"/>
                <w:szCs w:val="20"/>
              </w:rPr>
              <w:t>4</w:t>
            </w:r>
            <w:r w:rsidRPr="00121C26">
              <w:rPr>
                <w:rFonts w:ascii="Arial" w:hAnsi="Arial" w:cs="Arial"/>
                <w:szCs w:val="20"/>
              </w:rPr>
              <w:t>)</w:t>
            </w:r>
          </w:p>
        </w:tc>
      </w:tr>
      <w:tr w:rsidR="00790828" w:rsidRPr="009D54BC" w14:paraId="76AC0FC3" w14:textId="77777777" w:rsidTr="00C36440">
        <w:trPr>
          <w:gridAfter w:val="1"/>
          <w:wAfter w:w="75" w:type="dxa"/>
        </w:trPr>
        <w:tc>
          <w:tcPr>
            <w:tcW w:w="6832" w:type="dxa"/>
            <w:vAlign w:val="bottom"/>
          </w:tcPr>
          <w:p w14:paraId="4D3C7114" w14:textId="77777777" w:rsidR="00790828" w:rsidRPr="009D54BC" w:rsidRDefault="00790828" w:rsidP="00790828">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Operating activities</w:t>
            </w:r>
          </w:p>
        </w:tc>
        <w:tc>
          <w:tcPr>
            <w:tcW w:w="1350" w:type="dxa"/>
          </w:tcPr>
          <w:p w14:paraId="22CAF099" w14:textId="77777777" w:rsidR="00790828" w:rsidRPr="009D54BC" w:rsidRDefault="00790828" w:rsidP="00790828">
            <w:pPr>
              <w:tabs>
                <w:tab w:val="left" w:pos="7272"/>
                <w:tab w:val="decimal" w:pos="8136"/>
                <w:tab w:val="left" w:pos="8496"/>
                <w:tab w:val="decimal" w:pos="9360"/>
              </w:tabs>
              <w:spacing w:after="0" w:line="240" w:lineRule="auto"/>
              <w:ind w:right="29"/>
              <w:jc w:val="right"/>
              <w:rPr>
                <w:rFonts w:ascii="Arial" w:hAnsi="Arial" w:cs="Arial"/>
                <w:szCs w:val="20"/>
              </w:rPr>
            </w:pPr>
          </w:p>
        </w:tc>
        <w:tc>
          <w:tcPr>
            <w:tcW w:w="1275" w:type="dxa"/>
          </w:tcPr>
          <w:p w14:paraId="5E7CD960" w14:textId="77777777" w:rsidR="00790828" w:rsidRPr="009D54BC" w:rsidRDefault="00790828" w:rsidP="00790828">
            <w:pPr>
              <w:tabs>
                <w:tab w:val="left" w:pos="7272"/>
                <w:tab w:val="decimal" w:pos="8136"/>
                <w:tab w:val="left" w:pos="8496"/>
                <w:tab w:val="decimal" w:pos="9360"/>
              </w:tabs>
              <w:spacing w:after="0" w:line="240" w:lineRule="auto"/>
              <w:ind w:right="29"/>
              <w:jc w:val="right"/>
              <w:rPr>
                <w:rFonts w:ascii="Arial" w:hAnsi="Arial" w:cs="Arial"/>
                <w:szCs w:val="20"/>
              </w:rPr>
            </w:pPr>
          </w:p>
        </w:tc>
      </w:tr>
      <w:tr w:rsidR="00790828" w:rsidRPr="009D54BC" w14:paraId="4BF98682" w14:textId="77777777" w:rsidTr="00C36440">
        <w:trPr>
          <w:gridAfter w:val="1"/>
          <w:wAfter w:w="75" w:type="dxa"/>
          <w:trHeight w:hRule="exact" w:val="58"/>
        </w:trPr>
        <w:tc>
          <w:tcPr>
            <w:tcW w:w="6832" w:type="dxa"/>
            <w:vAlign w:val="bottom"/>
          </w:tcPr>
          <w:p w14:paraId="41E5AE84" w14:textId="77777777" w:rsidR="00790828" w:rsidRPr="009D54BC" w:rsidRDefault="00790828" w:rsidP="00790828">
            <w:pPr>
              <w:tabs>
                <w:tab w:val="left" w:pos="7272"/>
                <w:tab w:val="decimal" w:pos="8136"/>
                <w:tab w:val="left" w:pos="8496"/>
                <w:tab w:val="decimal" w:pos="9360"/>
              </w:tabs>
              <w:spacing w:after="0" w:line="240" w:lineRule="auto"/>
              <w:rPr>
                <w:rFonts w:ascii="Arial" w:hAnsi="Arial" w:cs="Arial"/>
                <w:szCs w:val="20"/>
              </w:rPr>
            </w:pPr>
          </w:p>
        </w:tc>
        <w:tc>
          <w:tcPr>
            <w:tcW w:w="1350" w:type="dxa"/>
          </w:tcPr>
          <w:p w14:paraId="2364CF67" w14:textId="77777777" w:rsidR="00790828" w:rsidRPr="009D54BC" w:rsidRDefault="00790828" w:rsidP="00790828">
            <w:pPr>
              <w:tabs>
                <w:tab w:val="left" w:pos="7272"/>
                <w:tab w:val="decimal" w:pos="8136"/>
                <w:tab w:val="left" w:pos="8496"/>
                <w:tab w:val="decimal" w:pos="9360"/>
              </w:tabs>
              <w:spacing w:after="0" w:line="240" w:lineRule="auto"/>
              <w:ind w:right="29"/>
              <w:jc w:val="right"/>
              <w:rPr>
                <w:rFonts w:ascii="Arial" w:hAnsi="Arial" w:cs="Arial"/>
                <w:szCs w:val="20"/>
              </w:rPr>
            </w:pPr>
          </w:p>
        </w:tc>
        <w:tc>
          <w:tcPr>
            <w:tcW w:w="1275" w:type="dxa"/>
          </w:tcPr>
          <w:p w14:paraId="6D7566E6" w14:textId="77777777" w:rsidR="00790828" w:rsidRPr="009D54BC" w:rsidRDefault="00790828" w:rsidP="00790828">
            <w:pPr>
              <w:tabs>
                <w:tab w:val="left" w:pos="7272"/>
                <w:tab w:val="decimal" w:pos="8136"/>
                <w:tab w:val="left" w:pos="8496"/>
                <w:tab w:val="decimal" w:pos="9360"/>
              </w:tabs>
              <w:spacing w:after="0" w:line="240" w:lineRule="auto"/>
              <w:ind w:right="29"/>
              <w:jc w:val="right"/>
              <w:rPr>
                <w:rFonts w:ascii="Arial" w:hAnsi="Arial" w:cs="Arial"/>
                <w:szCs w:val="20"/>
              </w:rPr>
            </w:pPr>
          </w:p>
        </w:tc>
      </w:tr>
      <w:tr w:rsidR="00894AEA" w:rsidRPr="009D54BC" w14:paraId="1AB049FA" w14:textId="77777777" w:rsidTr="00C36440">
        <w:tc>
          <w:tcPr>
            <w:tcW w:w="6832" w:type="dxa"/>
            <w:vAlign w:val="bottom"/>
          </w:tcPr>
          <w:p w14:paraId="3EA9F3EE"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 xml:space="preserve">Net </w:t>
            </w:r>
            <w:r>
              <w:rPr>
                <w:rFonts w:ascii="Arial" w:hAnsi="Arial" w:cs="Arial"/>
                <w:szCs w:val="20"/>
              </w:rPr>
              <w:t>loss</w:t>
            </w:r>
          </w:p>
        </w:tc>
        <w:tc>
          <w:tcPr>
            <w:tcW w:w="1350" w:type="dxa"/>
            <w:vAlign w:val="bottom"/>
          </w:tcPr>
          <w:p w14:paraId="18FFCEF9" w14:textId="51CACA0A" w:rsidR="00894AEA" w:rsidRPr="009D54BC" w:rsidRDefault="009123B0" w:rsidP="008A54C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E61C78" w:rsidRPr="00E61C78">
              <w:rPr>
                <w:rFonts w:ascii="Arial" w:hAnsi="Arial" w:cs="Arial"/>
                <w:szCs w:val="20"/>
              </w:rPr>
              <w:t>8,918,502</w:t>
            </w:r>
            <w:r>
              <w:rPr>
                <w:rFonts w:ascii="Arial" w:hAnsi="Arial" w:cs="Arial"/>
                <w:szCs w:val="20"/>
              </w:rPr>
              <w:t>)</w:t>
            </w:r>
          </w:p>
        </w:tc>
        <w:tc>
          <w:tcPr>
            <w:tcW w:w="1350" w:type="dxa"/>
            <w:gridSpan w:val="2"/>
            <w:vAlign w:val="bottom"/>
          </w:tcPr>
          <w:p w14:paraId="28B3F44F" w14:textId="0BAA5699" w:rsidR="00894AEA" w:rsidRPr="009D54BC" w:rsidRDefault="00894AEA" w:rsidP="00D31233">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r w:rsidR="00B21C1E">
              <w:rPr>
                <w:rFonts w:ascii="Arial" w:hAnsi="Arial" w:cs="Arial"/>
              </w:rPr>
              <w:t>7,608,933</w:t>
            </w:r>
            <w:r w:rsidRPr="009D54BC">
              <w:rPr>
                <w:rFonts w:ascii="Arial" w:hAnsi="Arial" w:cs="Arial"/>
                <w:szCs w:val="20"/>
              </w:rPr>
              <w:t>)</w:t>
            </w:r>
          </w:p>
        </w:tc>
      </w:tr>
      <w:tr w:rsidR="00894AEA" w:rsidRPr="009D54BC" w14:paraId="7BF63A55" w14:textId="77777777" w:rsidTr="00C36440">
        <w:tc>
          <w:tcPr>
            <w:tcW w:w="6832" w:type="dxa"/>
            <w:vAlign w:val="bottom"/>
          </w:tcPr>
          <w:p w14:paraId="7812B609"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Adjustments to reconcile net loss to net cash used in operating activities:</w:t>
            </w:r>
          </w:p>
        </w:tc>
        <w:tc>
          <w:tcPr>
            <w:tcW w:w="1350" w:type="dxa"/>
            <w:vAlign w:val="bottom"/>
          </w:tcPr>
          <w:p w14:paraId="00DE7CA5"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vAlign w:val="bottom"/>
          </w:tcPr>
          <w:p w14:paraId="726085B4"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B21C1E" w:rsidRPr="009D54BC" w14:paraId="402E9584" w14:textId="77777777" w:rsidTr="00B21C1E">
        <w:trPr>
          <w:trHeight w:val="243"/>
        </w:trPr>
        <w:tc>
          <w:tcPr>
            <w:tcW w:w="6832" w:type="dxa"/>
            <w:vAlign w:val="bottom"/>
          </w:tcPr>
          <w:p w14:paraId="1FCB8DED" w14:textId="77777777" w:rsidR="00B21C1E" w:rsidRDefault="00B21C1E" w:rsidP="00B21C1E">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Common shares issued for services</w:t>
            </w:r>
          </w:p>
        </w:tc>
        <w:tc>
          <w:tcPr>
            <w:tcW w:w="1350" w:type="dxa"/>
            <w:vAlign w:val="bottom"/>
          </w:tcPr>
          <w:p w14:paraId="5F107A03" w14:textId="78E74580" w:rsidR="00B21C1E" w:rsidRPr="009D54BC" w:rsidRDefault="009123B0" w:rsidP="00B21C1E">
            <w:pPr>
              <w:spacing w:after="0" w:line="240" w:lineRule="auto"/>
              <w:ind w:right="180"/>
              <w:jc w:val="right"/>
              <w:rPr>
                <w:rFonts w:ascii="Arial" w:hAnsi="Arial" w:cs="Arial"/>
                <w:szCs w:val="20"/>
              </w:rPr>
            </w:pPr>
            <w:r>
              <w:rPr>
                <w:rFonts w:ascii="Arial" w:hAnsi="Arial" w:cs="Arial"/>
                <w:szCs w:val="20"/>
              </w:rPr>
              <w:t>1,974,129</w:t>
            </w:r>
          </w:p>
        </w:tc>
        <w:tc>
          <w:tcPr>
            <w:tcW w:w="1350" w:type="dxa"/>
            <w:gridSpan w:val="2"/>
            <w:vAlign w:val="bottom"/>
          </w:tcPr>
          <w:p w14:paraId="1625B8C8" w14:textId="35A13EF4" w:rsidR="00B21C1E" w:rsidRDefault="00B21C1E" w:rsidP="00B21C1E">
            <w:pPr>
              <w:spacing w:after="0" w:line="240" w:lineRule="auto"/>
              <w:ind w:right="180"/>
              <w:jc w:val="right"/>
              <w:rPr>
                <w:rFonts w:ascii="Arial" w:hAnsi="Arial" w:cs="Arial"/>
              </w:rPr>
            </w:pPr>
            <w:r>
              <w:rPr>
                <w:rFonts w:ascii="Arial" w:hAnsi="Arial" w:cs="Arial"/>
              </w:rPr>
              <w:t>548,435</w:t>
            </w:r>
          </w:p>
        </w:tc>
      </w:tr>
      <w:tr w:rsidR="00894AEA" w:rsidRPr="009D54BC" w14:paraId="174276D7" w14:textId="77777777" w:rsidTr="00C36440">
        <w:tc>
          <w:tcPr>
            <w:tcW w:w="6832" w:type="dxa"/>
            <w:vAlign w:val="bottom"/>
          </w:tcPr>
          <w:p w14:paraId="3028C27F" w14:textId="7717568E" w:rsidR="00894AEA" w:rsidRPr="009D54BC" w:rsidRDefault="008A54C4" w:rsidP="00894AEA">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Depreciation and amortization</w:t>
            </w:r>
          </w:p>
        </w:tc>
        <w:tc>
          <w:tcPr>
            <w:tcW w:w="1350" w:type="dxa"/>
            <w:vAlign w:val="bottom"/>
          </w:tcPr>
          <w:p w14:paraId="26BA401B" w14:textId="3A6B18C3" w:rsidR="00894AEA" w:rsidRPr="009D54BC" w:rsidRDefault="009123B0"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736,951</w:t>
            </w:r>
          </w:p>
        </w:tc>
        <w:tc>
          <w:tcPr>
            <w:tcW w:w="1350" w:type="dxa"/>
            <w:gridSpan w:val="2"/>
            <w:vAlign w:val="bottom"/>
          </w:tcPr>
          <w:p w14:paraId="523A079A" w14:textId="6D35B6F2" w:rsidR="00894AEA" w:rsidRPr="009D54BC" w:rsidRDefault="00B21C1E"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652,707</w:t>
            </w:r>
          </w:p>
        </w:tc>
      </w:tr>
      <w:tr w:rsidR="00B21C1E" w:rsidRPr="009D54BC" w14:paraId="410D52DB" w14:textId="77777777" w:rsidTr="00B21C1E">
        <w:tc>
          <w:tcPr>
            <w:tcW w:w="6832" w:type="dxa"/>
            <w:vAlign w:val="bottom"/>
          </w:tcPr>
          <w:p w14:paraId="5EC3D9A1" w14:textId="47463BB8" w:rsidR="00B21C1E" w:rsidRPr="009D54BC" w:rsidRDefault="0045782B" w:rsidP="00B21C1E">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Foreign e</w:t>
            </w:r>
            <w:r w:rsidR="00B21C1E">
              <w:rPr>
                <w:rFonts w:ascii="Arial" w:hAnsi="Arial" w:cs="Arial"/>
                <w:szCs w:val="20"/>
              </w:rPr>
              <w:t>xchange loss</w:t>
            </w:r>
          </w:p>
        </w:tc>
        <w:tc>
          <w:tcPr>
            <w:tcW w:w="1350" w:type="dxa"/>
            <w:vAlign w:val="bottom"/>
          </w:tcPr>
          <w:p w14:paraId="1A80CBE2" w14:textId="7B35C92B" w:rsidR="00B21C1E" w:rsidRPr="009D54BC" w:rsidRDefault="009123B0" w:rsidP="00B21C1E">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(2,016)</w:t>
            </w:r>
          </w:p>
        </w:tc>
        <w:tc>
          <w:tcPr>
            <w:tcW w:w="1350" w:type="dxa"/>
            <w:gridSpan w:val="2"/>
            <w:vAlign w:val="bottom"/>
          </w:tcPr>
          <w:p w14:paraId="5A1A6123" w14:textId="1226B2D7" w:rsidR="00B21C1E" w:rsidRPr="009D54BC" w:rsidRDefault="00B21C1E" w:rsidP="00B21C1E">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CE5E98">
              <w:rPr>
                <w:rFonts w:ascii="Arial" w:hAnsi="Arial" w:cs="Arial"/>
                <w:szCs w:val="20"/>
              </w:rPr>
              <w:t>31,107</w:t>
            </w:r>
            <w:r>
              <w:rPr>
                <w:rFonts w:ascii="Arial" w:hAnsi="Arial" w:cs="Arial"/>
                <w:szCs w:val="20"/>
              </w:rPr>
              <w:t>)</w:t>
            </w:r>
          </w:p>
        </w:tc>
      </w:tr>
      <w:tr w:rsidR="00B21C1E" w:rsidRPr="009D54BC" w14:paraId="3F8044E1" w14:textId="77777777" w:rsidTr="00B21C1E">
        <w:tc>
          <w:tcPr>
            <w:tcW w:w="6832" w:type="dxa"/>
            <w:vAlign w:val="bottom"/>
          </w:tcPr>
          <w:p w14:paraId="5FA60222" w14:textId="77777777" w:rsidR="00B21C1E" w:rsidRPr="009D54BC" w:rsidRDefault="00B21C1E" w:rsidP="00B21C1E">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Gain on repayment of promissory note</w:t>
            </w:r>
          </w:p>
        </w:tc>
        <w:tc>
          <w:tcPr>
            <w:tcW w:w="1350" w:type="dxa"/>
            <w:vAlign w:val="bottom"/>
          </w:tcPr>
          <w:p w14:paraId="7EACBC5F" w14:textId="67BAC8DB" w:rsidR="00B21C1E" w:rsidRPr="009D54BC" w:rsidRDefault="009123B0" w:rsidP="00B21C1E">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c>
          <w:tcPr>
            <w:tcW w:w="1350" w:type="dxa"/>
            <w:gridSpan w:val="2"/>
            <w:vAlign w:val="bottom"/>
          </w:tcPr>
          <w:p w14:paraId="43C3898A" w14:textId="77777777" w:rsidR="00B21C1E" w:rsidRPr="009D54BC" w:rsidRDefault="00B21C1E" w:rsidP="00B21C1E">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(8,890)</w:t>
            </w:r>
          </w:p>
        </w:tc>
      </w:tr>
      <w:tr w:rsidR="00B21C1E" w:rsidRPr="009D54BC" w14:paraId="21201A46" w14:textId="77777777" w:rsidTr="00B21C1E">
        <w:tc>
          <w:tcPr>
            <w:tcW w:w="6832" w:type="dxa"/>
            <w:vAlign w:val="bottom"/>
          </w:tcPr>
          <w:p w14:paraId="54EBD360" w14:textId="77777777" w:rsidR="00B21C1E" w:rsidRPr="009D54BC" w:rsidRDefault="00B21C1E" w:rsidP="00B21C1E">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 xml:space="preserve">Interest accretion </w:t>
            </w:r>
          </w:p>
        </w:tc>
        <w:tc>
          <w:tcPr>
            <w:tcW w:w="1350" w:type="dxa"/>
            <w:vAlign w:val="bottom"/>
          </w:tcPr>
          <w:p w14:paraId="7618E403" w14:textId="297DEF58" w:rsidR="00B21C1E" w:rsidRPr="009D54BC" w:rsidRDefault="009123B0" w:rsidP="00B21C1E">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294,000</w:t>
            </w:r>
          </w:p>
        </w:tc>
        <w:tc>
          <w:tcPr>
            <w:tcW w:w="1350" w:type="dxa"/>
            <w:gridSpan w:val="2"/>
            <w:vAlign w:val="bottom"/>
          </w:tcPr>
          <w:p w14:paraId="33F034A3" w14:textId="0AE87625" w:rsidR="00B21C1E" w:rsidRPr="009D54BC" w:rsidRDefault="00B21C1E" w:rsidP="00B21C1E">
            <w:pPr>
              <w:tabs>
                <w:tab w:val="left" w:pos="7214"/>
                <w:tab w:val="decimal" w:pos="8107"/>
                <w:tab w:val="left" w:pos="8467"/>
                <w:tab w:val="decimal" w:pos="9360"/>
              </w:tabs>
              <w:spacing w:after="0" w:line="240" w:lineRule="auto"/>
              <w:ind w:right="180"/>
              <w:jc w:val="right"/>
              <w:rPr>
                <w:rFonts w:ascii="Arial" w:hAnsi="Arial" w:cs="Arial"/>
                <w:szCs w:val="20"/>
              </w:rPr>
            </w:pPr>
            <w:r w:rsidRPr="00C21CCD">
              <w:rPr>
                <w:rFonts w:ascii="Arial" w:hAnsi="Arial" w:cs="Arial"/>
                <w:szCs w:val="20"/>
              </w:rPr>
              <w:t>509,81</w:t>
            </w:r>
            <w:r w:rsidR="00C21CCD" w:rsidRPr="00C21CCD">
              <w:rPr>
                <w:rFonts w:ascii="Arial" w:hAnsi="Arial" w:cs="Arial"/>
                <w:szCs w:val="20"/>
              </w:rPr>
              <w:t>3</w:t>
            </w:r>
          </w:p>
        </w:tc>
      </w:tr>
      <w:tr w:rsidR="008A54C4" w:rsidRPr="009D54BC" w14:paraId="3320075B" w14:textId="77777777" w:rsidTr="00C36440">
        <w:tc>
          <w:tcPr>
            <w:tcW w:w="6832" w:type="dxa"/>
            <w:vAlign w:val="bottom"/>
          </w:tcPr>
          <w:p w14:paraId="0AE3CD11" w14:textId="4402D547" w:rsidR="008A54C4" w:rsidRDefault="008A54C4" w:rsidP="00894AEA">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Lease expense</w:t>
            </w:r>
          </w:p>
        </w:tc>
        <w:tc>
          <w:tcPr>
            <w:tcW w:w="1350" w:type="dxa"/>
            <w:vAlign w:val="bottom"/>
          </w:tcPr>
          <w:p w14:paraId="603EB9C6" w14:textId="70221B0C" w:rsidR="008A54C4" w:rsidRDefault="009123B0"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314,098</w:t>
            </w:r>
          </w:p>
        </w:tc>
        <w:tc>
          <w:tcPr>
            <w:tcW w:w="1350" w:type="dxa"/>
            <w:gridSpan w:val="2"/>
            <w:vAlign w:val="bottom"/>
          </w:tcPr>
          <w:p w14:paraId="6169CE66" w14:textId="3ECCCC9A" w:rsidR="008A54C4" w:rsidRDefault="00B21C1E"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137,974</w:t>
            </w:r>
          </w:p>
        </w:tc>
      </w:tr>
      <w:tr w:rsidR="00CE5E98" w:rsidRPr="009D54BC" w14:paraId="6EAD142C" w14:textId="77777777" w:rsidTr="00C36440">
        <w:tc>
          <w:tcPr>
            <w:tcW w:w="6832" w:type="dxa"/>
            <w:vAlign w:val="bottom"/>
          </w:tcPr>
          <w:p w14:paraId="3D92FD00" w14:textId="28ACACD8" w:rsidR="00CE5E98" w:rsidRDefault="00CE5E98" w:rsidP="00894AEA">
            <w:pPr>
              <w:tabs>
                <w:tab w:val="left" w:pos="7272"/>
                <w:tab w:val="decimal" w:pos="8136"/>
                <w:tab w:val="left" w:pos="8496"/>
                <w:tab w:val="decimal" w:pos="9360"/>
              </w:tabs>
              <w:spacing w:after="0" w:line="240" w:lineRule="auto"/>
              <w:ind w:left="144"/>
              <w:rPr>
                <w:rFonts w:ascii="Arial" w:hAnsi="Arial" w:cs="Arial"/>
                <w:szCs w:val="20"/>
              </w:rPr>
            </w:pPr>
            <w:r w:rsidRPr="00CE5E98">
              <w:rPr>
                <w:rFonts w:ascii="Arial" w:hAnsi="Arial" w:cs="Arial"/>
                <w:szCs w:val="20"/>
              </w:rPr>
              <w:t>Loss on extinguishment of convertible debentures</w:t>
            </w:r>
          </w:p>
        </w:tc>
        <w:tc>
          <w:tcPr>
            <w:tcW w:w="1350" w:type="dxa"/>
            <w:vAlign w:val="bottom"/>
          </w:tcPr>
          <w:p w14:paraId="4B00B6DA" w14:textId="677493FE" w:rsidR="00CE5E98" w:rsidRDefault="009123B0" w:rsidP="00894AEA">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c>
          <w:tcPr>
            <w:tcW w:w="1350" w:type="dxa"/>
            <w:gridSpan w:val="2"/>
            <w:vAlign w:val="bottom"/>
          </w:tcPr>
          <w:p w14:paraId="75739877" w14:textId="04279544" w:rsidR="00CE5E98" w:rsidRDefault="00CE5E98"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1,240,773</w:t>
            </w:r>
          </w:p>
        </w:tc>
      </w:tr>
      <w:tr w:rsidR="00B21C1E" w:rsidRPr="009D54BC" w14:paraId="301CDED9" w14:textId="77777777" w:rsidTr="00B21C1E">
        <w:tc>
          <w:tcPr>
            <w:tcW w:w="6832" w:type="dxa"/>
            <w:vAlign w:val="bottom"/>
          </w:tcPr>
          <w:p w14:paraId="7F3DE2D9" w14:textId="77777777" w:rsidR="00B21C1E" w:rsidRPr="009D54BC" w:rsidRDefault="00B21C1E" w:rsidP="00B21C1E">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Share-based payments</w:t>
            </w:r>
          </w:p>
        </w:tc>
        <w:tc>
          <w:tcPr>
            <w:tcW w:w="1350" w:type="dxa"/>
            <w:vAlign w:val="bottom"/>
          </w:tcPr>
          <w:p w14:paraId="04349346" w14:textId="270615EC" w:rsidR="00B21C1E" w:rsidRDefault="009123B0" w:rsidP="00B21C1E">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1,065,11</w:t>
            </w:r>
            <w:r w:rsidR="00CA4E31">
              <w:rPr>
                <w:rFonts w:ascii="Arial" w:hAnsi="Arial" w:cs="Arial"/>
                <w:szCs w:val="20"/>
              </w:rPr>
              <w:t>3</w:t>
            </w:r>
          </w:p>
        </w:tc>
        <w:tc>
          <w:tcPr>
            <w:tcW w:w="1350" w:type="dxa"/>
            <w:gridSpan w:val="2"/>
            <w:vAlign w:val="bottom"/>
          </w:tcPr>
          <w:p w14:paraId="7002A265" w14:textId="3B8FB2B0" w:rsidR="00B21C1E" w:rsidRDefault="00B21C1E" w:rsidP="00B21C1E">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75,164</w:t>
            </w:r>
          </w:p>
        </w:tc>
      </w:tr>
      <w:tr w:rsidR="00882382" w:rsidRPr="009D54BC" w14:paraId="0E7D4E22" w14:textId="77777777" w:rsidTr="00116DA9">
        <w:tc>
          <w:tcPr>
            <w:tcW w:w="6832" w:type="dxa"/>
            <w:vAlign w:val="bottom"/>
          </w:tcPr>
          <w:p w14:paraId="33D4794B" w14:textId="504EE7CF" w:rsidR="00882382" w:rsidRPr="009D54BC" w:rsidRDefault="008A54C4" w:rsidP="00116DA9">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Write-off of equipment</w:t>
            </w:r>
          </w:p>
        </w:tc>
        <w:tc>
          <w:tcPr>
            <w:tcW w:w="1350" w:type="dxa"/>
            <w:vAlign w:val="bottom"/>
          </w:tcPr>
          <w:p w14:paraId="793DF0BC" w14:textId="41F51FD8" w:rsidR="00882382" w:rsidRPr="009D54BC" w:rsidRDefault="009123B0" w:rsidP="00116DA9">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3,901</w:t>
            </w:r>
          </w:p>
        </w:tc>
        <w:tc>
          <w:tcPr>
            <w:tcW w:w="1350" w:type="dxa"/>
            <w:gridSpan w:val="2"/>
            <w:vAlign w:val="bottom"/>
          </w:tcPr>
          <w:p w14:paraId="584948DE" w14:textId="77777777" w:rsidR="00882382" w:rsidRPr="009D54BC" w:rsidRDefault="00882382" w:rsidP="00116DA9">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r>
      <w:tr w:rsidR="00894AEA" w:rsidRPr="009D54BC" w14:paraId="11D5F7E5" w14:textId="77777777" w:rsidTr="00C36440">
        <w:tc>
          <w:tcPr>
            <w:tcW w:w="6832" w:type="dxa"/>
            <w:vAlign w:val="bottom"/>
          </w:tcPr>
          <w:p w14:paraId="3C0D2583"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Changes in operating assets and liabilities:</w:t>
            </w:r>
          </w:p>
        </w:tc>
        <w:tc>
          <w:tcPr>
            <w:tcW w:w="1350" w:type="dxa"/>
            <w:vAlign w:val="bottom"/>
          </w:tcPr>
          <w:p w14:paraId="5F64E263"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vAlign w:val="bottom"/>
          </w:tcPr>
          <w:p w14:paraId="3C4DDAF7"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82382" w:rsidRPr="009D54BC" w14:paraId="35445DF6" w14:textId="77777777" w:rsidTr="00116DA9">
        <w:tc>
          <w:tcPr>
            <w:tcW w:w="6832" w:type="dxa"/>
            <w:vAlign w:val="bottom"/>
          </w:tcPr>
          <w:p w14:paraId="574B8FB8" w14:textId="77777777" w:rsidR="00882382" w:rsidRPr="009D54BC" w:rsidRDefault="00882382" w:rsidP="00116DA9">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rPr>
              <w:t>Prepaids and other current assets</w:t>
            </w:r>
          </w:p>
        </w:tc>
        <w:tc>
          <w:tcPr>
            <w:tcW w:w="1350" w:type="dxa"/>
            <w:vAlign w:val="bottom"/>
          </w:tcPr>
          <w:p w14:paraId="08D55BCA" w14:textId="48BEFBA9" w:rsidR="00882382" w:rsidRPr="009D54BC" w:rsidRDefault="009123B0" w:rsidP="00720186">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1E7D46">
              <w:rPr>
                <w:rFonts w:ascii="Arial" w:hAnsi="Arial" w:cs="Arial"/>
                <w:szCs w:val="20"/>
              </w:rPr>
              <w:t>979,511</w:t>
            </w:r>
            <w:r>
              <w:rPr>
                <w:rFonts w:ascii="Arial" w:hAnsi="Arial" w:cs="Arial"/>
                <w:szCs w:val="20"/>
              </w:rPr>
              <w:t>)</w:t>
            </w:r>
          </w:p>
        </w:tc>
        <w:tc>
          <w:tcPr>
            <w:tcW w:w="1350" w:type="dxa"/>
            <w:gridSpan w:val="2"/>
            <w:vAlign w:val="bottom"/>
          </w:tcPr>
          <w:p w14:paraId="7C2F14F8" w14:textId="08C8D625" w:rsidR="00882382" w:rsidRPr="009D54BC" w:rsidRDefault="00681427" w:rsidP="00F07391">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B21C1E">
              <w:rPr>
                <w:rFonts w:ascii="Arial" w:hAnsi="Arial" w:cs="Arial"/>
                <w:szCs w:val="20"/>
              </w:rPr>
              <w:t>82,425</w:t>
            </w:r>
            <w:r>
              <w:rPr>
                <w:rFonts w:ascii="Arial" w:hAnsi="Arial" w:cs="Arial"/>
                <w:szCs w:val="20"/>
              </w:rPr>
              <w:t>)</w:t>
            </w:r>
          </w:p>
        </w:tc>
      </w:tr>
      <w:tr w:rsidR="001135F5" w:rsidRPr="009D54BC" w14:paraId="637AFE9A" w14:textId="77777777" w:rsidTr="00562405">
        <w:tc>
          <w:tcPr>
            <w:tcW w:w="6832" w:type="dxa"/>
            <w:vAlign w:val="bottom"/>
          </w:tcPr>
          <w:p w14:paraId="021D31CA" w14:textId="6E8C2F29" w:rsidR="001135F5" w:rsidRPr="009D54BC" w:rsidRDefault="0045782B" w:rsidP="00562405">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rPr>
              <w:t>Prepaid i</w:t>
            </w:r>
            <w:r w:rsidR="001135F5">
              <w:rPr>
                <w:rFonts w:ascii="Arial" w:hAnsi="Arial" w:cs="Arial"/>
              </w:rPr>
              <w:t>nventory</w:t>
            </w:r>
          </w:p>
        </w:tc>
        <w:tc>
          <w:tcPr>
            <w:tcW w:w="1350" w:type="dxa"/>
            <w:vAlign w:val="bottom"/>
          </w:tcPr>
          <w:p w14:paraId="350BB779" w14:textId="02A3B9ED" w:rsidR="001135F5" w:rsidRPr="009D54BC" w:rsidRDefault="009123B0" w:rsidP="0056240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1E7D46">
              <w:rPr>
                <w:rFonts w:ascii="Arial" w:hAnsi="Arial" w:cs="Arial"/>
                <w:szCs w:val="20"/>
              </w:rPr>
              <w:t>480,480</w:t>
            </w:r>
            <w:r>
              <w:rPr>
                <w:rFonts w:ascii="Arial" w:hAnsi="Arial" w:cs="Arial"/>
                <w:szCs w:val="20"/>
              </w:rPr>
              <w:t>)</w:t>
            </w:r>
          </w:p>
        </w:tc>
        <w:tc>
          <w:tcPr>
            <w:tcW w:w="1350" w:type="dxa"/>
            <w:gridSpan w:val="2"/>
            <w:vAlign w:val="bottom"/>
          </w:tcPr>
          <w:p w14:paraId="1D8A736E" w14:textId="488007D1" w:rsidR="001135F5" w:rsidRPr="009D54BC" w:rsidRDefault="00B21C1E" w:rsidP="0056240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(8,794)</w:t>
            </w:r>
          </w:p>
        </w:tc>
      </w:tr>
      <w:tr w:rsidR="001135F5" w:rsidRPr="009D54BC" w14:paraId="76E6DB07" w14:textId="77777777" w:rsidTr="00562405">
        <w:tc>
          <w:tcPr>
            <w:tcW w:w="6832" w:type="dxa"/>
            <w:vAlign w:val="bottom"/>
          </w:tcPr>
          <w:p w14:paraId="0DF31C7C" w14:textId="77777777" w:rsidR="001135F5" w:rsidRPr="009D54BC" w:rsidRDefault="001135F5" w:rsidP="00562405">
            <w:pPr>
              <w:tabs>
                <w:tab w:val="left" w:pos="7272"/>
                <w:tab w:val="decimal" w:pos="8136"/>
                <w:tab w:val="left" w:pos="8496"/>
                <w:tab w:val="decimal" w:pos="9360"/>
              </w:tabs>
              <w:spacing w:after="0" w:line="240" w:lineRule="auto"/>
              <w:ind w:left="144"/>
              <w:rPr>
                <w:rFonts w:ascii="Arial" w:hAnsi="Arial" w:cs="Arial"/>
                <w:szCs w:val="20"/>
              </w:rPr>
            </w:pPr>
            <w:r w:rsidRPr="009D54BC">
              <w:rPr>
                <w:rFonts w:ascii="Arial" w:hAnsi="Arial" w:cs="Arial"/>
                <w:szCs w:val="20"/>
              </w:rPr>
              <w:t>Accounts payable and accrued liabilities</w:t>
            </w:r>
          </w:p>
        </w:tc>
        <w:tc>
          <w:tcPr>
            <w:tcW w:w="1350" w:type="dxa"/>
            <w:vAlign w:val="bottom"/>
          </w:tcPr>
          <w:p w14:paraId="429868E9" w14:textId="3C93D86F" w:rsidR="001135F5" w:rsidRPr="009D54BC" w:rsidRDefault="009123B0" w:rsidP="00871308">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(252,935)</w:t>
            </w:r>
          </w:p>
        </w:tc>
        <w:tc>
          <w:tcPr>
            <w:tcW w:w="1350" w:type="dxa"/>
            <w:gridSpan w:val="2"/>
            <w:vAlign w:val="bottom"/>
          </w:tcPr>
          <w:p w14:paraId="6BFD7E65" w14:textId="760A11D3" w:rsidR="001135F5" w:rsidRPr="009D54BC" w:rsidRDefault="00B21C1E" w:rsidP="0037662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170,571</w:t>
            </w:r>
          </w:p>
        </w:tc>
      </w:tr>
      <w:tr w:rsidR="00894AEA" w:rsidRPr="009D54BC" w14:paraId="0D10EA4B" w14:textId="77777777" w:rsidTr="00C36440">
        <w:tc>
          <w:tcPr>
            <w:tcW w:w="6832" w:type="dxa"/>
            <w:vAlign w:val="bottom"/>
          </w:tcPr>
          <w:p w14:paraId="5893CE94" w14:textId="6E9CE0C5" w:rsidR="00894AEA" w:rsidRPr="009D54BC" w:rsidRDefault="00882382" w:rsidP="00894AEA">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rPr>
              <w:t>Due to related parties</w:t>
            </w:r>
          </w:p>
        </w:tc>
        <w:tc>
          <w:tcPr>
            <w:tcW w:w="1350" w:type="dxa"/>
            <w:vAlign w:val="bottom"/>
          </w:tcPr>
          <w:p w14:paraId="3968DB0F" w14:textId="2AB1752E" w:rsidR="00894AEA" w:rsidRPr="009D54BC" w:rsidRDefault="009123B0" w:rsidP="00871308">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(321,073)</w:t>
            </w:r>
          </w:p>
        </w:tc>
        <w:tc>
          <w:tcPr>
            <w:tcW w:w="1350" w:type="dxa"/>
            <w:gridSpan w:val="2"/>
            <w:vAlign w:val="bottom"/>
          </w:tcPr>
          <w:p w14:paraId="06A89962" w14:textId="04038C43" w:rsidR="00894AEA" w:rsidRPr="009D54BC" w:rsidRDefault="00681427"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B21C1E">
              <w:rPr>
                <w:rFonts w:ascii="Arial" w:hAnsi="Arial" w:cs="Arial"/>
                <w:szCs w:val="20"/>
              </w:rPr>
              <w:t>8,145</w:t>
            </w:r>
            <w:r>
              <w:rPr>
                <w:rFonts w:ascii="Arial" w:hAnsi="Arial" w:cs="Arial"/>
                <w:szCs w:val="20"/>
              </w:rPr>
              <w:t>)</w:t>
            </w:r>
          </w:p>
        </w:tc>
      </w:tr>
      <w:tr w:rsidR="00D57F4E" w:rsidRPr="009D54BC" w14:paraId="12240760" w14:textId="77777777" w:rsidTr="00C36440">
        <w:tc>
          <w:tcPr>
            <w:tcW w:w="6832" w:type="dxa"/>
            <w:vAlign w:val="bottom"/>
          </w:tcPr>
          <w:p w14:paraId="23A78BCE" w14:textId="358F45F7" w:rsidR="00D57F4E" w:rsidRPr="009D54BC" w:rsidRDefault="008A54C4" w:rsidP="00894AEA">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Deferred revenue</w:t>
            </w:r>
          </w:p>
        </w:tc>
        <w:tc>
          <w:tcPr>
            <w:tcW w:w="1350" w:type="dxa"/>
            <w:vAlign w:val="bottom"/>
          </w:tcPr>
          <w:p w14:paraId="6DAB13A2" w14:textId="3F2E6ED6" w:rsidR="00D57F4E" w:rsidRDefault="009123B0" w:rsidP="00D57F4E">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(159,348)</w:t>
            </w:r>
          </w:p>
        </w:tc>
        <w:tc>
          <w:tcPr>
            <w:tcW w:w="1350" w:type="dxa"/>
            <w:gridSpan w:val="2"/>
            <w:vAlign w:val="bottom"/>
          </w:tcPr>
          <w:p w14:paraId="571D17B9" w14:textId="71EAF5DC" w:rsidR="00D57F4E" w:rsidRDefault="00B21C1E"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155,300</w:t>
            </w:r>
          </w:p>
        </w:tc>
      </w:tr>
      <w:tr w:rsidR="00E61C78" w:rsidRPr="009D54BC" w14:paraId="1DDD1532" w14:textId="77777777" w:rsidTr="00C36440">
        <w:tc>
          <w:tcPr>
            <w:tcW w:w="6832" w:type="dxa"/>
            <w:vAlign w:val="bottom"/>
          </w:tcPr>
          <w:p w14:paraId="6897D1F0" w14:textId="45A3C23E" w:rsidR="00E61C78" w:rsidRDefault="00E61C78" w:rsidP="00894AEA">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Provision</w:t>
            </w:r>
          </w:p>
        </w:tc>
        <w:tc>
          <w:tcPr>
            <w:tcW w:w="1350" w:type="dxa"/>
            <w:vAlign w:val="bottom"/>
          </w:tcPr>
          <w:p w14:paraId="235DD2B5" w14:textId="6C5B3262" w:rsidR="00E61C78" w:rsidRDefault="00E61C78" w:rsidP="00D57F4E">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263,200</w:t>
            </w:r>
          </w:p>
        </w:tc>
        <w:tc>
          <w:tcPr>
            <w:tcW w:w="1350" w:type="dxa"/>
            <w:gridSpan w:val="2"/>
            <w:vAlign w:val="bottom"/>
          </w:tcPr>
          <w:p w14:paraId="61694085" w14:textId="0F1D8837" w:rsidR="00E61C78" w:rsidRDefault="00E61C78" w:rsidP="00894AEA">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r>
      <w:tr w:rsidR="00894AEA" w:rsidRPr="009D54BC" w14:paraId="1F367E34" w14:textId="77777777" w:rsidTr="00C36440">
        <w:trPr>
          <w:trHeight w:hRule="exact" w:val="91"/>
        </w:trPr>
        <w:tc>
          <w:tcPr>
            <w:tcW w:w="6832" w:type="dxa"/>
            <w:tcBorders>
              <w:top w:val="single" w:sz="4" w:space="0" w:color="auto"/>
            </w:tcBorders>
            <w:vAlign w:val="bottom"/>
          </w:tcPr>
          <w:p w14:paraId="145838BD"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178565C8"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739E6931"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94AEA" w:rsidRPr="009D54BC" w14:paraId="2E15899F" w14:textId="77777777" w:rsidTr="00C36440">
        <w:tc>
          <w:tcPr>
            <w:tcW w:w="6832" w:type="dxa"/>
            <w:tcBorders>
              <w:bottom w:val="single" w:sz="4" w:space="0" w:color="auto"/>
            </w:tcBorders>
            <w:vAlign w:val="bottom"/>
          </w:tcPr>
          <w:p w14:paraId="08945F0B"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Net cash used in operating activities</w:t>
            </w:r>
          </w:p>
        </w:tc>
        <w:tc>
          <w:tcPr>
            <w:tcW w:w="1350" w:type="dxa"/>
            <w:tcBorders>
              <w:bottom w:val="single" w:sz="4" w:space="0" w:color="auto"/>
            </w:tcBorders>
            <w:vAlign w:val="bottom"/>
          </w:tcPr>
          <w:p w14:paraId="3F0EEDC8" w14:textId="6BB74382" w:rsidR="00894AEA" w:rsidRPr="009D54BC" w:rsidRDefault="009123B0" w:rsidP="00871308">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(6,462,47</w:t>
            </w:r>
            <w:r w:rsidR="00CA4E31">
              <w:rPr>
                <w:rFonts w:ascii="Arial" w:hAnsi="Arial" w:cs="Arial"/>
                <w:szCs w:val="20"/>
              </w:rPr>
              <w:t>3</w:t>
            </w:r>
            <w:r>
              <w:rPr>
                <w:rFonts w:ascii="Arial" w:hAnsi="Arial" w:cs="Arial"/>
                <w:szCs w:val="20"/>
              </w:rPr>
              <w:t>)</w:t>
            </w:r>
          </w:p>
        </w:tc>
        <w:tc>
          <w:tcPr>
            <w:tcW w:w="1350" w:type="dxa"/>
            <w:gridSpan w:val="2"/>
            <w:tcBorders>
              <w:bottom w:val="single" w:sz="4" w:space="0" w:color="auto"/>
            </w:tcBorders>
            <w:vAlign w:val="bottom"/>
          </w:tcPr>
          <w:p w14:paraId="3AC4E1C1" w14:textId="79577659" w:rsidR="00894AEA" w:rsidRPr="009D54BC" w:rsidRDefault="00894AEA" w:rsidP="00D31233">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r w:rsidR="00B21C1E">
              <w:rPr>
                <w:rFonts w:ascii="Arial" w:hAnsi="Arial" w:cs="Arial"/>
                <w:szCs w:val="20"/>
              </w:rPr>
              <w:t>4,</w:t>
            </w:r>
            <w:r w:rsidR="00CE5E98">
              <w:rPr>
                <w:rFonts w:ascii="Arial" w:hAnsi="Arial" w:cs="Arial"/>
                <w:szCs w:val="20"/>
              </w:rPr>
              <w:t>257,557</w:t>
            </w:r>
            <w:r w:rsidRPr="009D54BC">
              <w:rPr>
                <w:rFonts w:ascii="Arial" w:hAnsi="Arial" w:cs="Arial"/>
                <w:szCs w:val="20"/>
              </w:rPr>
              <w:t>)</w:t>
            </w:r>
          </w:p>
        </w:tc>
      </w:tr>
      <w:tr w:rsidR="008A54C4" w:rsidRPr="009D54BC" w14:paraId="58DD96C4" w14:textId="77777777" w:rsidTr="00EA1905">
        <w:trPr>
          <w:trHeight w:hRule="exact" w:val="91"/>
        </w:trPr>
        <w:tc>
          <w:tcPr>
            <w:tcW w:w="6832" w:type="dxa"/>
            <w:tcBorders>
              <w:top w:val="single" w:sz="4" w:space="0" w:color="auto"/>
            </w:tcBorders>
            <w:vAlign w:val="bottom"/>
          </w:tcPr>
          <w:p w14:paraId="49E89C66" w14:textId="77777777" w:rsidR="008A54C4" w:rsidRPr="009D54BC" w:rsidRDefault="008A54C4" w:rsidP="00EA1905">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7BC4DA94" w14:textId="77777777"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4A0264B0" w14:textId="77777777"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p>
        </w:tc>
      </w:tr>
      <w:tr w:rsidR="008A54C4" w:rsidRPr="009D54BC" w14:paraId="31051372" w14:textId="77777777" w:rsidTr="00EA1905">
        <w:tc>
          <w:tcPr>
            <w:tcW w:w="6832" w:type="dxa"/>
            <w:vAlign w:val="bottom"/>
          </w:tcPr>
          <w:p w14:paraId="47EDCD72" w14:textId="07ABE6A7" w:rsidR="008A54C4" w:rsidRPr="009D54BC" w:rsidRDefault="008A54C4" w:rsidP="00EA1905">
            <w:pPr>
              <w:tabs>
                <w:tab w:val="left" w:pos="7272"/>
                <w:tab w:val="decimal" w:pos="8136"/>
                <w:tab w:val="left" w:pos="8496"/>
                <w:tab w:val="decimal" w:pos="9360"/>
              </w:tabs>
              <w:spacing w:after="0" w:line="240" w:lineRule="auto"/>
              <w:rPr>
                <w:rFonts w:ascii="Arial" w:hAnsi="Arial" w:cs="Arial"/>
                <w:szCs w:val="20"/>
              </w:rPr>
            </w:pPr>
            <w:r>
              <w:rPr>
                <w:rFonts w:ascii="Arial" w:hAnsi="Arial" w:cs="Arial"/>
                <w:szCs w:val="20"/>
              </w:rPr>
              <w:t>Investing</w:t>
            </w:r>
            <w:r w:rsidRPr="009D54BC">
              <w:rPr>
                <w:rFonts w:ascii="Arial" w:hAnsi="Arial" w:cs="Arial"/>
                <w:szCs w:val="20"/>
              </w:rPr>
              <w:t xml:space="preserve"> activities</w:t>
            </w:r>
          </w:p>
        </w:tc>
        <w:tc>
          <w:tcPr>
            <w:tcW w:w="1350" w:type="dxa"/>
            <w:vAlign w:val="bottom"/>
          </w:tcPr>
          <w:p w14:paraId="08EF6C01" w14:textId="77777777"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vAlign w:val="bottom"/>
          </w:tcPr>
          <w:p w14:paraId="640F10D1" w14:textId="77777777"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p>
        </w:tc>
      </w:tr>
      <w:tr w:rsidR="008A54C4" w:rsidRPr="009D54BC" w14:paraId="0FBB8E52" w14:textId="77777777" w:rsidTr="00EA1905">
        <w:tc>
          <w:tcPr>
            <w:tcW w:w="6832" w:type="dxa"/>
            <w:vAlign w:val="bottom"/>
          </w:tcPr>
          <w:p w14:paraId="2AC7B702" w14:textId="3DF1882A" w:rsidR="008A54C4" w:rsidRPr="009D54BC" w:rsidRDefault="008A54C4" w:rsidP="00EA1905">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Cash acquired through acquisition</w:t>
            </w:r>
          </w:p>
        </w:tc>
        <w:tc>
          <w:tcPr>
            <w:tcW w:w="1350" w:type="dxa"/>
            <w:vAlign w:val="bottom"/>
          </w:tcPr>
          <w:p w14:paraId="4AC4A337" w14:textId="40AC4D97" w:rsidR="008A54C4" w:rsidRPr="009D54BC" w:rsidRDefault="0024523C" w:rsidP="00EA1905">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c>
          <w:tcPr>
            <w:tcW w:w="1350" w:type="dxa"/>
            <w:gridSpan w:val="2"/>
            <w:vAlign w:val="bottom"/>
          </w:tcPr>
          <w:p w14:paraId="74B64680" w14:textId="5CB10CC2"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2,779</w:t>
            </w:r>
          </w:p>
        </w:tc>
      </w:tr>
      <w:tr w:rsidR="008A54C4" w:rsidRPr="009D54BC" w14:paraId="71D85CBC" w14:textId="77777777" w:rsidTr="00EA1905">
        <w:tc>
          <w:tcPr>
            <w:tcW w:w="6832" w:type="dxa"/>
            <w:vAlign w:val="bottom"/>
          </w:tcPr>
          <w:p w14:paraId="2569C0DA" w14:textId="07861C87" w:rsidR="008A54C4" w:rsidRPr="009D54BC" w:rsidRDefault="008A54C4" w:rsidP="00EA1905">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Purchase of intangible assets</w:t>
            </w:r>
          </w:p>
        </w:tc>
        <w:tc>
          <w:tcPr>
            <w:tcW w:w="1350" w:type="dxa"/>
            <w:vAlign w:val="bottom"/>
          </w:tcPr>
          <w:p w14:paraId="651824F7" w14:textId="44C09CFB" w:rsidR="008A54C4" w:rsidRPr="009D54BC" w:rsidRDefault="001135F5" w:rsidP="00EA190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(432,923)</w:t>
            </w:r>
          </w:p>
        </w:tc>
        <w:tc>
          <w:tcPr>
            <w:tcW w:w="1350" w:type="dxa"/>
            <w:gridSpan w:val="2"/>
            <w:vAlign w:val="bottom"/>
          </w:tcPr>
          <w:p w14:paraId="6A4EF34A" w14:textId="22219351"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B21C1E">
              <w:rPr>
                <w:rFonts w:ascii="Arial" w:hAnsi="Arial" w:cs="Arial"/>
                <w:szCs w:val="20"/>
              </w:rPr>
              <w:t>847,161</w:t>
            </w:r>
            <w:r>
              <w:rPr>
                <w:rFonts w:ascii="Arial" w:hAnsi="Arial" w:cs="Arial"/>
                <w:szCs w:val="20"/>
              </w:rPr>
              <w:t>)</w:t>
            </w:r>
          </w:p>
        </w:tc>
      </w:tr>
      <w:tr w:rsidR="009123B0" w:rsidRPr="009D54BC" w14:paraId="4C8A3DDC" w14:textId="77777777" w:rsidTr="00EA1905">
        <w:tc>
          <w:tcPr>
            <w:tcW w:w="6832" w:type="dxa"/>
            <w:vAlign w:val="bottom"/>
          </w:tcPr>
          <w:p w14:paraId="1DEDBAB3" w14:textId="417AB318" w:rsidR="009123B0" w:rsidRDefault="009123B0" w:rsidP="00EA1905">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Loans receivable</w:t>
            </w:r>
          </w:p>
        </w:tc>
        <w:tc>
          <w:tcPr>
            <w:tcW w:w="1350" w:type="dxa"/>
            <w:vAlign w:val="bottom"/>
          </w:tcPr>
          <w:p w14:paraId="44201548" w14:textId="386DE151" w:rsidR="009123B0" w:rsidRDefault="009123B0" w:rsidP="00EA190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(219,855)</w:t>
            </w:r>
          </w:p>
        </w:tc>
        <w:tc>
          <w:tcPr>
            <w:tcW w:w="1350" w:type="dxa"/>
            <w:gridSpan w:val="2"/>
            <w:vAlign w:val="bottom"/>
          </w:tcPr>
          <w:p w14:paraId="1DDD4419" w14:textId="6A69BDDC" w:rsidR="009123B0" w:rsidRDefault="009123B0" w:rsidP="00EA1905">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r>
      <w:tr w:rsidR="008A54C4" w:rsidRPr="009D54BC" w14:paraId="0644D405" w14:textId="77777777" w:rsidTr="00EA1905">
        <w:trPr>
          <w:trHeight w:hRule="exact" w:val="91"/>
        </w:trPr>
        <w:tc>
          <w:tcPr>
            <w:tcW w:w="6832" w:type="dxa"/>
            <w:tcBorders>
              <w:top w:val="single" w:sz="4" w:space="0" w:color="auto"/>
            </w:tcBorders>
            <w:vAlign w:val="bottom"/>
          </w:tcPr>
          <w:p w14:paraId="146A85FF" w14:textId="77777777" w:rsidR="008A54C4" w:rsidRPr="009D54BC" w:rsidRDefault="008A54C4" w:rsidP="00EA1905">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55A3381D" w14:textId="77777777"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71AC9E61" w14:textId="77777777"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p>
        </w:tc>
      </w:tr>
      <w:tr w:rsidR="008A54C4" w:rsidRPr="009D54BC" w14:paraId="42EAA81A" w14:textId="77777777" w:rsidTr="00EA1905">
        <w:tc>
          <w:tcPr>
            <w:tcW w:w="6832" w:type="dxa"/>
            <w:tcBorders>
              <w:bottom w:val="single" w:sz="4" w:space="0" w:color="auto"/>
            </w:tcBorders>
            <w:vAlign w:val="bottom"/>
          </w:tcPr>
          <w:p w14:paraId="19868322" w14:textId="19988651" w:rsidR="008A54C4" w:rsidRPr="009D54BC" w:rsidRDefault="008A54C4" w:rsidP="00EA1905">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Net cash</w:t>
            </w:r>
            <w:r w:rsidR="0045782B">
              <w:rPr>
                <w:rFonts w:ascii="Arial" w:hAnsi="Arial" w:cs="Arial"/>
                <w:szCs w:val="20"/>
              </w:rPr>
              <w:t xml:space="preserve"> used in</w:t>
            </w:r>
            <w:r w:rsidRPr="009D54BC">
              <w:rPr>
                <w:rFonts w:ascii="Arial" w:hAnsi="Arial" w:cs="Arial"/>
                <w:szCs w:val="20"/>
              </w:rPr>
              <w:t xml:space="preserve"> financing activities</w:t>
            </w:r>
          </w:p>
        </w:tc>
        <w:tc>
          <w:tcPr>
            <w:tcW w:w="1350" w:type="dxa"/>
            <w:tcBorders>
              <w:bottom w:val="single" w:sz="4" w:space="0" w:color="auto"/>
            </w:tcBorders>
            <w:vAlign w:val="bottom"/>
          </w:tcPr>
          <w:p w14:paraId="5861757C" w14:textId="6DC879E9" w:rsidR="008A54C4" w:rsidRPr="009D54BC" w:rsidRDefault="001135F5" w:rsidP="00EA190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9123B0">
              <w:rPr>
                <w:rFonts w:ascii="Arial" w:hAnsi="Arial" w:cs="Arial"/>
                <w:szCs w:val="20"/>
              </w:rPr>
              <w:t>652,778</w:t>
            </w:r>
            <w:r>
              <w:rPr>
                <w:rFonts w:ascii="Arial" w:hAnsi="Arial" w:cs="Arial"/>
                <w:szCs w:val="20"/>
              </w:rPr>
              <w:t>)</w:t>
            </w:r>
          </w:p>
        </w:tc>
        <w:tc>
          <w:tcPr>
            <w:tcW w:w="1350" w:type="dxa"/>
            <w:gridSpan w:val="2"/>
            <w:tcBorders>
              <w:bottom w:val="single" w:sz="4" w:space="0" w:color="auto"/>
            </w:tcBorders>
            <w:vAlign w:val="bottom"/>
          </w:tcPr>
          <w:p w14:paraId="2DE4F07D" w14:textId="578EBA06"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B21C1E">
              <w:rPr>
                <w:rFonts w:ascii="Arial" w:hAnsi="Arial" w:cs="Arial"/>
                <w:szCs w:val="20"/>
              </w:rPr>
              <w:t>844,382</w:t>
            </w:r>
            <w:r>
              <w:rPr>
                <w:rFonts w:ascii="Arial" w:hAnsi="Arial" w:cs="Arial"/>
                <w:szCs w:val="20"/>
              </w:rPr>
              <w:t>)</w:t>
            </w:r>
          </w:p>
        </w:tc>
      </w:tr>
      <w:tr w:rsidR="00894AEA" w:rsidRPr="009D54BC" w14:paraId="6DFF43BD" w14:textId="77777777" w:rsidTr="00C36440">
        <w:trPr>
          <w:trHeight w:hRule="exact" w:val="91"/>
        </w:trPr>
        <w:tc>
          <w:tcPr>
            <w:tcW w:w="6832" w:type="dxa"/>
            <w:tcBorders>
              <w:top w:val="single" w:sz="4" w:space="0" w:color="auto"/>
            </w:tcBorders>
            <w:vAlign w:val="bottom"/>
          </w:tcPr>
          <w:p w14:paraId="0B4D70CE"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34ED52B9"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0F8B4C6A"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94AEA" w:rsidRPr="009D54BC" w14:paraId="09792DA6" w14:textId="77777777" w:rsidTr="00C36440">
        <w:tc>
          <w:tcPr>
            <w:tcW w:w="6832" w:type="dxa"/>
            <w:vAlign w:val="bottom"/>
          </w:tcPr>
          <w:p w14:paraId="74D6A391"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Financing activities</w:t>
            </w:r>
          </w:p>
        </w:tc>
        <w:tc>
          <w:tcPr>
            <w:tcW w:w="1350" w:type="dxa"/>
            <w:vAlign w:val="bottom"/>
          </w:tcPr>
          <w:p w14:paraId="694DDFE5"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vAlign w:val="bottom"/>
          </w:tcPr>
          <w:p w14:paraId="6B933585"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A54C4" w:rsidRPr="009D54BC" w14:paraId="5D085F5C" w14:textId="77777777" w:rsidTr="00EA1905">
        <w:tc>
          <w:tcPr>
            <w:tcW w:w="6832" w:type="dxa"/>
            <w:vAlign w:val="bottom"/>
          </w:tcPr>
          <w:p w14:paraId="62009408" w14:textId="1E2921CA" w:rsidR="008A54C4" w:rsidRPr="009D54BC" w:rsidRDefault="008A54C4" w:rsidP="0024523C">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 xml:space="preserve">(Repayment of) / </w:t>
            </w:r>
            <w:r w:rsidR="0024523C">
              <w:rPr>
                <w:rFonts w:ascii="Arial" w:hAnsi="Arial" w:cs="Arial"/>
                <w:szCs w:val="20"/>
              </w:rPr>
              <w:t>p</w:t>
            </w:r>
            <w:r>
              <w:rPr>
                <w:rFonts w:ascii="Arial" w:hAnsi="Arial" w:cs="Arial"/>
                <w:szCs w:val="20"/>
              </w:rPr>
              <w:t>roceeds from convertible debenture, net</w:t>
            </w:r>
          </w:p>
        </w:tc>
        <w:tc>
          <w:tcPr>
            <w:tcW w:w="1350" w:type="dxa"/>
            <w:vAlign w:val="bottom"/>
          </w:tcPr>
          <w:p w14:paraId="4B3BD474" w14:textId="22226CA5" w:rsidR="008A54C4" w:rsidRPr="009D54BC" w:rsidRDefault="001135F5" w:rsidP="00EA190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(3,250,000)</w:t>
            </w:r>
          </w:p>
        </w:tc>
        <w:tc>
          <w:tcPr>
            <w:tcW w:w="1350" w:type="dxa"/>
            <w:gridSpan w:val="2"/>
            <w:vAlign w:val="bottom"/>
          </w:tcPr>
          <w:p w14:paraId="51524AB2" w14:textId="4064962E" w:rsidR="008A54C4" w:rsidRPr="009D54BC" w:rsidRDefault="0024523C" w:rsidP="0037662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4,</w:t>
            </w:r>
            <w:r w:rsidR="0037662D">
              <w:rPr>
                <w:rFonts w:ascii="Arial" w:hAnsi="Arial" w:cs="Arial"/>
                <w:szCs w:val="20"/>
              </w:rPr>
              <w:t>559,206</w:t>
            </w:r>
          </w:p>
        </w:tc>
      </w:tr>
      <w:tr w:rsidR="00894AEA" w:rsidRPr="009D54BC" w14:paraId="2A663576" w14:textId="77777777" w:rsidTr="00C36440">
        <w:tc>
          <w:tcPr>
            <w:tcW w:w="6832" w:type="dxa"/>
            <w:vAlign w:val="bottom"/>
          </w:tcPr>
          <w:p w14:paraId="08D8F660" w14:textId="0A65928F" w:rsidR="00894AEA" w:rsidRPr="009D54BC" w:rsidRDefault="0024523C" w:rsidP="00894AEA">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Payment for debt modification</w:t>
            </w:r>
          </w:p>
        </w:tc>
        <w:tc>
          <w:tcPr>
            <w:tcW w:w="1350" w:type="dxa"/>
            <w:vAlign w:val="bottom"/>
          </w:tcPr>
          <w:p w14:paraId="067075C7" w14:textId="435FBE2B" w:rsidR="00894AEA" w:rsidRPr="009D54BC" w:rsidRDefault="001135F5"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(250,000)</w:t>
            </w:r>
          </w:p>
        </w:tc>
        <w:tc>
          <w:tcPr>
            <w:tcW w:w="1350" w:type="dxa"/>
            <w:gridSpan w:val="2"/>
            <w:vAlign w:val="bottom"/>
          </w:tcPr>
          <w:p w14:paraId="23630FE9"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r>
      <w:tr w:rsidR="0024523C" w:rsidRPr="009D54BC" w14:paraId="291EE192" w14:textId="77777777" w:rsidTr="00C36440">
        <w:tc>
          <w:tcPr>
            <w:tcW w:w="6832" w:type="dxa"/>
            <w:vAlign w:val="bottom"/>
          </w:tcPr>
          <w:p w14:paraId="6669703D" w14:textId="7810AB70" w:rsidR="0024523C" w:rsidRPr="009D54BC" w:rsidRDefault="0024523C" w:rsidP="00894AEA">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 xml:space="preserve">Proceeds from issuance of </w:t>
            </w:r>
            <w:r w:rsidR="0045782B">
              <w:rPr>
                <w:rFonts w:ascii="Arial" w:hAnsi="Arial" w:cs="Arial"/>
                <w:szCs w:val="20"/>
              </w:rPr>
              <w:t>common shares and warrants</w:t>
            </w:r>
            <w:r w:rsidR="00F07391">
              <w:rPr>
                <w:rFonts w:ascii="Arial" w:hAnsi="Arial" w:cs="Arial"/>
                <w:szCs w:val="20"/>
              </w:rPr>
              <w:t>, net</w:t>
            </w:r>
          </w:p>
        </w:tc>
        <w:tc>
          <w:tcPr>
            <w:tcW w:w="1350" w:type="dxa"/>
            <w:vAlign w:val="bottom"/>
          </w:tcPr>
          <w:p w14:paraId="7603C380" w14:textId="4B0F459F" w:rsidR="0024523C" w:rsidRDefault="001135F5"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16,310,000</w:t>
            </w:r>
          </w:p>
        </w:tc>
        <w:tc>
          <w:tcPr>
            <w:tcW w:w="1350" w:type="dxa"/>
            <w:gridSpan w:val="2"/>
            <w:vAlign w:val="bottom"/>
          </w:tcPr>
          <w:p w14:paraId="0970028F" w14:textId="41FF2917" w:rsidR="0024523C" w:rsidRPr="009D54BC" w:rsidRDefault="00B21C1E"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1,263,315</w:t>
            </w:r>
          </w:p>
        </w:tc>
      </w:tr>
      <w:tr w:rsidR="00882382" w:rsidRPr="009D54BC" w14:paraId="5EF7C6BC" w14:textId="77777777" w:rsidTr="00C36440">
        <w:tc>
          <w:tcPr>
            <w:tcW w:w="6832" w:type="dxa"/>
            <w:vAlign w:val="bottom"/>
          </w:tcPr>
          <w:p w14:paraId="61175CE4" w14:textId="09A88C3D" w:rsidR="00882382" w:rsidRPr="009D54BC" w:rsidRDefault="001135F5" w:rsidP="001135F5">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R</w:t>
            </w:r>
            <w:r w:rsidR="0024523C">
              <w:rPr>
                <w:rFonts w:ascii="Arial" w:hAnsi="Arial" w:cs="Arial"/>
                <w:szCs w:val="20"/>
              </w:rPr>
              <w:t>epayment of promissory note</w:t>
            </w:r>
          </w:p>
        </w:tc>
        <w:tc>
          <w:tcPr>
            <w:tcW w:w="1350" w:type="dxa"/>
            <w:vAlign w:val="bottom"/>
          </w:tcPr>
          <w:p w14:paraId="585380B3" w14:textId="684682DE" w:rsidR="00882382" w:rsidRPr="009D54BC" w:rsidRDefault="001135F5"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(24,000)</w:t>
            </w:r>
          </w:p>
        </w:tc>
        <w:tc>
          <w:tcPr>
            <w:tcW w:w="1350" w:type="dxa"/>
            <w:gridSpan w:val="2"/>
            <w:vAlign w:val="bottom"/>
          </w:tcPr>
          <w:p w14:paraId="167D461F" w14:textId="2980185E" w:rsidR="00882382" w:rsidRPr="009D54BC" w:rsidRDefault="0024523C" w:rsidP="0024523C">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(247,305)</w:t>
            </w:r>
          </w:p>
        </w:tc>
      </w:tr>
      <w:tr w:rsidR="00894AEA" w:rsidRPr="009D54BC" w14:paraId="78A3C7F7" w14:textId="77777777" w:rsidTr="00C36440">
        <w:tc>
          <w:tcPr>
            <w:tcW w:w="6832" w:type="dxa"/>
            <w:vAlign w:val="bottom"/>
          </w:tcPr>
          <w:p w14:paraId="2E1DC536" w14:textId="1EDB76C4" w:rsidR="00894AEA" w:rsidRPr="009D54BC" w:rsidRDefault="0024523C" w:rsidP="00894AEA">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Repayment of loan payable</w:t>
            </w:r>
          </w:p>
        </w:tc>
        <w:tc>
          <w:tcPr>
            <w:tcW w:w="1350" w:type="dxa"/>
            <w:vAlign w:val="bottom"/>
          </w:tcPr>
          <w:p w14:paraId="47237E2F" w14:textId="191D83D3" w:rsidR="00894AEA" w:rsidRPr="009D54BC" w:rsidRDefault="00882382" w:rsidP="00894AEA">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c>
          <w:tcPr>
            <w:tcW w:w="1350" w:type="dxa"/>
            <w:gridSpan w:val="2"/>
            <w:vAlign w:val="bottom"/>
          </w:tcPr>
          <w:p w14:paraId="37ACBB8C" w14:textId="42DB480A" w:rsidR="00894AEA" w:rsidRPr="009D54BC" w:rsidRDefault="0024523C" w:rsidP="0037662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37662D">
              <w:rPr>
                <w:rFonts w:ascii="Arial" w:hAnsi="Arial" w:cs="Arial"/>
                <w:szCs w:val="20"/>
              </w:rPr>
              <w:t>20,540</w:t>
            </w:r>
            <w:r>
              <w:rPr>
                <w:rFonts w:ascii="Arial" w:hAnsi="Arial" w:cs="Arial"/>
                <w:szCs w:val="20"/>
              </w:rPr>
              <w:t>)</w:t>
            </w:r>
          </w:p>
        </w:tc>
      </w:tr>
      <w:tr w:rsidR="00894AEA" w:rsidRPr="009D54BC" w14:paraId="1B9942EE" w14:textId="77777777" w:rsidTr="00C36440">
        <w:trPr>
          <w:trHeight w:hRule="exact" w:val="91"/>
        </w:trPr>
        <w:tc>
          <w:tcPr>
            <w:tcW w:w="6832" w:type="dxa"/>
            <w:tcBorders>
              <w:top w:val="single" w:sz="4" w:space="0" w:color="auto"/>
            </w:tcBorders>
            <w:vAlign w:val="bottom"/>
          </w:tcPr>
          <w:p w14:paraId="696ACB96"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411134E7"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4C27529E"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94AEA" w:rsidRPr="009D54BC" w14:paraId="644E7D05" w14:textId="77777777" w:rsidTr="00C36440">
        <w:tc>
          <w:tcPr>
            <w:tcW w:w="6832" w:type="dxa"/>
            <w:tcBorders>
              <w:bottom w:val="single" w:sz="4" w:space="0" w:color="auto"/>
            </w:tcBorders>
            <w:vAlign w:val="bottom"/>
          </w:tcPr>
          <w:p w14:paraId="61A95B88"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Net cash provided by financing activities</w:t>
            </w:r>
          </w:p>
        </w:tc>
        <w:tc>
          <w:tcPr>
            <w:tcW w:w="1350" w:type="dxa"/>
            <w:tcBorders>
              <w:bottom w:val="single" w:sz="4" w:space="0" w:color="auto"/>
            </w:tcBorders>
            <w:vAlign w:val="bottom"/>
          </w:tcPr>
          <w:p w14:paraId="39295DA7" w14:textId="52F0FD88" w:rsidR="00894AEA" w:rsidRPr="009D54BC" w:rsidRDefault="001135F5" w:rsidP="00871308">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12,</w:t>
            </w:r>
            <w:r w:rsidR="00871308">
              <w:rPr>
                <w:rFonts w:ascii="Arial" w:hAnsi="Arial" w:cs="Arial"/>
                <w:szCs w:val="20"/>
              </w:rPr>
              <w:t>786,000</w:t>
            </w:r>
          </w:p>
        </w:tc>
        <w:tc>
          <w:tcPr>
            <w:tcW w:w="1350" w:type="dxa"/>
            <w:gridSpan w:val="2"/>
            <w:tcBorders>
              <w:bottom w:val="single" w:sz="4" w:space="0" w:color="auto"/>
            </w:tcBorders>
            <w:vAlign w:val="bottom"/>
          </w:tcPr>
          <w:p w14:paraId="02FAA311" w14:textId="6731F104" w:rsidR="00894AEA" w:rsidRPr="009D54BC" w:rsidRDefault="00B21C1E" w:rsidP="0037662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5,554,606</w:t>
            </w:r>
          </w:p>
        </w:tc>
      </w:tr>
      <w:tr w:rsidR="00894AEA" w:rsidRPr="009D54BC" w14:paraId="5858DCD6" w14:textId="77777777" w:rsidTr="00C36440">
        <w:trPr>
          <w:trHeight w:hRule="exact" w:val="91"/>
        </w:trPr>
        <w:tc>
          <w:tcPr>
            <w:tcW w:w="6832" w:type="dxa"/>
            <w:tcBorders>
              <w:top w:val="single" w:sz="4" w:space="0" w:color="auto"/>
            </w:tcBorders>
            <w:vAlign w:val="bottom"/>
          </w:tcPr>
          <w:p w14:paraId="321F0B5A"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6C0340B4"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53D61E65"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94AEA" w:rsidRPr="009D54BC" w14:paraId="614A07AF" w14:textId="77777777" w:rsidTr="00C36440">
        <w:tc>
          <w:tcPr>
            <w:tcW w:w="6832" w:type="dxa"/>
            <w:tcBorders>
              <w:bottom w:val="single" w:sz="2" w:space="0" w:color="auto"/>
            </w:tcBorders>
            <w:vAlign w:val="bottom"/>
          </w:tcPr>
          <w:p w14:paraId="641CD6E8"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Pr>
                <w:rFonts w:ascii="Arial" w:hAnsi="Arial" w:cs="Arial"/>
                <w:szCs w:val="20"/>
              </w:rPr>
              <w:t>Effects of exchange rate changes on cash</w:t>
            </w:r>
            <w:r w:rsidRPr="009D54BC">
              <w:rPr>
                <w:rFonts w:ascii="Arial" w:hAnsi="Arial" w:cs="Arial"/>
                <w:szCs w:val="20"/>
              </w:rPr>
              <w:t xml:space="preserve"> </w:t>
            </w:r>
          </w:p>
        </w:tc>
        <w:tc>
          <w:tcPr>
            <w:tcW w:w="1350" w:type="dxa"/>
            <w:tcBorders>
              <w:bottom w:val="single" w:sz="2" w:space="0" w:color="auto"/>
            </w:tcBorders>
            <w:vAlign w:val="bottom"/>
          </w:tcPr>
          <w:p w14:paraId="416D61F7" w14:textId="23DA1F78" w:rsidR="00894AEA" w:rsidRPr="009D54BC" w:rsidRDefault="009123B0" w:rsidP="00EE7727">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5,42</w:t>
            </w:r>
            <w:r w:rsidR="00CA4E31">
              <w:rPr>
                <w:rFonts w:ascii="Arial" w:hAnsi="Arial" w:cs="Arial"/>
                <w:szCs w:val="20"/>
              </w:rPr>
              <w:t>5</w:t>
            </w:r>
          </w:p>
        </w:tc>
        <w:tc>
          <w:tcPr>
            <w:tcW w:w="1350" w:type="dxa"/>
            <w:gridSpan w:val="2"/>
            <w:tcBorders>
              <w:bottom w:val="single" w:sz="2" w:space="0" w:color="auto"/>
            </w:tcBorders>
            <w:vAlign w:val="bottom"/>
          </w:tcPr>
          <w:p w14:paraId="1C5418D9" w14:textId="4A113FA3" w:rsidR="00894AEA" w:rsidRPr="009D54BC" w:rsidRDefault="00CE5E98" w:rsidP="00D31233">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2,778</w:t>
            </w:r>
          </w:p>
        </w:tc>
      </w:tr>
      <w:tr w:rsidR="00894AEA" w:rsidRPr="009D54BC" w14:paraId="7ACAA330" w14:textId="77777777" w:rsidTr="00C36440">
        <w:trPr>
          <w:trHeight w:hRule="exact" w:val="91"/>
        </w:trPr>
        <w:tc>
          <w:tcPr>
            <w:tcW w:w="6832" w:type="dxa"/>
            <w:tcBorders>
              <w:top w:val="single" w:sz="2" w:space="0" w:color="auto"/>
            </w:tcBorders>
            <w:vAlign w:val="bottom"/>
          </w:tcPr>
          <w:p w14:paraId="7015B005"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2" w:space="0" w:color="auto"/>
            </w:tcBorders>
            <w:vAlign w:val="bottom"/>
          </w:tcPr>
          <w:p w14:paraId="0B0E9BCB"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2" w:space="0" w:color="auto"/>
            </w:tcBorders>
            <w:vAlign w:val="bottom"/>
          </w:tcPr>
          <w:p w14:paraId="4A7B647B"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94AEA" w:rsidRPr="009D54BC" w14:paraId="04A94BD5" w14:textId="77777777" w:rsidTr="00C36440">
        <w:tc>
          <w:tcPr>
            <w:tcW w:w="6832" w:type="dxa"/>
            <w:vAlign w:val="bottom"/>
          </w:tcPr>
          <w:p w14:paraId="4AE366D7" w14:textId="2939B7E3" w:rsidR="00894AEA" w:rsidRPr="009D54BC" w:rsidRDefault="00D57F4E" w:rsidP="00894AEA">
            <w:pPr>
              <w:tabs>
                <w:tab w:val="left" w:pos="7272"/>
                <w:tab w:val="decimal" w:pos="8136"/>
                <w:tab w:val="left" w:pos="8496"/>
                <w:tab w:val="decimal" w:pos="9360"/>
              </w:tabs>
              <w:spacing w:after="0" w:line="240" w:lineRule="auto"/>
              <w:rPr>
                <w:rFonts w:ascii="Arial" w:hAnsi="Arial" w:cs="Arial"/>
                <w:szCs w:val="20"/>
              </w:rPr>
            </w:pPr>
            <w:r>
              <w:rPr>
                <w:rFonts w:ascii="Arial" w:hAnsi="Arial" w:cs="Arial"/>
                <w:szCs w:val="20"/>
              </w:rPr>
              <w:t>Net change</w:t>
            </w:r>
            <w:r w:rsidR="00894AEA" w:rsidRPr="009D54BC">
              <w:rPr>
                <w:rFonts w:ascii="Arial" w:hAnsi="Arial" w:cs="Arial"/>
                <w:szCs w:val="20"/>
              </w:rPr>
              <w:t xml:space="preserve"> in cash </w:t>
            </w:r>
          </w:p>
        </w:tc>
        <w:tc>
          <w:tcPr>
            <w:tcW w:w="1350" w:type="dxa"/>
            <w:vAlign w:val="bottom"/>
          </w:tcPr>
          <w:p w14:paraId="10ED306F" w14:textId="734AAC6D" w:rsidR="00894AEA" w:rsidRPr="009D54BC" w:rsidRDefault="009123B0"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5,676,174</w:t>
            </w:r>
          </w:p>
        </w:tc>
        <w:tc>
          <w:tcPr>
            <w:tcW w:w="1350" w:type="dxa"/>
            <w:gridSpan w:val="2"/>
            <w:vAlign w:val="bottom"/>
          </w:tcPr>
          <w:p w14:paraId="7667BC22" w14:textId="6B510ACE" w:rsidR="00894AEA" w:rsidRPr="009D54BC" w:rsidRDefault="00CE5E98"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455,445</w:t>
            </w:r>
          </w:p>
        </w:tc>
      </w:tr>
      <w:tr w:rsidR="00894AEA" w:rsidRPr="009D54BC" w14:paraId="36CB3910" w14:textId="77777777" w:rsidTr="00C36440">
        <w:trPr>
          <w:trHeight w:hRule="exact" w:val="91"/>
        </w:trPr>
        <w:tc>
          <w:tcPr>
            <w:tcW w:w="6832" w:type="dxa"/>
            <w:vAlign w:val="bottom"/>
          </w:tcPr>
          <w:p w14:paraId="6DCED802"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p>
        </w:tc>
        <w:tc>
          <w:tcPr>
            <w:tcW w:w="1350" w:type="dxa"/>
            <w:vAlign w:val="bottom"/>
          </w:tcPr>
          <w:p w14:paraId="3341B652"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vAlign w:val="bottom"/>
          </w:tcPr>
          <w:p w14:paraId="7AFC2959"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94AEA" w:rsidRPr="009D54BC" w14:paraId="5AB0E5C6" w14:textId="77777777" w:rsidTr="00C36440">
        <w:tc>
          <w:tcPr>
            <w:tcW w:w="6832" w:type="dxa"/>
            <w:tcBorders>
              <w:bottom w:val="single" w:sz="4" w:space="0" w:color="auto"/>
            </w:tcBorders>
            <w:vAlign w:val="bottom"/>
          </w:tcPr>
          <w:p w14:paraId="2D58ECDC"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Cash – beginning of period</w:t>
            </w:r>
          </w:p>
        </w:tc>
        <w:tc>
          <w:tcPr>
            <w:tcW w:w="1350" w:type="dxa"/>
            <w:tcBorders>
              <w:bottom w:val="single" w:sz="4" w:space="0" w:color="auto"/>
            </w:tcBorders>
            <w:vAlign w:val="bottom"/>
          </w:tcPr>
          <w:p w14:paraId="478389CA" w14:textId="1A9D06C1" w:rsidR="00894AEA" w:rsidRPr="009D54BC" w:rsidRDefault="0024523C"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rPr>
              <w:t>74,800</w:t>
            </w:r>
          </w:p>
        </w:tc>
        <w:tc>
          <w:tcPr>
            <w:tcW w:w="1350" w:type="dxa"/>
            <w:gridSpan w:val="2"/>
            <w:tcBorders>
              <w:bottom w:val="single" w:sz="4" w:space="0" w:color="auto"/>
            </w:tcBorders>
            <w:vAlign w:val="bottom"/>
          </w:tcPr>
          <w:p w14:paraId="1C49EA5E" w14:textId="40856D78" w:rsidR="00894AEA" w:rsidRPr="009D54BC" w:rsidRDefault="0024523C"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rPr>
              <w:t>79,304</w:t>
            </w:r>
          </w:p>
        </w:tc>
      </w:tr>
      <w:tr w:rsidR="00894AEA" w:rsidRPr="009D54BC" w14:paraId="19DD882E" w14:textId="77777777" w:rsidTr="00C36440">
        <w:trPr>
          <w:trHeight w:hRule="exact" w:val="91"/>
        </w:trPr>
        <w:tc>
          <w:tcPr>
            <w:tcW w:w="6832" w:type="dxa"/>
            <w:tcBorders>
              <w:top w:val="single" w:sz="4" w:space="0" w:color="auto"/>
            </w:tcBorders>
            <w:vAlign w:val="bottom"/>
          </w:tcPr>
          <w:p w14:paraId="4F6BBDA9"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7357E956"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0E9F8C7E"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94AEA" w:rsidRPr="009D54BC" w14:paraId="0AEFF2DD" w14:textId="77777777" w:rsidTr="00C36440">
        <w:tc>
          <w:tcPr>
            <w:tcW w:w="6832" w:type="dxa"/>
            <w:tcBorders>
              <w:bottom w:val="single" w:sz="12" w:space="0" w:color="auto"/>
            </w:tcBorders>
            <w:vAlign w:val="bottom"/>
          </w:tcPr>
          <w:p w14:paraId="62BE0E59"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Cash – end of period</w:t>
            </w:r>
          </w:p>
        </w:tc>
        <w:tc>
          <w:tcPr>
            <w:tcW w:w="1350" w:type="dxa"/>
            <w:tcBorders>
              <w:bottom w:val="single" w:sz="12" w:space="0" w:color="auto"/>
            </w:tcBorders>
            <w:vAlign w:val="bottom"/>
          </w:tcPr>
          <w:p w14:paraId="30394AAB" w14:textId="5948858B" w:rsidR="00894AEA" w:rsidRPr="009D54BC" w:rsidRDefault="009123B0"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5,750,974</w:t>
            </w:r>
          </w:p>
        </w:tc>
        <w:tc>
          <w:tcPr>
            <w:tcW w:w="1350" w:type="dxa"/>
            <w:gridSpan w:val="2"/>
            <w:tcBorders>
              <w:bottom w:val="single" w:sz="12" w:space="0" w:color="auto"/>
            </w:tcBorders>
            <w:vAlign w:val="bottom"/>
          </w:tcPr>
          <w:p w14:paraId="20F24FE6" w14:textId="3131C04C" w:rsidR="00894AEA" w:rsidRPr="009D54BC" w:rsidRDefault="00CE5E98"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rPr>
              <w:t>534,749</w:t>
            </w:r>
          </w:p>
        </w:tc>
      </w:tr>
    </w:tbl>
    <w:p w14:paraId="07035EA7" w14:textId="0D58F765" w:rsidR="0045782B" w:rsidRDefault="003E7327" w:rsidP="00AE6CB4">
      <w:pPr>
        <w:tabs>
          <w:tab w:val="left" w:pos="4032"/>
        </w:tabs>
        <w:spacing w:before="120"/>
        <w:rPr>
          <w:rFonts w:ascii="Arial" w:hAnsi="Arial" w:cs="Arial"/>
          <w:szCs w:val="20"/>
        </w:rPr>
      </w:pPr>
      <w:r w:rsidRPr="00824168">
        <w:rPr>
          <w:rFonts w:ascii="Arial" w:hAnsi="Arial" w:cs="Arial"/>
          <w:bCs/>
          <w:szCs w:val="20"/>
        </w:rPr>
        <w:t>Supplementa</w:t>
      </w:r>
      <w:r w:rsidR="005958EA" w:rsidRPr="00824168">
        <w:rPr>
          <w:rFonts w:ascii="Arial" w:hAnsi="Arial" w:cs="Arial"/>
          <w:bCs/>
          <w:szCs w:val="20"/>
        </w:rPr>
        <w:t>l cash flow disclosures (Note 1</w:t>
      </w:r>
      <w:r w:rsidR="00FB4A31">
        <w:rPr>
          <w:rFonts w:ascii="Arial" w:hAnsi="Arial" w:cs="Arial"/>
          <w:bCs/>
          <w:szCs w:val="20"/>
        </w:rPr>
        <w:t>6</w:t>
      </w:r>
      <w:r w:rsidRPr="00824168">
        <w:rPr>
          <w:rFonts w:ascii="Arial" w:hAnsi="Arial" w:cs="Arial"/>
          <w:bCs/>
          <w:szCs w:val="20"/>
        </w:rPr>
        <w:t>)</w:t>
      </w:r>
    </w:p>
    <w:p w14:paraId="5CE10A7A" w14:textId="328DDA7B" w:rsidR="00E46B2D" w:rsidRDefault="00790828" w:rsidP="00705A65">
      <w:pPr>
        <w:tabs>
          <w:tab w:val="left" w:pos="4032"/>
        </w:tabs>
        <w:spacing w:after="0"/>
        <w:jc w:val="center"/>
        <w:rPr>
          <w:rFonts w:ascii="Arial" w:hAnsi="Arial" w:cs="Arial"/>
          <w:szCs w:val="20"/>
        </w:rPr>
      </w:pPr>
      <w:r w:rsidRPr="009F3026">
        <w:rPr>
          <w:rFonts w:ascii="Arial" w:hAnsi="Arial" w:cs="Arial"/>
          <w:szCs w:val="20"/>
        </w:rPr>
        <w:t>(The accompanying notes are an integral part of these</w:t>
      </w:r>
      <w:r w:rsidR="008E7C6B">
        <w:rPr>
          <w:rFonts w:ascii="Arial" w:hAnsi="Arial" w:cs="Arial"/>
          <w:szCs w:val="20"/>
        </w:rPr>
        <w:t xml:space="preserve"> </w:t>
      </w:r>
      <w:r w:rsidR="008B680A">
        <w:rPr>
          <w:rFonts w:ascii="Arial" w:hAnsi="Arial" w:cs="Arial"/>
          <w:szCs w:val="20"/>
        </w:rPr>
        <w:t>condensed consolidated interim financial statements</w:t>
      </w:r>
      <w:r w:rsidRPr="009F3026">
        <w:rPr>
          <w:rFonts w:ascii="Arial" w:hAnsi="Arial" w:cs="Arial"/>
          <w:szCs w:val="20"/>
        </w:rPr>
        <w:t>)</w:t>
      </w:r>
    </w:p>
    <w:p w14:paraId="405BCCED" w14:textId="77777777" w:rsidR="00E46B2D" w:rsidRDefault="00E46B2D" w:rsidP="00790828">
      <w:pPr>
        <w:tabs>
          <w:tab w:val="left" w:pos="4032"/>
        </w:tabs>
        <w:jc w:val="center"/>
        <w:rPr>
          <w:rFonts w:ascii="Arial" w:hAnsi="Arial" w:cs="Arial"/>
          <w:szCs w:val="20"/>
        </w:rPr>
        <w:sectPr w:rsidR="00E46B2D" w:rsidSect="00E565BC">
          <w:headerReference w:type="default" r:id="rId10"/>
          <w:pgSz w:w="12240" w:h="15840"/>
          <w:pgMar w:top="1152" w:right="1296" w:bottom="1152" w:left="1296" w:header="720" w:footer="720" w:gutter="0"/>
          <w:cols w:space="720"/>
          <w:docGrid w:linePitch="360"/>
        </w:sectPr>
      </w:pPr>
    </w:p>
    <w:p w14:paraId="1CD17B70" w14:textId="77777777" w:rsidR="00790828" w:rsidRPr="00F60034" w:rsidRDefault="00790828"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
          <w:bCs/>
          <w:szCs w:val="20"/>
        </w:rPr>
      </w:pPr>
      <w:r w:rsidRPr="00A4553B">
        <w:rPr>
          <w:rFonts w:ascii="Arial" w:hAnsi="Arial" w:cs="Arial"/>
          <w:b/>
          <w:bCs/>
          <w:szCs w:val="20"/>
        </w:rPr>
        <w:lastRenderedPageBreak/>
        <w:t>1.</w:t>
      </w:r>
      <w:r w:rsidRPr="00A4553B">
        <w:rPr>
          <w:rFonts w:ascii="Arial" w:hAnsi="Arial" w:cs="Arial"/>
          <w:b/>
          <w:bCs/>
          <w:szCs w:val="20"/>
        </w:rPr>
        <w:tab/>
        <w:t>Nature of Operations and Continuance of Business</w:t>
      </w:r>
    </w:p>
    <w:p w14:paraId="2F777726" w14:textId="77777777" w:rsidR="00F15B99" w:rsidRDefault="00F15B99" w:rsidP="00F15B99">
      <w:pPr>
        <w:pStyle w:val="BodyTextIndent"/>
        <w:spacing w:after="0" w:line="240" w:lineRule="auto"/>
        <w:ind w:left="426"/>
        <w:jc w:val="both"/>
        <w:rPr>
          <w:rFonts w:ascii="Arial" w:hAnsi="Arial" w:cs="Arial"/>
          <w:szCs w:val="20"/>
          <w:lang w:val="en-CA"/>
        </w:rPr>
      </w:pPr>
    </w:p>
    <w:p w14:paraId="2B793B46" w14:textId="28393D7D" w:rsidR="00790828" w:rsidRPr="00F60034" w:rsidRDefault="00D61549" w:rsidP="00F15B99">
      <w:pPr>
        <w:pStyle w:val="BodyTextIndent"/>
        <w:spacing w:after="0" w:line="240" w:lineRule="auto"/>
        <w:ind w:left="426"/>
        <w:jc w:val="both"/>
        <w:rPr>
          <w:rFonts w:ascii="Arial" w:hAnsi="Arial" w:cs="Arial"/>
          <w:szCs w:val="20"/>
          <w:lang w:val="en-CA"/>
        </w:rPr>
      </w:pPr>
      <w:r>
        <w:rPr>
          <w:rFonts w:ascii="Arial" w:hAnsi="Arial" w:cs="Arial"/>
          <w:szCs w:val="20"/>
          <w:lang w:val="en-CA"/>
        </w:rPr>
        <w:t>BetterLife Pharma</w:t>
      </w:r>
      <w:r w:rsidR="00F80093">
        <w:rPr>
          <w:rFonts w:ascii="Arial" w:hAnsi="Arial" w:cs="Arial"/>
          <w:szCs w:val="20"/>
          <w:lang w:val="en-CA"/>
        </w:rPr>
        <w:t xml:space="preserve"> Inc. </w:t>
      </w:r>
      <w:r w:rsidR="00790828" w:rsidRPr="00F60034">
        <w:rPr>
          <w:rFonts w:ascii="Arial" w:hAnsi="Arial" w:cs="Arial"/>
          <w:szCs w:val="20"/>
          <w:lang w:val="en-CA"/>
        </w:rPr>
        <w:t xml:space="preserve">(the “Company”) was incorporated in British Columbia under the Business Corporations Act on June 10, 2002.  </w:t>
      </w:r>
      <w:r w:rsidR="00732103">
        <w:rPr>
          <w:rFonts w:ascii="Arial" w:hAnsi="Arial" w:cs="Arial"/>
          <w:szCs w:val="20"/>
          <w:lang w:val="en-CA"/>
        </w:rPr>
        <w:t>On December 5, 2019, the Company changed its name from Pivot Pharmaceuticals Inc. to BetterLife Pharma Inc.</w:t>
      </w:r>
      <w:r w:rsidR="00790828" w:rsidRPr="00F60034">
        <w:rPr>
          <w:rFonts w:ascii="Arial" w:hAnsi="Arial" w:cs="Arial"/>
          <w:szCs w:val="20"/>
          <w:lang w:val="en-CA"/>
        </w:rPr>
        <w:t xml:space="preserve"> The Company is </w:t>
      </w:r>
      <w:r w:rsidR="00A14A61">
        <w:rPr>
          <w:rFonts w:ascii="Arial" w:hAnsi="Arial" w:cs="Arial"/>
          <w:szCs w:val="20"/>
          <w:lang w:val="en-CA"/>
        </w:rPr>
        <w:t xml:space="preserve">a </w:t>
      </w:r>
      <w:r w:rsidR="00A14A61" w:rsidRPr="00A14A61">
        <w:rPr>
          <w:rFonts w:ascii="Arial" w:hAnsi="Arial" w:cs="Arial"/>
          <w:szCs w:val="20"/>
          <w:lang w:val="en-CA"/>
        </w:rPr>
        <w:t xml:space="preserve">science-based medical wellness company </w:t>
      </w:r>
      <w:r w:rsidR="00A14A61">
        <w:rPr>
          <w:rFonts w:ascii="Arial" w:hAnsi="Arial" w:cs="Arial"/>
          <w:szCs w:val="20"/>
          <w:lang w:val="en-CA"/>
        </w:rPr>
        <w:t>in the business of developing and commercializing</w:t>
      </w:r>
      <w:r w:rsidR="00A14A61" w:rsidRPr="00A14A61">
        <w:rPr>
          <w:rFonts w:ascii="Arial" w:hAnsi="Arial" w:cs="Arial"/>
          <w:szCs w:val="20"/>
          <w:lang w:val="en-CA"/>
        </w:rPr>
        <w:t xml:space="preserve"> preventive and self-care solutions</w:t>
      </w:r>
      <w:r w:rsidR="00A14A61">
        <w:rPr>
          <w:rFonts w:ascii="Arial" w:hAnsi="Arial" w:cs="Arial"/>
          <w:szCs w:val="20"/>
          <w:lang w:val="en-CA"/>
        </w:rPr>
        <w:t>.</w:t>
      </w:r>
    </w:p>
    <w:p w14:paraId="1522BE41" w14:textId="77777777" w:rsidR="00F15B99" w:rsidRDefault="00F15B99" w:rsidP="00F15B99">
      <w:pPr>
        <w:pStyle w:val="Ne3"/>
        <w:spacing w:before="0"/>
        <w:ind w:left="432"/>
        <w:jc w:val="both"/>
        <w:rPr>
          <w:rFonts w:cs="Arial"/>
          <w:szCs w:val="20"/>
        </w:rPr>
      </w:pPr>
    </w:p>
    <w:p w14:paraId="64E3C01F" w14:textId="2BD19F3A" w:rsidR="00F0480A" w:rsidRDefault="00790828" w:rsidP="00F15B99">
      <w:pPr>
        <w:pStyle w:val="Ne3"/>
        <w:spacing w:before="0"/>
        <w:ind w:left="432"/>
        <w:jc w:val="both"/>
        <w:rPr>
          <w:rFonts w:cs="Arial"/>
          <w:szCs w:val="20"/>
        </w:rPr>
      </w:pPr>
      <w:r w:rsidRPr="004222A4">
        <w:rPr>
          <w:rFonts w:cs="Arial"/>
          <w:szCs w:val="20"/>
        </w:rPr>
        <w:t>These</w:t>
      </w:r>
      <w:r w:rsidR="00F37C1E" w:rsidRPr="004222A4">
        <w:rPr>
          <w:rFonts w:cs="Arial"/>
          <w:szCs w:val="20"/>
        </w:rPr>
        <w:t xml:space="preserve"> </w:t>
      </w:r>
      <w:r w:rsidR="0046105F" w:rsidRPr="004222A4">
        <w:rPr>
          <w:rFonts w:cs="Arial"/>
          <w:szCs w:val="20"/>
        </w:rPr>
        <w:t xml:space="preserve">condensed </w:t>
      </w:r>
      <w:r w:rsidR="00F37C1E" w:rsidRPr="004222A4">
        <w:rPr>
          <w:rFonts w:cs="Arial"/>
          <w:szCs w:val="20"/>
        </w:rPr>
        <w:t>consolidated</w:t>
      </w:r>
      <w:r w:rsidR="0046105F" w:rsidRPr="004222A4">
        <w:rPr>
          <w:rFonts w:cs="Arial"/>
          <w:szCs w:val="20"/>
        </w:rPr>
        <w:t xml:space="preserve"> interim</w:t>
      </w:r>
      <w:r w:rsidRPr="004222A4">
        <w:rPr>
          <w:rFonts w:cs="Arial"/>
          <w:szCs w:val="20"/>
        </w:rPr>
        <w:t xml:space="preserve"> financial statements have been prepared on the going concern basis, which assumes that the Company will be able to realize its assets and discharge its liabilities in the normal course of </w:t>
      </w:r>
      <w:r w:rsidR="00DD20F5" w:rsidRPr="004222A4">
        <w:rPr>
          <w:rFonts w:cs="Arial"/>
          <w:szCs w:val="20"/>
        </w:rPr>
        <w:t xml:space="preserve">business. </w:t>
      </w:r>
      <w:r w:rsidR="00D61549">
        <w:rPr>
          <w:rFonts w:cs="Arial"/>
          <w:szCs w:val="20"/>
        </w:rPr>
        <w:t xml:space="preserve"> </w:t>
      </w:r>
      <w:r w:rsidR="00DD20F5" w:rsidRPr="004222A4">
        <w:rPr>
          <w:rFonts w:cs="Arial"/>
          <w:szCs w:val="20"/>
        </w:rPr>
        <w:t xml:space="preserve">As at </w:t>
      </w:r>
      <w:r w:rsidR="00A14A61" w:rsidRPr="004222A4">
        <w:rPr>
          <w:rFonts w:cs="Arial"/>
          <w:szCs w:val="20"/>
        </w:rPr>
        <w:t>October</w:t>
      </w:r>
      <w:r w:rsidR="00DD20F5" w:rsidRPr="004222A4">
        <w:rPr>
          <w:rFonts w:cs="Arial"/>
          <w:szCs w:val="20"/>
        </w:rPr>
        <w:t xml:space="preserve"> 31, 2019</w:t>
      </w:r>
      <w:r w:rsidRPr="004222A4">
        <w:rPr>
          <w:rFonts w:cs="Arial"/>
          <w:szCs w:val="20"/>
        </w:rPr>
        <w:t>, the Comp</w:t>
      </w:r>
      <w:r w:rsidR="004056B2" w:rsidRPr="004222A4">
        <w:rPr>
          <w:rFonts w:cs="Arial"/>
          <w:szCs w:val="20"/>
        </w:rPr>
        <w:t xml:space="preserve">any has not earned any revenue </w:t>
      </w:r>
      <w:r w:rsidRPr="004222A4">
        <w:rPr>
          <w:rFonts w:cs="Arial"/>
          <w:szCs w:val="20"/>
        </w:rPr>
        <w:t>and</w:t>
      </w:r>
      <w:r w:rsidR="004056B2" w:rsidRPr="004222A4">
        <w:rPr>
          <w:rFonts w:cs="Arial"/>
          <w:szCs w:val="20"/>
        </w:rPr>
        <w:t xml:space="preserve"> has</w:t>
      </w:r>
      <w:r w:rsidRPr="004222A4">
        <w:rPr>
          <w:rFonts w:cs="Arial"/>
          <w:szCs w:val="20"/>
        </w:rPr>
        <w:t xml:space="preserve"> an accumulated deficit of $</w:t>
      </w:r>
      <w:r w:rsidR="00AC664C" w:rsidRPr="00AC664C">
        <w:rPr>
          <w:rFonts w:cs="Arial"/>
          <w:szCs w:val="20"/>
        </w:rPr>
        <w:t>43,986,179</w:t>
      </w:r>
      <w:r w:rsidRPr="004222A4">
        <w:rPr>
          <w:rFonts w:cs="Arial"/>
          <w:szCs w:val="20"/>
        </w:rPr>
        <w:t xml:space="preserve">. The continued operations of the Company are dependent on its ability to generate future cash flows </w:t>
      </w:r>
      <w:r w:rsidR="004056B2" w:rsidRPr="004222A4">
        <w:rPr>
          <w:rFonts w:cs="Arial"/>
          <w:szCs w:val="20"/>
        </w:rPr>
        <w:t>through</w:t>
      </w:r>
      <w:r w:rsidRPr="004222A4">
        <w:rPr>
          <w:rFonts w:cs="Arial"/>
          <w:szCs w:val="20"/>
        </w:rPr>
        <w:t xml:space="preserve"> additional financing</w:t>
      </w:r>
      <w:r w:rsidR="004056B2" w:rsidRPr="004222A4">
        <w:rPr>
          <w:rFonts w:cs="Arial"/>
          <w:szCs w:val="20"/>
        </w:rPr>
        <w:t xml:space="preserve"> or commercialization</w:t>
      </w:r>
      <w:r w:rsidRPr="004222A4">
        <w:rPr>
          <w:rFonts w:cs="Arial"/>
          <w:szCs w:val="20"/>
        </w:rPr>
        <w:t xml:space="preserve">.  </w:t>
      </w:r>
      <w:r w:rsidR="004222A4">
        <w:rPr>
          <w:rFonts w:cs="Arial"/>
          <w:szCs w:val="20"/>
        </w:rPr>
        <w:t xml:space="preserve">There is no assurance that additional funding will be available on a timely basis or on terms acceptable to the Company.  If the Company is unable to obtain sufficient funding, the ability of the Company to meet its obligations as they come due and, accordingly, the appropriateness of the use of accounting principles of a going concern will be in doubt.  </w:t>
      </w:r>
      <w:r w:rsidRPr="004222A4">
        <w:rPr>
          <w:rFonts w:cs="Arial"/>
          <w:szCs w:val="20"/>
        </w:rPr>
        <w:t>These</w:t>
      </w:r>
      <w:r w:rsidR="00F37C1E" w:rsidRPr="004222A4">
        <w:rPr>
          <w:rFonts w:cs="Arial"/>
          <w:szCs w:val="20"/>
        </w:rPr>
        <w:t xml:space="preserve"> </w:t>
      </w:r>
      <w:r w:rsidR="0046105F" w:rsidRPr="004222A4">
        <w:rPr>
          <w:rFonts w:cs="Arial"/>
          <w:szCs w:val="20"/>
        </w:rPr>
        <w:t xml:space="preserve">condensed </w:t>
      </w:r>
      <w:r w:rsidR="00F37C1E" w:rsidRPr="004222A4">
        <w:rPr>
          <w:rFonts w:cs="Arial"/>
          <w:szCs w:val="20"/>
        </w:rPr>
        <w:t>consolidated</w:t>
      </w:r>
      <w:r w:rsidR="0046105F" w:rsidRPr="004222A4">
        <w:rPr>
          <w:rFonts w:cs="Arial"/>
          <w:szCs w:val="20"/>
        </w:rPr>
        <w:t xml:space="preserve"> interim</w:t>
      </w:r>
      <w:r w:rsidRPr="004222A4">
        <w:rPr>
          <w:rFonts w:cs="Arial"/>
          <w:szCs w:val="20"/>
        </w:rPr>
        <w:t xml:space="preserve"> financial statements do not include any adjustments to the recorded assets or liabilities that might be necessary should the Company be unable to continue as a going concern.</w:t>
      </w:r>
    </w:p>
    <w:p w14:paraId="45A2AF79" w14:textId="77777777" w:rsidR="0046105F" w:rsidRDefault="0046105F" w:rsidP="0046105F">
      <w:pPr>
        <w:spacing w:after="0"/>
        <w:rPr>
          <w:lang w:val="en-CA"/>
        </w:rPr>
      </w:pPr>
    </w:p>
    <w:p w14:paraId="0D327DA4" w14:textId="39C60ED0" w:rsidR="0046105F" w:rsidRPr="0046105F" w:rsidRDefault="0046105F" w:rsidP="0046105F">
      <w:pPr>
        <w:spacing w:after="0"/>
        <w:ind w:left="450"/>
        <w:jc w:val="both"/>
        <w:rPr>
          <w:rFonts w:ascii="Arial" w:hAnsi="Arial" w:cs="Arial"/>
          <w:lang w:val="en-CA"/>
        </w:rPr>
      </w:pPr>
      <w:r w:rsidRPr="0046105F">
        <w:rPr>
          <w:rFonts w:ascii="Arial" w:hAnsi="Arial" w:cs="Arial"/>
          <w:lang w:val="en-CA"/>
        </w:rPr>
        <w:t>The head o</w:t>
      </w:r>
      <w:r>
        <w:rPr>
          <w:rFonts w:ascii="Arial" w:hAnsi="Arial" w:cs="Arial"/>
          <w:lang w:val="en-CA"/>
        </w:rPr>
        <w:t xml:space="preserve">ffice and principal address of the Company is located at </w:t>
      </w:r>
      <w:r w:rsidR="00D1225A">
        <w:rPr>
          <w:rFonts w:ascii="Arial" w:hAnsi="Arial" w:cs="Arial"/>
          <w:lang w:val="en-CA"/>
        </w:rPr>
        <w:t>295 Kesmark, Dollard</w:t>
      </w:r>
      <w:r w:rsidR="00D61549">
        <w:rPr>
          <w:rFonts w:ascii="Arial" w:hAnsi="Arial" w:cs="Arial"/>
          <w:lang w:val="en-CA"/>
        </w:rPr>
        <w:t>-d</w:t>
      </w:r>
      <w:r w:rsidR="00D1225A">
        <w:rPr>
          <w:rFonts w:ascii="Arial" w:hAnsi="Arial" w:cs="Arial"/>
          <w:lang w:val="en-CA"/>
        </w:rPr>
        <w:t>es</w:t>
      </w:r>
      <w:r w:rsidR="00D61549">
        <w:rPr>
          <w:rFonts w:ascii="Arial" w:hAnsi="Arial" w:cs="Arial"/>
          <w:lang w:val="en-CA"/>
        </w:rPr>
        <w:t>-</w:t>
      </w:r>
      <w:r w:rsidR="00D1225A">
        <w:rPr>
          <w:rFonts w:ascii="Arial" w:hAnsi="Arial" w:cs="Arial"/>
          <w:lang w:val="en-CA"/>
        </w:rPr>
        <w:t>Ormeaux, Quebec, Canada</w:t>
      </w:r>
      <w:r w:rsidR="00D61549">
        <w:rPr>
          <w:rFonts w:ascii="Arial" w:hAnsi="Arial" w:cs="Arial"/>
          <w:lang w:val="en-CA"/>
        </w:rPr>
        <w:t>,</w:t>
      </w:r>
      <w:r w:rsidR="00D1225A">
        <w:rPr>
          <w:rFonts w:ascii="Arial" w:hAnsi="Arial" w:cs="Arial"/>
          <w:lang w:val="en-CA"/>
        </w:rPr>
        <w:t xml:space="preserve"> H9B 3J1</w:t>
      </w:r>
      <w:r>
        <w:rPr>
          <w:rFonts w:ascii="Arial" w:hAnsi="Arial" w:cs="Arial"/>
          <w:lang w:val="en-CA"/>
        </w:rPr>
        <w:t>.</w:t>
      </w:r>
    </w:p>
    <w:p w14:paraId="104E6159" w14:textId="77777777" w:rsidR="00F0480A" w:rsidRPr="00F0480A" w:rsidRDefault="00F0480A" w:rsidP="00F15B99">
      <w:pPr>
        <w:spacing w:after="0" w:line="240" w:lineRule="auto"/>
        <w:rPr>
          <w:lang w:val="en-CA"/>
        </w:rPr>
      </w:pPr>
    </w:p>
    <w:p w14:paraId="29F93F04" w14:textId="77777777" w:rsidR="00790828" w:rsidRDefault="00894AEA"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1" w:hanging="431"/>
        <w:jc w:val="both"/>
        <w:rPr>
          <w:rFonts w:ascii="Arial" w:hAnsi="Arial" w:cs="Arial"/>
          <w:b/>
          <w:bCs/>
          <w:szCs w:val="20"/>
        </w:rPr>
      </w:pPr>
      <w:r>
        <w:rPr>
          <w:rFonts w:ascii="Arial" w:hAnsi="Arial" w:cs="Arial"/>
          <w:b/>
          <w:bCs/>
          <w:szCs w:val="20"/>
        </w:rPr>
        <w:t>2</w:t>
      </w:r>
      <w:r w:rsidR="00790828" w:rsidRPr="00F60034">
        <w:rPr>
          <w:rFonts w:ascii="Arial" w:hAnsi="Arial" w:cs="Arial"/>
          <w:b/>
          <w:bCs/>
          <w:szCs w:val="20"/>
        </w:rPr>
        <w:t>.</w:t>
      </w:r>
      <w:r w:rsidR="00790828" w:rsidRPr="00F60034">
        <w:rPr>
          <w:rFonts w:ascii="Arial" w:hAnsi="Arial" w:cs="Arial"/>
          <w:b/>
          <w:bCs/>
          <w:szCs w:val="20"/>
        </w:rPr>
        <w:tab/>
        <w:t>Significant Accounting Policies</w:t>
      </w:r>
    </w:p>
    <w:p w14:paraId="70E98818" w14:textId="77777777" w:rsidR="00F15B99" w:rsidRPr="00F60034" w:rsidRDefault="00F15B9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1" w:hanging="431"/>
        <w:jc w:val="both"/>
        <w:rPr>
          <w:rFonts w:ascii="Arial" w:hAnsi="Arial" w:cs="Arial"/>
          <w:b/>
          <w:bCs/>
          <w:szCs w:val="20"/>
        </w:rPr>
      </w:pPr>
    </w:p>
    <w:p w14:paraId="59F35252" w14:textId="604094CF" w:rsidR="00790828" w:rsidRPr="00F60034" w:rsidRDefault="00790828" w:rsidP="00F15B99">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4"/>
        <w:jc w:val="both"/>
        <w:rPr>
          <w:rFonts w:ascii="Arial" w:hAnsi="Arial" w:cs="Arial"/>
          <w:szCs w:val="20"/>
        </w:rPr>
      </w:pPr>
      <w:r w:rsidRPr="00F60034">
        <w:rPr>
          <w:rFonts w:ascii="Arial" w:hAnsi="Arial" w:cs="Arial"/>
          <w:szCs w:val="20"/>
        </w:rPr>
        <w:t xml:space="preserve">Basis of </w:t>
      </w:r>
      <w:r w:rsidR="007619C6">
        <w:rPr>
          <w:rFonts w:ascii="Arial" w:hAnsi="Arial" w:cs="Arial"/>
          <w:szCs w:val="20"/>
        </w:rPr>
        <w:t>Compliance</w:t>
      </w:r>
    </w:p>
    <w:p w14:paraId="186984F3" w14:textId="77777777" w:rsidR="00F15B99" w:rsidRDefault="00F15B9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66A9F3C5" w14:textId="237300CB" w:rsidR="00790828" w:rsidRDefault="009358AC"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sidRPr="009358AC">
        <w:rPr>
          <w:rFonts w:ascii="Arial" w:hAnsi="Arial" w:cs="Arial"/>
          <w:szCs w:val="20"/>
        </w:rPr>
        <w:t xml:space="preserve">The Company prepared these </w:t>
      </w:r>
      <w:r w:rsidR="0046105F">
        <w:rPr>
          <w:rFonts w:ascii="Arial" w:hAnsi="Arial" w:cs="Arial"/>
          <w:szCs w:val="20"/>
        </w:rPr>
        <w:t xml:space="preserve">condensed </w:t>
      </w:r>
      <w:r w:rsidRPr="009358AC">
        <w:rPr>
          <w:rFonts w:ascii="Arial" w:hAnsi="Arial" w:cs="Arial"/>
          <w:szCs w:val="20"/>
        </w:rPr>
        <w:t xml:space="preserve">consolidated </w:t>
      </w:r>
      <w:r w:rsidR="0046105F">
        <w:rPr>
          <w:rFonts w:ascii="Arial" w:hAnsi="Arial" w:cs="Arial"/>
          <w:szCs w:val="20"/>
        </w:rPr>
        <w:t xml:space="preserve">interim </w:t>
      </w:r>
      <w:r w:rsidRPr="009358AC">
        <w:rPr>
          <w:rFonts w:ascii="Arial" w:hAnsi="Arial" w:cs="Arial"/>
          <w:szCs w:val="20"/>
        </w:rPr>
        <w:t xml:space="preserve">financial statements in accordance with </w:t>
      </w:r>
      <w:r w:rsidR="00DF5969">
        <w:rPr>
          <w:rFonts w:ascii="Arial" w:hAnsi="Arial" w:cs="Arial"/>
          <w:szCs w:val="20"/>
        </w:rPr>
        <w:t xml:space="preserve">International Accounting Standards (“IAS”) 34, “Interim Financial Reporting” using accounting policies consistent with </w:t>
      </w:r>
      <w:r w:rsidRPr="009358AC">
        <w:rPr>
          <w:rFonts w:ascii="Arial" w:hAnsi="Arial" w:cs="Arial"/>
          <w:szCs w:val="20"/>
        </w:rPr>
        <w:t>International</w:t>
      </w:r>
      <w:r>
        <w:rPr>
          <w:rFonts w:ascii="Arial" w:hAnsi="Arial" w:cs="Arial"/>
          <w:szCs w:val="20"/>
        </w:rPr>
        <w:t xml:space="preserve"> </w:t>
      </w:r>
      <w:r w:rsidRPr="009358AC">
        <w:rPr>
          <w:rFonts w:ascii="Arial" w:hAnsi="Arial" w:cs="Arial"/>
          <w:szCs w:val="20"/>
        </w:rPr>
        <w:t>Financial Reporting Standards (“IFRS”) as issued by the International Accounting Standards Board</w:t>
      </w:r>
      <w:r>
        <w:rPr>
          <w:rFonts w:ascii="Arial" w:hAnsi="Arial" w:cs="Arial"/>
          <w:szCs w:val="20"/>
        </w:rPr>
        <w:t xml:space="preserve"> </w:t>
      </w:r>
      <w:r w:rsidRPr="009358AC">
        <w:rPr>
          <w:rFonts w:ascii="Arial" w:hAnsi="Arial" w:cs="Arial"/>
          <w:szCs w:val="20"/>
        </w:rPr>
        <w:t>and interpretations of the IFRS Interpretations Committee (“IFRIC”).</w:t>
      </w:r>
      <w:r w:rsidR="00790828" w:rsidRPr="00F60034">
        <w:rPr>
          <w:rFonts w:ascii="Arial" w:hAnsi="Arial" w:cs="Arial"/>
          <w:szCs w:val="20"/>
        </w:rPr>
        <w:t xml:space="preserve">   </w:t>
      </w:r>
      <w:r w:rsidR="00511CCF">
        <w:rPr>
          <w:rFonts w:ascii="Arial" w:hAnsi="Arial" w:cs="Arial"/>
          <w:szCs w:val="20"/>
        </w:rPr>
        <w:t>They do not include all of the information required for full annual financial statements in compliance with IAS 1, “Presentation of Financial Statements”.</w:t>
      </w:r>
    </w:p>
    <w:p w14:paraId="231E2C21" w14:textId="77777777" w:rsidR="00F15B99" w:rsidRDefault="00F15B9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6E076E04" w14:textId="57914ADE" w:rsidR="007619C6"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Pr>
          <w:rFonts w:ascii="Arial" w:hAnsi="Arial" w:cs="Arial"/>
          <w:szCs w:val="20"/>
        </w:rPr>
        <w:t xml:space="preserve">The preparation of these condensed consolidated interim financial statements resulted in changes to the accounting policies as compared with the most recent annual financial statements prepared under </w:t>
      </w:r>
      <w:r w:rsidRPr="00843670">
        <w:rPr>
          <w:rFonts w:ascii="Arial" w:hAnsi="Arial" w:cs="Arial"/>
          <w:szCs w:val="20"/>
        </w:rPr>
        <w:t xml:space="preserve">United States Generally Accepted Accounting Principles </w:t>
      </w:r>
      <w:r>
        <w:rPr>
          <w:rFonts w:ascii="Arial" w:hAnsi="Arial" w:cs="Arial"/>
          <w:szCs w:val="20"/>
        </w:rPr>
        <w:t>(“U.S. GAAP”).  The accounting policies set out below have been applied consistently to all periods presented in these condensed consolidated interim financial statements.  They also have been applied in preparing an opening IFRS statement of financial position as at February 1, 2018 for the purposes of the transition to IFRS, as required by IFRS 1 “First-Time Adoption of International Financial Reporting Standards” (“IFRS 1”).  The impact of the transition from U.S. GAAP to IFRS is explained in Note 2</w:t>
      </w:r>
      <w:r w:rsidR="00C83768">
        <w:rPr>
          <w:rFonts w:ascii="Arial" w:hAnsi="Arial" w:cs="Arial"/>
          <w:szCs w:val="20"/>
        </w:rPr>
        <w:t>4</w:t>
      </w:r>
      <w:r>
        <w:rPr>
          <w:rFonts w:ascii="Arial" w:hAnsi="Arial" w:cs="Arial"/>
          <w:szCs w:val="20"/>
        </w:rPr>
        <w:t>.</w:t>
      </w:r>
      <w:r w:rsidRPr="009358AC">
        <w:rPr>
          <w:rFonts w:ascii="Arial" w:hAnsi="Arial" w:cs="Arial"/>
          <w:szCs w:val="20"/>
        </w:rPr>
        <w:t xml:space="preserve"> </w:t>
      </w:r>
    </w:p>
    <w:p w14:paraId="2E147163" w14:textId="77777777" w:rsidR="007619C6"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5CD4E2A3" w14:textId="275DA85E" w:rsidR="007619C6"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sidRPr="009358AC">
        <w:rPr>
          <w:rFonts w:ascii="Arial" w:hAnsi="Arial" w:cs="Arial"/>
          <w:szCs w:val="20"/>
        </w:rPr>
        <w:t xml:space="preserve">These </w:t>
      </w:r>
      <w:r>
        <w:rPr>
          <w:rFonts w:ascii="Arial" w:hAnsi="Arial" w:cs="Arial"/>
          <w:szCs w:val="20"/>
        </w:rPr>
        <w:t xml:space="preserve">condensed </w:t>
      </w:r>
      <w:r w:rsidRPr="009358AC">
        <w:rPr>
          <w:rFonts w:ascii="Arial" w:hAnsi="Arial" w:cs="Arial"/>
          <w:szCs w:val="20"/>
        </w:rPr>
        <w:t xml:space="preserve">consolidated </w:t>
      </w:r>
      <w:r>
        <w:rPr>
          <w:rFonts w:ascii="Arial" w:hAnsi="Arial" w:cs="Arial"/>
          <w:szCs w:val="20"/>
        </w:rPr>
        <w:t xml:space="preserve">interim </w:t>
      </w:r>
      <w:r w:rsidRPr="009358AC">
        <w:rPr>
          <w:rFonts w:ascii="Arial" w:hAnsi="Arial" w:cs="Arial"/>
          <w:szCs w:val="20"/>
        </w:rPr>
        <w:t>financial statements were approved by the Board of Directors</w:t>
      </w:r>
      <w:r>
        <w:rPr>
          <w:rFonts w:ascii="Arial" w:hAnsi="Arial" w:cs="Arial"/>
          <w:szCs w:val="20"/>
        </w:rPr>
        <w:t xml:space="preserve"> </w:t>
      </w:r>
      <w:r w:rsidRPr="009358AC">
        <w:rPr>
          <w:rFonts w:ascii="Arial" w:hAnsi="Arial" w:cs="Arial"/>
          <w:szCs w:val="20"/>
        </w:rPr>
        <w:t xml:space="preserve">and authorized for issue on </w:t>
      </w:r>
      <w:r w:rsidR="003E3602">
        <w:rPr>
          <w:rFonts w:ascii="Arial" w:hAnsi="Arial" w:cs="Arial"/>
          <w:szCs w:val="20"/>
        </w:rPr>
        <w:t xml:space="preserve">December </w:t>
      </w:r>
      <w:r w:rsidR="0091030B">
        <w:rPr>
          <w:rFonts w:ascii="Arial" w:hAnsi="Arial" w:cs="Arial"/>
          <w:szCs w:val="20"/>
        </w:rPr>
        <w:t>2</w:t>
      </w:r>
      <w:r w:rsidR="00126145">
        <w:rPr>
          <w:rFonts w:ascii="Arial" w:hAnsi="Arial" w:cs="Arial"/>
          <w:szCs w:val="20"/>
        </w:rPr>
        <w:t>4</w:t>
      </w:r>
      <w:bookmarkStart w:id="1" w:name="_GoBack"/>
      <w:bookmarkEnd w:id="1"/>
      <w:r>
        <w:rPr>
          <w:rFonts w:ascii="Arial" w:hAnsi="Arial" w:cs="Arial"/>
          <w:szCs w:val="20"/>
        </w:rPr>
        <w:t>, 2019.</w:t>
      </w:r>
    </w:p>
    <w:p w14:paraId="214423D3" w14:textId="31B026E0" w:rsidR="007619C6"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2DD0582A" w14:textId="77777777" w:rsidR="006F2161" w:rsidRDefault="006F2161">
      <w:pPr>
        <w:rPr>
          <w:rFonts w:ascii="Arial" w:hAnsi="Arial" w:cs="Arial"/>
          <w:b/>
          <w:bCs/>
          <w:szCs w:val="20"/>
        </w:rPr>
      </w:pPr>
      <w:r>
        <w:rPr>
          <w:rFonts w:ascii="Arial" w:hAnsi="Arial" w:cs="Arial"/>
          <w:b/>
          <w:bCs/>
          <w:szCs w:val="20"/>
        </w:rPr>
        <w:br w:type="page"/>
      </w:r>
    </w:p>
    <w:p w14:paraId="488BC084" w14:textId="3465508F" w:rsidR="006F2161" w:rsidRPr="00F60034" w:rsidRDefault="006F2161" w:rsidP="006F2161">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lastRenderedPageBreak/>
        <w:t>2</w:t>
      </w:r>
      <w:r w:rsidRPr="00F60034">
        <w:rPr>
          <w:rFonts w:ascii="Arial" w:hAnsi="Arial" w:cs="Arial"/>
          <w:b/>
          <w:bCs/>
          <w:szCs w:val="20"/>
        </w:rPr>
        <w:t>.</w:t>
      </w:r>
      <w:r w:rsidRPr="00F60034">
        <w:rPr>
          <w:rFonts w:ascii="Arial" w:hAnsi="Arial" w:cs="Arial"/>
          <w:b/>
          <w:bCs/>
          <w:szCs w:val="20"/>
        </w:rPr>
        <w:tab/>
        <w:t>Significant Accounting Policies</w:t>
      </w:r>
      <w:r w:rsidRPr="00F60034">
        <w:rPr>
          <w:rFonts w:ascii="Arial" w:hAnsi="Arial" w:cs="Arial"/>
          <w:bCs/>
          <w:szCs w:val="20"/>
        </w:rPr>
        <w:t xml:space="preserve"> (continued)</w:t>
      </w:r>
    </w:p>
    <w:p w14:paraId="4DD03B9C" w14:textId="77777777" w:rsidR="006F2161" w:rsidRDefault="006F2161"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6E7C9428" w14:textId="75602D56" w:rsidR="007619C6" w:rsidRPr="00F60034" w:rsidRDefault="007619C6"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4"/>
        <w:jc w:val="both"/>
        <w:rPr>
          <w:rFonts w:ascii="Arial" w:hAnsi="Arial" w:cs="Arial"/>
          <w:szCs w:val="20"/>
        </w:rPr>
      </w:pPr>
      <w:r w:rsidRPr="00F60034">
        <w:rPr>
          <w:rFonts w:ascii="Arial" w:hAnsi="Arial" w:cs="Arial"/>
          <w:szCs w:val="20"/>
        </w:rPr>
        <w:t xml:space="preserve">Basis of </w:t>
      </w:r>
      <w:r>
        <w:rPr>
          <w:rFonts w:ascii="Arial" w:hAnsi="Arial" w:cs="Arial"/>
          <w:szCs w:val="20"/>
        </w:rPr>
        <w:t>Measurement and Presentation</w:t>
      </w:r>
    </w:p>
    <w:p w14:paraId="315394B4" w14:textId="77777777" w:rsidR="007619C6"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00D2A6C2" w14:textId="7E330D3D" w:rsidR="00843670" w:rsidRDefault="00843670"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Pr>
          <w:rFonts w:ascii="Arial" w:hAnsi="Arial" w:cs="Arial"/>
          <w:szCs w:val="20"/>
        </w:rPr>
        <w:t>These</w:t>
      </w:r>
      <w:r w:rsidR="00DF5969">
        <w:rPr>
          <w:rFonts w:ascii="Arial" w:hAnsi="Arial" w:cs="Arial"/>
          <w:szCs w:val="20"/>
        </w:rPr>
        <w:t xml:space="preserve"> condensed</w:t>
      </w:r>
      <w:r w:rsidRPr="009358AC">
        <w:rPr>
          <w:rFonts w:ascii="Arial" w:hAnsi="Arial" w:cs="Arial"/>
          <w:szCs w:val="20"/>
        </w:rPr>
        <w:t xml:space="preserve"> </w:t>
      </w:r>
      <w:r w:rsidRPr="00D936B8">
        <w:rPr>
          <w:rFonts w:ascii="Arial" w:hAnsi="Arial" w:cs="Arial"/>
          <w:szCs w:val="20"/>
        </w:rPr>
        <w:t xml:space="preserve">consolidated </w:t>
      </w:r>
      <w:r w:rsidR="00DF5969">
        <w:rPr>
          <w:rFonts w:ascii="Arial" w:hAnsi="Arial" w:cs="Arial"/>
          <w:szCs w:val="20"/>
        </w:rPr>
        <w:t xml:space="preserve">interim </w:t>
      </w:r>
      <w:r w:rsidRPr="00D936B8">
        <w:rPr>
          <w:rFonts w:ascii="Arial" w:hAnsi="Arial" w:cs="Arial"/>
          <w:szCs w:val="20"/>
        </w:rPr>
        <w:t>financial statements have been prepared on a historical cost basis, except for</w:t>
      </w:r>
      <w:r>
        <w:rPr>
          <w:rFonts w:ascii="Arial" w:hAnsi="Arial" w:cs="Arial"/>
          <w:szCs w:val="20"/>
        </w:rPr>
        <w:t xml:space="preserve"> </w:t>
      </w:r>
      <w:r w:rsidRPr="00D936B8">
        <w:rPr>
          <w:rFonts w:ascii="Arial" w:hAnsi="Arial" w:cs="Arial"/>
          <w:szCs w:val="20"/>
        </w:rPr>
        <w:t>cash and financial instruments classified as fair value through profit or loss that</w:t>
      </w:r>
      <w:r>
        <w:rPr>
          <w:rFonts w:ascii="Arial" w:hAnsi="Arial" w:cs="Arial"/>
          <w:szCs w:val="20"/>
        </w:rPr>
        <w:t xml:space="preserve"> </w:t>
      </w:r>
      <w:r w:rsidRPr="00D936B8">
        <w:rPr>
          <w:rFonts w:ascii="Arial" w:hAnsi="Arial" w:cs="Arial"/>
          <w:szCs w:val="20"/>
        </w:rPr>
        <w:t>have been measured at fair value</w:t>
      </w:r>
      <w:r w:rsidR="00D61549">
        <w:rPr>
          <w:rFonts w:ascii="Arial" w:hAnsi="Arial" w:cs="Arial"/>
          <w:szCs w:val="20"/>
        </w:rPr>
        <w:t>,</w:t>
      </w:r>
      <w:r w:rsidRPr="00D936B8">
        <w:rPr>
          <w:rFonts w:ascii="Arial" w:hAnsi="Arial" w:cs="Arial"/>
          <w:szCs w:val="20"/>
        </w:rPr>
        <w:t xml:space="preserve"> and are presented in </w:t>
      </w:r>
      <w:r>
        <w:rPr>
          <w:rFonts w:ascii="Arial" w:hAnsi="Arial" w:cs="Arial"/>
          <w:szCs w:val="20"/>
        </w:rPr>
        <w:t>Canadian</w:t>
      </w:r>
      <w:r w:rsidRPr="00D936B8">
        <w:rPr>
          <w:rFonts w:ascii="Arial" w:hAnsi="Arial" w:cs="Arial"/>
          <w:szCs w:val="20"/>
        </w:rPr>
        <w:t xml:space="preserve"> dollars</w:t>
      </w:r>
      <w:r>
        <w:rPr>
          <w:rFonts w:ascii="Arial" w:hAnsi="Arial" w:cs="Arial"/>
          <w:szCs w:val="20"/>
        </w:rPr>
        <w:t>.</w:t>
      </w:r>
    </w:p>
    <w:p w14:paraId="578FBD43" w14:textId="77777777" w:rsidR="00F15B99" w:rsidRDefault="00F15B9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0F495860" w14:textId="77777777" w:rsidR="000645D8" w:rsidRPr="000645D8" w:rsidRDefault="000645D8" w:rsidP="00F15B99">
      <w:pPr>
        <w:pStyle w:val="ListParagraph"/>
        <w:numPr>
          <w:ilvl w:val="0"/>
          <w:numId w:val="20"/>
        </w:numPr>
        <w:tabs>
          <w:tab w:val="left" w:pos="810"/>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jc w:val="both"/>
        <w:rPr>
          <w:rFonts w:ascii="Arial" w:hAnsi="Arial" w:cs="Arial"/>
          <w:szCs w:val="20"/>
        </w:rPr>
      </w:pPr>
      <w:r>
        <w:rPr>
          <w:rFonts w:ascii="Arial" w:hAnsi="Arial" w:cs="Arial"/>
          <w:szCs w:val="20"/>
        </w:rPr>
        <w:t>Basis of Consolidation</w:t>
      </w:r>
    </w:p>
    <w:p w14:paraId="46B08D95" w14:textId="396DC024" w:rsidR="00F15B99" w:rsidRDefault="00F15B99" w:rsidP="00F15B99">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2"/>
        <w:jc w:val="both"/>
        <w:rPr>
          <w:rFonts w:ascii="Arial" w:hAnsi="Arial" w:cs="Arial"/>
          <w:szCs w:val="20"/>
        </w:rPr>
      </w:pPr>
    </w:p>
    <w:p w14:paraId="1E7CD7B5" w14:textId="59A4DF29" w:rsidR="00F15B99" w:rsidRDefault="000645D8" w:rsidP="00F15B99">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firstLine="16"/>
        <w:jc w:val="both"/>
        <w:rPr>
          <w:rFonts w:ascii="Arial" w:hAnsi="Arial" w:cs="Arial"/>
          <w:szCs w:val="20"/>
        </w:rPr>
      </w:pPr>
      <w:r>
        <w:rPr>
          <w:rFonts w:ascii="Arial" w:hAnsi="Arial" w:cs="Arial"/>
          <w:szCs w:val="20"/>
        </w:rPr>
        <w:t xml:space="preserve">The </w:t>
      </w:r>
      <w:r w:rsidR="008B680A">
        <w:rPr>
          <w:rFonts w:ascii="Arial" w:hAnsi="Arial" w:cs="Arial"/>
          <w:szCs w:val="20"/>
        </w:rPr>
        <w:t>condensed consolidated interim financial statements</w:t>
      </w:r>
      <w:r>
        <w:rPr>
          <w:rFonts w:ascii="Arial" w:hAnsi="Arial" w:cs="Arial"/>
          <w:szCs w:val="20"/>
        </w:rPr>
        <w:t xml:space="preserve"> incorporate the financial statements of the Company and entities controlled by the Company.  Control is achieved where the Company has the power to govern the financial and operating policies of an entity so as to obtain benefits from its activities.  </w:t>
      </w:r>
    </w:p>
    <w:p w14:paraId="6862564B" w14:textId="77777777" w:rsidR="00F15B99" w:rsidRDefault="00F15B99" w:rsidP="00F15B99">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firstLine="16"/>
        <w:jc w:val="both"/>
        <w:rPr>
          <w:rFonts w:ascii="Arial" w:hAnsi="Arial" w:cs="Arial"/>
          <w:szCs w:val="20"/>
        </w:rPr>
      </w:pPr>
    </w:p>
    <w:p w14:paraId="0BD01266" w14:textId="6636CDC0" w:rsidR="000645D8" w:rsidRDefault="000645D8" w:rsidP="00F15B99">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firstLine="16"/>
        <w:jc w:val="both"/>
        <w:rPr>
          <w:rFonts w:ascii="Arial" w:hAnsi="Arial" w:cs="Arial"/>
          <w:szCs w:val="20"/>
        </w:rPr>
      </w:pPr>
      <w:r w:rsidRPr="00DE2D61">
        <w:rPr>
          <w:rFonts w:ascii="Arial" w:hAnsi="Arial" w:cs="Arial"/>
          <w:szCs w:val="20"/>
        </w:rPr>
        <w:t>The consolidating entities include:</w:t>
      </w:r>
    </w:p>
    <w:p w14:paraId="5F8024BA" w14:textId="77777777" w:rsidR="006F2161" w:rsidRDefault="006F2161" w:rsidP="00F15B99">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firstLine="16"/>
        <w:jc w:val="both"/>
        <w:rPr>
          <w:rFonts w:ascii="Arial" w:hAnsi="Arial" w:cs="Arial"/>
          <w:szCs w:val="20"/>
        </w:rPr>
      </w:pPr>
    </w:p>
    <w:tbl>
      <w:tblPr>
        <w:tblW w:w="8280" w:type="dxa"/>
        <w:tblInd w:w="990" w:type="dxa"/>
        <w:tblLayout w:type="fixed"/>
        <w:tblCellMar>
          <w:left w:w="0" w:type="dxa"/>
          <w:right w:w="0" w:type="dxa"/>
        </w:tblCellMar>
        <w:tblLook w:val="0000" w:firstRow="0" w:lastRow="0" w:firstColumn="0" w:lastColumn="0" w:noHBand="0" w:noVBand="0"/>
      </w:tblPr>
      <w:tblGrid>
        <w:gridCol w:w="5490"/>
        <w:gridCol w:w="1530"/>
        <w:gridCol w:w="1260"/>
      </w:tblGrid>
      <w:tr w:rsidR="00D960D2" w:rsidRPr="00F60034" w14:paraId="4923AA40" w14:textId="77777777" w:rsidTr="006F2161">
        <w:tc>
          <w:tcPr>
            <w:tcW w:w="5490" w:type="dxa"/>
            <w:tcBorders>
              <w:top w:val="nil"/>
              <w:left w:val="nil"/>
              <w:bottom w:val="single" w:sz="4" w:space="0" w:color="auto"/>
            </w:tcBorders>
            <w:vAlign w:val="bottom"/>
          </w:tcPr>
          <w:p w14:paraId="485E9D62" w14:textId="77777777" w:rsidR="00D960D2" w:rsidRPr="00F60034" w:rsidRDefault="00D960D2" w:rsidP="00F15B99">
            <w:pPr>
              <w:spacing w:after="0" w:line="240" w:lineRule="auto"/>
              <w:rPr>
                <w:rFonts w:ascii="Arial" w:hAnsi="Arial" w:cs="Arial"/>
                <w:szCs w:val="20"/>
              </w:rPr>
            </w:pPr>
            <w:r w:rsidRPr="00F60034">
              <w:rPr>
                <w:rFonts w:ascii="Arial" w:hAnsi="Arial" w:cs="Arial"/>
                <w:b/>
                <w:bCs/>
                <w:szCs w:val="20"/>
              </w:rPr>
              <w:tab/>
            </w:r>
          </w:p>
        </w:tc>
        <w:tc>
          <w:tcPr>
            <w:tcW w:w="1530" w:type="dxa"/>
            <w:tcBorders>
              <w:top w:val="nil"/>
              <w:left w:val="nil"/>
              <w:bottom w:val="single" w:sz="4" w:space="0" w:color="auto"/>
              <w:right w:val="nil"/>
            </w:tcBorders>
            <w:vAlign w:val="bottom"/>
          </w:tcPr>
          <w:p w14:paraId="70C899A2" w14:textId="77777777" w:rsidR="00D960D2" w:rsidRPr="00F60034" w:rsidRDefault="00D960D2" w:rsidP="00F15B99">
            <w:pPr>
              <w:spacing w:after="0" w:line="240" w:lineRule="auto"/>
              <w:jc w:val="center"/>
              <w:rPr>
                <w:rFonts w:ascii="Arial" w:hAnsi="Arial" w:cs="Arial"/>
                <w:szCs w:val="20"/>
              </w:rPr>
            </w:pPr>
            <w:r>
              <w:rPr>
                <w:rFonts w:ascii="Arial" w:hAnsi="Arial" w:cs="Arial"/>
                <w:szCs w:val="20"/>
              </w:rPr>
              <w:t>% of ownership</w:t>
            </w:r>
          </w:p>
        </w:tc>
        <w:tc>
          <w:tcPr>
            <w:tcW w:w="1260" w:type="dxa"/>
            <w:tcBorders>
              <w:top w:val="nil"/>
              <w:left w:val="nil"/>
              <w:bottom w:val="single" w:sz="4" w:space="0" w:color="auto"/>
              <w:right w:val="nil"/>
            </w:tcBorders>
            <w:vAlign w:val="bottom"/>
          </w:tcPr>
          <w:p w14:paraId="5ABABE4E" w14:textId="77777777" w:rsidR="00D960D2" w:rsidRPr="00F60034" w:rsidRDefault="00D960D2" w:rsidP="00F15B99">
            <w:pPr>
              <w:spacing w:after="0" w:line="240" w:lineRule="auto"/>
              <w:jc w:val="center"/>
              <w:rPr>
                <w:rFonts w:ascii="Arial" w:hAnsi="Arial" w:cs="Arial"/>
                <w:szCs w:val="20"/>
              </w:rPr>
            </w:pPr>
            <w:r>
              <w:rPr>
                <w:rFonts w:ascii="Arial" w:hAnsi="Arial" w:cs="Arial"/>
                <w:szCs w:val="20"/>
              </w:rPr>
              <w:t>Jurisdiction</w:t>
            </w:r>
          </w:p>
        </w:tc>
      </w:tr>
      <w:tr w:rsidR="00D960D2" w:rsidRPr="00F60034" w14:paraId="7C26C2B7" w14:textId="77777777" w:rsidTr="006F2161">
        <w:trPr>
          <w:trHeight w:hRule="exact" w:val="113"/>
        </w:trPr>
        <w:tc>
          <w:tcPr>
            <w:tcW w:w="5490" w:type="dxa"/>
            <w:tcBorders>
              <w:top w:val="single" w:sz="4" w:space="0" w:color="auto"/>
              <w:left w:val="nil"/>
            </w:tcBorders>
            <w:vAlign w:val="bottom"/>
          </w:tcPr>
          <w:p w14:paraId="78473303" w14:textId="77777777" w:rsidR="00D960D2" w:rsidRPr="00F60034" w:rsidRDefault="00D960D2" w:rsidP="00F15B99">
            <w:pPr>
              <w:spacing w:after="0" w:line="240" w:lineRule="auto"/>
              <w:rPr>
                <w:rFonts w:ascii="Arial" w:hAnsi="Arial" w:cs="Arial"/>
                <w:szCs w:val="20"/>
              </w:rPr>
            </w:pPr>
          </w:p>
        </w:tc>
        <w:tc>
          <w:tcPr>
            <w:tcW w:w="1530" w:type="dxa"/>
            <w:tcBorders>
              <w:top w:val="single" w:sz="4" w:space="0" w:color="auto"/>
              <w:left w:val="nil"/>
              <w:right w:val="nil"/>
            </w:tcBorders>
            <w:vAlign w:val="bottom"/>
          </w:tcPr>
          <w:p w14:paraId="5E7CEB28" w14:textId="77777777" w:rsidR="00D960D2" w:rsidRPr="00F60034" w:rsidRDefault="00D960D2" w:rsidP="00F15B99">
            <w:pPr>
              <w:spacing w:after="0" w:line="240" w:lineRule="auto"/>
              <w:ind w:right="369"/>
              <w:jc w:val="right"/>
              <w:rPr>
                <w:rFonts w:ascii="Arial" w:hAnsi="Arial" w:cs="Arial"/>
                <w:szCs w:val="20"/>
              </w:rPr>
            </w:pPr>
          </w:p>
        </w:tc>
        <w:tc>
          <w:tcPr>
            <w:tcW w:w="1260" w:type="dxa"/>
            <w:tcBorders>
              <w:top w:val="single" w:sz="4" w:space="0" w:color="auto"/>
              <w:left w:val="nil"/>
              <w:right w:val="nil"/>
            </w:tcBorders>
            <w:vAlign w:val="bottom"/>
          </w:tcPr>
          <w:p w14:paraId="79563B1D" w14:textId="77777777" w:rsidR="00D960D2" w:rsidRPr="00F60034" w:rsidRDefault="00D960D2" w:rsidP="00F15B99">
            <w:pPr>
              <w:spacing w:after="0" w:line="240" w:lineRule="auto"/>
              <w:ind w:right="369"/>
              <w:jc w:val="right"/>
              <w:rPr>
                <w:rFonts w:ascii="Arial" w:hAnsi="Arial" w:cs="Arial"/>
                <w:szCs w:val="20"/>
              </w:rPr>
            </w:pPr>
          </w:p>
        </w:tc>
      </w:tr>
      <w:tr w:rsidR="00D960D2" w:rsidRPr="00F60034" w14:paraId="56AB5709" w14:textId="77777777" w:rsidTr="006F2161">
        <w:tc>
          <w:tcPr>
            <w:tcW w:w="5490" w:type="dxa"/>
            <w:tcBorders>
              <w:left w:val="nil"/>
            </w:tcBorders>
            <w:vAlign w:val="bottom"/>
          </w:tcPr>
          <w:p w14:paraId="7608D7FE" w14:textId="0318CA0C" w:rsidR="00D960D2" w:rsidRPr="00F60034" w:rsidRDefault="003E3602" w:rsidP="006F2161">
            <w:pPr>
              <w:spacing w:after="0" w:line="240" w:lineRule="auto"/>
              <w:rPr>
                <w:rFonts w:ascii="Arial" w:hAnsi="Arial" w:cs="Arial"/>
                <w:szCs w:val="20"/>
              </w:rPr>
            </w:pPr>
            <w:r>
              <w:rPr>
                <w:rFonts w:ascii="Arial" w:hAnsi="Arial" w:cs="Arial"/>
                <w:szCs w:val="20"/>
              </w:rPr>
              <w:t xml:space="preserve">BetterLife Pharma Inc. (formerly </w:t>
            </w:r>
            <w:r w:rsidR="00D960D2">
              <w:rPr>
                <w:rFonts w:ascii="Arial" w:hAnsi="Arial" w:cs="Arial"/>
                <w:szCs w:val="20"/>
              </w:rPr>
              <w:t>Pivot Pharmaceuticals Inc.</w:t>
            </w:r>
            <w:r>
              <w:rPr>
                <w:rFonts w:ascii="Arial" w:hAnsi="Arial" w:cs="Arial"/>
                <w:szCs w:val="20"/>
              </w:rPr>
              <w:t>)</w:t>
            </w:r>
          </w:p>
        </w:tc>
        <w:tc>
          <w:tcPr>
            <w:tcW w:w="1530" w:type="dxa"/>
            <w:tcBorders>
              <w:left w:val="nil"/>
              <w:right w:val="nil"/>
            </w:tcBorders>
            <w:vAlign w:val="bottom"/>
          </w:tcPr>
          <w:p w14:paraId="4C5332AB" w14:textId="77777777" w:rsidR="00D960D2" w:rsidRPr="00F60034" w:rsidRDefault="00D960D2" w:rsidP="00F15B99">
            <w:pPr>
              <w:spacing w:after="0" w:line="240" w:lineRule="auto"/>
              <w:ind w:right="173"/>
              <w:jc w:val="center"/>
              <w:rPr>
                <w:rFonts w:ascii="Arial" w:hAnsi="Arial" w:cs="Arial"/>
                <w:szCs w:val="20"/>
              </w:rPr>
            </w:pPr>
            <w:r>
              <w:rPr>
                <w:rFonts w:ascii="Arial" w:hAnsi="Arial" w:cs="Arial"/>
                <w:szCs w:val="20"/>
              </w:rPr>
              <w:t>Parent</w:t>
            </w:r>
          </w:p>
        </w:tc>
        <w:tc>
          <w:tcPr>
            <w:tcW w:w="1260" w:type="dxa"/>
            <w:tcBorders>
              <w:left w:val="nil"/>
              <w:right w:val="nil"/>
            </w:tcBorders>
            <w:vAlign w:val="bottom"/>
          </w:tcPr>
          <w:p w14:paraId="2ECBACA7" w14:textId="77777777" w:rsidR="00D960D2" w:rsidRPr="00F60034" w:rsidRDefault="00D960D2" w:rsidP="006F2161">
            <w:pPr>
              <w:spacing w:after="0" w:line="240" w:lineRule="auto"/>
              <w:jc w:val="center"/>
              <w:rPr>
                <w:rFonts w:ascii="Arial" w:hAnsi="Arial" w:cs="Arial"/>
                <w:szCs w:val="20"/>
              </w:rPr>
            </w:pPr>
            <w:r>
              <w:rPr>
                <w:rFonts w:ascii="Arial" w:hAnsi="Arial" w:cs="Arial"/>
                <w:szCs w:val="20"/>
              </w:rPr>
              <w:t>Canada</w:t>
            </w:r>
          </w:p>
        </w:tc>
      </w:tr>
      <w:tr w:rsidR="003E3602" w:rsidRPr="00F60034" w14:paraId="1E99966E" w14:textId="77777777" w:rsidTr="006F2161">
        <w:tc>
          <w:tcPr>
            <w:tcW w:w="5490" w:type="dxa"/>
            <w:tcBorders>
              <w:left w:val="nil"/>
            </w:tcBorders>
            <w:vAlign w:val="bottom"/>
          </w:tcPr>
          <w:p w14:paraId="2F573B33" w14:textId="0D82CE08" w:rsidR="003E3602" w:rsidRDefault="003E3602" w:rsidP="00F15B99">
            <w:pPr>
              <w:spacing w:after="0" w:line="240" w:lineRule="auto"/>
              <w:rPr>
                <w:rFonts w:ascii="Arial" w:hAnsi="Arial" w:cs="Arial"/>
                <w:szCs w:val="20"/>
              </w:rPr>
            </w:pPr>
            <w:r>
              <w:rPr>
                <w:rFonts w:ascii="Arial" w:hAnsi="Arial" w:cs="Arial"/>
                <w:szCs w:val="20"/>
              </w:rPr>
              <w:t>Pivot Pharmaceuticals Manufacturing Corp.</w:t>
            </w:r>
          </w:p>
        </w:tc>
        <w:tc>
          <w:tcPr>
            <w:tcW w:w="1530" w:type="dxa"/>
            <w:tcBorders>
              <w:left w:val="nil"/>
              <w:right w:val="nil"/>
            </w:tcBorders>
            <w:vAlign w:val="bottom"/>
          </w:tcPr>
          <w:p w14:paraId="4086D012" w14:textId="56361CA6" w:rsidR="003E3602" w:rsidRDefault="003E3602" w:rsidP="00F15B99">
            <w:pPr>
              <w:spacing w:after="0" w:line="240" w:lineRule="auto"/>
              <w:ind w:right="173"/>
              <w:jc w:val="center"/>
              <w:rPr>
                <w:rFonts w:ascii="Arial" w:hAnsi="Arial" w:cs="Arial"/>
                <w:szCs w:val="20"/>
              </w:rPr>
            </w:pPr>
            <w:r>
              <w:rPr>
                <w:rFonts w:ascii="Arial" w:hAnsi="Arial" w:cs="Arial"/>
                <w:szCs w:val="20"/>
              </w:rPr>
              <w:t>100%</w:t>
            </w:r>
          </w:p>
        </w:tc>
        <w:tc>
          <w:tcPr>
            <w:tcW w:w="1260" w:type="dxa"/>
            <w:tcBorders>
              <w:left w:val="nil"/>
              <w:right w:val="nil"/>
            </w:tcBorders>
            <w:vAlign w:val="bottom"/>
          </w:tcPr>
          <w:p w14:paraId="0EE91364" w14:textId="4AD1AF05" w:rsidR="003E3602" w:rsidRDefault="003E3602" w:rsidP="006F2161">
            <w:pPr>
              <w:spacing w:after="0" w:line="240" w:lineRule="auto"/>
              <w:jc w:val="center"/>
              <w:rPr>
                <w:rFonts w:ascii="Arial" w:hAnsi="Arial" w:cs="Arial"/>
                <w:szCs w:val="20"/>
              </w:rPr>
            </w:pPr>
            <w:r>
              <w:rPr>
                <w:rFonts w:ascii="Arial" w:hAnsi="Arial" w:cs="Arial"/>
                <w:szCs w:val="20"/>
              </w:rPr>
              <w:t>Canada</w:t>
            </w:r>
          </w:p>
        </w:tc>
      </w:tr>
      <w:tr w:rsidR="00D960D2" w:rsidRPr="00F60034" w14:paraId="71D5B8E5" w14:textId="77777777" w:rsidTr="006F2161">
        <w:tc>
          <w:tcPr>
            <w:tcW w:w="5490" w:type="dxa"/>
            <w:tcBorders>
              <w:left w:val="nil"/>
            </w:tcBorders>
            <w:vAlign w:val="bottom"/>
          </w:tcPr>
          <w:p w14:paraId="0636E258" w14:textId="77777777" w:rsidR="00D960D2" w:rsidRPr="00F60034" w:rsidRDefault="00894AEA" w:rsidP="00F15B99">
            <w:pPr>
              <w:spacing w:after="0" w:line="240" w:lineRule="auto"/>
              <w:rPr>
                <w:rFonts w:ascii="Arial" w:hAnsi="Arial" w:cs="Arial"/>
                <w:szCs w:val="20"/>
              </w:rPr>
            </w:pPr>
            <w:r>
              <w:rPr>
                <w:rFonts w:ascii="Arial" w:hAnsi="Arial" w:cs="Arial"/>
                <w:szCs w:val="20"/>
              </w:rPr>
              <w:t>Pivot Green Stream Health Solutions</w:t>
            </w:r>
            <w:r w:rsidR="00D960D2">
              <w:rPr>
                <w:rFonts w:ascii="Arial" w:hAnsi="Arial" w:cs="Arial"/>
                <w:szCs w:val="20"/>
              </w:rPr>
              <w:t xml:space="preserve"> Inc.</w:t>
            </w:r>
          </w:p>
        </w:tc>
        <w:tc>
          <w:tcPr>
            <w:tcW w:w="1530" w:type="dxa"/>
            <w:tcBorders>
              <w:left w:val="nil"/>
              <w:right w:val="nil"/>
            </w:tcBorders>
            <w:vAlign w:val="bottom"/>
          </w:tcPr>
          <w:p w14:paraId="0295F6EE" w14:textId="77777777" w:rsidR="00D960D2" w:rsidRPr="00F60034" w:rsidRDefault="00D960D2" w:rsidP="00F15B99">
            <w:pPr>
              <w:spacing w:after="0" w:line="240" w:lineRule="auto"/>
              <w:ind w:right="173"/>
              <w:jc w:val="center"/>
              <w:rPr>
                <w:rFonts w:ascii="Arial" w:hAnsi="Arial" w:cs="Arial"/>
                <w:szCs w:val="20"/>
              </w:rPr>
            </w:pPr>
            <w:r>
              <w:rPr>
                <w:rFonts w:ascii="Arial" w:hAnsi="Arial" w:cs="Arial"/>
                <w:szCs w:val="20"/>
              </w:rPr>
              <w:t>100%</w:t>
            </w:r>
          </w:p>
        </w:tc>
        <w:tc>
          <w:tcPr>
            <w:tcW w:w="1260" w:type="dxa"/>
            <w:tcBorders>
              <w:left w:val="nil"/>
              <w:right w:val="nil"/>
            </w:tcBorders>
            <w:vAlign w:val="bottom"/>
          </w:tcPr>
          <w:p w14:paraId="4E2EBB56" w14:textId="77777777" w:rsidR="00D960D2" w:rsidRPr="00F60034" w:rsidRDefault="00894AEA" w:rsidP="006F2161">
            <w:pPr>
              <w:spacing w:after="0" w:line="240" w:lineRule="auto"/>
              <w:jc w:val="center"/>
              <w:rPr>
                <w:rFonts w:ascii="Arial" w:hAnsi="Arial" w:cs="Arial"/>
                <w:szCs w:val="20"/>
              </w:rPr>
            </w:pPr>
            <w:r>
              <w:rPr>
                <w:rFonts w:ascii="Arial" w:hAnsi="Arial" w:cs="Arial"/>
                <w:szCs w:val="20"/>
              </w:rPr>
              <w:t>Canada</w:t>
            </w:r>
          </w:p>
        </w:tc>
      </w:tr>
      <w:tr w:rsidR="003E3602" w:rsidRPr="00F60034" w14:paraId="4258EDEB" w14:textId="77777777" w:rsidTr="006F2161">
        <w:tc>
          <w:tcPr>
            <w:tcW w:w="5490" w:type="dxa"/>
            <w:tcBorders>
              <w:left w:val="nil"/>
            </w:tcBorders>
            <w:vAlign w:val="bottom"/>
          </w:tcPr>
          <w:p w14:paraId="1B70270D" w14:textId="535B48E4" w:rsidR="003E3602" w:rsidRDefault="003E3602" w:rsidP="00F15B99">
            <w:pPr>
              <w:spacing w:after="0" w:line="240" w:lineRule="auto"/>
              <w:rPr>
                <w:rFonts w:ascii="Arial" w:hAnsi="Arial" w:cs="Arial"/>
                <w:szCs w:val="20"/>
              </w:rPr>
            </w:pPr>
            <w:r>
              <w:rPr>
                <w:rFonts w:ascii="Arial" w:hAnsi="Arial" w:cs="Arial"/>
                <w:szCs w:val="20"/>
              </w:rPr>
              <w:t>Pivot Pharmaceuticals US Inc.</w:t>
            </w:r>
          </w:p>
        </w:tc>
        <w:tc>
          <w:tcPr>
            <w:tcW w:w="1530" w:type="dxa"/>
            <w:tcBorders>
              <w:left w:val="nil"/>
              <w:right w:val="nil"/>
            </w:tcBorders>
            <w:vAlign w:val="bottom"/>
          </w:tcPr>
          <w:p w14:paraId="3896D5FF" w14:textId="0FDAD72F" w:rsidR="003E3602" w:rsidRDefault="003E3602" w:rsidP="00F15B99">
            <w:pPr>
              <w:spacing w:after="0" w:line="240" w:lineRule="auto"/>
              <w:ind w:right="173"/>
              <w:jc w:val="center"/>
              <w:rPr>
                <w:rFonts w:ascii="Arial" w:hAnsi="Arial" w:cs="Arial"/>
                <w:szCs w:val="20"/>
              </w:rPr>
            </w:pPr>
            <w:r>
              <w:rPr>
                <w:rFonts w:ascii="Arial" w:hAnsi="Arial" w:cs="Arial"/>
                <w:szCs w:val="20"/>
              </w:rPr>
              <w:t>100%</w:t>
            </w:r>
          </w:p>
        </w:tc>
        <w:tc>
          <w:tcPr>
            <w:tcW w:w="1260" w:type="dxa"/>
            <w:tcBorders>
              <w:left w:val="nil"/>
              <w:right w:val="nil"/>
            </w:tcBorders>
            <w:vAlign w:val="bottom"/>
          </w:tcPr>
          <w:p w14:paraId="0D9C5AED" w14:textId="07E5CB99" w:rsidR="003E3602" w:rsidRDefault="003E3602" w:rsidP="006F2161">
            <w:pPr>
              <w:spacing w:after="0" w:line="240" w:lineRule="auto"/>
              <w:jc w:val="center"/>
              <w:rPr>
                <w:rFonts w:ascii="Arial" w:hAnsi="Arial" w:cs="Arial"/>
                <w:szCs w:val="20"/>
              </w:rPr>
            </w:pPr>
            <w:r>
              <w:rPr>
                <w:rFonts w:ascii="Arial" w:hAnsi="Arial" w:cs="Arial"/>
                <w:szCs w:val="20"/>
              </w:rPr>
              <w:t>U.S.A.</w:t>
            </w:r>
          </w:p>
        </w:tc>
      </w:tr>
      <w:tr w:rsidR="009358AC" w:rsidRPr="00F60034" w14:paraId="618F9F20" w14:textId="77777777" w:rsidTr="006F2161">
        <w:tc>
          <w:tcPr>
            <w:tcW w:w="5490" w:type="dxa"/>
            <w:tcBorders>
              <w:left w:val="nil"/>
            </w:tcBorders>
            <w:vAlign w:val="bottom"/>
          </w:tcPr>
          <w:p w14:paraId="1C8C058B" w14:textId="554B8AF3" w:rsidR="009358AC" w:rsidRDefault="009358AC" w:rsidP="00F15B99">
            <w:pPr>
              <w:spacing w:after="0" w:line="240" w:lineRule="auto"/>
              <w:rPr>
                <w:rFonts w:ascii="Arial" w:hAnsi="Arial" w:cs="Arial"/>
                <w:szCs w:val="20"/>
              </w:rPr>
            </w:pPr>
            <w:r>
              <w:rPr>
                <w:rFonts w:ascii="Arial" w:hAnsi="Arial" w:cs="Arial"/>
                <w:szCs w:val="20"/>
              </w:rPr>
              <w:t>Pivot Naturals, LLC</w:t>
            </w:r>
          </w:p>
        </w:tc>
        <w:tc>
          <w:tcPr>
            <w:tcW w:w="1530" w:type="dxa"/>
            <w:tcBorders>
              <w:left w:val="nil"/>
              <w:right w:val="nil"/>
            </w:tcBorders>
            <w:vAlign w:val="bottom"/>
          </w:tcPr>
          <w:p w14:paraId="42BD57C6" w14:textId="10BC8A8F" w:rsidR="009358AC" w:rsidRDefault="009358AC" w:rsidP="00F15B99">
            <w:pPr>
              <w:spacing w:after="0" w:line="240" w:lineRule="auto"/>
              <w:ind w:right="173"/>
              <w:jc w:val="center"/>
              <w:rPr>
                <w:rFonts w:ascii="Arial" w:hAnsi="Arial" w:cs="Arial"/>
                <w:szCs w:val="20"/>
              </w:rPr>
            </w:pPr>
            <w:r>
              <w:rPr>
                <w:rFonts w:ascii="Arial" w:hAnsi="Arial" w:cs="Arial"/>
                <w:szCs w:val="20"/>
              </w:rPr>
              <w:t>100%</w:t>
            </w:r>
          </w:p>
        </w:tc>
        <w:tc>
          <w:tcPr>
            <w:tcW w:w="1260" w:type="dxa"/>
            <w:tcBorders>
              <w:left w:val="nil"/>
              <w:right w:val="nil"/>
            </w:tcBorders>
            <w:vAlign w:val="bottom"/>
          </w:tcPr>
          <w:p w14:paraId="74DD1C32" w14:textId="6D3476C0" w:rsidR="009358AC" w:rsidRDefault="009358AC" w:rsidP="006F2161">
            <w:pPr>
              <w:spacing w:after="0" w:line="240" w:lineRule="auto"/>
              <w:jc w:val="center"/>
              <w:rPr>
                <w:rFonts w:ascii="Arial" w:hAnsi="Arial" w:cs="Arial"/>
                <w:szCs w:val="20"/>
              </w:rPr>
            </w:pPr>
            <w:r>
              <w:rPr>
                <w:rFonts w:ascii="Arial" w:hAnsi="Arial" w:cs="Arial"/>
                <w:szCs w:val="20"/>
              </w:rPr>
              <w:t>U.S.A.</w:t>
            </w:r>
          </w:p>
        </w:tc>
      </w:tr>
      <w:tr w:rsidR="003E3602" w:rsidRPr="00F60034" w14:paraId="56EE635E" w14:textId="77777777" w:rsidTr="006F2161">
        <w:tc>
          <w:tcPr>
            <w:tcW w:w="5490" w:type="dxa"/>
            <w:tcBorders>
              <w:left w:val="nil"/>
            </w:tcBorders>
            <w:vAlign w:val="bottom"/>
          </w:tcPr>
          <w:p w14:paraId="38A59656" w14:textId="77777777" w:rsidR="003E3602" w:rsidRDefault="003E3602" w:rsidP="00B35340">
            <w:pPr>
              <w:spacing w:after="0" w:line="240" w:lineRule="auto"/>
              <w:rPr>
                <w:rFonts w:ascii="Arial" w:hAnsi="Arial" w:cs="Arial"/>
                <w:szCs w:val="20"/>
              </w:rPr>
            </w:pPr>
            <w:r>
              <w:rPr>
                <w:rFonts w:ascii="Arial" w:hAnsi="Arial" w:cs="Arial"/>
                <w:szCs w:val="20"/>
              </w:rPr>
              <w:t>Thrudermic, LLC</w:t>
            </w:r>
          </w:p>
        </w:tc>
        <w:tc>
          <w:tcPr>
            <w:tcW w:w="1530" w:type="dxa"/>
            <w:tcBorders>
              <w:left w:val="nil"/>
              <w:right w:val="nil"/>
            </w:tcBorders>
            <w:vAlign w:val="bottom"/>
          </w:tcPr>
          <w:p w14:paraId="438544AC" w14:textId="77777777" w:rsidR="003E3602" w:rsidRDefault="003E3602" w:rsidP="00B35340">
            <w:pPr>
              <w:spacing w:after="0" w:line="240" w:lineRule="auto"/>
              <w:ind w:right="173"/>
              <w:jc w:val="center"/>
              <w:rPr>
                <w:rFonts w:ascii="Arial" w:hAnsi="Arial" w:cs="Arial"/>
                <w:szCs w:val="20"/>
              </w:rPr>
            </w:pPr>
            <w:r>
              <w:rPr>
                <w:rFonts w:ascii="Arial" w:hAnsi="Arial" w:cs="Arial"/>
                <w:szCs w:val="20"/>
              </w:rPr>
              <w:t>100%</w:t>
            </w:r>
          </w:p>
        </w:tc>
        <w:tc>
          <w:tcPr>
            <w:tcW w:w="1260" w:type="dxa"/>
            <w:tcBorders>
              <w:left w:val="nil"/>
              <w:right w:val="nil"/>
            </w:tcBorders>
            <w:vAlign w:val="bottom"/>
          </w:tcPr>
          <w:p w14:paraId="6AA855BF" w14:textId="77777777" w:rsidR="003E3602" w:rsidRDefault="003E3602" w:rsidP="006F2161">
            <w:pPr>
              <w:spacing w:after="0" w:line="240" w:lineRule="auto"/>
              <w:jc w:val="center"/>
              <w:rPr>
                <w:rFonts w:ascii="Arial" w:hAnsi="Arial" w:cs="Arial"/>
                <w:szCs w:val="20"/>
              </w:rPr>
            </w:pPr>
            <w:r>
              <w:rPr>
                <w:rFonts w:ascii="Arial" w:hAnsi="Arial" w:cs="Arial"/>
                <w:szCs w:val="20"/>
              </w:rPr>
              <w:t>U.S.A.</w:t>
            </w:r>
          </w:p>
        </w:tc>
      </w:tr>
      <w:tr w:rsidR="009358AC" w:rsidRPr="00F60034" w14:paraId="03DE9E74" w14:textId="77777777" w:rsidTr="006F2161">
        <w:tc>
          <w:tcPr>
            <w:tcW w:w="5490" w:type="dxa"/>
            <w:tcBorders>
              <w:left w:val="nil"/>
            </w:tcBorders>
            <w:vAlign w:val="bottom"/>
          </w:tcPr>
          <w:p w14:paraId="6B0FD1CF" w14:textId="481ADC76" w:rsidR="009358AC" w:rsidRDefault="003E3602" w:rsidP="006F2161">
            <w:pPr>
              <w:spacing w:after="0" w:line="240" w:lineRule="auto"/>
              <w:rPr>
                <w:rFonts w:ascii="Arial" w:hAnsi="Arial" w:cs="Arial"/>
                <w:szCs w:val="20"/>
              </w:rPr>
            </w:pPr>
            <w:r>
              <w:rPr>
                <w:rFonts w:ascii="Arial" w:hAnsi="Arial" w:cs="Arial"/>
                <w:szCs w:val="20"/>
              </w:rPr>
              <w:t xml:space="preserve">Pivot </w:t>
            </w:r>
            <w:r w:rsidR="00DE2D61">
              <w:rPr>
                <w:rFonts w:ascii="Arial" w:hAnsi="Arial" w:cs="Arial"/>
                <w:szCs w:val="20"/>
              </w:rPr>
              <w:t xml:space="preserve">Europe </w:t>
            </w:r>
            <w:r>
              <w:rPr>
                <w:rFonts w:ascii="Arial" w:hAnsi="Arial" w:cs="Arial"/>
                <w:szCs w:val="20"/>
              </w:rPr>
              <w:t>Pharmaceuticals AG</w:t>
            </w:r>
          </w:p>
        </w:tc>
        <w:tc>
          <w:tcPr>
            <w:tcW w:w="1530" w:type="dxa"/>
            <w:tcBorders>
              <w:left w:val="nil"/>
              <w:right w:val="nil"/>
            </w:tcBorders>
            <w:vAlign w:val="bottom"/>
          </w:tcPr>
          <w:p w14:paraId="58F0E211" w14:textId="7FF8564A" w:rsidR="009358AC" w:rsidRDefault="009358AC" w:rsidP="00F15B99">
            <w:pPr>
              <w:spacing w:after="0" w:line="240" w:lineRule="auto"/>
              <w:ind w:right="173"/>
              <w:jc w:val="center"/>
              <w:rPr>
                <w:rFonts w:ascii="Arial" w:hAnsi="Arial" w:cs="Arial"/>
                <w:szCs w:val="20"/>
              </w:rPr>
            </w:pPr>
            <w:r>
              <w:rPr>
                <w:rFonts w:ascii="Arial" w:hAnsi="Arial" w:cs="Arial"/>
                <w:szCs w:val="20"/>
              </w:rPr>
              <w:t>100%</w:t>
            </w:r>
          </w:p>
        </w:tc>
        <w:tc>
          <w:tcPr>
            <w:tcW w:w="1260" w:type="dxa"/>
            <w:tcBorders>
              <w:left w:val="nil"/>
              <w:right w:val="nil"/>
            </w:tcBorders>
            <w:vAlign w:val="bottom"/>
          </w:tcPr>
          <w:p w14:paraId="2C1D875C" w14:textId="2AA4E06E" w:rsidR="009358AC" w:rsidRDefault="003E3602" w:rsidP="006F2161">
            <w:pPr>
              <w:spacing w:after="0" w:line="240" w:lineRule="auto"/>
              <w:jc w:val="center"/>
              <w:rPr>
                <w:rFonts w:ascii="Arial" w:hAnsi="Arial" w:cs="Arial"/>
                <w:szCs w:val="20"/>
              </w:rPr>
            </w:pPr>
            <w:r>
              <w:rPr>
                <w:rFonts w:ascii="Arial" w:hAnsi="Arial" w:cs="Arial"/>
                <w:szCs w:val="20"/>
              </w:rPr>
              <w:t>Lichtenstein</w:t>
            </w:r>
          </w:p>
        </w:tc>
      </w:tr>
      <w:tr w:rsidR="00D960D2" w:rsidRPr="00F60034" w14:paraId="6F164956" w14:textId="77777777" w:rsidTr="006F2161">
        <w:trPr>
          <w:trHeight w:hRule="exact" w:val="86"/>
        </w:trPr>
        <w:tc>
          <w:tcPr>
            <w:tcW w:w="5490" w:type="dxa"/>
            <w:tcBorders>
              <w:top w:val="single" w:sz="4" w:space="0" w:color="auto"/>
              <w:left w:val="nil"/>
            </w:tcBorders>
            <w:vAlign w:val="bottom"/>
          </w:tcPr>
          <w:p w14:paraId="2F231431" w14:textId="77777777" w:rsidR="00D960D2" w:rsidRPr="00F60034" w:rsidRDefault="00D960D2" w:rsidP="00F15B99">
            <w:pPr>
              <w:spacing w:after="0" w:line="240" w:lineRule="auto"/>
              <w:rPr>
                <w:rFonts w:ascii="Arial" w:hAnsi="Arial" w:cs="Arial"/>
                <w:szCs w:val="20"/>
              </w:rPr>
            </w:pPr>
          </w:p>
        </w:tc>
        <w:tc>
          <w:tcPr>
            <w:tcW w:w="1530" w:type="dxa"/>
            <w:tcBorders>
              <w:top w:val="single" w:sz="4" w:space="0" w:color="auto"/>
              <w:left w:val="nil"/>
              <w:right w:val="nil"/>
            </w:tcBorders>
            <w:vAlign w:val="bottom"/>
          </w:tcPr>
          <w:p w14:paraId="6FCA5DF6" w14:textId="77777777" w:rsidR="00D960D2" w:rsidRPr="00F60034" w:rsidRDefault="00D960D2" w:rsidP="00F15B99">
            <w:pPr>
              <w:spacing w:after="0" w:line="240" w:lineRule="auto"/>
              <w:ind w:right="173"/>
              <w:jc w:val="right"/>
              <w:rPr>
                <w:rFonts w:ascii="Arial" w:hAnsi="Arial" w:cs="Arial"/>
                <w:szCs w:val="20"/>
              </w:rPr>
            </w:pPr>
          </w:p>
        </w:tc>
        <w:tc>
          <w:tcPr>
            <w:tcW w:w="1260" w:type="dxa"/>
            <w:tcBorders>
              <w:top w:val="single" w:sz="4" w:space="0" w:color="auto"/>
              <w:left w:val="nil"/>
              <w:right w:val="nil"/>
            </w:tcBorders>
            <w:vAlign w:val="bottom"/>
          </w:tcPr>
          <w:p w14:paraId="41838F1E" w14:textId="77777777" w:rsidR="00D960D2" w:rsidRPr="00F60034" w:rsidRDefault="00D960D2" w:rsidP="00F15B99">
            <w:pPr>
              <w:spacing w:after="0" w:line="240" w:lineRule="auto"/>
              <w:ind w:right="173"/>
              <w:jc w:val="right"/>
              <w:rPr>
                <w:rFonts w:ascii="Arial" w:hAnsi="Arial" w:cs="Arial"/>
                <w:szCs w:val="20"/>
              </w:rPr>
            </w:pPr>
          </w:p>
        </w:tc>
      </w:tr>
    </w:tbl>
    <w:p w14:paraId="2D08374B" w14:textId="77777777" w:rsidR="000030D9" w:rsidRDefault="000030D9" w:rsidP="000030D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2"/>
        <w:jc w:val="both"/>
        <w:rPr>
          <w:rFonts w:ascii="Arial" w:hAnsi="Arial" w:cs="Arial"/>
          <w:szCs w:val="20"/>
        </w:rPr>
      </w:pPr>
    </w:p>
    <w:p w14:paraId="5282D4FE" w14:textId="77777777" w:rsidR="007619C6" w:rsidRPr="00F60034" w:rsidRDefault="007619C6" w:rsidP="007619C6">
      <w:pPr>
        <w:widowControl w:val="0"/>
        <w:numPr>
          <w:ilvl w:val="0"/>
          <w:numId w:val="20"/>
        </w:numPr>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rPr>
          <w:rFonts w:ascii="Arial" w:hAnsi="Arial" w:cs="Arial"/>
          <w:szCs w:val="20"/>
        </w:rPr>
      </w:pPr>
      <w:r>
        <w:rPr>
          <w:rFonts w:ascii="Arial" w:hAnsi="Arial" w:cs="Arial"/>
          <w:szCs w:val="20"/>
        </w:rPr>
        <w:t>Use of Estimates and Judgments</w:t>
      </w:r>
    </w:p>
    <w:p w14:paraId="003205DE" w14:textId="77777777" w:rsidR="007619C6" w:rsidRDefault="007619C6"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p>
    <w:p w14:paraId="1A17D737" w14:textId="77777777" w:rsidR="007619C6" w:rsidRDefault="007619C6"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sidRPr="00D936B8">
        <w:rPr>
          <w:rFonts w:ascii="Arial" w:hAnsi="Arial" w:cs="Arial"/>
          <w:szCs w:val="20"/>
        </w:rPr>
        <w:t xml:space="preserve">The preparation of these </w:t>
      </w:r>
      <w:r>
        <w:rPr>
          <w:rFonts w:ascii="Arial" w:hAnsi="Arial" w:cs="Arial"/>
          <w:szCs w:val="20"/>
        </w:rPr>
        <w:t xml:space="preserve">condensed </w:t>
      </w:r>
      <w:r w:rsidRPr="00D936B8">
        <w:rPr>
          <w:rFonts w:ascii="Arial" w:hAnsi="Arial" w:cs="Arial"/>
          <w:szCs w:val="20"/>
        </w:rPr>
        <w:t>consolidated</w:t>
      </w:r>
      <w:r>
        <w:rPr>
          <w:rFonts w:ascii="Arial" w:hAnsi="Arial" w:cs="Arial"/>
          <w:szCs w:val="20"/>
        </w:rPr>
        <w:t xml:space="preserve"> interim</w:t>
      </w:r>
      <w:r w:rsidRPr="00D936B8">
        <w:rPr>
          <w:rFonts w:ascii="Arial" w:hAnsi="Arial" w:cs="Arial"/>
          <w:szCs w:val="20"/>
        </w:rPr>
        <w:t xml:space="preserve"> financial statements required management to make</w:t>
      </w:r>
      <w:r>
        <w:rPr>
          <w:rFonts w:ascii="Arial" w:hAnsi="Arial" w:cs="Arial"/>
          <w:szCs w:val="20"/>
        </w:rPr>
        <w:t xml:space="preserve"> </w:t>
      </w:r>
      <w:r w:rsidRPr="00D936B8">
        <w:rPr>
          <w:rFonts w:ascii="Arial" w:hAnsi="Arial" w:cs="Arial"/>
          <w:szCs w:val="20"/>
        </w:rPr>
        <w:t>estimates and judgments and form assumptions that affect the reported amounts and other</w:t>
      </w:r>
      <w:r>
        <w:rPr>
          <w:rFonts w:ascii="Arial" w:hAnsi="Arial" w:cs="Arial"/>
          <w:szCs w:val="20"/>
        </w:rPr>
        <w:t xml:space="preserve"> </w:t>
      </w:r>
      <w:r w:rsidRPr="00D936B8">
        <w:rPr>
          <w:rFonts w:ascii="Arial" w:hAnsi="Arial" w:cs="Arial"/>
          <w:szCs w:val="20"/>
        </w:rPr>
        <w:t>disclosures in these</w:t>
      </w:r>
      <w:r>
        <w:rPr>
          <w:rFonts w:ascii="Arial" w:hAnsi="Arial" w:cs="Arial"/>
          <w:szCs w:val="20"/>
        </w:rPr>
        <w:t xml:space="preserve"> condensed</w:t>
      </w:r>
      <w:r w:rsidRPr="00D936B8">
        <w:rPr>
          <w:rFonts w:ascii="Arial" w:hAnsi="Arial" w:cs="Arial"/>
          <w:szCs w:val="20"/>
        </w:rPr>
        <w:t xml:space="preserve"> consolidated </w:t>
      </w:r>
      <w:r>
        <w:rPr>
          <w:rFonts w:ascii="Arial" w:hAnsi="Arial" w:cs="Arial"/>
          <w:szCs w:val="20"/>
        </w:rPr>
        <w:t xml:space="preserve">interim </w:t>
      </w:r>
      <w:r w:rsidRPr="00D936B8">
        <w:rPr>
          <w:rFonts w:ascii="Arial" w:hAnsi="Arial" w:cs="Arial"/>
          <w:szCs w:val="20"/>
        </w:rPr>
        <w:t>financial statements. The estimates and associated assumptions</w:t>
      </w:r>
      <w:r>
        <w:rPr>
          <w:rFonts w:ascii="Arial" w:hAnsi="Arial" w:cs="Arial"/>
          <w:szCs w:val="20"/>
        </w:rPr>
        <w:t xml:space="preserve"> </w:t>
      </w:r>
      <w:r w:rsidRPr="00D936B8">
        <w:rPr>
          <w:rFonts w:ascii="Arial" w:hAnsi="Arial" w:cs="Arial"/>
          <w:szCs w:val="20"/>
        </w:rPr>
        <w:t>are based on historical experience and various other factors that are believed to be reasonable</w:t>
      </w:r>
      <w:r>
        <w:rPr>
          <w:rFonts w:ascii="Arial" w:hAnsi="Arial" w:cs="Arial"/>
          <w:szCs w:val="20"/>
        </w:rPr>
        <w:t xml:space="preserve"> </w:t>
      </w:r>
      <w:r w:rsidRPr="00D936B8">
        <w:rPr>
          <w:rFonts w:ascii="Arial" w:hAnsi="Arial" w:cs="Arial"/>
          <w:szCs w:val="20"/>
        </w:rPr>
        <w:t>under the circumstances, the results of which form the basis of making the judgments about</w:t>
      </w:r>
      <w:r>
        <w:rPr>
          <w:rFonts w:ascii="Arial" w:hAnsi="Arial" w:cs="Arial"/>
          <w:szCs w:val="20"/>
        </w:rPr>
        <w:t xml:space="preserve"> </w:t>
      </w:r>
      <w:r w:rsidRPr="00D936B8">
        <w:rPr>
          <w:rFonts w:ascii="Arial" w:hAnsi="Arial" w:cs="Arial"/>
          <w:szCs w:val="20"/>
        </w:rPr>
        <w:t>carrying values of assets and liabilities that are not readily apparent from other sources. Actual</w:t>
      </w:r>
      <w:r>
        <w:rPr>
          <w:rFonts w:ascii="Arial" w:hAnsi="Arial" w:cs="Arial"/>
          <w:szCs w:val="20"/>
        </w:rPr>
        <w:t xml:space="preserve"> </w:t>
      </w:r>
      <w:r w:rsidRPr="00D936B8">
        <w:rPr>
          <w:rFonts w:ascii="Arial" w:hAnsi="Arial" w:cs="Arial"/>
          <w:szCs w:val="20"/>
        </w:rPr>
        <w:t>results may differ from these estimates under different assumptions and conditions.</w:t>
      </w:r>
    </w:p>
    <w:p w14:paraId="1FA809FD" w14:textId="77777777" w:rsidR="007619C6"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p>
    <w:p w14:paraId="0C93E8D1" w14:textId="77777777" w:rsidR="007619C6" w:rsidRDefault="007619C6"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sidRPr="00D936B8">
        <w:rPr>
          <w:rFonts w:ascii="Arial" w:hAnsi="Arial" w:cs="Arial"/>
          <w:szCs w:val="20"/>
        </w:rPr>
        <w:t>The estimates and underlying assumptions are reviewed on an ongoing basis. Revisions to</w:t>
      </w:r>
      <w:r>
        <w:rPr>
          <w:rFonts w:ascii="Arial" w:hAnsi="Arial" w:cs="Arial"/>
          <w:szCs w:val="20"/>
        </w:rPr>
        <w:t xml:space="preserve"> </w:t>
      </w:r>
      <w:r w:rsidRPr="00D936B8">
        <w:rPr>
          <w:rFonts w:ascii="Arial" w:hAnsi="Arial" w:cs="Arial"/>
          <w:szCs w:val="20"/>
        </w:rPr>
        <w:t>accounting estimates are recognized in the period in which the estimate is revised if the revision</w:t>
      </w:r>
      <w:r>
        <w:rPr>
          <w:rFonts w:ascii="Arial" w:hAnsi="Arial" w:cs="Arial"/>
          <w:szCs w:val="20"/>
        </w:rPr>
        <w:t xml:space="preserve"> </w:t>
      </w:r>
      <w:r w:rsidRPr="00D936B8">
        <w:rPr>
          <w:rFonts w:ascii="Arial" w:hAnsi="Arial" w:cs="Arial"/>
          <w:szCs w:val="20"/>
        </w:rPr>
        <w:t>affects only that period or in the period of the revision and further periods if the review affects</w:t>
      </w:r>
      <w:r>
        <w:rPr>
          <w:rFonts w:ascii="Arial" w:hAnsi="Arial" w:cs="Arial"/>
          <w:szCs w:val="20"/>
        </w:rPr>
        <w:t xml:space="preserve"> </w:t>
      </w:r>
      <w:r w:rsidRPr="00D936B8">
        <w:rPr>
          <w:rFonts w:ascii="Arial" w:hAnsi="Arial" w:cs="Arial"/>
          <w:szCs w:val="20"/>
        </w:rPr>
        <w:t>both current and future periods.</w:t>
      </w:r>
      <w:r>
        <w:rPr>
          <w:rFonts w:ascii="Arial" w:hAnsi="Arial" w:cs="Arial"/>
          <w:szCs w:val="20"/>
        </w:rPr>
        <w:t xml:space="preserve"> </w:t>
      </w:r>
    </w:p>
    <w:p w14:paraId="21573E91" w14:textId="77777777" w:rsidR="007619C6"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p>
    <w:p w14:paraId="2B0813B3" w14:textId="22D5CABB" w:rsidR="007619C6" w:rsidRPr="00D936B8" w:rsidRDefault="007619C6"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bookmarkStart w:id="2" w:name="_Hlk27386076"/>
      <w:r w:rsidRPr="00D936B8">
        <w:rPr>
          <w:rFonts w:ascii="Arial" w:hAnsi="Arial" w:cs="Arial"/>
          <w:szCs w:val="20"/>
        </w:rPr>
        <w:t>Critical accounting estimates are estimates and assumptions made by management that may result</w:t>
      </w:r>
      <w:r>
        <w:rPr>
          <w:rFonts w:ascii="Arial" w:hAnsi="Arial" w:cs="Arial"/>
          <w:szCs w:val="20"/>
        </w:rPr>
        <w:t xml:space="preserve"> </w:t>
      </w:r>
      <w:r w:rsidRPr="00D936B8">
        <w:rPr>
          <w:rFonts w:ascii="Arial" w:hAnsi="Arial" w:cs="Arial"/>
          <w:szCs w:val="20"/>
        </w:rPr>
        <w:t>in material adjustments to the carrying amount of assets and liabilities within the next financial</w:t>
      </w:r>
      <w:r>
        <w:rPr>
          <w:rFonts w:ascii="Arial" w:hAnsi="Arial" w:cs="Arial"/>
          <w:szCs w:val="20"/>
        </w:rPr>
        <w:t xml:space="preserve"> </w:t>
      </w:r>
      <w:r w:rsidRPr="00D936B8">
        <w:rPr>
          <w:rFonts w:ascii="Arial" w:hAnsi="Arial" w:cs="Arial"/>
          <w:szCs w:val="20"/>
        </w:rPr>
        <w:t xml:space="preserve">year. Critical estimates used in the preparation of these </w:t>
      </w:r>
      <w:r>
        <w:rPr>
          <w:rFonts w:ascii="Arial" w:hAnsi="Arial" w:cs="Arial"/>
          <w:szCs w:val="20"/>
        </w:rPr>
        <w:t>condensed consolidated interim financial statements</w:t>
      </w:r>
      <w:r w:rsidRPr="00D936B8">
        <w:rPr>
          <w:rFonts w:ascii="Arial" w:hAnsi="Arial" w:cs="Arial"/>
          <w:szCs w:val="20"/>
        </w:rPr>
        <w:t xml:space="preserve"> include,</w:t>
      </w:r>
      <w:r>
        <w:rPr>
          <w:rFonts w:ascii="Arial" w:hAnsi="Arial" w:cs="Arial"/>
          <w:szCs w:val="20"/>
        </w:rPr>
        <w:t xml:space="preserve"> </w:t>
      </w:r>
      <w:r w:rsidRPr="00D936B8">
        <w:rPr>
          <w:rFonts w:ascii="Arial" w:hAnsi="Arial" w:cs="Arial"/>
          <w:szCs w:val="20"/>
        </w:rPr>
        <w:t xml:space="preserve">among others, the </w:t>
      </w:r>
      <w:r>
        <w:rPr>
          <w:rFonts w:ascii="Arial" w:hAnsi="Arial" w:cs="Arial"/>
          <w:szCs w:val="20"/>
        </w:rPr>
        <w:t>fair value</w:t>
      </w:r>
      <w:r w:rsidR="002F7241">
        <w:rPr>
          <w:rFonts w:ascii="Arial" w:hAnsi="Arial" w:cs="Arial"/>
          <w:szCs w:val="20"/>
        </w:rPr>
        <w:t>s</w:t>
      </w:r>
      <w:r w:rsidRPr="00D936B8">
        <w:rPr>
          <w:rFonts w:ascii="Arial" w:hAnsi="Arial" w:cs="Arial"/>
          <w:szCs w:val="20"/>
        </w:rPr>
        <w:t xml:space="preserve"> of</w:t>
      </w:r>
      <w:r>
        <w:rPr>
          <w:rFonts w:ascii="Arial" w:hAnsi="Arial" w:cs="Arial"/>
          <w:szCs w:val="20"/>
        </w:rPr>
        <w:t xml:space="preserve"> </w:t>
      </w:r>
      <w:r w:rsidRPr="00D936B8">
        <w:rPr>
          <w:rFonts w:ascii="Arial" w:hAnsi="Arial" w:cs="Arial"/>
          <w:szCs w:val="20"/>
        </w:rPr>
        <w:t>share-based payments</w:t>
      </w:r>
      <w:r>
        <w:rPr>
          <w:rFonts w:ascii="Arial" w:hAnsi="Arial" w:cs="Arial"/>
          <w:szCs w:val="20"/>
        </w:rPr>
        <w:t>, warrants issued with share units</w:t>
      </w:r>
      <w:r w:rsidR="002F7241">
        <w:rPr>
          <w:rFonts w:ascii="Arial" w:hAnsi="Arial" w:cs="Arial"/>
          <w:szCs w:val="20"/>
        </w:rPr>
        <w:t xml:space="preserve"> and </w:t>
      </w:r>
      <w:r w:rsidRPr="008B680A">
        <w:rPr>
          <w:rFonts w:ascii="Arial" w:hAnsi="Arial" w:cs="Arial"/>
          <w:szCs w:val="20"/>
        </w:rPr>
        <w:t xml:space="preserve">debentures for the purpose of evaluating modification versus extinguishments, </w:t>
      </w:r>
      <w:r w:rsidRPr="00D936B8">
        <w:rPr>
          <w:rFonts w:ascii="Arial" w:hAnsi="Arial" w:cs="Arial"/>
          <w:szCs w:val="20"/>
        </w:rPr>
        <w:t xml:space="preserve">and the valuations of </w:t>
      </w:r>
      <w:r>
        <w:rPr>
          <w:rFonts w:ascii="Arial" w:hAnsi="Arial" w:cs="Arial"/>
          <w:szCs w:val="20"/>
        </w:rPr>
        <w:t xml:space="preserve">long-lived assets </w:t>
      </w:r>
      <w:r w:rsidRPr="00D936B8">
        <w:rPr>
          <w:rFonts w:ascii="Arial" w:hAnsi="Arial" w:cs="Arial"/>
          <w:szCs w:val="20"/>
        </w:rPr>
        <w:t>and deferred tax assets</w:t>
      </w:r>
      <w:bookmarkEnd w:id="2"/>
      <w:r w:rsidRPr="00D936B8">
        <w:rPr>
          <w:rFonts w:ascii="Arial" w:hAnsi="Arial" w:cs="Arial"/>
          <w:szCs w:val="20"/>
        </w:rPr>
        <w:t>.</w:t>
      </w:r>
    </w:p>
    <w:p w14:paraId="6FE87764" w14:textId="77777777" w:rsidR="007619C6" w:rsidRDefault="007619C6"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p>
    <w:p w14:paraId="26E42E04" w14:textId="77777777" w:rsidR="006F2161" w:rsidRDefault="006F2161"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p>
    <w:p w14:paraId="4AE59FF8" w14:textId="77777777" w:rsidR="006F2161" w:rsidRDefault="006F2161">
      <w:pPr>
        <w:rPr>
          <w:rFonts w:ascii="Arial" w:hAnsi="Arial" w:cs="Arial"/>
          <w:b/>
          <w:bCs/>
          <w:szCs w:val="20"/>
        </w:rPr>
      </w:pPr>
      <w:r>
        <w:rPr>
          <w:rFonts w:ascii="Arial" w:hAnsi="Arial" w:cs="Arial"/>
          <w:b/>
          <w:bCs/>
          <w:szCs w:val="20"/>
        </w:rPr>
        <w:br w:type="page"/>
      </w:r>
    </w:p>
    <w:p w14:paraId="1AC615F7" w14:textId="3C455549" w:rsidR="006F2161" w:rsidRPr="00F60034" w:rsidRDefault="006F2161" w:rsidP="006F2161">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lastRenderedPageBreak/>
        <w:t>2</w:t>
      </w:r>
      <w:r w:rsidRPr="00F60034">
        <w:rPr>
          <w:rFonts w:ascii="Arial" w:hAnsi="Arial" w:cs="Arial"/>
          <w:b/>
          <w:bCs/>
          <w:szCs w:val="20"/>
        </w:rPr>
        <w:t>.</w:t>
      </w:r>
      <w:r w:rsidRPr="00F60034">
        <w:rPr>
          <w:rFonts w:ascii="Arial" w:hAnsi="Arial" w:cs="Arial"/>
          <w:b/>
          <w:bCs/>
          <w:szCs w:val="20"/>
        </w:rPr>
        <w:tab/>
        <w:t>Significant Accounting Policies</w:t>
      </w:r>
      <w:r w:rsidRPr="00F60034">
        <w:rPr>
          <w:rFonts w:ascii="Arial" w:hAnsi="Arial" w:cs="Arial"/>
          <w:bCs/>
          <w:szCs w:val="20"/>
        </w:rPr>
        <w:t xml:space="preserve"> (continued)</w:t>
      </w:r>
    </w:p>
    <w:p w14:paraId="77C758B7" w14:textId="77777777" w:rsidR="006F2161" w:rsidRDefault="006F2161"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p>
    <w:p w14:paraId="44392E77" w14:textId="18092B0A" w:rsidR="007619C6" w:rsidRDefault="007619C6"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sidRPr="00D936B8">
        <w:rPr>
          <w:rFonts w:ascii="Arial" w:hAnsi="Arial" w:cs="Arial"/>
          <w:szCs w:val="20"/>
        </w:rPr>
        <w:t>Critical accounting judgments are accounting policies that have been identified as being complex or</w:t>
      </w:r>
      <w:r>
        <w:rPr>
          <w:rFonts w:ascii="Arial" w:hAnsi="Arial" w:cs="Arial"/>
          <w:szCs w:val="20"/>
        </w:rPr>
        <w:t xml:space="preserve"> </w:t>
      </w:r>
      <w:r w:rsidRPr="00D936B8">
        <w:rPr>
          <w:rFonts w:ascii="Arial" w:hAnsi="Arial" w:cs="Arial"/>
          <w:szCs w:val="20"/>
        </w:rPr>
        <w:t>involving subjective judgments or assessments. Critical accounting judgments include the expected</w:t>
      </w:r>
      <w:r>
        <w:rPr>
          <w:rFonts w:ascii="Arial" w:hAnsi="Arial" w:cs="Arial"/>
          <w:szCs w:val="20"/>
        </w:rPr>
        <w:t xml:space="preserve"> </w:t>
      </w:r>
      <w:r w:rsidRPr="00D936B8">
        <w:rPr>
          <w:rFonts w:ascii="Arial" w:hAnsi="Arial" w:cs="Arial"/>
          <w:szCs w:val="20"/>
        </w:rPr>
        <w:t xml:space="preserve">economic lives of and the estimated future operating results and net cash flows from </w:t>
      </w:r>
      <w:r>
        <w:rPr>
          <w:rFonts w:ascii="Arial" w:hAnsi="Arial" w:cs="Arial"/>
          <w:szCs w:val="20"/>
        </w:rPr>
        <w:t>long-lived assets</w:t>
      </w:r>
      <w:r w:rsidR="00C21FEB">
        <w:rPr>
          <w:rFonts w:ascii="Arial" w:hAnsi="Arial" w:cs="Arial"/>
          <w:szCs w:val="20"/>
        </w:rPr>
        <w:t xml:space="preserve"> and </w:t>
      </w:r>
      <w:r w:rsidR="002F7241">
        <w:rPr>
          <w:rFonts w:ascii="Arial" w:hAnsi="Arial" w:cs="Arial"/>
          <w:szCs w:val="20"/>
        </w:rPr>
        <w:t>the determination of</w:t>
      </w:r>
      <w:r w:rsidR="00C21FEB">
        <w:rPr>
          <w:rFonts w:ascii="Arial" w:hAnsi="Arial" w:cs="Arial"/>
          <w:szCs w:val="20"/>
        </w:rPr>
        <w:t xml:space="preserve"> whether an acquisition is a business combination or an asset acquisition.</w:t>
      </w:r>
    </w:p>
    <w:p w14:paraId="54986CDA" w14:textId="77777777" w:rsidR="008B680A" w:rsidRDefault="008B680A" w:rsidP="000030D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2"/>
        <w:jc w:val="both"/>
        <w:rPr>
          <w:rFonts w:ascii="Arial" w:hAnsi="Arial" w:cs="Arial"/>
          <w:szCs w:val="20"/>
        </w:rPr>
      </w:pPr>
    </w:p>
    <w:p w14:paraId="1AA24A61" w14:textId="0AFEA108" w:rsidR="001D529F" w:rsidRPr="000645D8" w:rsidRDefault="001D529F" w:rsidP="007619C6">
      <w:pPr>
        <w:pStyle w:val="ListParagraph"/>
        <w:numPr>
          <w:ilvl w:val="0"/>
          <w:numId w:val="20"/>
        </w:numPr>
        <w:tabs>
          <w:tab w:val="left" w:pos="810"/>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jc w:val="both"/>
        <w:rPr>
          <w:rFonts w:ascii="Arial" w:hAnsi="Arial" w:cs="Arial"/>
          <w:szCs w:val="20"/>
        </w:rPr>
      </w:pPr>
      <w:r>
        <w:rPr>
          <w:rFonts w:ascii="Arial" w:hAnsi="Arial" w:cs="Arial"/>
          <w:szCs w:val="20"/>
        </w:rPr>
        <w:t>Investments in Joint Arrangements</w:t>
      </w:r>
    </w:p>
    <w:p w14:paraId="5F0C3A36" w14:textId="77777777" w:rsidR="001D529F" w:rsidRDefault="001D529F" w:rsidP="001D529F">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2"/>
        <w:jc w:val="both"/>
        <w:rPr>
          <w:rFonts w:ascii="Arial" w:hAnsi="Arial" w:cs="Arial"/>
          <w:szCs w:val="20"/>
        </w:rPr>
      </w:pPr>
    </w:p>
    <w:p w14:paraId="0CC27C47" w14:textId="1082ADDB" w:rsidR="001D529F" w:rsidRPr="001D529F" w:rsidRDefault="001D529F" w:rsidP="001D529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2"/>
        <w:jc w:val="both"/>
        <w:rPr>
          <w:rFonts w:ascii="Arial" w:hAnsi="Arial" w:cs="Arial"/>
          <w:szCs w:val="20"/>
        </w:rPr>
      </w:pPr>
      <w:r>
        <w:rPr>
          <w:rFonts w:ascii="Arial" w:hAnsi="Arial" w:cs="Arial"/>
          <w:szCs w:val="20"/>
        </w:rPr>
        <w:t xml:space="preserve">These </w:t>
      </w:r>
      <w:r w:rsidR="008B680A">
        <w:rPr>
          <w:rFonts w:ascii="Arial" w:hAnsi="Arial" w:cs="Arial"/>
          <w:szCs w:val="20"/>
        </w:rPr>
        <w:t>condensed consolidated interim financial statements</w:t>
      </w:r>
      <w:r w:rsidRPr="001D529F">
        <w:rPr>
          <w:rFonts w:ascii="Arial" w:hAnsi="Arial" w:cs="Arial"/>
          <w:szCs w:val="20"/>
        </w:rPr>
        <w:t xml:space="preserve"> incorporate </w:t>
      </w:r>
      <w:r>
        <w:rPr>
          <w:rFonts w:ascii="Arial" w:hAnsi="Arial" w:cs="Arial"/>
          <w:szCs w:val="20"/>
        </w:rPr>
        <w:t>the Company’s</w:t>
      </w:r>
      <w:r w:rsidRPr="001D529F">
        <w:rPr>
          <w:rFonts w:ascii="Arial" w:hAnsi="Arial" w:cs="Arial"/>
          <w:szCs w:val="20"/>
        </w:rPr>
        <w:t xml:space="preserve"> share of the results of </w:t>
      </w:r>
      <w:r w:rsidR="00795B15">
        <w:rPr>
          <w:rFonts w:ascii="Arial" w:hAnsi="Arial" w:cs="Arial"/>
          <w:szCs w:val="20"/>
        </w:rPr>
        <w:t xml:space="preserve">its joint venture, Pivot-Cartagena Joint Venture Inc. </w:t>
      </w:r>
      <w:r w:rsidRPr="001D529F">
        <w:rPr>
          <w:rFonts w:ascii="Arial" w:hAnsi="Arial" w:cs="Arial"/>
          <w:szCs w:val="20"/>
        </w:rPr>
        <w:t>using t</w:t>
      </w:r>
      <w:r w:rsidR="008B680A">
        <w:rPr>
          <w:rFonts w:ascii="Arial" w:hAnsi="Arial" w:cs="Arial"/>
          <w:szCs w:val="20"/>
        </w:rPr>
        <w:t xml:space="preserve">he equity method of accounting (Note </w:t>
      </w:r>
      <w:r w:rsidR="00DB1F6E">
        <w:rPr>
          <w:rFonts w:ascii="Arial" w:hAnsi="Arial" w:cs="Arial"/>
          <w:szCs w:val="20"/>
        </w:rPr>
        <w:t>1</w:t>
      </w:r>
      <w:r w:rsidR="00C83768">
        <w:rPr>
          <w:rFonts w:ascii="Arial" w:hAnsi="Arial" w:cs="Arial"/>
          <w:szCs w:val="20"/>
        </w:rPr>
        <w:t>8</w:t>
      </w:r>
      <w:r w:rsidR="008B680A">
        <w:rPr>
          <w:rFonts w:ascii="Arial" w:hAnsi="Arial" w:cs="Arial"/>
          <w:szCs w:val="20"/>
        </w:rPr>
        <w:t>).</w:t>
      </w:r>
      <w:r>
        <w:rPr>
          <w:rFonts w:ascii="Arial" w:hAnsi="Arial" w:cs="Arial"/>
          <w:szCs w:val="20"/>
        </w:rPr>
        <w:t xml:space="preserve">  </w:t>
      </w:r>
      <w:r w:rsidRPr="001D529F">
        <w:rPr>
          <w:rFonts w:ascii="Arial" w:hAnsi="Arial" w:cs="Arial"/>
          <w:szCs w:val="20"/>
        </w:rPr>
        <w:t>Investment</w:t>
      </w:r>
      <w:r w:rsidR="00EF3554">
        <w:rPr>
          <w:rFonts w:ascii="Arial" w:hAnsi="Arial" w:cs="Arial"/>
          <w:szCs w:val="20"/>
        </w:rPr>
        <w:t>s</w:t>
      </w:r>
      <w:r w:rsidRPr="001D529F">
        <w:rPr>
          <w:rFonts w:ascii="Arial" w:hAnsi="Arial" w:cs="Arial"/>
          <w:szCs w:val="20"/>
        </w:rPr>
        <w:t xml:space="preserve"> in joint venture</w:t>
      </w:r>
      <w:r w:rsidR="00EF3554">
        <w:rPr>
          <w:rFonts w:ascii="Arial" w:hAnsi="Arial" w:cs="Arial"/>
          <w:szCs w:val="20"/>
        </w:rPr>
        <w:t>s</w:t>
      </w:r>
      <w:r w:rsidRPr="001D529F">
        <w:rPr>
          <w:rFonts w:ascii="Arial" w:hAnsi="Arial" w:cs="Arial"/>
          <w:szCs w:val="20"/>
        </w:rPr>
        <w:t xml:space="preserve"> are recognized initially at cost and adju</w:t>
      </w:r>
      <w:r>
        <w:rPr>
          <w:rFonts w:ascii="Arial" w:hAnsi="Arial" w:cs="Arial"/>
          <w:szCs w:val="20"/>
        </w:rPr>
        <w:t>sted thereafter to include the C</w:t>
      </w:r>
      <w:r w:rsidRPr="001D529F">
        <w:rPr>
          <w:rFonts w:ascii="Arial" w:hAnsi="Arial" w:cs="Arial"/>
          <w:szCs w:val="20"/>
        </w:rPr>
        <w:t>ompany’s share of income or loss and comprehensive income on an after-tax basis.</w:t>
      </w:r>
      <w:r w:rsidR="008B680A">
        <w:rPr>
          <w:rFonts w:ascii="Arial" w:hAnsi="Arial" w:cs="Arial"/>
          <w:szCs w:val="20"/>
        </w:rPr>
        <w:t xml:space="preserve">  </w:t>
      </w:r>
      <w:r w:rsidR="008B680A" w:rsidRPr="006E4A26">
        <w:rPr>
          <w:rFonts w:ascii="Arial" w:hAnsi="Arial" w:cs="Arial"/>
          <w:szCs w:val="20"/>
        </w:rPr>
        <w:t xml:space="preserve">Dividends </w:t>
      </w:r>
      <w:r w:rsidR="008B680A">
        <w:rPr>
          <w:rFonts w:ascii="Arial" w:hAnsi="Arial" w:cs="Arial"/>
          <w:szCs w:val="20"/>
        </w:rPr>
        <w:t xml:space="preserve">or distributions </w:t>
      </w:r>
      <w:r w:rsidR="008B680A" w:rsidRPr="006E4A26">
        <w:rPr>
          <w:rFonts w:ascii="Arial" w:hAnsi="Arial" w:cs="Arial"/>
          <w:szCs w:val="20"/>
        </w:rPr>
        <w:t>received or receivable from associates and joint ventures are</w:t>
      </w:r>
      <w:r w:rsidR="008B680A">
        <w:rPr>
          <w:rFonts w:ascii="Arial" w:hAnsi="Arial" w:cs="Arial"/>
          <w:szCs w:val="20"/>
        </w:rPr>
        <w:t xml:space="preserve"> recogniz</w:t>
      </w:r>
      <w:r w:rsidR="008B680A" w:rsidRPr="006E4A26">
        <w:rPr>
          <w:rFonts w:ascii="Arial" w:hAnsi="Arial" w:cs="Arial"/>
          <w:szCs w:val="20"/>
        </w:rPr>
        <w:t>ed as a reduction in the c</w:t>
      </w:r>
      <w:r w:rsidR="008B680A">
        <w:rPr>
          <w:rFonts w:ascii="Arial" w:hAnsi="Arial" w:cs="Arial"/>
          <w:szCs w:val="20"/>
        </w:rPr>
        <w:t>arrying amount of the investments</w:t>
      </w:r>
      <w:r w:rsidR="00EF3554">
        <w:rPr>
          <w:rFonts w:ascii="Arial" w:hAnsi="Arial" w:cs="Arial"/>
          <w:szCs w:val="20"/>
        </w:rPr>
        <w:t>.</w:t>
      </w:r>
    </w:p>
    <w:p w14:paraId="1C265CE7" w14:textId="77777777" w:rsidR="001D529F" w:rsidRPr="001D529F" w:rsidRDefault="001D529F" w:rsidP="001D529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2"/>
        <w:jc w:val="both"/>
        <w:rPr>
          <w:rFonts w:ascii="Arial" w:hAnsi="Arial" w:cs="Arial"/>
          <w:szCs w:val="20"/>
        </w:rPr>
      </w:pPr>
    </w:p>
    <w:p w14:paraId="518FF477" w14:textId="0E6A6184" w:rsidR="001D529F" w:rsidRDefault="001D529F" w:rsidP="001D529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2"/>
        <w:jc w:val="both"/>
        <w:rPr>
          <w:rFonts w:ascii="Arial" w:hAnsi="Arial" w:cs="Arial"/>
          <w:szCs w:val="20"/>
        </w:rPr>
      </w:pPr>
      <w:r w:rsidRPr="001D529F">
        <w:rPr>
          <w:rFonts w:ascii="Arial" w:hAnsi="Arial" w:cs="Arial"/>
          <w:szCs w:val="20"/>
        </w:rPr>
        <w:t xml:space="preserve">Investments are reviewed for impairment at each reporting period </w:t>
      </w:r>
      <w:r>
        <w:rPr>
          <w:rFonts w:ascii="Arial" w:hAnsi="Arial" w:cs="Arial"/>
          <w:szCs w:val="20"/>
        </w:rPr>
        <w:t>by comparing</w:t>
      </w:r>
      <w:r w:rsidRPr="001D529F">
        <w:rPr>
          <w:rFonts w:ascii="Arial" w:hAnsi="Arial" w:cs="Arial"/>
          <w:szCs w:val="20"/>
        </w:rPr>
        <w:t xml:space="preserve"> recoverable amount to carrying amount when there </w:t>
      </w:r>
      <w:r>
        <w:rPr>
          <w:rFonts w:ascii="Arial" w:hAnsi="Arial" w:cs="Arial"/>
          <w:szCs w:val="20"/>
        </w:rPr>
        <w:t>is an indication of impairment.</w:t>
      </w:r>
    </w:p>
    <w:p w14:paraId="5CBE0BD0" w14:textId="77777777" w:rsidR="001D529F" w:rsidRDefault="001D529F" w:rsidP="001D529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2"/>
        <w:jc w:val="both"/>
        <w:rPr>
          <w:rFonts w:ascii="Arial" w:hAnsi="Arial" w:cs="Arial"/>
          <w:szCs w:val="20"/>
        </w:rPr>
      </w:pPr>
    </w:p>
    <w:p w14:paraId="6093171F" w14:textId="4D5F4644" w:rsidR="00790828" w:rsidRPr="00F60034" w:rsidRDefault="007619C6"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Pr>
          <w:rFonts w:ascii="Arial" w:hAnsi="Arial" w:cs="Arial"/>
          <w:szCs w:val="20"/>
        </w:rPr>
        <w:t>Foreign Currency</w:t>
      </w:r>
    </w:p>
    <w:p w14:paraId="74985FE6" w14:textId="77777777" w:rsidR="00F15B99" w:rsidRDefault="00F15B99" w:rsidP="00F15B99">
      <w:pPr>
        <w:pStyle w:val="BodyTextIndent"/>
        <w:spacing w:after="0" w:line="240" w:lineRule="auto"/>
        <w:ind w:left="792"/>
        <w:jc w:val="both"/>
        <w:rPr>
          <w:rFonts w:ascii="Arial" w:hAnsi="Arial" w:cs="Arial"/>
          <w:szCs w:val="20"/>
        </w:rPr>
      </w:pPr>
    </w:p>
    <w:p w14:paraId="2FE9F103" w14:textId="4B950AFE" w:rsidR="0012455C" w:rsidRDefault="008B680A" w:rsidP="00F15B99">
      <w:pPr>
        <w:pStyle w:val="BodyTextIndent"/>
        <w:spacing w:after="0" w:line="240" w:lineRule="auto"/>
        <w:ind w:left="792"/>
        <w:jc w:val="both"/>
        <w:rPr>
          <w:rFonts w:ascii="Arial" w:hAnsi="Arial" w:cs="Arial"/>
          <w:szCs w:val="20"/>
        </w:rPr>
      </w:pPr>
      <w:r>
        <w:rPr>
          <w:rFonts w:ascii="Arial" w:hAnsi="Arial" w:cs="Arial"/>
          <w:szCs w:val="20"/>
        </w:rPr>
        <w:t>The Company’s presentation currency is the Canadian dollar</w:t>
      </w:r>
      <w:r w:rsidRPr="0012455C">
        <w:rPr>
          <w:rFonts w:ascii="Arial" w:hAnsi="Arial" w:cs="Arial"/>
          <w:szCs w:val="20"/>
        </w:rPr>
        <w:t xml:space="preserve">. </w:t>
      </w:r>
      <w:r w:rsidR="0012455C" w:rsidRPr="0054049E">
        <w:rPr>
          <w:rFonts w:ascii="Arial" w:hAnsi="Arial" w:cs="Arial"/>
          <w:szCs w:val="20"/>
        </w:rPr>
        <w:t xml:space="preserve">The functional currency of </w:t>
      </w:r>
      <w:r w:rsidR="0012455C">
        <w:rPr>
          <w:rFonts w:ascii="Arial" w:hAnsi="Arial" w:cs="Arial"/>
          <w:szCs w:val="20"/>
        </w:rPr>
        <w:t>the</w:t>
      </w:r>
      <w:r w:rsidR="0012455C" w:rsidRPr="0054049E">
        <w:rPr>
          <w:rFonts w:ascii="Arial" w:hAnsi="Arial" w:cs="Arial"/>
          <w:szCs w:val="20"/>
        </w:rPr>
        <w:t xml:space="preserve"> parent entity, </w:t>
      </w:r>
      <w:r w:rsidR="00DE2D61">
        <w:rPr>
          <w:rFonts w:ascii="Arial" w:hAnsi="Arial" w:cs="Arial"/>
          <w:szCs w:val="20"/>
        </w:rPr>
        <w:t xml:space="preserve">BetterLife Pharma Inc. (formerly </w:t>
      </w:r>
      <w:r w:rsidR="0012455C" w:rsidRPr="0054049E">
        <w:rPr>
          <w:rFonts w:ascii="Arial" w:hAnsi="Arial" w:cs="Arial"/>
          <w:szCs w:val="20"/>
        </w:rPr>
        <w:t>Pivot Pharmaceuticals Inc.</w:t>
      </w:r>
      <w:r w:rsidR="00DE2D61">
        <w:rPr>
          <w:rFonts w:ascii="Arial" w:hAnsi="Arial" w:cs="Arial"/>
          <w:szCs w:val="20"/>
        </w:rPr>
        <w:t>)</w:t>
      </w:r>
      <w:r w:rsidR="0012455C" w:rsidRPr="0054049E">
        <w:rPr>
          <w:rFonts w:ascii="Arial" w:hAnsi="Arial" w:cs="Arial"/>
          <w:szCs w:val="20"/>
        </w:rPr>
        <w:t xml:space="preserve">, and </w:t>
      </w:r>
      <w:r w:rsidR="0012455C">
        <w:rPr>
          <w:rFonts w:ascii="Arial" w:hAnsi="Arial" w:cs="Arial"/>
          <w:szCs w:val="20"/>
        </w:rPr>
        <w:t>the</w:t>
      </w:r>
      <w:r w:rsidR="0012455C" w:rsidRPr="0054049E">
        <w:rPr>
          <w:rFonts w:ascii="Arial" w:hAnsi="Arial" w:cs="Arial"/>
          <w:szCs w:val="20"/>
        </w:rPr>
        <w:t xml:space="preserve"> wholly-owned subsidiar</w:t>
      </w:r>
      <w:r w:rsidR="00DE2D61">
        <w:rPr>
          <w:rFonts w:ascii="Arial" w:hAnsi="Arial" w:cs="Arial"/>
          <w:szCs w:val="20"/>
        </w:rPr>
        <w:t>ies</w:t>
      </w:r>
      <w:r w:rsidR="0012455C" w:rsidRPr="0054049E">
        <w:rPr>
          <w:rFonts w:ascii="Arial" w:hAnsi="Arial" w:cs="Arial"/>
          <w:szCs w:val="20"/>
        </w:rPr>
        <w:t xml:space="preserve">, </w:t>
      </w:r>
      <w:r w:rsidR="00DE2D61">
        <w:rPr>
          <w:rFonts w:ascii="Arial" w:hAnsi="Arial" w:cs="Arial"/>
          <w:szCs w:val="20"/>
        </w:rPr>
        <w:t xml:space="preserve">Pivot Pharmaceuticals Manufacturing Corp. and </w:t>
      </w:r>
      <w:r w:rsidR="0012455C" w:rsidRPr="0054049E">
        <w:rPr>
          <w:rFonts w:ascii="Arial" w:hAnsi="Arial" w:cs="Arial"/>
          <w:szCs w:val="20"/>
        </w:rPr>
        <w:t>Pivot Green Stream Health Solutions Inc., is the Canadian dollar</w:t>
      </w:r>
      <w:r w:rsidR="0012455C">
        <w:rPr>
          <w:rFonts w:ascii="Arial" w:hAnsi="Arial" w:cs="Arial"/>
          <w:szCs w:val="20"/>
        </w:rPr>
        <w:t xml:space="preserve">. </w:t>
      </w:r>
      <w:r w:rsidR="0012455C" w:rsidRPr="00F60034">
        <w:rPr>
          <w:rFonts w:ascii="Arial" w:hAnsi="Arial" w:cs="Arial"/>
          <w:szCs w:val="20"/>
        </w:rPr>
        <w:t xml:space="preserve"> </w:t>
      </w:r>
      <w:r w:rsidR="0012455C">
        <w:rPr>
          <w:rFonts w:ascii="Arial" w:hAnsi="Arial" w:cs="Arial"/>
          <w:szCs w:val="20"/>
        </w:rPr>
        <w:t xml:space="preserve">The functional currency of the wholly-owned </w:t>
      </w:r>
      <w:r w:rsidR="00DE2D61">
        <w:rPr>
          <w:rFonts w:ascii="Arial" w:hAnsi="Arial" w:cs="Arial"/>
          <w:szCs w:val="20"/>
        </w:rPr>
        <w:t xml:space="preserve">U.S. </w:t>
      </w:r>
      <w:r w:rsidR="0012455C">
        <w:rPr>
          <w:rFonts w:ascii="Arial" w:hAnsi="Arial" w:cs="Arial"/>
          <w:szCs w:val="20"/>
        </w:rPr>
        <w:t xml:space="preserve">subsidiaries, </w:t>
      </w:r>
      <w:r w:rsidR="00DE2D61">
        <w:rPr>
          <w:rFonts w:ascii="Arial" w:hAnsi="Arial" w:cs="Arial"/>
          <w:szCs w:val="20"/>
        </w:rPr>
        <w:t xml:space="preserve">Pivot Pharmaceuticals US Inc., </w:t>
      </w:r>
      <w:r w:rsidR="0012455C">
        <w:rPr>
          <w:rFonts w:ascii="Arial" w:hAnsi="Arial" w:cs="Arial"/>
          <w:szCs w:val="20"/>
        </w:rPr>
        <w:t>Pivot Naturals, LLC and Thrudermic, LLC, is the U</w:t>
      </w:r>
      <w:r w:rsidR="003225E6">
        <w:rPr>
          <w:rFonts w:ascii="Arial" w:hAnsi="Arial" w:cs="Arial"/>
          <w:szCs w:val="20"/>
        </w:rPr>
        <w:t>.</w:t>
      </w:r>
      <w:r w:rsidR="0012455C">
        <w:rPr>
          <w:rFonts w:ascii="Arial" w:hAnsi="Arial" w:cs="Arial"/>
          <w:szCs w:val="20"/>
        </w:rPr>
        <w:t>S</w:t>
      </w:r>
      <w:r w:rsidR="003225E6">
        <w:rPr>
          <w:rFonts w:ascii="Arial" w:hAnsi="Arial" w:cs="Arial"/>
          <w:szCs w:val="20"/>
        </w:rPr>
        <w:t>.</w:t>
      </w:r>
      <w:r w:rsidR="0012455C">
        <w:rPr>
          <w:rFonts w:ascii="Arial" w:hAnsi="Arial" w:cs="Arial"/>
          <w:szCs w:val="20"/>
        </w:rPr>
        <w:t xml:space="preserve"> dollar.   </w:t>
      </w:r>
      <w:r w:rsidR="00DE2D61">
        <w:rPr>
          <w:rFonts w:ascii="Arial" w:hAnsi="Arial" w:cs="Arial"/>
          <w:szCs w:val="20"/>
        </w:rPr>
        <w:t xml:space="preserve">The functional currency of the wholly-owned European subsidiary, Pivot Europe Pharmaceuticals AG, is </w:t>
      </w:r>
      <w:r w:rsidR="00C83768">
        <w:rPr>
          <w:rFonts w:ascii="Arial" w:hAnsi="Arial" w:cs="Arial"/>
          <w:szCs w:val="20"/>
        </w:rPr>
        <w:t>Swiss Francs</w:t>
      </w:r>
      <w:r w:rsidR="00DE2D61" w:rsidRPr="00313492">
        <w:rPr>
          <w:rFonts w:ascii="Arial" w:hAnsi="Arial" w:cs="Arial"/>
          <w:szCs w:val="20"/>
        </w:rPr>
        <w:t>.</w:t>
      </w:r>
    </w:p>
    <w:p w14:paraId="14A4028D" w14:textId="77777777" w:rsidR="00F15B99" w:rsidRDefault="00F15B99" w:rsidP="00F15B99">
      <w:pPr>
        <w:pStyle w:val="BodyTextIndent"/>
        <w:spacing w:after="0" w:line="240" w:lineRule="auto"/>
        <w:ind w:left="792"/>
        <w:jc w:val="both"/>
        <w:rPr>
          <w:rFonts w:ascii="Arial" w:hAnsi="Arial" w:cs="Arial"/>
          <w:szCs w:val="20"/>
        </w:rPr>
      </w:pPr>
    </w:p>
    <w:p w14:paraId="1ADA190F" w14:textId="77777777" w:rsidR="007619C6" w:rsidRPr="006438B7" w:rsidRDefault="007619C6" w:rsidP="00511CCF">
      <w:pPr>
        <w:spacing w:after="0" w:line="240" w:lineRule="auto"/>
        <w:ind w:left="810"/>
        <w:jc w:val="both"/>
        <w:rPr>
          <w:rFonts w:ascii="Arial" w:hAnsi="Arial" w:cs="Arial"/>
          <w:szCs w:val="20"/>
          <w:u w:val="single"/>
        </w:rPr>
      </w:pPr>
      <w:r w:rsidRPr="006438B7">
        <w:rPr>
          <w:rFonts w:ascii="Arial" w:hAnsi="Arial" w:cs="Arial"/>
          <w:szCs w:val="20"/>
          <w:u w:val="single"/>
        </w:rPr>
        <w:t>Foreign currency transactions</w:t>
      </w:r>
    </w:p>
    <w:p w14:paraId="3C001C02" w14:textId="77777777" w:rsidR="007619C6" w:rsidRPr="006438B7" w:rsidRDefault="007619C6" w:rsidP="00511CCF">
      <w:pPr>
        <w:spacing w:after="0" w:line="240" w:lineRule="auto"/>
        <w:ind w:left="810"/>
        <w:jc w:val="both"/>
        <w:rPr>
          <w:rFonts w:ascii="Arial" w:hAnsi="Arial" w:cs="Arial"/>
          <w:szCs w:val="20"/>
        </w:rPr>
      </w:pPr>
      <w:r w:rsidRPr="006438B7">
        <w:rPr>
          <w:rFonts w:ascii="Arial" w:hAnsi="Arial" w:cs="Arial"/>
          <w:szCs w:val="20"/>
        </w:rPr>
        <w:t>Transactions in foreign currencies are translated to the respective functional currencies of the Company and its subsidiar</w:t>
      </w:r>
      <w:r>
        <w:rPr>
          <w:rFonts w:ascii="Arial" w:hAnsi="Arial" w:cs="Arial"/>
          <w:szCs w:val="20"/>
        </w:rPr>
        <w:t xml:space="preserve">ies </w:t>
      </w:r>
      <w:r w:rsidRPr="006438B7">
        <w:rPr>
          <w:rFonts w:ascii="Arial" w:hAnsi="Arial" w:cs="Arial"/>
          <w:szCs w:val="20"/>
        </w:rPr>
        <w:t>at the exchange rate in effect at the transaction date.  Monetary assets and liabilities denominated in other than the functional currency are translated at the exchange rates in effect at the financial position date.  The resulting exchange gains and losses are recognized in profit or loss. Non-monetary assets and liabilities denominated in other than the functional currency that are measured at fair value are translated to the functional currency at the exchange rate at the date that th</w:t>
      </w:r>
      <w:r>
        <w:rPr>
          <w:rFonts w:ascii="Arial" w:hAnsi="Arial" w:cs="Arial"/>
          <w:szCs w:val="20"/>
        </w:rPr>
        <w:t>e fair value is determined. Non</w:t>
      </w:r>
      <w:r w:rsidRPr="006438B7">
        <w:rPr>
          <w:rFonts w:ascii="Arial" w:hAnsi="Arial" w:cs="Arial"/>
          <w:szCs w:val="20"/>
        </w:rPr>
        <w:t xml:space="preserve">-monetary items that are measured in terms of historical cost in other than the functional currency are translated using the exchange rate at the date of transaction.    </w:t>
      </w:r>
    </w:p>
    <w:p w14:paraId="6B3F3E1C" w14:textId="77777777" w:rsidR="007619C6" w:rsidRDefault="007619C6" w:rsidP="00511CCF">
      <w:pPr>
        <w:spacing w:after="0" w:line="240" w:lineRule="auto"/>
        <w:ind w:left="810"/>
        <w:jc w:val="both"/>
        <w:rPr>
          <w:rFonts w:ascii="Arial" w:hAnsi="Arial" w:cs="Arial"/>
          <w:szCs w:val="20"/>
          <w:u w:val="single"/>
        </w:rPr>
      </w:pPr>
    </w:p>
    <w:p w14:paraId="743E99A7" w14:textId="77777777" w:rsidR="007619C6" w:rsidRPr="006438B7" w:rsidRDefault="007619C6" w:rsidP="00511CCF">
      <w:pPr>
        <w:spacing w:after="0" w:line="240" w:lineRule="auto"/>
        <w:ind w:left="810"/>
        <w:jc w:val="both"/>
        <w:rPr>
          <w:rFonts w:ascii="Arial" w:hAnsi="Arial" w:cs="Arial"/>
          <w:szCs w:val="20"/>
          <w:u w:val="single"/>
        </w:rPr>
      </w:pPr>
      <w:r w:rsidRPr="006438B7">
        <w:rPr>
          <w:rFonts w:ascii="Arial" w:hAnsi="Arial" w:cs="Arial"/>
          <w:szCs w:val="20"/>
          <w:u w:val="single"/>
        </w:rPr>
        <w:t>Foreign operations</w:t>
      </w:r>
    </w:p>
    <w:p w14:paraId="05EAE21F" w14:textId="3AEBDA22" w:rsidR="00790828" w:rsidRDefault="007619C6" w:rsidP="00511CCF">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810"/>
        <w:jc w:val="both"/>
        <w:rPr>
          <w:rFonts w:ascii="Arial" w:hAnsi="Arial" w:cs="Arial"/>
          <w:szCs w:val="20"/>
        </w:rPr>
      </w:pPr>
      <w:r w:rsidRPr="006438B7">
        <w:rPr>
          <w:rFonts w:ascii="Arial" w:hAnsi="Arial" w:cs="Arial"/>
          <w:szCs w:val="20"/>
        </w:rPr>
        <w:t xml:space="preserve">For consolidation purposes, the assets and liabilities of foreign operations are translated to the presentation currency using the exchange rate prevailing at the financial position date.  The income and expenses of foreign operations are translated to the presentation currency using the average rates of exchange during the </w:t>
      </w:r>
      <w:r w:rsidR="00EF3554">
        <w:rPr>
          <w:rFonts w:ascii="Arial" w:hAnsi="Arial" w:cs="Arial"/>
          <w:szCs w:val="20"/>
        </w:rPr>
        <w:t>period</w:t>
      </w:r>
      <w:r w:rsidRPr="006438B7">
        <w:rPr>
          <w:rFonts w:ascii="Arial" w:hAnsi="Arial" w:cs="Arial"/>
          <w:szCs w:val="20"/>
        </w:rPr>
        <w:t xml:space="preserve">.  All resulting exchange differences are recorded as other comprehensive </w:t>
      </w:r>
      <w:r>
        <w:rPr>
          <w:rFonts w:ascii="Arial" w:hAnsi="Arial" w:cs="Arial"/>
          <w:szCs w:val="20"/>
        </w:rPr>
        <w:t>income (loss)</w:t>
      </w:r>
      <w:r w:rsidRPr="006438B7">
        <w:rPr>
          <w:rFonts w:ascii="Arial" w:hAnsi="Arial" w:cs="Arial"/>
          <w:szCs w:val="20"/>
        </w:rPr>
        <w:t xml:space="preserve"> and accumulated in a separate component of shareholders’ equity, described as foreign currency translation adjustment.</w:t>
      </w:r>
    </w:p>
    <w:p w14:paraId="6D718BCB" w14:textId="77777777" w:rsidR="006F2161" w:rsidRDefault="006F2161">
      <w:pPr>
        <w:rPr>
          <w:rFonts w:ascii="Arial" w:hAnsi="Arial" w:cs="Arial"/>
          <w:b/>
          <w:bCs/>
          <w:szCs w:val="20"/>
        </w:rPr>
      </w:pPr>
      <w:r>
        <w:rPr>
          <w:rFonts w:ascii="Arial" w:hAnsi="Arial" w:cs="Arial"/>
          <w:b/>
          <w:bCs/>
          <w:szCs w:val="20"/>
        </w:rPr>
        <w:br w:type="page"/>
      </w:r>
    </w:p>
    <w:p w14:paraId="59F56CE7" w14:textId="375FB362" w:rsidR="006F2161" w:rsidRPr="00F60034" w:rsidRDefault="006F2161" w:rsidP="006F2161">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lastRenderedPageBreak/>
        <w:t>2</w:t>
      </w:r>
      <w:r w:rsidRPr="00F60034">
        <w:rPr>
          <w:rFonts w:ascii="Arial" w:hAnsi="Arial" w:cs="Arial"/>
          <w:b/>
          <w:bCs/>
          <w:szCs w:val="20"/>
        </w:rPr>
        <w:t>.</w:t>
      </w:r>
      <w:r w:rsidRPr="00F60034">
        <w:rPr>
          <w:rFonts w:ascii="Arial" w:hAnsi="Arial" w:cs="Arial"/>
          <w:b/>
          <w:bCs/>
          <w:szCs w:val="20"/>
        </w:rPr>
        <w:tab/>
        <w:t>Significant Accounting Policies</w:t>
      </w:r>
      <w:r w:rsidRPr="00F60034">
        <w:rPr>
          <w:rFonts w:ascii="Arial" w:hAnsi="Arial" w:cs="Arial"/>
          <w:bCs/>
          <w:szCs w:val="20"/>
        </w:rPr>
        <w:t xml:space="preserve"> (continued)</w:t>
      </w:r>
    </w:p>
    <w:p w14:paraId="43EFCFF0" w14:textId="2F3DFCF5" w:rsidR="00364E20" w:rsidRDefault="00364E20" w:rsidP="00F15B99">
      <w:pPr>
        <w:spacing w:after="0"/>
        <w:rPr>
          <w:rFonts w:ascii="Arial" w:hAnsi="Arial" w:cs="Arial"/>
          <w:b/>
          <w:bCs/>
          <w:szCs w:val="20"/>
        </w:rPr>
      </w:pPr>
    </w:p>
    <w:p w14:paraId="06C6E606" w14:textId="09E0621C" w:rsidR="0012455C" w:rsidRPr="00F60034" w:rsidRDefault="00862D99"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Pr>
          <w:rFonts w:ascii="Arial" w:hAnsi="Arial" w:cs="Arial"/>
          <w:szCs w:val="20"/>
        </w:rPr>
        <w:t>Financial Instruments</w:t>
      </w:r>
    </w:p>
    <w:p w14:paraId="1373510B" w14:textId="77777777" w:rsidR="000030D9" w:rsidRDefault="000030D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17702D1C" w14:textId="3D483FC3" w:rsidR="007619C6" w:rsidRPr="00D301D2" w:rsidRDefault="00170927" w:rsidP="007619C6">
      <w:pPr>
        <w:spacing w:after="0" w:line="240" w:lineRule="auto"/>
        <w:ind w:left="810"/>
        <w:jc w:val="both"/>
        <w:rPr>
          <w:rFonts w:ascii="Arial" w:hAnsi="Arial" w:cs="Arial"/>
          <w:szCs w:val="20"/>
          <w:u w:val="single"/>
        </w:rPr>
      </w:pPr>
      <w:r>
        <w:rPr>
          <w:rFonts w:ascii="Arial" w:hAnsi="Arial" w:cs="Arial"/>
          <w:szCs w:val="20"/>
          <w:u w:val="single"/>
        </w:rPr>
        <w:t>Financial i</w:t>
      </w:r>
      <w:r w:rsidR="007619C6" w:rsidRPr="00D301D2">
        <w:rPr>
          <w:rFonts w:ascii="Arial" w:hAnsi="Arial" w:cs="Arial"/>
          <w:szCs w:val="20"/>
          <w:u w:val="single"/>
        </w:rPr>
        <w:t>nstruments - classification and measurement</w:t>
      </w:r>
    </w:p>
    <w:p w14:paraId="457F5640" w14:textId="77777777" w:rsidR="007619C6" w:rsidRDefault="007619C6" w:rsidP="007619C6">
      <w:pPr>
        <w:spacing w:after="0" w:line="240" w:lineRule="auto"/>
        <w:ind w:left="792"/>
        <w:jc w:val="both"/>
        <w:rPr>
          <w:rFonts w:ascii="Arial" w:hAnsi="Arial" w:cs="Arial"/>
          <w:szCs w:val="20"/>
        </w:rPr>
      </w:pPr>
    </w:p>
    <w:p w14:paraId="411CAF3D" w14:textId="051C0EEA" w:rsidR="007619C6" w:rsidRPr="00D301D2" w:rsidRDefault="007619C6" w:rsidP="007619C6">
      <w:pPr>
        <w:spacing w:after="0" w:line="240" w:lineRule="auto"/>
        <w:ind w:left="810"/>
        <w:jc w:val="both"/>
        <w:rPr>
          <w:rFonts w:ascii="Arial" w:hAnsi="Arial" w:cs="Arial"/>
          <w:i/>
          <w:iCs/>
          <w:szCs w:val="20"/>
        </w:rPr>
      </w:pPr>
      <w:r w:rsidRPr="00D301D2">
        <w:rPr>
          <w:rFonts w:ascii="Arial" w:hAnsi="Arial" w:cs="Arial"/>
          <w:i/>
          <w:iCs/>
          <w:szCs w:val="20"/>
        </w:rPr>
        <w:t>Financial Asset</w:t>
      </w:r>
      <w:r w:rsidR="00EF3554">
        <w:rPr>
          <w:rFonts w:ascii="Arial" w:hAnsi="Arial" w:cs="Arial"/>
          <w:i/>
          <w:iCs/>
          <w:szCs w:val="20"/>
        </w:rPr>
        <w:t>s</w:t>
      </w:r>
    </w:p>
    <w:p w14:paraId="047B96C6" w14:textId="77777777" w:rsidR="007619C6" w:rsidRDefault="007619C6" w:rsidP="007619C6">
      <w:pPr>
        <w:spacing w:after="0" w:line="240" w:lineRule="auto"/>
        <w:ind w:left="810"/>
        <w:jc w:val="both"/>
        <w:rPr>
          <w:rFonts w:ascii="Arial" w:hAnsi="Arial" w:cs="Arial"/>
          <w:szCs w:val="20"/>
        </w:rPr>
      </w:pPr>
      <w:r w:rsidRPr="00D301D2">
        <w:rPr>
          <w:rFonts w:ascii="Arial" w:hAnsi="Arial" w:cs="Arial"/>
          <w:szCs w:val="20"/>
        </w:rPr>
        <w:t>The classification and measurement of financial assets is based on the Company’s business</w:t>
      </w:r>
      <w:r>
        <w:rPr>
          <w:rFonts w:ascii="Arial" w:hAnsi="Arial" w:cs="Arial"/>
          <w:szCs w:val="20"/>
        </w:rPr>
        <w:t xml:space="preserve"> </w:t>
      </w:r>
      <w:r w:rsidRPr="00D301D2">
        <w:rPr>
          <w:rFonts w:ascii="Arial" w:hAnsi="Arial" w:cs="Arial"/>
          <w:szCs w:val="20"/>
        </w:rPr>
        <w:t>models for managing its financial assets and whether the contractual cash flows represent</w:t>
      </w:r>
      <w:r>
        <w:rPr>
          <w:rFonts w:ascii="Arial" w:hAnsi="Arial" w:cs="Arial"/>
          <w:szCs w:val="20"/>
        </w:rPr>
        <w:t xml:space="preserve"> </w:t>
      </w:r>
      <w:r w:rsidRPr="00D301D2">
        <w:rPr>
          <w:rFonts w:ascii="Arial" w:hAnsi="Arial" w:cs="Arial"/>
          <w:szCs w:val="20"/>
        </w:rPr>
        <w:t>solely payments of principal and interest (“SPPI”). Financial assets are initially measured at</w:t>
      </w:r>
      <w:r>
        <w:rPr>
          <w:rFonts w:ascii="Arial" w:hAnsi="Arial" w:cs="Arial"/>
          <w:szCs w:val="20"/>
        </w:rPr>
        <w:t xml:space="preserve"> </w:t>
      </w:r>
      <w:r w:rsidRPr="00D301D2">
        <w:rPr>
          <w:rFonts w:ascii="Arial" w:hAnsi="Arial" w:cs="Arial"/>
          <w:szCs w:val="20"/>
        </w:rPr>
        <w:t>fair value and are subsequently measured at either (i) amortized cost; (ii) fair value through</w:t>
      </w:r>
      <w:r>
        <w:rPr>
          <w:rFonts w:ascii="Arial" w:hAnsi="Arial" w:cs="Arial"/>
          <w:szCs w:val="20"/>
        </w:rPr>
        <w:t xml:space="preserve"> </w:t>
      </w:r>
      <w:r w:rsidRPr="00D301D2">
        <w:rPr>
          <w:rFonts w:ascii="Arial" w:hAnsi="Arial" w:cs="Arial"/>
          <w:szCs w:val="20"/>
        </w:rPr>
        <w:t>other comprehensive income, or (iii) at fair value through profit or loss.</w:t>
      </w:r>
    </w:p>
    <w:p w14:paraId="1453D4B7" w14:textId="77777777" w:rsidR="007619C6" w:rsidRDefault="007619C6" w:rsidP="007619C6">
      <w:pPr>
        <w:spacing w:after="0" w:line="240" w:lineRule="auto"/>
        <w:ind w:left="810"/>
        <w:jc w:val="both"/>
        <w:rPr>
          <w:rFonts w:ascii="Arial" w:hAnsi="Arial" w:cs="Arial"/>
          <w:szCs w:val="20"/>
        </w:rPr>
      </w:pPr>
    </w:p>
    <w:p w14:paraId="6F143F74" w14:textId="77777777" w:rsidR="007619C6" w:rsidRPr="00D301D2" w:rsidRDefault="007619C6" w:rsidP="007619C6">
      <w:pPr>
        <w:spacing w:after="0" w:line="240" w:lineRule="auto"/>
        <w:ind w:left="810"/>
        <w:jc w:val="both"/>
        <w:rPr>
          <w:rFonts w:ascii="Arial" w:hAnsi="Arial" w:cs="Arial"/>
          <w:szCs w:val="20"/>
        </w:rPr>
      </w:pPr>
      <w:r w:rsidRPr="00D301D2">
        <w:rPr>
          <w:rFonts w:ascii="Arial" w:hAnsi="Arial" w:cs="Arial"/>
          <w:szCs w:val="20"/>
        </w:rPr>
        <w:t>• Amortized cost</w:t>
      </w:r>
    </w:p>
    <w:p w14:paraId="76D33036" w14:textId="41DAED14" w:rsidR="007619C6" w:rsidRDefault="007619C6" w:rsidP="007619C6">
      <w:pPr>
        <w:spacing w:after="0" w:line="240" w:lineRule="auto"/>
        <w:ind w:left="810"/>
        <w:jc w:val="both"/>
        <w:rPr>
          <w:rFonts w:ascii="Arial" w:hAnsi="Arial" w:cs="Arial"/>
          <w:szCs w:val="20"/>
        </w:rPr>
      </w:pPr>
      <w:r w:rsidRPr="00D301D2">
        <w:rPr>
          <w:rFonts w:ascii="Arial" w:hAnsi="Arial" w:cs="Arial"/>
          <w:szCs w:val="20"/>
        </w:rPr>
        <w:t>Financial assets classified and measured at amortized cost are those assets that are held within</w:t>
      </w:r>
      <w:r>
        <w:rPr>
          <w:rFonts w:ascii="Arial" w:hAnsi="Arial" w:cs="Arial"/>
          <w:szCs w:val="20"/>
        </w:rPr>
        <w:t xml:space="preserve"> </w:t>
      </w:r>
      <w:r w:rsidRPr="00D301D2">
        <w:rPr>
          <w:rFonts w:ascii="Arial" w:hAnsi="Arial" w:cs="Arial"/>
          <w:szCs w:val="20"/>
        </w:rPr>
        <w:t>a business model whose objective is to hold financial assets in order to collect contractual</w:t>
      </w:r>
      <w:r>
        <w:rPr>
          <w:rFonts w:ascii="Arial" w:hAnsi="Arial" w:cs="Arial"/>
          <w:szCs w:val="20"/>
        </w:rPr>
        <w:t xml:space="preserve"> </w:t>
      </w:r>
      <w:r w:rsidRPr="00D301D2">
        <w:rPr>
          <w:rFonts w:ascii="Arial" w:hAnsi="Arial" w:cs="Arial"/>
          <w:szCs w:val="20"/>
        </w:rPr>
        <w:t>cash flows, and the contractual terms of the financial asset give rise to cash flows that are</w:t>
      </w:r>
      <w:r>
        <w:rPr>
          <w:rFonts w:ascii="Arial" w:hAnsi="Arial" w:cs="Arial"/>
          <w:szCs w:val="20"/>
        </w:rPr>
        <w:t xml:space="preserve"> </w:t>
      </w:r>
      <w:r w:rsidRPr="00D301D2">
        <w:rPr>
          <w:rFonts w:ascii="Arial" w:hAnsi="Arial" w:cs="Arial"/>
          <w:szCs w:val="20"/>
        </w:rPr>
        <w:t>SPPI. Financial assets classified at amortized cost are measured using the effective interest</w:t>
      </w:r>
      <w:r>
        <w:rPr>
          <w:rFonts w:ascii="Arial" w:hAnsi="Arial" w:cs="Arial"/>
          <w:szCs w:val="20"/>
        </w:rPr>
        <w:t xml:space="preserve"> </w:t>
      </w:r>
      <w:r w:rsidRPr="00D301D2">
        <w:rPr>
          <w:rFonts w:ascii="Arial" w:hAnsi="Arial" w:cs="Arial"/>
          <w:szCs w:val="20"/>
        </w:rPr>
        <w:t>method. The Company’s cash</w:t>
      </w:r>
      <w:r w:rsidR="00E13F53">
        <w:rPr>
          <w:rFonts w:ascii="Arial" w:hAnsi="Arial" w:cs="Arial"/>
          <w:szCs w:val="20"/>
        </w:rPr>
        <w:t xml:space="preserve">, </w:t>
      </w:r>
      <w:r w:rsidR="00C135E2">
        <w:rPr>
          <w:rFonts w:ascii="Arial" w:hAnsi="Arial" w:cs="Arial"/>
          <w:szCs w:val="20"/>
        </w:rPr>
        <w:t>amounts receivable</w:t>
      </w:r>
      <w:r w:rsidR="00E13F53">
        <w:rPr>
          <w:rFonts w:ascii="Arial" w:hAnsi="Arial" w:cs="Arial"/>
          <w:szCs w:val="20"/>
        </w:rPr>
        <w:t xml:space="preserve"> and loan receivable</w:t>
      </w:r>
      <w:r w:rsidR="00C135E2">
        <w:rPr>
          <w:rFonts w:ascii="Arial" w:hAnsi="Arial" w:cs="Arial"/>
          <w:szCs w:val="20"/>
        </w:rPr>
        <w:t xml:space="preserve"> </w:t>
      </w:r>
      <w:r w:rsidRPr="00D301D2">
        <w:rPr>
          <w:rFonts w:ascii="Arial" w:hAnsi="Arial" w:cs="Arial"/>
          <w:szCs w:val="20"/>
        </w:rPr>
        <w:t>are classified in this category.</w:t>
      </w:r>
    </w:p>
    <w:p w14:paraId="1EED7730" w14:textId="77777777" w:rsidR="007619C6" w:rsidRPr="00D301D2" w:rsidRDefault="007619C6" w:rsidP="007619C6">
      <w:pPr>
        <w:spacing w:after="0" w:line="240" w:lineRule="auto"/>
        <w:ind w:left="810"/>
        <w:jc w:val="both"/>
        <w:rPr>
          <w:rFonts w:ascii="Arial" w:hAnsi="Arial" w:cs="Arial"/>
          <w:szCs w:val="20"/>
        </w:rPr>
      </w:pPr>
    </w:p>
    <w:p w14:paraId="170231C0" w14:textId="77777777" w:rsidR="007619C6" w:rsidRPr="00D301D2" w:rsidRDefault="007619C6" w:rsidP="007619C6">
      <w:pPr>
        <w:spacing w:after="0" w:line="240" w:lineRule="auto"/>
        <w:ind w:left="810"/>
        <w:jc w:val="both"/>
        <w:rPr>
          <w:rFonts w:ascii="Arial" w:hAnsi="Arial" w:cs="Arial"/>
          <w:szCs w:val="20"/>
        </w:rPr>
      </w:pPr>
      <w:r w:rsidRPr="00D301D2">
        <w:rPr>
          <w:rFonts w:ascii="Arial" w:hAnsi="Arial" w:cs="Arial"/>
          <w:szCs w:val="20"/>
        </w:rPr>
        <w:t>• Fair value through other comprehensive income (“FVTOCI”)</w:t>
      </w:r>
    </w:p>
    <w:p w14:paraId="4A3B46E6" w14:textId="77777777" w:rsidR="007619C6" w:rsidRDefault="007619C6" w:rsidP="007619C6">
      <w:pPr>
        <w:spacing w:after="0" w:line="240" w:lineRule="auto"/>
        <w:ind w:left="810"/>
        <w:jc w:val="both"/>
        <w:rPr>
          <w:rFonts w:ascii="Arial" w:hAnsi="Arial" w:cs="Arial"/>
          <w:szCs w:val="20"/>
        </w:rPr>
      </w:pPr>
      <w:r w:rsidRPr="00D301D2">
        <w:rPr>
          <w:rFonts w:ascii="Arial" w:hAnsi="Arial" w:cs="Arial"/>
          <w:szCs w:val="20"/>
        </w:rPr>
        <w:t>Financial assets classified and measured at FVTOCI are those assets that are held within a</w:t>
      </w:r>
      <w:r>
        <w:rPr>
          <w:rFonts w:ascii="Arial" w:hAnsi="Arial" w:cs="Arial"/>
          <w:szCs w:val="20"/>
        </w:rPr>
        <w:t xml:space="preserve"> </w:t>
      </w:r>
      <w:r w:rsidRPr="00D301D2">
        <w:rPr>
          <w:rFonts w:ascii="Arial" w:hAnsi="Arial" w:cs="Arial"/>
          <w:szCs w:val="20"/>
        </w:rPr>
        <w:t>business model whose objective is achieved by both collecting contractual cash flows and</w:t>
      </w:r>
      <w:r>
        <w:rPr>
          <w:rFonts w:ascii="Arial" w:hAnsi="Arial" w:cs="Arial"/>
          <w:szCs w:val="20"/>
        </w:rPr>
        <w:t xml:space="preserve"> </w:t>
      </w:r>
      <w:r w:rsidRPr="00D301D2">
        <w:rPr>
          <w:rFonts w:ascii="Arial" w:hAnsi="Arial" w:cs="Arial"/>
          <w:szCs w:val="20"/>
        </w:rPr>
        <w:t>selling financial assets, and the contractual terms of the financial asset give rise to cash flows</w:t>
      </w:r>
      <w:r>
        <w:rPr>
          <w:rFonts w:ascii="Arial" w:hAnsi="Arial" w:cs="Arial"/>
          <w:szCs w:val="20"/>
        </w:rPr>
        <w:t xml:space="preserve"> </w:t>
      </w:r>
      <w:r w:rsidRPr="00D301D2">
        <w:rPr>
          <w:rFonts w:ascii="Arial" w:hAnsi="Arial" w:cs="Arial"/>
          <w:szCs w:val="20"/>
        </w:rPr>
        <w:t>that are SPPI.</w:t>
      </w:r>
    </w:p>
    <w:p w14:paraId="5F1BCF94" w14:textId="77777777" w:rsidR="007619C6" w:rsidRPr="00D301D2" w:rsidRDefault="007619C6" w:rsidP="007619C6">
      <w:pPr>
        <w:spacing w:after="0" w:line="240" w:lineRule="auto"/>
        <w:ind w:left="810"/>
        <w:jc w:val="both"/>
        <w:rPr>
          <w:rFonts w:ascii="Arial" w:hAnsi="Arial" w:cs="Arial"/>
          <w:szCs w:val="20"/>
        </w:rPr>
      </w:pPr>
    </w:p>
    <w:p w14:paraId="48F73B6E" w14:textId="77777777" w:rsidR="007619C6" w:rsidRPr="00D301D2" w:rsidRDefault="007619C6" w:rsidP="007619C6">
      <w:pPr>
        <w:spacing w:after="0" w:line="240" w:lineRule="auto"/>
        <w:ind w:left="810"/>
        <w:jc w:val="both"/>
        <w:rPr>
          <w:rFonts w:ascii="Arial" w:hAnsi="Arial" w:cs="Arial"/>
          <w:szCs w:val="20"/>
        </w:rPr>
      </w:pPr>
      <w:r w:rsidRPr="00D301D2">
        <w:rPr>
          <w:rFonts w:ascii="Arial" w:hAnsi="Arial" w:cs="Arial"/>
          <w:szCs w:val="20"/>
        </w:rPr>
        <w:t>• Fair value through profit or loss (“FVTPL”)</w:t>
      </w:r>
    </w:p>
    <w:p w14:paraId="4FAFBC8F" w14:textId="1EED2998" w:rsidR="007619C6" w:rsidRPr="00D301D2" w:rsidRDefault="007619C6" w:rsidP="007619C6">
      <w:pPr>
        <w:spacing w:after="0" w:line="240" w:lineRule="auto"/>
        <w:ind w:left="810"/>
        <w:jc w:val="both"/>
        <w:rPr>
          <w:rFonts w:ascii="Arial" w:hAnsi="Arial" w:cs="Arial"/>
          <w:szCs w:val="20"/>
        </w:rPr>
      </w:pPr>
      <w:r w:rsidRPr="00D301D2">
        <w:rPr>
          <w:rFonts w:ascii="Arial" w:hAnsi="Arial" w:cs="Arial"/>
          <w:szCs w:val="20"/>
        </w:rPr>
        <w:t>Financial assets classified and measured at FVTPL are those assets that do not meet the</w:t>
      </w:r>
      <w:r>
        <w:rPr>
          <w:rFonts w:ascii="Arial" w:hAnsi="Arial" w:cs="Arial"/>
          <w:szCs w:val="20"/>
        </w:rPr>
        <w:t xml:space="preserve"> </w:t>
      </w:r>
      <w:r w:rsidRPr="00D301D2">
        <w:rPr>
          <w:rFonts w:ascii="Arial" w:hAnsi="Arial" w:cs="Arial"/>
          <w:szCs w:val="20"/>
        </w:rPr>
        <w:t>criteria to be classified at amortized cost or at FVTOCI.</w:t>
      </w:r>
    </w:p>
    <w:p w14:paraId="422B6FE3" w14:textId="77777777" w:rsidR="007619C6" w:rsidRDefault="007619C6" w:rsidP="007619C6">
      <w:pPr>
        <w:spacing w:after="0" w:line="240" w:lineRule="auto"/>
        <w:ind w:left="810"/>
        <w:jc w:val="both"/>
        <w:rPr>
          <w:rFonts w:ascii="Arial" w:hAnsi="Arial" w:cs="Arial"/>
          <w:i/>
          <w:iCs/>
          <w:szCs w:val="20"/>
        </w:rPr>
      </w:pPr>
    </w:p>
    <w:p w14:paraId="5B4B65A6" w14:textId="77777777" w:rsidR="007619C6" w:rsidRPr="00D301D2" w:rsidRDefault="007619C6" w:rsidP="007619C6">
      <w:pPr>
        <w:spacing w:after="0" w:line="240" w:lineRule="auto"/>
        <w:ind w:left="810"/>
        <w:jc w:val="both"/>
        <w:rPr>
          <w:rFonts w:ascii="Arial" w:hAnsi="Arial" w:cs="Arial"/>
          <w:i/>
          <w:iCs/>
          <w:szCs w:val="20"/>
        </w:rPr>
      </w:pPr>
      <w:r w:rsidRPr="00D301D2">
        <w:rPr>
          <w:rFonts w:ascii="Arial" w:hAnsi="Arial" w:cs="Arial"/>
          <w:i/>
          <w:iCs/>
          <w:szCs w:val="20"/>
        </w:rPr>
        <w:t>Financial Liabilities</w:t>
      </w:r>
    </w:p>
    <w:p w14:paraId="76876D63" w14:textId="6894359F" w:rsidR="007619C6" w:rsidRPr="00D301D2" w:rsidRDefault="007619C6" w:rsidP="007619C6">
      <w:pPr>
        <w:spacing w:after="0" w:line="240" w:lineRule="auto"/>
        <w:ind w:left="810"/>
        <w:jc w:val="both"/>
        <w:rPr>
          <w:rFonts w:ascii="Arial" w:hAnsi="Arial" w:cs="Arial"/>
          <w:szCs w:val="20"/>
        </w:rPr>
      </w:pPr>
      <w:r w:rsidRPr="00D301D2">
        <w:rPr>
          <w:rFonts w:ascii="Arial" w:hAnsi="Arial" w:cs="Arial"/>
          <w:szCs w:val="20"/>
        </w:rPr>
        <w:t>All financial li</w:t>
      </w:r>
      <w:r w:rsidR="00C135E2">
        <w:rPr>
          <w:rFonts w:ascii="Arial" w:hAnsi="Arial" w:cs="Arial"/>
          <w:szCs w:val="20"/>
        </w:rPr>
        <w:t>abilities are initially recogniz</w:t>
      </w:r>
      <w:r w:rsidRPr="00D301D2">
        <w:rPr>
          <w:rFonts w:ascii="Arial" w:hAnsi="Arial" w:cs="Arial"/>
          <w:szCs w:val="20"/>
        </w:rPr>
        <w:t>ed at fair value plus or minus transactions costs that are directly attributable to issuing the financial liability. Financial lia</w:t>
      </w:r>
      <w:r w:rsidR="00C135E2">
        <w:rPr>
          <w:rFonts w:ascii="Arial" w:hAnsi="Arial" w:cs="Arial"/>
          <w:szCs w:val="20"/>
        </w:rPr>
        <w:t>bilities are measured at amortiz</w:t>
      </w:r>
      <w:r w:rsidRPr="00D301D2">
        <w:rPr>
          <w:rFonts w:ascii="Arial" w:hAnsi="Arial" w:cs="Arial"/>
          <w:szCs w:val="20"/>
        </w:rPr>
        <w:t>ed cost, unless they are required to be measured at FVTPL. The Company’s accounts payable and accrued liabilities</w:t>
      </w:r>
      <w:r>
        <w:rPr>
          <w:rFonts w:ascii="Arial" w:hAnsi="Arial" w:cs="Arial"/>
          <w:szCs w:val="20"/>
        </w:rPr>
        <w:t>, due to related parties</w:t>
      </w:r>
      <w:r w:rsidR="00C135E2">
        <w:rPr>
          <w:rFonts w:ascii="Arial" w:hAnsi="Arial" w:cs="Arial"/>
          <w:szCs w:val="20"/>
        </w:rPr>
        <w:t>, convertible debentures</w:t>
      </w:r>
      <w:r>
        <w:rPr>
          <w:rFonts w:ascii="Arial" w:hAnsi="Arial" w:cs="Arial"/>
          <w:szCs w:val="20"/>
        </w:rPr>
        <w:t xml:space="preserve"> and promissory notes</w:t>
      </w:r>
      <w:r w:rsidRPr="00D301D2">
        <w:rPr>
          <w:rFonts w:ascii="Arial" w:hAnsi="Arial" w:cs="Arial"/>
          <w:szCs w:val="20"/>
        </w:rPr>
        <w:t xml:space="preserve"> are measured at amortized cost.</w:t>
      </w:r>
    </w:p>
    <w:p w14:paraId="447C783C" w14:textId="77777777" w:rsidR="007619C6" w:rsidRDefault="007619C6" w:rsidP="007619C6">
      <w:pPr>
        <w:spacing w:after="0" w:line="240" w:lineRule="auto"/>
        <w:ind w:left="810"/>
        <w:jc w:val="both"/>
        <w:rPr>
          <w:rFonts w:ascii="Arial" w:hAnsi="Arial" w:cs="Arial"/>
          <w:szCs w:val="20"/>
          <w:u w:val="single"/>
        </w:rPr>
      </w:pPr>
    </w:p>
    <w:p w14:paraId="761D66A4" w14:textId="4240C0D9" w:rsidR="007619C6" w:rsidRPr="00240949" w:rsidRDefault="007619C6" w:rsidP="007619C6">
      <w:pPr>
        <w:spacing w:after="0" w:line="240" w:lineRule="auto"/>
        <w:ind w:left="810"/>
        <w:jc w:val="both"/>
        <w:rPr>
          <w:rFonts w:ascii="Arial" w:hAnsi="Arial" w:cs="Arial"/>
          <w:szCs w:val="20"/>
          <w:u w:val="single"/>
        </w:rPr>
      </w:pPr>
      <w:r w:rsidRPr="00240949">
        <w:rPr>
          <w:rFonts w:ascii="Arial" w:hAnsi="Arial" w:cs="Arial"/>
          <w:szCs w:val="20"/>
          <w:u w:val="single"/>
        </w:rPr>
        <w:t xml:space="preserve">Financial </w:t>
      </w:r>
      <w:r w:rsidR="00170927">
        <w:rPr>
          <w:rFonts w:ascii="Arial" w:hAnsi="Arial" w:cs="Arial"/>
          <w:szCs w:val="20"/>
          <w:u w:val="single"/>
        </w:rPr>
        <w:t>instruments - i</w:t>
      </w:r>
      <w:r w:rsidRPr="00240949">
        <w:rPr>
          <w:rFonts w:ascii="Arial" w:hAnsi="Arial" w:cs="Arial"/>
          <w:szCs w:val="20"/>
          <w:u w:val="single"/>
        </w:rPr>
        <w:t>mpairment of financial assets</w:t>
      </w:r>
    </w:p>
    <w:p w14:paraId="60F7A167" w14:textId="7C47343E" w:rsidR="007619C6" w:rsidRPr="00240949" w:rsidRDefault="007619C6" w:rsidP="007619C6">
      <w:pPr>
        <w:spacing w:after="0" w:line="240" w:lineRule="auto"/>
        <w:ind w:left="810"/>
        <w:jc w:val="both"/>
        <w:rPr>
          <w:rFonts w:ascii="Arial" w:hAnsi="Arial" w:cs="Arial"/>
          <w:szCs w:val="20"/>
        </w:rPr>
      </w:pPr>
      <w:r w:rsidRPr="00240949">
        <w:rPr>
          <w:rFonts w:ascii="Arial" w:hAnsi="Arial" w:cs="Arial"/>
          <w:szCs w:val="20"/>
        </w:rPr>
        <w:t xml:space="preserve">The Company recognizes a loss allowance for expected credit losses on financial assets that are measured at amortized cost. At each reporting date, the Company measures the loss allowance for the financial asset at an amount equal to the lifetime expected credit losses if the credit risk on the financial asset has increased significantly since initial recognition. If at the reporting date, the financial asset has not increased significantly since initial recognition, the Company measures the loss allowance for the financial asset at an amount equal to twelve month expected credit losses. The Company shall recognize in the </w:t>
      </w:r>
      <w:r w:rsidR="00C135E2">
        <w:rPr>
          <w:rFonts w:ascii="Arial" w:hAnsi="Arial" w:cs="Arial"/>
          <w:szCs w:val="20"/>
        </w:rPr>
        <w:t xml:space="preserve">condensed </w:t>
      </w:r>
      <w:r>
        <w:rPr>
          <w:rFonts w:ascii="Arial" w:hAnsi="Arial" w:cs="Arial"/>
          <w:szCs w:val="20"/>
        </w:rPr>
        <w:t>c</w:t>
      </w:r>
      <w:r w:rsidRPr="00240949">
        <w:rPr>
          <w:rFonts w:ascii="Arial" w:hAnsi="Arial" w:cs="Arial"/>
          <w:szCs w:val="20"/>
        </w:rPr>
        <w:t xml:space="preserve">onsolidated </w:t>
      </w:r>
      <w:r w:rsidR="00C135E2">
        <w:rPr>
          <w:rFonts w:ascii="Arial" w:hAnsi="Arial" w:cs="Arial"/>
          <w:szCs w:val="20"/>
        </w:rPr>
        <w:t xml:space="preserve">interim </w:t>
      </w:r>
      <w:r>
        <w:rPr>
          <w:rFonts w:ascii="Arial" w:hAnsi="Arial" w:cs="Arial"/>
          <w:szCs w:val="20"/>
        </w:rPr>
        <w:t>s</w:t>
      </w:r>
      <w:r w:rsidRPr="00240949">
        <w:rPr>
          <w:rFonts w:ascii="Arial" w:hAnsi="Arial" w:cs="Arial"/>
          <w:szCs w:val="20"/>
        </w:rPr>
        <w:t xml:space="preserve">tatements of </w:t>
      </w:r>
      <w:r>
        <w:rPr>
          <w:rFonts w:ascii="Arial" w:hAnsi="Arial" w:cs="Arial"/>
          <w:szCs w:val="20"/>
        </w:rPr>
        <w:t>income (loss)</w:t>
      </w:r>
      <w:r w:rsidRPr="00240949">
        <w:rPr>
          <w:rFonts w:ascii="Arial" w:hAnsi="Arial" w:cs="Arial"/>
          <w:szCs w:val="20"/>
        </w:rPr>
        <w:t>, as an impairment gain or loss, the amount of expected credit losses (or reversal) that is required to adjust the loss allowance at the reporting date to the amount that is required to be recognized.</w:t>
      </w:r>
    </w:p>
    <w:p w14:paraId="16F7E821" w14:textId="77777777" w:rsidR="007619C6" w:rsidRDefault="007619C6" w:rsidP="007619C6">
      <w:pPr>
        <w:spacing w:after="0" w:line="240" w:lineRule="auto"/>
        <w:ind w:left="810"/>
        <w:jc w:val="both"/>
        <w:rPr>
          <w:rFonts w:ascii="Arial" w:hAnsi="Arial" w:cs="Arial"/>
          <w:szCs w:val="20"/>
        </w:rPr>
      </w:pPr>
    </w:p>
    <w:p w14:paraId="3F90E932" w14:textId="77777777" w:rsidR="007619C6" w:rsidRDefault="007619C6" w:rsidP="007619C6">
      <w:pPr>
        <w:spacing w:after="0" w:line="240" w:lineRule="auto"/>
        <w:ind w:left="810"/>
        <w:jc w:val="both"/>
        <w:rPr>
          <w:rFonts w:ascii="Arial" w:hAnsi="Arial" w:cs="Arial"/>
          <w:szCs w:val="20"/>
        </w:rPr>
      </w:pPr>
      <w:r w:rsidRPr="00E80074">
        <w:rPr>
          <w:rFonts w:ascii="Arial" w:hAnsi="Arial" w:cs="Arial"/>
          <w:szCs w:val="20"/>
        </w:rPr>
        <w:t>The Company classifies and discloses fair value measurements based on a three-level hierarchy:</w:t>
      </w:r>
    </w:p>
    <w:p w14:paraId="354EE746" w14:textId="594BBD00" w:rsidR="007619C6" w:rsidRDefault="007619C6" w:rsidP="007619C6">
      <w:pPr>
        <w:spacing w:after="0" w:line="240" w:lineRule="auto"/>
        <w:ind w:left="810"/>
        <w:jc w:val="both"/>
        <w:rPr>
          <w:rFonts w:ascii="Arial" w:hAnsi="Arial" w:cs="Arial"/>
          <w:szCs w:val="20"/>
        </w:rPr>
      </w:pPr>
    </w:p>
    <w:p w14:paraId="55436586" w14:textId="77777777" w:rsidR="006F2161" w:rsidRDefault="006F2161">
      <w:pPr>
        <w:rPr>
          <w:rFonts w:ascii="Arial" w:hAnsi="Arial" w:cs="Arial"/>
          <w:b/>
          <w:bCs/>
          <w:szCs w:val="20"/>
        </w:rPr>
      </w:pPr>
      <w:r>
        <w:rPr>
          <w:rFonts w:ascii="Arial" w:hAnsi="Arial" w:cs="Arial"/>
          <w:b/>
          <w:bCs/>
          <w:szCs w:val="20"/>
        </w:rPr>
        <w:br w:type="page"/>
      </w:r>
    </w:p>
    <w:p w14:paraId="64CE5895" w14:textId="5B292A2A" w:rsidR="006F2161" w:rsidRPr="006F2161" w:rsidRDefault="006F2161" w:rsidP="006F2161">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Cs/>
          <w:szCs w:val="20"/>
        </w:rPr>
      </w:pPr>
      <w:r w:rsidRPr="006F2161">
        <w:rPr>
          <w:rFonts w:ascii="Arial" w:hAnsi="Arial" w:cs="Arial"/>
          <w:b/>
          <w:bCs/>
          <w:szCs w:val="20"/>
        </w:rPr>
        <w:lastRenderedPageBreak/>
        <w:t>2.</w:t>
      </w:r>
      <w:r w:rsidRPr="006F2161">
        <w:rPr>
          <w:rFonts w:ascii="Arial" w:hAnsi="Arial" w:cs="Arial"/>
          <w:b/>
          <w:bCs/>
          <w:szCs w:val="20"/>
        </w:rPr>
        <w:tab/>
        <w:t>Significant Accounting Policies</w:t>
      </w:r>
      <w:r w:rsidRPr="006F2161">
        <w:rPr>
          <w:rFonts w:ascii="Arial" w:hAnsi="Arial" w:cs="Arial"/>
          <w:bCs/>
          <w:szCs w:val="20"/>
        </w:rPr>
        <w:t xml:space="preserve"> (continued)</w:t>
      </w:r>
    </w:p>
    <w:p w14:paraId="499E9BDD" w14:textId="77777777" w:rsidR="006F2161" w:rsidRDefault="006F2161" w:rsidP="007619C6">
      <w:pPr>
        <w:spacing w:after="0" w:line="240" w:lineRule="auto"/>
        <w:ind w:left="810"/>
        <w:jc w:val="both"/>
        <w:rPr>
          <w:rFonts w:ascii="Arial" w:hAnsi="Arial" w:cs="Arial"/>
          <w:szCs w:val="20"/>
        </w:rPr>
      </w:pPr>
    </w:p>
    <w:p w14:paraId="6ED48912" w14:textId="77777777" w:rsidR="006F2161" w:rsidRDefault="007619C6" w:rsidP="007619C6">
      <w:pPr>
        <w:pStyle w:val="ListParagraph"/>
        <w:numPr>
          <w:ilvl w:val="0"/>
          <w:numId w:val="39"/>
        </w:numPr>
        <w:spacing w:after="0" w:line="240" w:lineRule="auto"/>
        <w:jc w:val="both"/>
        <w:rPr>
          <w:rFonts w:ascii="Arial" w:hAnsi="Arial" w:cs="Arial"/>
          <w:szCs w:val="20"/>
        </w:rPr>
      </w:pPr>
      <w:r w:rsidRPr="008D24ED">
        <w:rPr>
          <w:rFonts w:ascii="Arial" w:hAnsi="Arial" w:cs="Arial"/>
          <w:szCs w:val="20"/>
        </w:rPr>
        <w:t>Level 1 – inputs are unadjusted quoted prices in active markets for identical assets or liabilities;</w:t>
      </w:r>
    </w:p>
    <w:p w14:paraId="5E9DFB5D" w14:textId="77777777" w:rsidR="007619C6" w:rsidRPr="00E80074" w:rsidRDefault="007619C6" w:rsidP="007619C6">
      <w:pPr>
        <w:pStyle w:val="ListParagraph"/>
        <w:numPr>
          <w:ilvl w:val="1"/>
          <w:numId w:val="38"/>
        </w:numPr>
        <w:spacing w:after="0" w:line="240" w:lineRule="auto"/>
        <w:ind w:left="1170"/>
        <w:jc w:val="both"/>
        <w:rPr>
          <w:rFonts w:ascii="Arial" w:hAnsi="Arial" w:cs="Arial"/>
          <w:szCs w:val="20"/>
        </w:rPr>
      </w:pPr>
      <w:r w:rsidRPr="00E80074">
        <w:rPr>
          <w:rFonts w:ascii="Arial" w:hAnsi="Arial" w:cs="Arial"/>
          <w:szCs w:val="20"/>
        </w:rPr>
        <w:t>Level 2 – inputs other than quoted prices in Level 1 that are observable for the asset or liability, either directly or indirectly; and</w:t>
      </w:r>
    </w:p>
    <w:p w14:paraId="6DC119D1" w14:textId="77777777" w:rsidR="007619C6" w:rsidRPr="00E80074" w:rsidRDefault="007619C6" w:rsidP="007619C6">
      <w:pPr>
        <w:pStyle w:val="ListParagraph"/>
        <w:numPr>
          <w:ilvl w:val="1"/>
          <w:numId w:val="38"/>
        </w:numPr>
        <w:spacing w:after="0" w:line="240" w:lineRule="auto"/>
        <w:ind w:left="1170"/>
        <w:jc w:val="both"/>
        <w:rPr>
          <w:rFonts w:ascii="Arial" w:hAnsi="Arial" w:cs="Arial"/>
          <w:szCs w:val="20"/>
        </w:rPr>
      </w:pPr>
      <w:r w:rsidRPr="00E80074">
        <w:rPr>
          <w:rFonts w:ascii="Arial" w:hAnsi="Arial" w:cs="Arial"/>
          <w:szCs w:val="20"/>
        </w:rPr>
        <w:t>Level 3 – inputs for the asset or liability are not based on observable market data.</w:t>
      </w:r>
    </w:p>
    <w:p w14:paraId="24084A82" w14:textId="77777777" w:rsidR="007619C6" w:rsidRDefault="007619C6" w:rsidP="007619C6">
      <w:pPr>
        <w:spacing w:after="0" w:line="240" w:lineRule="auto"/>
        <w:ind w:left="810"/>
        <w:jc w:val="both"/>
        <w:rPr>
          <w:rFonts w:ascii="Arial" w:hAnsi="Arial" w:cs="Arial"/>
          <w:szCs w:val="20"/>
        </w:rPr>
      </w:pPr>
    </w:p>
    <w:p w14:paraId="6D1F2023" w14:textId="39539CED" w:rsidR="007619C6" w:rsidRDefault="007619C6" w:rsidP="007619C6">
      <w:pPr>
        <w:spacing w:after="0" w:line="240" w:lineRule="auto"/>
        <w:ind w:left="810"/>
        <w:jc w:val="both"/>
        <w:rPr>
          <w:rFonts w:ascii="Arial" w:hAnsi="Arial" w:cs="Arial"/>
          <w:szCs w:val="20"/>
        </w:rPr>
      </w:pPr>
      <w:r w:rsidRPr="00E80074">
        <w:rPr>
          <w:rFonts w:ascii="Arial" w:hAnsi="Arial" w:cs="Arial"/>
          <w:szCs w:val="20"/>
        </w:rPr>
        <w:t xml:space="preserve">The Company has determined the estimated fair values of its financial instruments based upon appropriate valuation methodologies. At </w:t>
      </w:r>
      <w:r w:rsidR="00DE2D61">
        <w:rPr>
          <w:rFonts w:ascii="Arial" w:hAnsi="Arial" w:cs="Arial"/>
          <w:szCs w:val="20"/>
        </w:rPr>
        <w:t>October</w:t>
      </w:r>
      <w:r>
        <w:rPr>
          <w:rFonts w:ascii="Arial" w:hAnsi="Arial" w:cs="Arial"/>
          <w:szCs w:val="20"/>
        </w:rPr>
        <w:t xml:space="preserve"> 31, 2019</w:t>
      </w:r>
      <w:r w:rsidR="00C135E2">
        <w:rPr>
          <w:rFonts w:ascii="Arial" w:hAnsi="Arial" w:cs="Arial"/>
          <w:szCs w:val="20"/>
        </w:rPr>
        <w:t xml:space="preserve">, January 31, </w:t>
      </w:r>
      <w:r>
        <w:rPr>
          <w:rFonts w:ascii="Arial" w:hAnsi="Arial" w:cs="Arial"/>
          <w:szCs w:val="20"/>
        </w:rPr>
        <w:t>201</w:t>
      </w:r>
      <w:r w:rsidR="00C135E2">
        <w:rPr>
          <w:rFonts w:ascii="Arial" w:hAnsi="Arial" w:cs="Arial"/>
          <w:szCs w:val="20"/>
        </w:rPr>
        <w:t>9 and February 1, 2018</w:t>
      </w:r>
      <w:r w:rsidRPr="00E80074">
        <w:rPr>
          <w:rFonts w:ascii="Arial" w:hAnsi="Arial" w:cs="Arial"/>
          <w:szCs w:val="20"/>
        </w:rPr>
        <w:t xml:space="preserve">, cash </w:t>
      </w:r>
      <w:r w:rsidR="00C5307E">
        <w:rPr>
          <w:rFonts w:ascii="Arial" w:hAnsi="Arial" w:cs="Arial"/>
          <w:szCs w:val="20"/>
        </w:rPr>
        <w:t>was</w:t>
      </w:r>
      <w:r w:rsidRPr="00E80074">
        <w:rPr>
          <w:rFonts w:ascii="Arial" w:hAnsi="Arial" w:cs="Arial"/>
          <w:szCs w:val="20"/>
        </w:rPr>
        <w:t xml:space="preserve"> measured and recognized in the</w:t>
      </w:r>
      <w:r>
        <w:rPr>
          <w:rFonts w:ascii="Arial" w:hAnsi="Arial" w:cs="Arial"/>
          <w:szCs w:val="20"/>
        </w:rPr>
        <w:t xml:space="preserve"> </w:t>
      </w:r>
      <w:r w:rsidR="00C5307E">
        <w:rPr>
          <w:rFonts w:ascii="Arial" w:hAnsi="Arial" w:cs="Arial"/>
          <w:szCs w:val="20"/>
        </w:rPr>
        <w:t xml:space="preserve">condensed </w:t>
      </w:r>
      <w:r>
        <w:rPr>
          <w:rFonts w:ascii="Arial" w:hAnsi="Arial" w:cs="Arial"/>
          <w:szCs w:val="20"/>
        </w:rPr>
        <w:t>consolidated</w:t>
      </w:r>
      <w:r w:rsidR="00C5307E">
        <w:rPr>
          <w:rFonts w:ascii="Arial" w:hAnsi="Arial" w:cs="Arial"/>
          <w:szCs w:val="20"/>
        </w:rPr>
        <w:t xml:space="preserve"> interim</w:t>
      </w:r>
      <w:r w:rsidRPr="00E80074">
        <w:rPr>
          <w:rFonts w:ascii="Arial" w:hAnsi="Arial" w:cs="Arial"/>
          <w:szCs w:val="20"/>
        </w:rPr>
        <w:t xml:space="preserve"> statement of financial </w:t>
      </w:r>
      <w:r>
        <w:rPr>
          <w:rFonts w:ascii="Arial" w:hAnsi="Arial" w:cs="Arial"/>
          <w:szCs w:val="20"/>
        </w:rPr>
        <w:t xml:space="preserve">position using Level 1 inputs in the fair value hierarchy.  At </w:t>
      </w:r>
      <w:r w:rsidR="00DE2D61">
        <w:rPr>
          <w:rFonts w:ascii="Arial" w:hAnsi="Arial" w:cs="Arial"/>
          <w:szCs w:val="20"/>
        </w:rPr>
        <w:t>October</w:t>
      </w:r>
      <w:r w:rsidR="00C135E2">
        <w:rPr>
          <w:rFonts w:ascii="Arial" w:hAnsi="Arial" w:cs="Arial"/>
          <w:szCs w:val="20"/>
        </w:rPr>
        <w:t xml:space="preserve"> 31, 2019, January 31, 2019 and February 1, 2018</w:t>
      </w:r>
      <w:r>
        <w:rPr>
          <w:rFonts w:ascii="Arial" w:hAnsi="Arial" w:cs="Arial"/>
          <w:szCs w:val="20"/>
        </w:rPr>
        <w:t>, there</w:t>
      </w:r>
      <w:r w:rsidRPr="00E80074">
        <w:rPr>
          <w:rFonts w:ascii="Arial" w:hAnsi="Arial" w:cs="Arial"/>
          <w:szCs w:val="20"/>
        </w:rPr>
        <w:t xml:space="preserve"> were no financial assets</w:t>
      </w:r>
      <w:r w:rsidR="00C135E2">
        <w:rPr>
          <w:rFonts w:ascii="Arial" w:hAnsi="Arial" w:cs="Arial"/>
          <w:szCs w:val="20"/>
        </w:rPr>
        <w:t xml:space="preserve"> or liabilities</w:t>
      </w:r>
      <w:r w:rsidRPr="00E80074">
        <w:rPr>
          <w:rFonts w:ascii="Arial" w:hAnsi="Arial" w:cs="Arial"/>
          <w:szCs w:val="20"/>
        </w:rPr>
        <w:t xml:space="preserve"> measured and recognized in the </w:t>
      </w:r>
      <w:r w:rsidR="00C5307E">
        <w:rPr>
          <w:rFonts w:ascii="Arial" w:hAnsi="Arial" w:cs="Arial"/>
          <w:szCs w:val="20"/>
        </w:rPr>
        <w:t>condensed consolidated interim</w:t>
      </w:r>
      <w:r w:rsidR="00C5307E" w:rsidRPr="00E80074">
        <w:rPr>
          <w:rFonts w:ascii="Arial" w:hAnsi="Arial" w:cs="Arial"/>
          <w:szCs w:val="20"/>
        </w:rPr>
        <w:t xml:space="preserve"> statement of financial </w:t>
      </w:r>
      <w:r w:rsidR="00C5307E">
        <w:rPr>
          <w:rFonts w:ascii="Arial" w:hAnsi="Arial" w:cs="Arial"/>
          <w:szCs w:val="20"/>
        </w:rPr>
        <w:t>position</w:t>
      </w:r>
      <w:r w:rsidR="00C5307E" w:rsidRPr="00E80074">
        <w:rPr>
          <w:rFonts w:ascii="Arial" w:hAnsi="Arial" w:cs="Arial"/>
          <w:szCs w:val="20"/>
        </w:rPr>
        <w:t xml:space="preserve"> </w:t>
      </w:r>
      <w:r w:rsidRPr="00E80074">
        <w:rPr>
          <w:rFonts w:ascii="Arial" w:hAnsi="Arial" w:cs="Arial"/>
          <w:szCs w:val="20"/>
        </w:rPr>
        <w:t>at fair value that would have been categorized as Level 3 in the fair value hierarchy above.</w:t>
      </w:r>
    </w:p>
    <w:p w14:paraId="17981A5B" w14:textId="6D1860ED" w:rsidR="00364E20" w:rsidRDefault="00364E20"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6CDAC6FD" w14:textId="04161EE1" w:rsidR="00862D99" w:rsidRPr="00F60034" w:rsidRDefault="00862D99"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sidRPr="00F60034">
        <w:rPr>
          <w:rFonts w:ascii="Arial" w:hAnsi="Arial" w:cs="Arial"/>
          <w:szCs w:val="20"/>
        </w:rPr>
        <w:t xml:space="preserve">Cash </w:t>
      </w:r>
      <w:r w:rsidR="00C5307E">
        <w:rPr>
          <w:rFonts w:ascii="Arial" w:hAnsi="Arial" w:cs="Arial"/>
          <w:szCs w:val="20"/>
        </w:rPr>
        <w:t>and Cash Equivalents</w:t>
      </w:r>
    </w:p>
    <w:p w14:paraId="0EDBE988" w14:textId="77777777" w:rsidR="000030D9" w:rsidRDefault="000030D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37F92A5B" w14:textId="3547F0D8" w:rsidR="00862D99" w:rsidRDefault="000030D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sidRPr="000030D9">
        <w:rPr>
          <w:rFonts w:ascii="Arial" w:hAnsi="Arial" w:cs="Arial"/>
          <w:szCs w:val="20"/>
        </w:rPr>
        <w:t xml:space="preserve">Cash in the </w:t>
      </w:r>
      <w:r w:rsidR="00C135E2">
        <w:rPr>
          <w:rFonts w:ascii="Arial" w:hAnsi="Arial" w:cs="Arial"/>
          <w:szCs w:val="20"/>
        </w:rPr>
        <w:t xml:space="preserve">condensed </w:t>
      </w:r>
      <w:r w:rsidRPr="000030D9">
        <w:rPr>
          <w:rFonts w:ascii="Arial" w:hAnsi="Arial" w:cs="Arial"/>
          <w:szCs w:val="20"/>
        </w:rPr>
        <w:t>consolidated</w:t>
      </w:r>
      <w:r w:rsidR="00C135E2">
        <w:rPr>
          <w:rFonts w:ascii="Arial" w:hAnsi="Arial" w:cs="Arial"/>
          <w:szCs w:val="20"/>
        </w:rPr>
        <w:t xml:space="preserve"> interim</w:t>
      </w:r>
      <w:r w:rsidRPr="000030D9">
        <w:rPr>
          <w:rFonts w:ascii="Arial" w:hAnsi="Arial" w:cs="Arial"/>
          <w:szCs w:val="20"/>
        </w:rPr>
        <w:t xml:space="preserve"> statement of financial position is comprised of cash and short-term deposits which have an original maturity of three months or less or are readily convertible into a known amount of cash</w:t>
      </w:r>
      <w:r w:rsidR="00862D99" w:rsidRPr="00F60034">
        <w:rPr>
          <w:rFonts w:ascii="Arial" w:hAnsi="Arial" w:cs="Arial"/>
          <w:szCs w:val="20"/>
        </w:rPr>
        <w:t>.</w:t>
      </w:r>
      <w:r w:rsidR="00C135E2">
        <w:rPr>
          <w:rFonts w:ascii="Arial" w:hAnsi="Arial" w:cs="Arial"/>
          <w:szCs w:val="20"/>
        </w:rPr>
        <w:t xml:space="preserve">  At </w:t>
      </w:r>
      <w:r w:rsidR="00DE2D61">
        <w:rPr>
          <w:rFonts w:ascii="Arial" w:hAnsi="Arial" w:cs="Arial"/>
          <w:szCs w:val="20"/>
        </w:rPr>
        <w:t>October</w:t>
      </w:r>
      <w:r w:rsidR="00C135E2">
        <w:rPr>
          <w:rFonts w:ascii="Arial" w:hAnsi="Arial" w:cs="Arial"/>
          <w:szCs w:val="20"/>
        </w:rPr>
        <w:t xml:space="preserve"> 31, 2019, January 31, 2019 and February 1, 2018, the Company had no cash equivalents.</w:t>
      </w:r>
    </w:p>
    <w:p w14:paraId="16440920" w14:textId="77777777" w:rsidR="000030D9" w:rsidRDefault="000030D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1A1F12C1" w14:textId="5E5A475C" w:rsidR="00D462FC" w:rsidRPr="00E10C65" w:rsidRDefault="00D462FC" w:rsidP="00D462FC">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sidRPr="00E10C65">
        <w:rPr>
          <w:rFonts w:ascii="Arial" w:hAnsi="Arial" w:cs="Arial"/>
          <w:szCs w:val="20"/>
        </w:rPr>
        <w:t>Inventories</w:t>
      </w:r>
    </w:p>
    <w:p w14:paraId="351F4311" w14:textId="77777777" w:rsidR="00D462FC" w:rsidRDefault="00D462FC" w:rsidP="00D462FC">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13EA2F23" w14:textId="7CEBA8FE" w:rsidR="00D462FC" w:rsidRDefault="00D462FC" w:rsidP="00D462FC">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sidRPr="00B83D90">
        <w:rPr>
          <w:rFonts w:ascii="Arial" w:hAnsi="Arial" w:cs="Arial"/>
          <w:szCs w:val="20"/>
        </w:rPr>
        <w:t>Inventories are stated at the lower of cost (first-in, first-out method) or net realizable value. Inventories are written down to net realizable value item by item when a decline in the price of items indicates that the cost is higher than the net realizable value. When the events having caused a decline in the valuation of inventories no longer exist, the amount of the write-down is reversed so that the new carrying amount is the lower of the cost and the revised net realizable value.</w:t>
      </w:r>
    </w:p>
    <w:p w14:paraId="7D2E5241" w14:textId="77777777" w:rsidR="00D462FC" w:rsidRDefault="00D462FC" w:rsidP="00D462FC">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77F3D87E" w14:textId="718B8E91" w:rsidR="000030D9" w:rsidRPr="00F60034" w:rsidRDefault="000030D9"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Pr>
          <w:rFonts w:ascii="Arial" w:hAnsi="Arial" w:cs="Arial"/>
          <w:szCs w:val="20"/>
        </w:rPr>
        <w:t>Equipment</w:t>
      </w:r>
    </w:p>
    <w:p w14:paraId="60C5478B" w14:textId="77777777" w:rsidR="000030D9" w:rsidRDefault="000030D9" w:rsidP="000030D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4B1ECEE4" w14:textId="75FFED47" w:rsidR="000030D9" w:rsidRDefault="000030D9" w:rsidP="000030D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Pr>
          <w:rFonts w:ascii="Arial" w:hAnsi="Arial" w:cs="Arial"/>
          <w:szCs w:val="20"/>
        </w:rPr>
        <w:t>E</w:t>
      </w:r>
      <w:r w:rsidRPr="000030D9">
        <w:rPr>
          <w:rFonts w:ascii="Arial" w:hAnsi="Arial" w:cs="Arial"/>
          <w:szCs w:val="20"/>
        </w:rPr>
        <w:t xml:space="preserve">quipment </w:t>
      </w:r>
      <w:r w:rsidR="004D396C">
        <w:rPr>
          <w:rFonts w:ascii="Arial" w:hAnsi="Arial" w:cs="Arial"/>
          <w:szCs w:val="20"/>
        </w:rPr>
        <w:t>are</w:t>
      </w:r>
      <w:r w:rsidRPr="000030D9">
        <w:rPr>
          <w:rFonts w:ascii="Arial" w:hAnsi="Arial" w:cs="Arial"/>
          <w:szCs w:val="20"/>
        </w:rPr>
        <w:t xml:space="preserve"> recorded at cost less accumulated depreciation and accumulated impairment losses. Depreciation is recorded using the straight-line method to depreciate the cost of </w:t>
      </w:r>
      <w:r>
        <w:rPr>
          <w:rFonts w:ascii="Arial" w:hAnsi="Arial" w:cs="Arial"/>
          <w:szCs w:val="20"/>
        </w:rPr>
        <w:t>equipment</w:t>
      </w:r>
      <w:r w:rsidRPr="000030D9">
        <w:rPr>
          <w:rFonts w:ascii="Arial" w:hAnsi="Arial" w:cs="Arial"/>
          <w:szCs w:val="20"/>
        </w:rPr>
        <w:t xml:space="preserve"> over </w:t>
      </w:r>
      <w:r>
        <w:rPr>
          <w:rFonts w:ascii="Arial" w:hAnsi="Arial" w:cs="Arial"/>
          <w:szCs w:val="20"/>
        </w:rPr>
        <w:t>its</w:t>
      </w:r>
      <w:r w:rsidRPr="000030D9">
        <w:rPr>
          <w:rFonts w:ascii="Arial" w:hAnsi="Arial" w:cs="Arial"/>
          <w:szCs w:val="20"/>
        </w:rPr>
        <w:t xml:space="preserve"> estimated useful </w:t>
      </w:r>
      <w:r>
        <w:rPr>
          <w:rFonts w:ascii="Arial" w:hAnsi="Arial" w:cs="Arial"/>
          <w:szCs w:val="20"/>
        </w:rPr>
        <w:t>life.</w:t>
      </w:r>
    </w:p>
    <w:p w14:paraId="5DDE2B96" w14:textId="77777777" w:rsidR="001D529F" w:rsidRDefault="001D529F" w:rsidP="00F15B99">
      <w:pPr>
        <w:spacing w:after="0"/>
        <w:rPr>
          <w:rFonts w:ascii="Arial" w:hAnsi="Arial" w:cs="Arial"/>
          <w:b/>
          <w:bCs/>
          <w:szCs w:val="20"/>
        </w:rPr>
      </w:pPr>
    </w:p>
    <w:p w14:paraId="1EF17B48" w14:textId="732B9441" w:rsidR="00C118CA" w:rsidRPr="00397EA0" w:rsidRDefault="00C118CA"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sidRPr="00397EA0">
        <w:rPr>
          <w:rFonts w:ascii="Arial" w:hAnsi="Arial" w:cs="Arial"/>
          <w:szCs w:val="20"/>
        </w:rPr>
        <w:t>Intangible Asset</w:t>
      </w:r>
      <w:r w:rsidR="00811FD0">
        <w:rPr>
          <w:rFonts w:ascii="Arial" w:hAnsi="Arial" w:cs="Arial"/>
          <w:szCs w:val="20"/>
        </w:rPr>
        <w:t xml:space="preserve">s </w:t>
      </w:r>
    </w:p>
    <w:p w14:paraId="0AE7F6D7" w14:textId="77777777" w:rsidR="000030D9" w:rsidRDefault="000030D9" w:rsidP="00F15B99">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p>
    <w:p w14:paraId="31133F97" w14:textId="763EBA85" w:rsidR="00C118CA" w:rsidRDefault="00BF1F22" w:rsidP="00F15B99">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r w:rsidRPr="0054049E">
        <w:rPr>
          <w:rFonts w:ascii="Arial" w:hAnsi="Arial" w:cs="Arial"/>
          <w:szCs w:val="20"/>
        </w:rPr>
        <w:t>Intangible assets</w:t>
      </w:r>
      <w:r w:rsidR="0054049E" w:rsidRPr="0054049E">
        <w:rPr>
          <w:rFonts w:ascii="Arial" w:hAnsi="Arial" w:cs="Arial"/>
          <w:szCs w:val="20"/>
        </w:rPr>
        <w:t xml:space="preserve"> consist</w:t>
      </w:r>
      <w:r w:rsidR="00397EA0">
        <w:rPr>
          <w:rFonts w:ascii="Arial" w:hAnsi="Arial" w:cs="Arial"/>
          <w:szCs w:val="20"/>
        </w:rPr>
        <w:t xml:space="preserve"> of costs incurred to acquire</w:t>
      </w:r>
      <w:r w:rsidR="0054049E" w:rsidRPr="0054049E">
        <w:rPr>
          <w:rFonts w:ascii="Arial" w:hAnsi="Arial" w:cs="Arial"/>
          <w:szCs w:val="20"/>
        </w:rPr>
        <w:t xml:space="preserve"> license</w:t>
      </w:r>
      <w:r w:rsidR="00915DE4">
        <w:rPr>
          <w:rFonts w:ascii="Arial" w:hAnsi="Arial" w:cs="Arial"/>
          <w:szCs w:val="20"/>
        </w:rPr>
        <w:t xml:space="preserve">, </w:t>
      </w:r>
      <w:r w:rsidR="00397EA0">
        <w:rPr>
          <w:rFonts w:ascii="Arial" w:hAnsi="Arial" w:cs="Arial"/>
          <w:szCs w:val="20"/>
        </w:rPr>
        <w:t>patents</w:t>
      </w:r>
      <w:r w:rsidR="00915DE4">
        <w:rPr>
          <w:rFonts w:ascii="Arial" w:hAnsi="Arial" w:cs="Arial"/>
          <w:szCs w:val="20"/>
        </w:rPr>
        <w:t xml:space="preserve"> and unpatented technology</w:t>
      </w:r>
      <w:r w:rsidR="0054049E" w:rsidRPr="0054049E">
        <w:rPr>
          <w:rFonts w:ascii="Arial" w:hAnsi="Arial" w:cs="Arial"/>
          <w:szCs w:val="20"/>
        </w:rPr>
        <w:t>.  Intangible assets</w:t>
      </w:r>
      <w:r w:rsidRPr="0054049E">
        <w:rPr>
          <w:rFonts w:ascii="Arial" w:hAnsi="Arial" w:cs="Arial"/>
          <w:szCs w:val="20"/>
        </w:rPr>
        <w:t xml:space="preserve"> are</w:t>
      </w:r>
      <w:r w:rsidR="0054049E">
        <w:rPr>
          <w:rFonts w:ascii="Arial" w:hAnsi="Arial" w:cs="Arial"/>
          <w:szCs w:val="20"/>
        </w:rPr>
        <w:t xml:space="preserve"> considered finite live assets and</w:t>
      </w:r>
      <w:r>
        <w:rPr>
          <w:rFonts w:ascii="Arial" w:hAnsi="Arial" w:cs="Arial"/>
          <w:szCs w:val="20"/>
        </w:rPr>
        <w:t xml:space="preserve"> recorded at cost less accumulated amortization and accumulated impairment.  </w:t>
      </w:r>
      <w:r w:rsidR="0054049E" w:rsidRPr="0054049E">
        <w:rPr>
          <w:rFonts w:ascii="Arial" w:hAnsi="Arial" w:cs="Arial"/>
          <w:szCs w:val="20"/>
        </w:rPr>
        <w:t>Subsequent expenditures are capitalized only when they increase the future economic benefits embodied in the asset</w:t>
      </w:r>
      <w:r w:rsidR="0054049E">
        <w:rPr>
          <w:rFonts w:ascii="Arial" w:hAnsi="Arial" w:cs="Arial"/>
          <w:szCs w:val="20"/>
        </w:rPr>
        <w:t>.</w:t>
      </w:r>
      <w:r w:rsidR="0054049E" w:rsidRPr="0054049E">
        <w:rPr>
          <w:rFonts w:ascii="Arial" w:hAnsi="Arial" w:cs="Arial"/>
          <w:szCs w:val="20"/>
        </w:rPr>
        <w:t xml:space="preserve"> Amortization is recorded using </w:t>
      </w:r>
      <w:r w:rsidR="0054049E">
        <w:rPr>
          <w:rFonts w:ascii="Arial" w:hAnsi="Arial" w:cs="Arial"/>
          <w:szCs w:val="20"/>
        </w:rPr>
        <w:t>the</w:t>
      </w:r>
      <w:r w:rsidR="0054049E" w:rsidRPr="0054049E">
        <w:rPr>
          <w:rFonts w:ascii="Arial" w:hAnsi="Arial" w:cs="Arial"/>
          <w:szCs w:val="20"/>
        </w:rPr>
        <w:t xml:space="preserve"> straight-line method and is intended to amortize the </w:t>
      </w:r>
      <w:r w:rsidR="00915DE4">
        <w:rPr>
          <w:rFonts w:ascii="Arial" w:hAnsi="Arial" w:cs="Arial"/>
          <w:szCs w:val="20"/>
        </w:rPr>
        <w:t>intangible assets</w:t>
      </w:r>
      <w:r w:rsidR="0054049E" w:rsidRPr="0054049E">
        <w:rPr>
          <w:rFonts w:ascii="Arial" w:hAnsi="Arial" w:cs="Arial"/>
          <w:szCs w:val="20"/>
        </w:rPr>
        <w:t xml:space="preserve"> </w:t>
      </w:r>
      <w:r w:rsidR="0054049E">
        <w:rPr>
          <w:rFonts w:ascii="Arial" w:hAnsi="Arial" w:cs="Arial"/>
          <w:szCs w:val="20"/>
        </w:rPr>
        <w:t xml:space="preserve">over </w:t>
      </w:r>
      <w:r w:rsidR="00915DE4">
        <w:rPr>
          <w:rFonts w:ascii="Arial" w:hAnsi="Arial" w:cs="Arial"/>
          <w:szCs w:val="20"/>
        </w:rPr>
        <w:t>their</w:t>
      </w:r>
      <w:r w:rsidR="0054049E">
        <w:rPr>
          <w:rFonts w:ascii="Arial" w:hAnsi="Arial" w:cs="Arial"/>
          <w:szCs w:val="20"/>
        </w:rPr>
        <w:t xml:space="preserve"> estimated useful </w:t>
      </w:r>
      <w:r w:rsidR="00915DE4">
        <w:rPr>
          <w:rFonts w:ascii="Arial" w:hAnsi="Arial" w:cs="Arial"/>
          <w:szCs w:val="20"/>
        </w:rPr>
        <w:t>lives:</w:t>
      </w:r>
    </w:p>
    <w:p w14:paraId="6A8F8A6E" w14:textId="77777777" w:rsidR="00915DE4" w:rsidRDefault="00915DE4" w:rsidP="00F15B99">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p>
    <w:p w14:paraId="1FBE98FF" w14:textId="53D35078" w:rsidR="00915DE4" w:rsidRDefault="00C135E2" w:rsidP="00915DE4">
      <w:pPr>
        <w:pStyle w:val="ListParagraph"/>
        <w:tabs>
          <w:tab w:val="left" w:pos="43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1080"/>
        <w:jc w:val="both"/>
        <w:rPr>
          <w:rFonts w:ascii="Arial" w:hAnsi="Arial" w:cs="Arial"/>
          <w:szCs w:val="20"/>
        </w:rPr>
      </w:pPr>
      <w:r>
        <w:rPr>
          <w:rFonts w:ascii="Arial" w:hAnsi="Arial" w:cs="Arial"/>
          <w:szCs w:val="20"/>
        </w:rPr>
        <w:t>License</w:t>
      </w:r>
      <w:r>
        <w:rPr>
          <w:rFonts w:ascii="Arial" w:hAnsi="Arial" w:cs="Arial"/>
          <w:szCs w:val="20"/>
        </w:rPr>
        <w:tab/>
      </w:r>
      <w:r>
        <w:rPr>
          <w:rFonts w:ascii="Arial" w:hAnsi="Arial" w:cs="Arial"/>
          <w:szCs w:val="20"/>
        </w:rPr>
        <w:tab/>
      </w:r>
      <w:r>
        <w:rPr>
          <w:rFonts w:ascii="Arial" w:hAnsi="Arial" w:cs="Arial"/>
          <w:szCs w:val="20"/>
        </w:rPr>
        <w:tab/>
        <w:t>5</w:t>
      </w:r>
      <w:r w:rsidR="00915DE4">
        <w:rPr>
          <w:rFonts w:ascii="Arial" w:hAnsi="Arial" w:cs="Arial"/>
          <w:szCs w:val="20"/>
        </w:rPr>
        <w:t xml:space="preserve"> years</w:t>
      </w:r>
    </w:p>
    <w:p w14:paraId="2495EEA2" w14:textId="7AD45C22" w:rsidR="00915DE4" w:rsidRDefault="00915DE4" w:rsidP="00915DE4">
      <w:pPr>
        <w:pStyle w:val="ListParagraph"/>
        <w:tabs>
          <w:tab w:val="left" w:pos="432"/>
          <w:tab w:val="left" w:pos="4050"/>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1080"/>
        <w:jc w:val="both"/>
        <w:rPr>
          <w:rFonts w:ascii="Arial" w:hAnsi="Arial" w:cs="Arial"/>
          <w:szCs w:val="20"/>
        </w:rPr>
      </w:pPr>
      <w:r>
        <w:rPr>
          <w:rFonts w:ascii="Arial" w:hAnsi="Arial" w:cs="Arial"/>
          <w:szCs w:val="20"/>
        </w:rPr>
        <w:t>Patents</w:t>
      </w:r>
      <w:r>
        <w:rPr>
          <w:rFonts w:ascii="Arial" w:hAnsi="Arial" w:cs="Arial"/>
          <w:szCs w:val="20"/>
        </w:rPr>
        <w:tab/>
        <w:t>10 years</w:t>
      </w:r>
    </w:p>
    <w:p w14:paraId="048B9B60" w14:textId="79BCB20F" w:rsidR="00915DE4" w:rsidRDefault="00915DE4" w:rsidP="00915DE4">
      <w:pPr>
        <w:pStyle w:val="ListParagraph"/>
        <w:tabs>
          <w:tab w:val="left" w:pos="432"/>
          <w:tab w:val="left" w:pos="4050"/>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1080"/>
        <w:jc w:val="both"/>
        <w:rPr>
          <w:rFonts w:ascii="Arial" w:hAnsi="Arial" w:cs="Arial"/>
          <w:szCs w:val="20"/>
        </w:rPr>
      </w:pPr>
      <w:r>
        <w:rPr>
          <w:rFonts w:ascii="Arial" w:hAnsi="Arial" w:cs="Arial"/>
          <w:szCs w:val="20"/>
        </w:rPr>
        <w:t>Unpatented technology</w:t>
      </w:r>
      <w:r>
        <w:rPr>
          <w:rFonts w:ascii="Arial" w:hAnsi="Arial" w:cs="Arial"/>
          <w:szCs w:val="20"/>
        </w:rPr>
        <w:tab/>
        <w:t>10 years</w:t>
      </w:r>
    </w:p>
    <w:p w14:paraId="4DA035E2" w14:textId="77777777" w:rsidR="00915DE4" w:rsidRDefault="00915DE4" w:rsidP="00915DE4">
      <w:pPr>
        <w:pStyle w:val="ListParagraph"/>
        <w:tabs>
          <w:tab w:val="left" w:pos="432"/>
          <w:tab w:val="left" w:pos="4050"/>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1080"/>
        <w:jc w:val="both"/>
        <w:rPr>
          <w:rFonts w:ascii="Arial" w:hAnsi="Arial" w:cs="Arial"/>
          <w:szCs w:val="20"/>
        </w:rPr>
      </w:pPr>
    </w:p>
    <w:p w14:paraId="77B660BB" w14:textId="77777777" w:rsidR="00D462FC" w:rsidRDefault="00D462FC">
      <w:pPr>
        <w:rPr>
          <w:rFonts w:ascii="Arial" w:hAnsi="Arial" w:cs="Arial"/>
          <w:b/>
          <w:bCs/>
          <w:szCs w:val="20"/>
        </w:rPr>
      </w:pPr>
      <w:r>
        <w:rPr>
          <w:rFonts w:ascii="Arial" w:hAnsi="Arial" w:cs="Arial"/>
          <w:b/>
          <w:bCs/>
          <w:szCs w:val="20"/>
        </w:rPr>
        <w:br w:type="page"/>
      </w:r>
    </w:p>
    <w:p w14:paraId="41722FAD" w14:textId="549BCA8D" w:rsidR="00D462FC" w:rsidRPr="00F60034" w:rsidRDefault="00D462FC" w:rsidP="00D462FC">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lastRenderedPageBreak/>
        <w:t>2</w:t>
      </w:r>
      <w:r w:rsidRPr="00F60034">
        <w:rPr>
          <w:rFonts w:ascii="Arial" w:hAnsi="Arial" w:cs="Arial"/>
          <w:b/>
          <w:bCs/>
          <w:szCs w:val="20"/>
        </w:rPr>
        <w:t>.</w:t>
      </w:r>
      <w:r w:rsidRPr="00F60034">
        <w:rPr>
          <w:rFonts w:ascii="Arial" w:hAnsi="Arial" w:cs="Arial"/>
          <w:b/>
          <w:bCs/>
          <w:szCs w:val="20"/>
        </w:rPr>
        <w:tab/>
        <w:t>Significant Accounting Policies</w:t>
      </w:r>
      <w:r w:rsidRPr="00F60034">
        <w:rPr>
          <w:rFonts w:ascii="Arial" w:hAnsi="Arial" w:cs="Arial"/>
          <w:bCs/>
          <w:szCs w:val="20"/>
        </w:rPr>
        <w:t xml:space="preserve"> (continued)</w:t>
      </w:r>
    </w:p>
    <w:p w14:paraId="46EE5CFD" w14:textId="77777777" w:rsidR="00D462FC" w:rsidRDefault="00D462FC" w:rsidP="00915DE4">
      <w:pPr>
        <w:pStyle w:val="ListParagraph"/>
        <w:tabs>
          <w:tab w:val="left" w:pos="432"/>
          <w:tab w:val="left" w:pos="4050"/>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1080"/>
        <w:jc w:val="both"/>
        <w:rPr>
          <w:rFonts w:ascii="Arial" w:hAnsi="Arial" w:cs="Arial"/>
          <w:szCs w:val="20"/>
        </w:rPr>
      </w:pPr>
    </w:p>
    <w:p w14:paraId="2D77DBA8" w14:textId="24673437" w:rsidR="00915DE4" w:rsidRPr="00397EA0" w:rsidRDefault="00915DE4"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Pr>
          <w:rFonts w:ascii="Arial" w:hAnsi="Arial" w:cs="Arial"/>
          <w:szCs w:val="20"/>
        </w:rPr>
        <w:t xml:space="preserve">Impairment of </w:t>
      </w:r>
      <w:r w:rsidR="00ED7711">
        <w:rPr>
          <w:rFonts w:ascii="Arial" w:hAnsi="Arial" w:cs="Arial"/>
          <w:szCs w:val="20"/>
        </w:rPr>
        <w:t>Long-lived Assets</w:t>
      </w:r>
    </w:p>
    <w:p w14:paraId="6A32945F" w14:textId="77777777" w:rsidR="00915DE4" w:rsidRDefault="00915DE4" w:rsidP="00915DE4">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p>
    <w:p w14:paraId="6806E282" w14:textId="77777777" w:rsidR="00C135E2" w:rsidRDefault="00C135E2" w:rsidP="00C135E2">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50"/>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r w:rsidRPr="00ED7711">
        <w:rPr>
          <w:rFonts w:ascii="Arial" w:hAnsi="Arial" w:cs="Arial"/>
          <w:szCs w:val="20"/>
        </w:rPr>
        <w:t xml:space="preserve">At the end of each reporting period, the Company reviews the carrying amounts of long-lived assets to determine whether there is an indication that those assets </w:t>
      </w:r>
      <w:r>
        <w:rPr>
          <w:rFonts w:ascii="Arial" w:hAnsi="Arial" w:cs="Arial"/>
          <w:szCs w:val="20"/>
        </w:rPr>
        <w:t>are impaired</w:t>
      </w:r>
      <w:r w:rsidRPr="00ED7711">
        <w:rPr>
          <w:rFonts w:ascii="Arial" w:hAnsi="Arial" w:cs="Arial"/>
          <w:szCs w:val="20"/>
        </w:rPr>
        <w:t>. If any such indication exists, the recoverable amount of the asset is estimated in order to determine the extent of the impairment charge (if any)</w:t>
      </w:r>
      <w:r>
        <w:rPr>
          <w:rFonts w:ascii="Arial" w:hAnsi="Arial" w:cs="Arial"/>
          <w:szCs w:val="20"/>
        </w:rPr>
        <w:t xml:space="preserve">.  </w:t>
      </w:r>
      <w:r w:rsidRPr="00ED7711">
        <w:rPr>
          <w:rFonts w:ascii="Arial" w:hAnsi="Arial" w:cs="Arial"/>
          <w:szCs w:val="20"/>
        </w:rPr>
        <w:t>The recoverable amount is the higher of the fair value less costs to sell and value in use. In assessing value in use, the estimated future cash flows are discounted to their present value using a pre-tax discount rate that reflects current market assessments of the time value of money and the risks specific to the asset</w:t>
      </w:r>
      <w:r>
        <w:rPr>
          <w:rFonts w:ascii="Arial" w:hAnsi="Arial" w:cs="Arial"/>
          <w:szCs w:val="20"/>
        </w:rPr>
        <w:t xml:space="preserve">.  </w:t>
      </w:r>
      <w:r w:rsidRPr="00ED7711">
        <w:rPr>
          <w:rFonts w:ascii="Arial" w:hAnsi="Arial" w:cs="Arial"/>
          <w:szCs w:val="20"/>
        </w:rPr>
        <w:t xml:space="preserve">If the recoverable amount of an asset is </w:t>
      </w:r>
      <w:r>
        <w:rPr>
          <w:rFonts w:ascii="Arial" w:hAnsi="Arial" w:cs="Arial"/>
          <w:szCs w:val="20"/>
        </w:rPr>
        <w:t>determined</w:t>
      </w:r>
      <w:r w:rsidRPr="00ED7711">
        <w:rPr>
          <w:rFonts w:ascii="Arial" w:hAnsi="Arial" w:cs="Arial"/>
          <w:szCs w:val="20"/>
        </w:rPr>
        <w:t xml:space="preserve"> to be less than its recorded amount, the recorded amount of the asset is reduced to its recoverable amount. An impairment charge is recognized immediately in the consolidated statement of loss and comprehensive loss, unless the relevant asset is carried at a revalued amount, in which case the impairment loss is treated as a revaluation decrease</w:t>
      </w:r>
      <w:r>
        <w:rPr>
          <w:rFonts w:ascii="Arial" w:hAnsi="Arial" w:cs="Arial"/>
          <w:szCs w:val="20"/>
        </w:rPr>
        <w:t>.</w:t>
      </w:r>
    </w:p>
    <w:p w14:paraId="6B2C96A0" w14:textId="77777777" w:rsidR="00C135E2" w:rsidRDefault="00C135E2" w:rsidP="00C135E2">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50"/>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p>
    <w:p w14:paraId="6D39A17C" w14:textId="289B6C91" w:rsidR="00ED7711" w:rsidRDefault="00C135E2" w:rsidP="00C135E2">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50"/>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r w:rsidRPr="00ED7711">
        <w:rPr>
          <w:rFonts w:ascii="Arial" w:hAnsi="Arial" w:cs="Arial"/>
          <w:szCs w:val="20"/>
        </w:rPr>
        <w:t>Where an impairment loss subsequently reverses, the carrying amount of the asset is increased to the revised estimate of its recoverable amount, to a maximum amount equal to the carrying amount that would have been determined had no impairment loss been recognized for the asset in prior years</w:t>
      </w:r>
      <w:r>
        <w:rPr>
          <w:rFonts w:ascii="Arial" w:hAnsi="Arial" w:cs="Arial"/>
          <w:szCs w:val="20"/>
        </w:rPr>
        <w:t>.</w:t>
      </w:r>
    </w:p>
    <w:p w14:paraId="77F8E6C9" w14:textId="77777777" w:rsidR="00ED7711" w:rsidRDefault="00ED7711" w:rsidP="00ED7711">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50"/>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p>
    <w:p w14:paraId="6D2CE5B1" w14:textId="13F2FFC4" w:rsidR="00ED7711" w:rsidRPr="00397EA0" w:rsidRDefault="00ED7711"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Pr>
          <w:rFonts w:ascii="Arial" w:hAnsi="Arial" w:cs="Arial"/>
          <w:szCs w:val="20"/>
        </w:rPr>
        <w:t>Provisions</w:t>
      </w:r>
    </w:p>
    <w:p w14:paraId="6E74AF09" w14:textId="77777777" w:rsidR="00ED7711" w:rsidRDefault="00ED7711" w:rsidP="00ED7711">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p>
    <w:p w14:paraId="63962F09" w14:textId="7CA7AD42" w:rsidR="00ED7711" w:rsidRPr="00ED7711" w:rsidRDefault="006A62FC" w:rsidP="00ED7711">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50"/>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r w:rsidRPr="00CC5FE4">
        <w:rPr>
          <w:rFonts w:ascii="Arial" w:hAnsi="Arial" w:cs="Arial"/>
          <w:szCs w:val="20"/>
        </w:rPr>
        <w:t>Provisions are recorded when a present legal or constructive obligation exists as a result of past events where it is probable that an outflow of resources embodying economic benefits will be required to settle the obligation, and a reliable estimate of the amount of the obligation can be made</w:t>
      </w:r>
      <w:r w:rsidR="00ED7711" w:rsidRPr="00ED7711">
        <w:rPr>
          <w:rFonts w:ascii="Arial" w:hAnsi="Arial" w:cs="Arial"/>
          <w:szCs w:val="20"/>
        </w:rPr>
        <w:t xml:space="preserve">. </w:t>
      </w:r>
    </w:p>
    <w:p w14:paraId="13975566" w14:textId="77777777" w:rsidR="00ED7711" w:rsidRPr="00ED7711" w:rsidRDefault="00ED7711" w:rsidP="00ED7711">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50"/>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p>
    <w:p w14:paraId="22BAA3DC" w14:textId="46E2188A" w:rsidR="00ED7711" w:rsidRDefault="006A62FC" w:rsidP="00ED7711">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50"/>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r w:rsidRPr="00CC5FE4">
        <w:rPr>
          <w:rFonts w:ascii="Arial" w:hAnsi="Arial" w:cs="Arial"/>
          <w:szCs w:val="20"/>
        </w:rPr>
        <w:t>The amount recognized as a provision is the best estimate of the consideration required to settle the present obligation at the</w:t>
      </w:r>
      <w:r>
        <w:rPr>
          <w:rFonts w:ascii="Arial" w:hAnsi="Arial" w:cs="Arial"/>
          <w:szCs w:val="20"/>
        </w:rPr>
        <w:t xml:space="preserve"> </w:t>
      </w:r>
      <w:r w:rsidR="00170927">
        <w:rPr>
          <w:rFonts w:ascii="Arial" w:hAnsi="Arial" w:cs="Arial"/>
          <w:szCs w:val="20"/>
        </w:rPr>
        <w:t xml:space="preserve">condensed </w:t>
      </w:r>
      <w:r>
        <w:rPr>
          <w:rFonts w:ascii="Arial" w:hAnsi="Arial" w:cs="Arial"/>
          <w:szCs w:val="20"/>
        </w:rPr>
        <w:t>consolidated</w:t>
      </w:r>
      <w:r w:rsidR="00170927">
        <w:rPr>
          <w:rFonts w:ascii="Arial" w:hAnsi="Arial" w:cs="Arial"/>
          <w:szCs w:val="20"/>
        </w:rPr>
        <w:t xml:space="preserve"> interim</w:t>
      </w:r>
      <w:r w:rsidRPr="00CC5FE4">
        <w:rPr>
          <w:rFonts w:ascii="Arial" w:hAnsi="Arial" w:cs="Arial"/>
          <w:szCs w:val="20"/>
        </w:rPr>
        <w:t xml:space="preserve"> statement of financial position date, taking into account the risks and uncertainties surrounding the obligation. Where a provision is measured using the cash flows estimated to settle the present obligation, its carrying amount is the present value of those cash flows. When some or all of the economic benefits required to settle a provision are expected to be recovered from a third party, the receivable is recognized as an asset if it is virtually certain that reimbursement will be received and the amount rece</w:t>
      </w:r>
      <w:r>
        <w:rPr>
          <w:rFonts w:ascii="Arial" w:hAnsi="Arial" w:cs="Arial"/>
          <w:szCs w:val="20"/>
        </w:rPr>
        <w:t>ivable can be measured reliably</w:t>
      </w:r>
      <w:r w:rsidR="00ED7711">
        <w:rPr>
          <w:rFonts w:ascii="Arial" w:hAnsi="Arial" w:cs="Arial"/>
          <w:szCs w:val="20"/>
        </w:rPr>
        <w:t>.</w:t>
      </w:r>
    </w:p>
    <w:p w14:paraId="64D9B32D" w14:textId="77777777" w:rsidR="001D529F" w:rsidRDefault="001D529F" w:rsidP="001D529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p>
    <w:p w14:paraId="4A7B53CE" w14:textId="43B5B631" w:rsidR="00790828" w:rsidRPr="00F60034" w:rsidRDefault="00045254" w:rsidP="007619C6">
      <w:pPr>
        <w:widowControl w:val="0"/>
        <w:numPr>
          <w:ilvl w:val="0"/>
          <w:numId w:val="20"/>
        </w:numPr>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jc w:val="both"/>
        <w:rPr>
          <w:rFonts w:ascii="Arial" w:hAnsi="Arial" w:cs="Arial"/>
          <w:szCs w:val="20"/>
        </w:rPr>
      </w:pPr>
      <w:r>
        <w:rPr>
          <w:rFonts w:ascii="Arial" w:hAnsi="Arial" w:cs="Arial"/>
          <w:szCs w:val="20"/>
        </w:rPr>
        <w:t>Share-based Payments</w:t>
      </w:r>
    </w:p>
    <w:p w14:paraId="4BEEECEB" w14:textId="77777777" w:rsidR="00ED7711" w:rsidRDefault="00ED7711" w:rsidP="00F15B99">
      <w:pPr>
        <w:spacing w:after="0" w:line="240" w:lineRule="auto"/>
        <w:ind w:left="792"/>
        <w:jc w:val="both"/>
        <w:rPr>
          <w:rFonts w:ascii="Arial" w:hAnsi="Arial" w:cs="Arial"/>
          <w:szCs w:val="20"/>
        </w:rPr>
      </w:pPr>
    </w:p>
    <w:p w14:paraId="6A5CEE10" w14:textId="637C11A4" w:rsidR="00790828" w:rsidRDefault="006023CF" w:rsidP="00F15B99">
      <w:pPr>
        <w:widowControl w:val="0"/>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ind w:left="792"/>
        <w:jc w:val="both"/>
        <w:rPr>
          <w:rFonts w:ascii="Arial" w:hAnsi="Arial" w:cs="Arial"/>
          <w:szCs w:val="20"/>
        </w:rPr>
      </w:pPr>
      <w:r w:rsidRPr="006023CF">
        <w:rPr>
          <w:rFonts w:ascii="Arial" w:hAnsi="Arial" w:cs="Arial"/>
          <w:szCs w:val="20"/>
        </w:rPr>
        <w:t xml:space="preserve">The Company issues share purchase options under its </w:t>
      </w:r>
      <w:r w:rsidR="002B1A73">
        <w:rPr>
          <w:rFonts w:ascii="Arial" w:hAnsi="Arial" w:cs="Arial"/>
          <w:szCs w:val="20"/>
        </w:rPr>
        <w:t>Long-term Incentive</w:t>
      </w:r>
      <w:r w:rsidRPr="006023CF">
        <w:rPr>
          <w:rFonts w:ascii="Arial" w:hAnsi="Arial" w:cs="Arial"/>
          <w:szCs w:val="20"/>
        </w:rPr>
        <w:t xml:space="preserve"> Plan described in Note</w:t>
      </w:r>
      <w:r w:rsidR="00AD3813">
        <w:rPr>
          <w:rFonts w:ascii="Arial" w:hAnsi="Arial" w:cs="Arial"/>
          <w:szCs w:val="20"/>
        </w:rPr>
        <w:t xml:space="preserve"> 1</w:t>
      </w:r>
      <w:r w:rsidR="00C83768">
        <w:rPr>
          <w:rFonts w:ascii="Arial" w:hAnsi="Arial" w:cs="Arial"/>
          <w:szCs w:val="20"/>
        </w:rPr>
        <w:t>4</w:t>
      </w:r>
      <w:r w:rsidRPr="006023CF">
        <w:rPr>
          <w:rFonts w:ascii="Arial" w:hAnsi="Arial" w:cs="Arial"/>
          <w:szCs w:val="20"/>
        </w:rPr>
        <w:t>. The fair value of share purchase options granted to employees, consultants, directors and others providing similar services is measured at the grant date using an option pricing model. Subsequently, the fair value of share purchase options ultimately expected to vest is charged to operations over the vesting period.  Share purchase options granted to third parties in exchange for goods or services are measured at the fair value of the goods or services received and charged to operations over the vesting period</w:t>
      </w:r>
      <w:r w:rsidR="00045254" w:rsidRPr="00045254">
        <w:rPr>
          <w:rFonts w:ascii="Arial" w:hAnsi="Arial" w:cs="Arial"/>
          <w:szCs w:val="20"/>
        </w:rPr>
        <w:t>.</w:t>
      </w:r>
    </w:p>
    <w:p w14:paraId="3123B9A0" w14:textId="77777777" w:rsidR="006023CF" w:rsidRDefault="006023CF" w:rsidP="00F15B99">
      <w:pPr>
        <w:widowControl w:val="0"/>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ind w:left="792"/>
        <w:jc w:val="both"/>
        <w:rPr>
          <w:rFonts w:ascii="Arial" w:hAnsi="Arial" w:cs="Arial"/>
          <w:szCs w:val="20"/>
        </w:rPr>
      </w:pPr>
    </w:p>
    <w:p w14:paraId="3728BDBF" w14:textId="77777777" w:rsidR="00D462FC" w:rsidRDefault="00D462FC">
      <w:pPr>
        <w:rPr>
          <w:rFonts w:ascii="Arial" w:hAnsi="Arial" w:cs="Arial"/>
          <w:b/>
          <w:bCs/>
          <w:szCs w:val="20"/>
        </w:rPr>
      </w:pPr>
      <w:r>
        <w:rPr>
          <w:rFonts w:ascii="Arial" w:hAnsi="Arial" w:cs="Arial"/>
          <w:b/>
          <w:bCs/>
          <w:szCs w:val="20"/>
        </w:rPr>
        <w:br w:type="page"/>
      </w:r>
    </w:p>
    <w:p w14:paraId="18B75BBC" w14:textId="4D46FB6F" w:rsidR="00D462FC" w:rsidRPr="00F60034" w:rsidRDefault="00D462FC" w:rsidP="00D462FC">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lastRenderedPageBreak/>
        <w:t>2</w:t>
      </w:r>
      <w:r w:rsidRPr="00F60034">
        <w:rPr>
          <w:rFonts w:ascii="Arial" w:hAnsi="Arial" w:cs="Arial"/>
          <w:b/>
          <w:bCs/>
          <w:szCs w:val="20"/>
        </w:rPr>
        <w:t>.</w:t>
      </w:r>
      <w:r w:rsidRPr="00F60034">
        <w:rPr>
          <w:rFonts w:ascii="Arial" w:hAnsi="Arial" w:cs="Arial"/>
          <w:b/>
          <w:bCs/>
          <w:szCs w:val="20"/>
        </w:rPr>
        <w:tab/>
        <w:t>Significant Accounting Policies</w:t>
      </w:r>
      <w:r w:rsidRPr="00F60034">
        <w:rPr>
          <w:rFonts w:ascii="Arial" w:hAnsi="Arial" w:cs="Arial"/>
          <w:bCs/>
          <w:szCs w:val="20"/>
        </w:rPr>
        <w:t xml:space="preserve"> (continued)</w:t>
      </w:r>
    </w:p>
    <w:p w14:paraId="3B3FC6B8" w14:textId="77777777" w:rsidR="00D462FC" w:rsidRDefault="00D462FC" w:rsidP="00F15B99">
      <w:pPr>
        <w:widowControl w:val="0"/>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ind w:left="792"/>
        <w:jc w:val="both"/>
        <w:rPr>
          <w:rFonts w:ascii="Arial" w:hAnsi="Arial" w:cs="Arial"/>
          <w:szCs w:val="20"/>
        </w:rPr>
      </w:pPr>
    </w:p>
    <w:p w14:paraId="66866B71" w14:textId="5341763B" w:rsidR="006023CF" w:rsidRPr="006023CF" w:rsidRDefault="006023CF" w:rsidP="007619C6">
      <w:pPr>
        <w:pStyle w:val="ListParagraph"/>
        <w:numPr>
          <w:ilvl w:val="0"/>
          <w:numId w:val="20"/>
        </w:numPr>
        <w:rPr>
          <w:rFonts w:ascii="Arial" w:hAnsi="Arial" w:cs="Arial"/>
          <w:szCs w:val="20"/>
        </w:rPr>
      </w:pPr>
      <w:r w:rsidRPr="006023CF">
        <w:rPr>
          <w:rFonts w:ascii="Arial" w:hAnsi="Arial" w:cs="Arial"/>
          <w:szCs w:val="20"/>
        </w:rPr>
        <w:t>Comprehensive Income (Loss)</w:t>
      </w:r>
    </w:p>
    <w:p w14:paraId="4294EE4A" w14:textId="6B174B98" w:rsidR="006023CF" w:rsidRDefault="006023CF" w:rsidP="006023CF">
      <w:pPr>
        <w:widowControl w:val="0"/>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ind w:left="792"/>
        <w:jc w:val="both"/>
        <w:rPr>
          <w:rFonts w:ascii="Arial" w:hAnsi="Arial" w:cs="Arial"/>
          <w:szCs w:val="20"/>
        </w:rPr>
      </w:pPr>
      <w:r w:rsidRPr="006023CF">
        <w:rPr>
          <w:rFonts w:ascii="Arial" w:hAnsi="Arial" w:cs="Arial"/>
          <w:szCs w:val="20"/>
        </w:rPr>
        <w:t xml:space="preserve">Comprehensive income or loss is the change in net assets arising from transactions and other events and circumstances from non-owner sources. Financial assets that are </w:t>
      </w:r>
      <w:r>
        <w:rPr>
          <w:rFonts w:ascii="Arial" w:hAnsi="Arial" w:cs="Arial"/>
          <w:szCs w:val="20"/>
        </w:rPr>
        <w:t>measured at FVOCI</w:t>
      </w:r>
      <w:r w:rsidRPr="006023CF">
        <w:rPr>
          <w:rFonts w:ascii="Arial" w:hAnsi="Arial" w:cs="Arial"/>
          <w:szCs w:val="20"/>
        </w:rPr>
        <w:t xml:space="preserve"> will have revaluation gains and losses included in other comprehensive income or loss until the asset is removed from the </w:t>
      </w:r>
      <w:r w:rsidR="00170927">
        <w:rPr>
          <w:rFonts w:ascii="Arial" w:hAnsi="Arial" w:cs="Arial"/>
          <w:szCs w:val="20"/>
        </w:rPr>
        <w:t xml:space="preserve">condensed </w:t>
      </w:r>
      <w:r w:rsidRPr="006023CF">
        <w:rPr>
          <w:rFonts w:ascii="Arial" w:hAnsi="Arial" w:cs="Arial"/>
          <w:szCs w:val="20"/>
        </w:rPr>
        <w:t xml:space="preserve">consolidated </w:t>
      </w:r>
      <w:r w:rsidR="00170927">
        <w:rPr>
          <w:rFonts w:ascii="Arial" w:hAnsi="Arial" w:cs="Arial"/>
          <w:szCs w:val="20"/>
        </w:rPr>
        <w:t xml:space="preserve">interim </w:t>
      </w:r>
      <w:r w:rsidRPr="006023CF">
        <w:rPr>
          <w:rFonts w:ascii="Arial" w:hAnsi="Arial" w:cs="Arial"/>
          <w:szCs w:val="20"/>
        </w:rPr>
        <w:t>statement of financial position. Certain gains and losses on the translation of amounts between the functional and presentation currency of the Company are included in other comprehensive income or loss</w:t>
      </w:r>
      <w:r w:rsidR="006A62FC">
        <w:rPr>
          <w:rFonts w:ascii="Arial" w:hAnsi="Arial" w:cs="Arial"/>
          <w:szCs w:val="20"/>
        </w:rPr>
        <w:t>.</w:t>
      </w:r>
    </w:p>
    <w:p w14:paraId="7919D83F" w14:textId="77777777" w:rsidR="006023CF" w:rsidRDefault="006023CF" w:rsidP="00F15B99">
      <w:pPr>
        <w:widowControl w:val="0"/>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ind w:left="792"/>
        <w:jc w:val="both"/>
        <w:rPr>
          <w:rFonts w:ascii="Arial" w:hAnsi="Arial" w:cs="Arial"/>
          <w:szCs w:val="20"/>
        </w:rPr>
      </w:pPr>
    </w:p>
    <w:p w14:paraId="66123E2E" w14:textId="77777777" w:rsidR="00790828" w:rsidRPr="00F60034" w:rsidRDefault="00790828" w:rsidP="007619C6">
      <w:pPr>
        <w:widowControl w:val="0"/>
        <w:numPr>
          <w:ilvl w:val="0"/>
          <w:numId w:val="20"/>
        </w:numPr>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rPr>
          <w:rFonts w:ascii="Arial" w:hAnsi="Arial" w:cs="Arial"/>
          <w:szCs w:val="20"/>
        </w:rPr>
      </w:pPr>
      <w:r w:rsidRPr="00F60034">
        <w:rPr>
          <w:rFonts w:ascii="Arial" w:hAnsi="Arial" w:cs="Arial"/>
          <w:szCs w:val="20"/>
        </w:rPr>
        <w:t>Loss Per Share</w:t>
      </w:r>
    </w:p>
    <w:p w14:paraId="5756E2DA" w14:textId="77777777" w:rsidR="006023CF" w:rsidRDefault="006023CF" w:rsidP="00F15B99">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p>
    <w:p w14:paraId="64E85508" w14:textId="13463973" w:rsidR="00790828" w:rsidRDefault="00045254" w:rsidP="00F15B99">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r w:rsidRPr="00045254">
        <w:rPr>
          <w:rFonts w:ascii="Arial" w:hAnsi="Arial" w:cs="Arial"/>
          <w:szCs w:val="20"/>
        </w:rPr>
        <w:t>The Company presents the basic and diluted earnings or loss per share data for its common shares, calculated</w:t>
      </w:r>
      <w:r>
        <w:rPr>
          <w:rFonts w:ascii="Arial" w:hAnsi="Arial" w:cs="Arial"/>
          <w:szCs w:val="20"/>
        </w:rPr>
        <w:t xml:space="preserve"> </w:t>
      </w:r>
      <w:r w:rsidRPr="00045254">
        <w:rPr>
          <w:rFonts w:ascii="Arial" w:hAnsi="Arial" w:cs="Arial"/>
          <w:szCs w:val="20"/>
        </w:rPr>
        <w:t>by dividing the earnings or loss attributable to common shareholders of the Company by the weighted average</w:t>
      </w:r>
      <w:r>
        <w:rPr>
          <w:rFonts w:ascii="Arial" w:hAnsi="Arial" w:cs="Arial"/>
          <w:szCs w:val="20"/>
        </w:rPr>
        <w:t xml:space="preserve"> </w:t>
      </w:r>
      <w:r w:rsidRPr="00045254">
        <w:rPr>
          <w:rFonts w:ascii="Arial" w:hAnsi="Arial" w:cs="Arial"/>
          <w:szCs w:val="20"/>
        </w:rPr>
        <w:t>number of common shares outstanding during the year. Diluted earnings or loss per share is determined by</w:t>
      </w:r>
      <w:r>
        <w:rPr>
          <w:rFonts w:ascii="Arial" w:hAnsi="Arial" w:cs="Arial"/>
          <w:szCs w:val="20"/>
        </w:rPr>
        <w:t xml:space="preserve"> </w:t>
      </w:r>
      <w:r w:rsidRPr="00045254">
        <w:rPr>
          <w:rFonts w:ascii="Arial" w:hAnsi="Arial" w:cs="Arial"/>
          <w:szCs w:val="20"/>
        </w:rPr>
        <w:t>adjusting the earnings or loss attributable to common shareholders and the weighted average number of</w:t>
      </w:r>
      <w:r>
        <w:rPr>
          <w:rFonts w:ascii="Arial" w:hAnsi="Arial" w:cs="Arial"/>
          <w:szCs w:val="20"/>
        </w:rPr>
        <w:t xml:space="preserve"> </w:t>
      </w:r>
      <w:r w:rsidRPr="00045254">
        <w:rPr>
          <w:rFonts w:ascii="Arial" w:hAnsi="Arial" w:cs="Arial"/>
          <w:szCs w:val="20"/>
        </w:rPr>
        <w:t>common shares outstanding for the effects of all dilutive potential common shares</w:t>
      </w:r>
      <w:r w:rsidR="00790828" w:rsidRPr="00F60034">
        <w:rPr>
          <w:rFonts w:ascii="Arial" w:hAnsi="Arial" w:cs="Arial"/>
          <w:szCs w:val="20"/>
        </w:rPr>
        <w:t>.</w:t>
      </w:r>
    </w:p>
    <w:p w14:paraId="3B49AEC5" w14:textId="77777777" w:rsidR="006023CF" w:rsidRPr="00F60034" w:rsidRDefault="006023CF" w:rsidP="00F15B99">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p>
    <w:p w14:paraId="3610A6F7" w14:textId="77777777" w:rsidR="00790828" w:rsidRPr="00F60034" w:rsidRDefault="00790828"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sidRPr="00F60034">
        <w:rPr>
          <w:rFonts w:ascii="Arial" w:hAnsi="Arial" w:cs="Arial"/>
          <w:szCs w:val="20"/>
        </w:rPr>
        <w:t>Research and Development Costs</w:t>
      </w:r>
    </w:p>
    <w:p w14:paraId="14C292C9" w14:textId="77777777" w:rsidR="006023CF" w:rsidRDefault="006023CF" w:rsidP="00F15B99">
      <w:pPr>
        <w:spacing w:after="0" w:line="240" w:lineRule="auto"/>
        <w:ind w:left="792"/>
        <w:jc w:val="both"/>
        <w:rPr>
          <w:rFonts w:ascii="Arial" w:hAnsi="Arial" w:cs="Arial"/>
          <w:szCs w:val="20"/>
        </w:rPr>
      </w:pPr>
    </w:p>
    <w:p w14:paraId="37E215FE" w14:textId="77BBEDD7" w:rsidR="00790828" w:rsidRDefault="00790828" w:rsidP="00F15B99">
      <w:pPr>
        <w:spacing w:after="0" w:line="240" w:lineRule="auto"/>
        <w:ind w:left="792"/>
        <w:jc w:val="both"/>
        <w:rPr>
          <w:rFonts w:ascii="Arial" w:hAnsi="Arial" w:cs="Arial"/>
          <w:szCs w:val="20"/>
        </w:rPr>
      </w:pPr>
      <w:r w:rsidRPr="00F60034">
        <w:rPr>
          <w:rFonts w:ascii="Arial" w:hAnsi="Arial" w:cs="Arial"/>
          <w:szCs w:val="20"/>
        </w:rPr>
        <w:t>Research costs are expensed in the period</w:t>
      </w:r>
      <w:r w:rsidR="00971CE3">
        <w:rPr>
          <w:rFonts w:ascii="Arial" w:hAnsi="Arial" w:cs="Arial"/>
          <w:szCs w:val="20"/>
        </w:rPr>
        <w:t xml:space="preserve"> that they are incurred. </w:t>
      </w:r>
      <w:r w:rsidR="006A62FC">
        <w:rPr>
          <w:rFonts w:ascii="Arial" w:hAnsi="Arial" w:cs="Arial"/>
          <w:szCs w:val="20"/>
        </w:rPr>
        <w:t xml:space="preserve"> </w:t>
      </w:r>
      <w:r w:rsidR="006A62FC" w:rsidRPr="006A62FC">
        <w:rPr>
          <w:rFonts w:ascii="Arial" w:hAnsi="Arial" w:cs="Arial"/>
          <w:szCs w:val="20"/>
        </w:rPr>
        <w:t>Development costs are capitalized, to the extent they increase the future economic benefit embodied in the specific asset, to intangible assets</w:t>
      </w:r>
      <w:r w:rsidR="00170927">
        <w:rPr>
          <w:rFonts w:ascii="Arial" w:hAnsi="Arial" w:cs="Arial"/>
          <w:szCs w:val="20"/>
        </w:rPr>
        <w:t>.</w:t>
      </w:r>
    </w:p>
    <w:p w14:paraId="0785ECFC" w14:textId="77777777" w:rsidR="006023CF" w:rsidRDefault="006023CF" w:rsidP="00F15B99">
      <w:pPr>
        <w:spacing w:after="0" w:line="240" w:lineRule="auto"/>
        <w:ind w:left="792"/>
        <w:jc w:val="both"/>
        <w:rPr>
          <w:rFonts w:ascii="Arial" w:hAnsi="Arial" w:cs="Arial"/>
          <w:szCs w:val="20"/>
        </w:rPr>
      </w:pPr>
    </w:p>
    <w:p w14:paraId="2B1DEB22" w14:textId="77777777" w:rsidR="00790828" w:rsidRPr="00F60034" w:rsidRDefault="00790828"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sidRPr="00F60034">
        <w:rPr>
          <w:rFonts w:ascii="Arial" w:hAnsi="Arial" w:cs="Arial"/>
          <w:szCs w:val="20"/>
        </w:rPr>
        <w:t>Income Taxes</w:t>
      </w:r>
    </w:p>
    <w:p w14:paraId="535C1863" w14:textId="77777777" w:rsidR="00BC793B" w:rsidRDefault="00BC793B" w:rsidP="00F15B99">
      <w:pPr>
        <w:spacing w:after="0" w:line="240" w:lineRule="auto"/>
        <w:ind w:left="792"/>
        <w:jc w:val="both"/>
        <w:rPr>
          <w:rFonts w:ascii="Arial" w:hAnsi="Arial" w:cs="Arial"/>
          <w:szCs w:val="20"/>
        </w:rPr>
      </w:pPr>
    </w:p>
    <w:p w14:paraId="02CDCBBC" w14:textId="075C203C" w:rsidR="006A62FC" w:rsidRPr="00D35A48" w:rsidRDefault="006A62FC" w:rsidP="006A62FC">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r w:rsidRPr="00D35A48">
        <w:rPr>
          <w:rFonts w:ascii="Arial" w:hAnsi="Arial" w:cs="Arial"/>
          <w:szCs w:val="20"/>
        </w:rPr>
        <w:t xml:space="preserve">Income tax expense comprises current and deferred tax. Income tax expense is recognized in the </w:t>
      </w:r>
      <w:r>
        <w:rPr>
          <w:rFonts w:ascii="Arial" w:hAnsi="Arial" w:cs="Arial"/>
          <w:szCs w:val="20"/>
        </w:rPr>
        <w:t xml:space="preserve">condensed consolidated interim </w:t>
      </w:r>
      <w:r w:rsidRPr="00D35A48">
        <w:rPr>
          <w:rFonts w:ascii="Arial" w:hAnsi="Arial" w:cs="Arial"/>
          <w:szCs w:val="20"/>
        </w:rPr>
        <w:t>statement</w:t>
      </w:r>
      <w:r>
        <w:rPr>
          <w:rFonts w:ascii="Arial" w:hAnsi="Arial" w:cs="Arial"/>
          <w:szCs w:val="20"/>
        </w:rPr>
        <w:t>s</w:t>
      </w:r>
      <w:r w:rsidRPr="00D35A48">
        <w:rPr>
          <w:rFonts w:ascii="Arial" w:hAnsi="Arial" w:cs="Arial"/>
          <w:szCs w:val="20"/>
        </w:rPr>
        <w:t xml:space="preserve"> of</w:t>
      </w:r>
      <w:r>
        <w:rPr>
          <w:rFonts w:ascii="Arial" w:hAnsi="Arial" w:cs="Arial"/>
          <w:szCs w:val="20"/>
        </w:rPr>
        <w:t xml:space="preserve"> income</w:t>
      </w:r>
      <w:r w:rsidRPr="00D35A48">
        <w:rPr>
          <w:rFonts w:ascii="Arial" w:hAnsi="Arial" w:cs="Arial"/>
          <w:szCs w:val="20"/>
        </w:rPr>
        <w:t xml:space="preserve"> </w:t>
      </w:r>
      <w:r>
        <w:rPr>
          <w:rFonts w:ascii="Arial" w:hAnsi="Arial" w:cs="Arial"/>
          <w:szCs w:val="20"/>
        </w:rPr>
        <w:t xml:space="preserve">(loss) and </w:t>
      </w:r>
      <w:r w:rsidRPr="00D35A48">
        <w:rPr>
          <w:rFonts w:ascii="Arial" w:hAnsi="Arial" w:cs="Arial"/>
          <w:szCs w:val="20"/>
        </w:rPr>
        <w:t xml:space="preserve">comprehensive </w:t>
      </w:r>
      <w:r>
        <w:rPr>
          <w:rFonts w:ascii="Arial" w:hAnsi="Arial" w:cs="Arial"/>
          <w:szCs w:val="20"/>
        </w:rPr>
        <w:t>income (</w:t>
      </w:r>
      <w:r w:rsidRPr="00D35A48">
        <w:rPr>
          <w:rFonts w:ascii="Arial" w:hAnsi="Arial" w:cs="Arial"/>
          <w:szCs w:val="20"/>
        </w:rPr>
        <w:t>loss</w:t>
      </w:r>
      <w:r>
        <w:rPr>
          <w:rFonts w:ascii="Arial" w:hAnsi="Arial" w:cs="Arial"/>
          <w:szCs w:val="20"/>
        </w:rPr>
        <w:t>)</w:t>
      </w:r>
      <w:r w:rsidRPr="00D35A48">
        <w:rPr>
          <w:rFonts w:ascii="Arial" w:hAnsi="Arial" w:cs="Arial"/>
          <w:szCs w:val="20"/>
        </w:rPr>
        <w:t xml:space="preserve"> except to the extent that it relates to items recognized directly in equity, in which case it is recognized in equity.</w:t>
      </w:r>
    </w:p>
    <w:p w14:paraId="2C0D982E" w14:textId="77777777" w:rsidR="006A62FC" w:rsidRPr="009F739D" w:rsidRDefault="006A62FC" w:rsidP="006A62FC">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 w:val="14"/>
          <w:szCs w:val="14"/>
        </w:rPr>
      </w:pPr>
    </w:p>
    <w:p w14:paraId="2093EEFD" w14:textId="77777777" w:rsidR="006A62FC" w:rsidRPr="00391516" w:rsidRDefault="006A62FC" w:rsidP="006A62FC">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r w:rsidRPr="00391516">
        <w:rPr>
          <w:rFonts w:ascii="Arial" w:hAnsi="Arial" w:cs="Arial"/>
          <w:szCs w:val="20"/>
        </w:rPr>
        <w:t>Current tax is the expected tax payable on the taxable income for the year, using tax rates enacted or substantively enacted at the reporting date, and any adjustment to tax payable in respect of previous years.</w:t>
      </w:r>
    </w:p>
    <w:p w14:paraId="664414F5" w14:textId="77777777" w:rsidR="006A62FC" w:rsidRPr="009F739D" w:rsidRDefault="006A62FC" w:rsidP="006A62FC">
      <w:pPr>
        <w:spacing w:after="0" w:line="240" w:lineRule="auto"/>
        <w:rPr>
          <w:rFonts w:ascii="Arial" w:hAnsi="Arial" w:cs="Arial"/>
          <w:b/>
          <w:bCs/>
          <w:sz w:val="14"/>
          <w:szCs w:val="14"/>
        </w:rPr>
      </w:pPr>
    </w:p>
    <w:p w14:paraId="5CE4EBEB" w14:textId="77777777" w:rsidR="006A62FC" w:rsidRDefault="006A62FC" w:rsidP="006A62FC">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r w:rsidRPr="00D35A48">
        <w:rPr>
          <w:rFonts w:ascii="Arial" w:hAnsi="Arial" w:cs="Arial"/>
          <w:szCs w:val="20"/>
        </w:rPr>
        <w:t xml:space="preserve">Deferred tax is recognized using the liability method, providing for temporary differences between the carrying amounts of assets and liabilities for financial reporting purposes and the amounts used for taxation purposes. Deferred tax is not recognized on the initial recognition of assets or liabilities in a transaction that is not a business combination. In addition, deferred tax is not recognized for taxable temporary differences arising on the initial recognition of goodwill. Deferred tax is measured at the tax rates that are expected to be applied to temporary differences when they reverse, based on the laws that have been enacted or substantively enacted by the reporting date. Deferred tax assets and liabilities are offset if there is a legally enforceable right to offset, and they relate to income taxes levied by the same tax authority on the same taxable entity, or on different tax entities, but they intend to settle current tax liabilities and assets on a net basis or their tax assets and liabilities will be realized simultaneously. </w:t>
      </w:r>
    </w:p>
    <w:p w14:paraId="553B8C4F" w14:textId="77777777" w:rsidR="006A62FC" w:rsidRDefault="006A62FC" w:rsidP="006A62FC">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p>
    <w:p w14:paraId="5C3787E0" w14:textId="688288CA" w:rsidR="00790828" w:rsidRDefault="006A62FC" w:rsidP="006A62FC">
      <w:pPr>
        <w:spacing w:after="0" w:line="240" w:lineRule="auto"/>
        <w:ind w:left="792"/>
        <w:jc w:val="both"/>
        <w:rPr>
          <w:rFonts w:ascii="Arial" w:hAnsi="Arial" w:cs="Arial"/>
          <w:szCs w:val="20"/>
        </w:rPr>
      </w:pPr>
      <w:r w:rsidRPr="00D35A48">
        <w:rPr>
          <w:rFonts w:ascii="Arial" w:hAnsi="Arial" w:cs="Arial"/>
          <w:szCs w:val="20"/>
        </w:rPr>
        <w:t>A deferred tax asset is recognized to the extent that it is probable that future taxable profits will be available against which the temporary difference can be utilized. Deferred tax assets are reviewed at each reporting date and are reduced to the extent that it is no longer probable that the related tax benefit will be realized</w:t>
      </w:r>
      <w:r w:rsidR="00790828" w:rsidRPr="00F60034">
        <w:rPr>
          <w:rFonts w:ascii="Arial" w:hAnsi="Arial" w:cs="Arial"/>
          <w:szCs w:val="20"/>
        </w:rPr>
        <w:t>.</w:t>
      </w:r>
    </w:p>
    <w:p w14:paraId="5B76957F" w14:textId="77777777" w:rsidR="00D462FC" w:rsidRDefault="00D462FC">
      <w:pPr>
        <w:rPr>
          <w:rFonts w:ascii="Arial" w:hAnsi="Arial" w:cs="Arial"/>
          <w:b/>
          <w:bCs/>
          <w:szCs w:val="20"/>
        </w:rPr>
      </w:pPr>
      <w:r>
        <w:rPr>
          <w:rFonts w:ascii="Arial" w:hAnsi="Arial" w:cs="Arial"/>
          <w:b/>
          <w:bCs/>
          <w:szCs w:val="20"/>
        </w:rPr>
        <w:br w:type="page"/>
      </w:r>
    </w:p>
    <w:p w14:paraId="05AD87BD" w14:textId="6D3D15B4" w:rsidR="00D462FC" w:rsidRPr="00F60034" w:rsidRDefault="00D462FC" w:rsidP="00D462FC">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lastRenderedPageBreak/>
        <w:t>2</w:t>
      </w:r>
      <w:r w:rsidRPr="00F60034">
        <w:rPr>
          <w:rFonts w:ascii="Arial" w:hAnsi="Arial" w:cs="Arial"/>
          <w:b/>
          <w:bCs/>
          <w:szCs w:val="20"/>
        </w:rPr>
        <w:t>.</w:t>
      </w:r>
      <w:r w:rsidRPr="00F60034">
        <w:rPr>
          <w:rFonts w:ascii="Arial" w:hAnsi="Arial" w:cs="Arial"/>
          <w:b/>
          <w:bCs/>
          <w:szCs w:val="20"/>
        </w:rPr>
        <w:tab/>
        <w:t>Significant Accounting Policies</w:t>
      </w:r>
      <w:r w:rsidRPr="00F60034">
        <w:rPr>
          <w:rFonts w:ascii="Arial" w:hAnsi="Arial" w:cs="Arial"/>
          <w:bCs/>
          <w:szCs w:val="20"/>
        </w:rPr>
        <w:t xml:space="preserve"> (continued)</w:t>
      </w:r>
    </w:p>
    <w:p w14:paraId="74D43E13" w14:textId="77777777" w:rsidR="00B31C91" w:rsidRDefault="00B31C91" w:rsidP="00F15B99">
      <w:pPr>
        <w:spacing w:after="0" w:line="240" w:lineRule="auto"/>
        <w:ind w:left="792"/>
        <w:jc w:val="both"/>
        <w:rPr>
          <w:rFonts w:ascii="Arial" w:hAnsi="Arial" w:cs="Arial"/>
          <w:szCs w:val="20"/>
        </w:rPr>
      </w:pPr>
    </w:p>
    <w:p w14:paraId="78E09BA3" w14:textId="23268F8A" w:rsidR="00B31C91" w:rsidRPr="00F60034" w:rsidRDefault="00B31C91"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Pr>
          <w:rFonts w:ascii="Arial" w:hAnsi="Arial" w:cs="Arial"/>
          <w:szCs w:val="20"/>
        </w:rPr>
        <w:t>Related Party Transactions</w:t>
      </w:r>
    </w:p>
    <w:p w14:paraId="5BBFBFCA" w14:textId="77777777" w:rsidR="00B31C91" w:rsidRDefault="00B31C91" w:rsidP="00B31C91">
      <w:pPr>
        <w:spacing w:after="0" w:line="240" w:lineRule="auto"/>
        <w:ind w:left="792"/>
        <w:jc w:val="both"/>
        <w:rPr>
          <w:rFonts w:ascii="Arial" w:hAnsi="Arial" w:cs="Arial"/>
          <w:szCs w:val="20"/>
        </w:rPr>
      </w:pPr>
    </w:p>
    <w:p w14:paraId="0D5E61F5" w14:textId="3E4971B6" w:rsidR="00B31C91" w:rsidRDefault="006A62FC" w:rsidP="00B31C91">
      <w:pPr>
        <w:spacing w:after="0" w:line="240" w:lineRule="auto"/>
        <w:ind w:left="792"/>
        <w:jc w:val="both"/>
        <w:rPr>
          <w:rFonts w:ascii="Arial" w:hAnsi="Arial" w:cs="Arial"/>
          <w:szCs w:val="20"/>
        </w:rPr>
      </w:pPr>
      <w:r w:rsidRPr="00650CDA">
        <w:rPr>
          <w:rFonts w:ascii="Arial" w:hAnsi="Arial" w:cs="Arial"/>
          <w:szCs w:val="20"/>
        </w:rPr>
        <w:t>Parties are considered to be related if one party has the ability, directly or indirectly, to control the other party or exercise significant influence over the other party in making financial and operating decisions.  Parties are also considered to be related if they are subject to common control</w:t>
      </w:r>
      <w:r w:rsidR="001F3110">
        <w:rPr>
          <w:rFonts w:ascii="Arial" w:hAnsi="Arial" w:cs="Arial"/>
          <w:szCs w:val="20"/>
        </w:rPr>
        <w:t xml:space="preserve"> and </w:t>
      </w:r>
      <w:r w:rsidRPr="00650CDA">
        <w:rPr>
          <w:rFonts w:ascii="Arial" w:hAnsi="Arial" w:cs="Arial"/>
          <w:szCs w:val="20"/>
        </w:rPr>
        <w:t>may be individuals or corporate entities.  A transaction is considered to be a related party transaction when there is a transfer of resources or obligations between related parties</w:t>
      </w:r>
      <w:r w:rsidR="00B31C91">
        <w:rPr>
          <w:rFonts w:ascii="Arial" w:hAnsi="Arial" w:cs="Arial"/>
          <w:szCs w:val="20"/>
        </w:rPr>
        <w:t>.</w:t>
      </w:r>
    </w:p>
    <w:p w14:paraId="205C0B65" w14:textId="7A3C9B91" w:rsidR="0054049E" w:rsidRDefault="0054049E" w:rsidP="00F15B99">
      <w:pPr>
        <w:spacing w:after="0" w:line="240" w:lineRule="auto"/>
        <w:rPr>
          <w:rFonts w:ascii="Arial" w:hAnsi="Arial" w:cs="Arial"/>
          <w:b/>
          <w:szCs w:val="20"/>
        </w:rPr>
      </w:pPr>
    </w:p>
    <w:p w14:paraId="3F9C0002" w14:textId="0E93221D" w:rsidR="003C2EF4" w:rsidRPr="00BA56F7" w:rsidRDefault="003C2EF4" w:rsidP="003C2EF4">
      <w:pPr>
        <w:tabs>
          <w:tab w:val="left" w:pos="450"/>
        </w:tabs>
        <w:spacing w:after="0" w:line="240" w:lineRule="auto"/>
        <w:jc w:val="both"/>
        <w:rPr>
          <w:rFonts w:ascii="Arial" w:hAnsi="Arial" w:cs="Arial"/>
          <w:b/>
          <w:szCs w:val="20"/>
        </w:rPr>
      </w:pPr>
      <w:r w:rsidRPr="00BA56F7">
        <w:rPr>
          <w:rFonts w:ascii="Arial" w:hAnsi="Arial" w:cs="Arial"/>
          <w:b/>
          <w:szCs w:val="20"/>
        </w:rPr>
        <w:t xml:space="preserve">3.    </w:t>
      </w:r>
      <w:r w:rsidRPr="00BA56F7">
        <w:rPr>
          <w:rFonts w:ascii="Arial" w:hAnsi="Arial" w:cs="Arial"/>
          <w:b/>
          <w:szCs w:val="20"/>
        </w:rPr>
        <w:tab/>
      </w:r>
      <w:r w:rsidR="0050081F">
        <w:rPr>
          <w:rFonts w:ascii="Arial" w:hAnsi="Arial" w:cs="Arial"/>
          <w:b/>
          <w:szCs w:val="20"/>
        </w:rPr>
        <w:t>New Accounting Pronouncements</w:t>
      </w:r>
    </w:p>
    <w:p w14:paraId="5EB92DC2" w14:textId="77777777" w:rsidR="003C2EF4" w:rsidRDefault="003C2EF4" w:rsidP="003C2EF4">
      <w:pPr>
        <w:tabs>
          <w:tab w:val="left" w:pos="450"/>
        </w:tabs>
        <w:spacing w:after="0" w:line="240" w:lineRule="auto"/>
        <w:ind w:left="450"/>
        <w:jc w:val="both"/>
        <w:rPr>
          <w:rFonts w:ascii="Arial" w:eastAsia="Times New Roman" w:hAnsi="Arial" w:cs="Arial"/>
          <w:bCs/>
          <w:szCs w:val="20"/>
        </w:rPr>
      </w:pPr>
    </w:p>
    <w:p w14:paraId="0AC680B0" w14:textId="3557D828" w:rsidR="0050081F" w:rsidRDefault="0050081F" w:rsidP="003C2EF4">
      <w:pPr>
        <w:tabs>
          <w:tab w:val="left" w:pos="450"/>
        </w:tabs>
        <w:spacing w:after="0" w:line="240" w:lineRule="auto"/>
        <w:ind w:left="450"/>
        <w:jc w:val="both"/>
        <w:rPr>
          <w:rFonts w:ascii="Arial" w:hAnsi="Arial" w:cs="Arial"/>
          <w:szCs w:val="20"/>
        </w:rPr>
      </w:pPr>
      <w:r w:rsidRPr="00CB6281">
        <w:rPr>
          <w:rFonts w:ascii="Arial" w:hAnsi="Arial" w:cs="Arial"/>
          <w:szCs w:val="20"/>
        </w:rPr>
        <w:t xml:space="preserve">The Company has adopted the following new accounting standards and interpretations effective </w:t>
      </w:r>
      <w:r>
        <w:rPr>
          <w:rFonts w:ascii="Arial" w:hAnsi="Arial" w:cs="Arial"/>
          <w:szCs w:val="20"/>
        </w:rPr>
        <w:t>February</w:t>
      </w:r>
      <w:r w:rsidRPr="00CB6281">
        <w:rPr>
          <w:rFonts w:ascii="Arial" w:hAnsi="Arial" w:cs="Arial"/>
          <w:szCs w:val="20"/>
        </w:rPr>
        <w:t xml:space="preserve"> 1, 2018. These</w:t>
      </w:r>
      <w:r w:rsidRPr="00F3067D">
        <w:rPr>
          <w:rFonts w:ascii="Arial" w:hAnsi="Arial" w:cs="Arial"/>
          <w:szCs w:val="20"/>
        </w:rPr>
        <w:t xml:space="preserve"> </w:t>
      </w:r>
      <w:r w:rsidRPr="00CB6281">
        <w:rPr>
          <w:rFonts w:ascii="Arial" w:hAnsi="Arial" w:cs="Arial"/>
          <w:szCs w:val="20"/>
        </w:rPr>
        <w:t>changes were made in accordance with the applicable transitional provisions</w:t>
      </w:r>
      <w:r>
        <w:rPr>
          <w:rFonts w:ascii="Arial" w:hAnsi="Arial" w:cs="Arial"/>
          <w:szCs w:val="20"/>
        </w:rPr>
        <w:t>.</w:t>
      </w:r>
    </w:p>
    <w:p w14:paraId="4EEAE59E" w14:textId="77777777" w:rsidR="0050081F" w:rsidRDefault="0050081F" w:rsidP="003C2EF4">
      <w:pPr>
        <w:tabs>
          <w:tab w:val="left" w:pos="450"/>
        </w:tabs>
        <w:spacing w:after="0" w:line="240" w:lineRule="auto"/>
        <w:ind w:left="450"/>
        <w:jc w:val="both"/>
        <w:rPr>
          <w:rFonts w:ascii="Arial" w:hAnsi="Arial" w:cs="Arial"/>
          <w:szCs w:val="20"/>
        </w:rPr>
      </w:pPr>
    </w:p>
    <w:p w14:paraId="0AB87195" w14:textId="21AA9FFF" w:rsidR="00007823" w:rsidRPr="00747374" w:rsidRDefault="00007823" w:rsidP="00747374">
      <w:pPr>
        <w:pStyle w:val="NormalWeb"/>
        <w:numPr>
          <w:ilvl w:val="0"/>
          <w:numId w:val="42"/>
        </w:numPr>
        <w:spacing w:before="0" w:beforeAutospacing="0" w:after="0" w:afterAutospacing="0"/>
        <w:jc w:val="both"/>
        <w:rPr>
          <w:rFonts w:ascii="Arial" w:hAnsi="Arial" w:cs="Arial"/>
          <w:sz w:val="20"/>
          <w:szCs w:val="20"/>
        </w:rPr>
      </w:pPr>
      <w:r w:rsidRPr="00747374">
        <w:rPr>
          <w:rFonts w:ascii="Arial" w:hAnsi="Arial" w:cs="Arial"/>
          <w:sz w:val="20"/>
          <w:szCs w:val="20"/>
        </w:rPr>
        <w:t>IFRS 3 - Business Combinations (Amendments) (“IFRS 3”)</w:t>
      </w:r>
    </w:p>
    <w:p w14:paraId="29ABEBB2" w14:textId="77777777" w:rsidR="00747374" w:rsidRDefault="00747374" w:rsidP="00007823">
      <w:pPr>
        <w:pStyle w:val="NormalWeb"/>
        <w:tabs>
          <w:tab w:val="left" w:pos="3204"/>
        </w:tabs>
        <w:spacing w:before="0" w:beforeAutospacing="0" w:after="0" w:afterAutospacing="0"/>
        <w:ind w:left="450"/>
        <w:jc w:val="both"/>
        <w:rPr>
          <w:rFonts w:ascii="Arial" w:hAnsi="Arial" w:cs="Arial"/>
          <w:sz w:val="20"/>
          <w:szCs w:val="20"/>
        </w:rPr>
      </w:pPr>
    </w:p>
    <w:p w14:paraId="60EA11C1" w14:textId="77777777" w:rsidR="00007823" w:rsidRDefault="00007823" w:rsidP="00747374">
      <w:pPr>
        <w:pStyle w:val="NormalWeb"/>
        <w:tabs>
          <w:tab w:val="left" w:pos="3204"/>
        </w:tabs>
        <w:spacing w:before="0" w:beforeAutospacing="0" w:after="0" w:afterAutospacing="0"/>
        <w:ind w:left="810"/>
        <w:jc w:val="both"/>
        <w:rPr>
          <w:rFonts w:ascii="Arial" w:hAnsi="Arial" w:cs="Arial"/>
          <w:sz w:val="20"/>
          <w:szCs w:val="20"/>
        </w:rPr>
      </w:pPr>
      <w:r>
        <w:rPr>
          <w:rFonts w:ascii="Arial" w:hAnsi="Arial" w:cs="Arial"/>
          <w:sz w:val="20"/>
          <w:szCs w:val="20"/>
        </w:rPr>
        <w:t>IFRS 3 was amended to clarify the definition of a business in the determination of when an entity has acquired a business or a group of assets.  The amendments are effective for business combinations for which the acquisition date is on or after the beginning of annual periods beginning on or after January 1, 2020.  The Company has early adopted IFRS 3 amendments and applied these amendments for its business combinations undertaken during the year ended January 31, 2019.</w:t>
      </w:r>
    </w:p>
    <w:p w14:paraId="0EB814E6" w14:textId="77777777" w:rsidR="00007823" w:rsidRDefault="00007823" w:rsidP="00007823">
      <w:pPr>
        <w:pStyle w:val="NormalWeb"/>
        <w:tabs>
          <w:tab w:val="left" w:pos="3204"/>
        </w:tabs>
        <w:spacing w:before="0" w:beforeAutospacing="0" w:after="0" w:afterAutospacing="0"/>
        <w:ind w:left="450"/>
        <w:jc w:val="both"/>
        <w:rPr>
          <w:rFonts w:ascii="Arial" w:hAnsi="Arial" w:cs="Arial"/>
          <w:sz w:val="20"/>
          <w:szCs w:val="20"/>
        </w:rPr>
      </w:pPr>
    </w:p>
    <w:p w14:paraId="2056C8A9" w14:textId="4A317ED5" w:rsidR="0050081F" w:rsidRPr="00747374" w:rsidRDefault="0050081F" w:rsidP="00747374">
      <w:pPr>
        <w:pStyle w:val="NormalWeb"/>
        <w:numPr>
          <w:ilvl w:val="0"/>
          <w:numId w:val="42"/>
        </w:numPr>
        <w:spacing w:before="0" w:beforeAutospacing="0" w:after="0" w:afterAutospacing="0"/>
        <w:jc w:val="both"/>
        <w:rPr>
          <w:rFonts w:ascii="Arial" w:hAnsi="Arial" w:cs="Arial"/>
          <w:sz w:val="20"/>
          <w:szCs w:val="20"/>
        </w:rPr>
      </w:pPr>
      <w:r w:rsidRPr="00747374">
        <w:rPr>
          <w:rFonts w:ascii="Arial" w:hAnsi="Arial" w:cs="Arial"/>
          <w:sz w:val="20"/>
          <w:szCs w:val="20"/>
        </w:rPr>
        <w:t>IFRS 9 – Financial Instruments (“IFRS 9”)</w:t>
      </w:r>
    </w:p>
    <w:p w14:paraId="67DB8D3D" w14:textId="77777777" w:rsidR="00747374" w:rsidRDefault="00747374" w:rsidP="0050081F">
      <w:pPr>
        <w:pStyle w:val="NormalWeb"/>
        <w:spacing w:before="0" w:beforeAutospacing="0" w:after="0" w:afterAutospacing="0"/>
        <w:ind w:left="450"/>
        <w:jc w:val="both"/>
        <w:rPr>
          <w:rFonts w:ascii="Arial" w:hAnsi="Arial" w:cs="Arial"/>
          <w:sz w:val="20"/>
          <w:szCs w:val="20"/>
        </w:rPr>
      </w:pPr>
    </w:p>
    <w:p w14:paraId="3C5CC965" w14:textId="094104CF" w:rsidR="0050081F" w:rsidRDefault="0050081F" w:rsidP="00747374">
      <w:pPr>
        <w:pStyle w:val="NormalWeb"/>
        <w:spacing w:before="0" w:beforeAutospacing="0" w:after="0" w:afterAutospacing="0"/>
        <w:ind w:left="810"/>
        <w:jc w:val="both"/>
        <w:rPr>
          <w:rFonts w:ascii="Arial" w:hAnsi="Arial" w:cs="Arial"/>
          <w:sz w:val="20"/>
          <w:szCs w:val="20"/>
        </w:rPr>
      </w:pPr>
      <w:r w:rsidRPr="00CB6281">
        <w:rPr>
          <w:rFonts w:ascii="Arial" w:hAnsi="Arial" w:cs="Arial"/>
          <w:sz w:val="20"/>
          <w:szCs w:val="20"/>
        </w:rPr>
        <w:t>IFRS 9 replaces IAS 39 Financial Instruments: Recognition and Measurement</w:t>
      </w:r>
      <w:r w:rsidRPr="00F3067D">
        <w:rPr>
          <w:rFonts w:ascii="Arial" w:hAnsi="Arial" w:cs="Arial"/>
          <w:sz w:val="20"/>
          <w:szCs w:val="20"/>
        </w:rPr>
        <w:t xml:space="preserve"> </w:t>
      </w:r>
      <w:r w:rsidRPr="00CB6281">
        <w:rPr>
          <w:rFonts w:ascii="Arial" w:hAnsi="Arial" w:cs="Arial"/>
          <w:sz w:val="20"/>
          <w:szCs w:val="20"/>
        </w:rPr>
        <w:t>(“IAS 39”). IFRS 9 utilizes a revised model for recognition and measurement of financial instruments and a single,</w:t>
      </w:r>
      <w:r w:rsidRPr="00F3067D">
        <w:rPr>
          <w:rFonts w:ascii="Arial" w:hAnsi="Arial" w:cs="Arial"/>
          <w:sz w:val="20"/>
          <w:szCs w:val="20"/>
        </w:rPr>
        <w:t xml:space="preserve"> </w:t>
      </w:r>
      <w:r w:rsidRPr="00CB6281">
        <w:rPr>
          <w:rFonts w:ascii="Arial" w:hAnsi="Arial" w:cs="Arial"/>
          <w:sz w:val="20"/>
          <w:szCs w:val="20"/>
        </w:rPr>
        <w:t xml:space="preserve">forward-looking “expected loss” impairment model. As a result of the adoption of IFRS 9, </w:t>
      </w:r>
      <w:r>
        <w:rPr>
          <w:rFonts w:ascii="Arial" w:hAnsi="Arial" w:cs="Arial"/>
          <w:sz w:val="20"/>
          <w:szCs w:val="20"/>
        </w:rPr>
        <w:t>the Company</w:t>
      </w:r>
      <w:r w:rsidRPr="00CB6281">
        <w:rPr>
          <w:rFonts w:ascii="Arial" w:hAnsi="Arial" w:cs="Arial"/>
          <w:sz w:val="20"/>
          <w:szCs w:val="20"/>
        </w:rPr>
        <w:t xml:space="preserve"> has changed</w:t>
      </w:r>
      <w:r w:rsidRPr="00F3067D">
        <w:rPr>
          <w:rFonts w:ascii="Arial" w:hAnsi="Arial" w:cs="Arial"/>
          <w:sz w:val="20"/>
          <w:szCs w:val="20"/>
        </w:rPr>
        <w:t xml:space="preserve"> </w:t>
      </w:r>
      <w:r w:rsidRPr="00CB6281">
        <w:rPr>
          <w:rFonts w:ascii="Arial" w:hAnsi="Arial" w:cs="Arial"/>
          <w:sz w:val="20"/>
          <w:szCs w:val="20"/>
        </w:rPr>
        <w:t>its accounting policy for financial assets retrospectively, for assets that continued to be recognized at the date of initial</w:t>
      </w:r>
      <w:r w:rsidRPr="00F3067D">
        <w:rPr>
          <w:rFonts w:ascii="Arial" w:hAnsi="Arial" w:cs="Arial"/>
          <w:sz w:val="20"/>
          <w:szCs w:val="20"/>
        </w:rPr>
        <w:t xml:space="preserve"> </w:t>
      </w:r>
      <w:r w:rsidRPr="00CB6281">
        <w:rPr>
          <w:rFonts w:ascii="Arial" w:hAnsi="Arial" w:cs="Arial"/>
          <w:sz w:val="20"/>
          <w:szCs w:val="20"/>
        </w:rPr>
        <w:t>application.</w:t>
      </w:r>
      <w:r w:rsidRPr="00F3067D">
        <w:rPr>
          <w:rFonts w:ascii="Arial" w:hAnsi="Arial" w:cs="Arial"/>
          <w:sz w:val="20"/>
          <w:szCs w:val="20"/>
        </w:rPr>
        <w:t xml:space="preserve"> </w:t>
      </w:r>
      <w:r w:rsidRPr="00CB6281">
        <w:rPr>
          <w:rFonts w:ascii="Arial" w:hAnsi="Arial" w:cs="Arial"/>
          <w:sz w:val="20"/>
          <w:szCs w:val="20"/>
        </w:rPr>
        <w:t>The table below summarizes the classification and carrying amount changes upon transition from IAS 39 to IFRS</w:t>
      </w:r>
      <w:r w:rsidR="00B84C5B">
        <w:rPr>
          <w:rFonts w:ascii="Arial" w:hAnsi="Arial" w:cs="Arial"/>
          <w:sz w:val="20"/>
          <w:szCs w:val="20"/>
        </w:rPr>
        <w:t xml:space="preserve"> 9</w:t>
      </w:r>
      <w:r w:rsidRPr="00CB6281">
        <w:rPr>
          <w:rFonts w:ascii="Arial" w:hAnsi="Arial" w:cs="Arial"/>
          <w:sz w:val="20"/>
          <w:szCs w:val="20"/>
        </w:rPr>
        <w:t xml:space="preserve"> as</w:t>
      </w:r>
      <w:r w:rsidRPr="00F3067D">
        <w:rPr>
          <w:rFonts w:ascii="Arial" w:hAnsi="Arial" w:cs="Arial"/>
          <w:sz w:val="20"/>
          <w:szCs w:val="20"/>
        </w:rPr>
        <w:t xml:space="preserve"> </w:t>
      </w:r>
      <w:r w:rsidRPr="00CB6281">
        <w:rPr>
          <w:rFonts w:ascii="Arial" w:hAnsi="Arial" w:cs="Arial"/>
          <w:sz w:val="20"/>
          <w:szCs w:val="20"/>
        </w:rPr>
        <w:t xml:space="preserve">at </w:t>
      </w:r>
      <w:r>
        <w:rPr>
          <w:rFonts w:ascii="Arial" w:hAnsi="Arial" w:cs="Arial"/>
          <w:sz w:val="20"/>
          <w:szCs w:val="20"/>
        </w:rPr>
        <w:t>February</w:t>
      </w:r>
      <w:r w:rsidRPr="00CB6281">
        <w:rPr>
          <w:rFonts w:ascii="Arial" w:hAnsi="Arial" w:cs="Arial"/>
          <w:sz w:val="20"/>
          <w:szCs w:val="20"/>
        </w:rPr>
        <w:t xml:space="preserve"> 1, 2018.</w:t>
      </w:r>
    </w:p>
    <w:p w14:paraId="4EA704E7" w14:textId="77777777" w:rsidR="0050081F" w:rsidRDefault="0050081F" w:rsidP="0050081F">
      <w:pPr>
        <w:pStyle w:val="NormalWeb"/>
        <w:spacing w:before="0" w:beforeAutospacing="0" w:after="0" w:afterAutospacing="0"/>
        <w:ind w:left="450"/>
        <w:jc w:val="both"/>
        <w:rPr>
          <w:rFonts w:ascii="Arial" w:hAnsi="Arial" w:cs="Arial"/>
          <w:sz w:val="20"/>
          <w:szCs w:val="20"/>
        </w:rPr>
      </w:pPr>
    </w:p>
    <w:tbl>
      <w:tblPr>
        <w:tblStyle w:val="TableGrid"/>
        <w:tblW w:w="8746"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645"/>
        <w:gridCol w:w="1547"/>
        <w:gridCol w:w="97"/>
        <w:gridCol w:w="1309"/>
        <w:gridCol w:w="113"/>
        <w:gridCol w:w="1611"/>
        <w:gridCol w:w="90"/>
        <w:gridCol w:w="1258"/>
      </w:tblGrid>
      <w:tr w:rsidR="0050081F" w14:paraId="6795E213" w14:textId="77777777" w:rsidTr="00007823">
        <w:tc>
          <w:tcPr>
            <w:tcW w:w="2076" w:type="dxa"/>
          </w:tcPr>
          <w:p w14:paraId="7873EA41" w14:textId="77777777" w:rsidR="0050081F" w:rsidRDefault="0050081F" w:rsidP="0050081F">
            <w:pPr>
              <w:tabs>
                <w:tab w:val="left" w:pos="432"/>
                <w:tab w:val="left" w:pos="792"/>
              </w:tabs>
              <w:autoSpaceDE w:val="0"/>
              <w:autoSpaceDN w:val="0"/>
              <w:adjustRightInd w:val="0"/>
              <w:ind w:left="450"/>
              <w:jc w:val="both"/>
              <w:rPr>
                <w:rFonts w:ascii="Arial" w:hAnsi="Arial" w:cs="Arial"/>
              </w:rPr>
            </w:pPr>
          </w:p>
        </w:tc>
        <w:tc>
          <w:tcPr>
            <w:tcW w:w="3711" w:type="dxa"/>
            <w:gridSpan w:val="5"/>
            <w:tcBorders>
              <w:bottom w:val="single" w:sz="2" w:space="0" w:color="auto"/>
            </w:tcBorders>
          </w:tcPr>
          <w:p w14:paraId="11EEC5BD" w14:textId="77777777" w:rsidR="0050081F" w:rsidRDefault="0050081F" w:rsidP="0050081F">
            <w:pPr>
              <w:tabs>
                <w:tab w:val="left" w:pos="432"/>
                <w:tab w:val="left" w:pos="792"/>
              </w:tabs>
              <w:autoSpaceDE w:val="0"/>
              <w:autoSpaceDN w:val="0"/>
              <w:adjustRightInd w:val="0"/>
              <w:ind w:left="450"/>
              <w:jc w:val="center"/>
              <w:rPr>
                <w:rFonts w:ascii="Arial" w:hAnsi="Arial" w:cs="Arial"/>
              </w:rPr>
            </w:pPr>
            <w:r>
              <w:rPr>
                <w:rFonts w:ascii="Arial" w:hAnsi="Arial" w:cs="Arial"/>
              </w:rPr>
              <w:t>Original under IAS 39</w:t>
            </w:r>
          </w:p>
        </w:tc>
        <w:tc>
          <w:tcPr>
            <w:tcW w:w="2959" w:type="dxa"/>
            <w:gridSpan w:val="3"/>
            <w:tcBorders>
              <w:bottom w:val="single" w:sz="2" w:space="0" w:color="auto"/>
            </w:tcBorders>
          </w:tcPr>
          <w:p w14:paraId="10249C89" w14:textId="77777777" w:rsidR="0050081F" w:rsidRDefault="0050081F" w:rsidP="0050081F">
            <w:pPr>
              <w:tabs>
                <w:tab w:val="left" w:pos="432"/>
                <w:tab w:val="left" w:pos="792"/>
              </w:tabs>
              <w:autoSpaceDE w:val="0"/>
              <w:autoSpaceDN w:val="0"/>
              <w:adjustRightInd w:val="0"/>
              <w:ind w:left="450"/>
              <w:jc w:val="center"/>
              <w:rPr>
                <w:rFonts w:ascii="Arial" w:hAnsi="Arial" w:cs="Arial"/>
              </w:rPr>
            </w:pPr>
            <w:r>
              <w:rPr>
                <w:rFonts w:ascii="Arial" w:hAnsi="Arial" w:cs="Arial"/>
              </w:rPr>
              <w:t>New under IFRS 9</w:t>
            </w:r>
          </w:p>
        </w:tc>
      </w:tr>
      <w:tr w:rsidR="0050081F" w14:paraId="22F614BC" w14:textId="77777777" w:rsidTr="00007823">
        <w:tc>
          <w:tcPr>
            <w:tcW w:w="2076" w:type="dxa"/>
          </w:tcPr>
          <w:p w14:paraId="7C0ED67B" w14:textId="77777777" w:rsidR="0050081F" w:rsidRDefault="0050081F" w:rsidP="0050081F">
            <w:pPr>
              <w:tabs>
                <w:tab w:val="left" w:pos="432"/>
                <w:tab w:val="left" w:pos="792"/>
              </w:tabs>
              <w:autoSpaceDE w:val="0"/>
              <w:autoSpaceDN w:val="0"/>
              <w:adjustRightInd w:val="0"/>
              <w:ind w:left="450"/>
              <w:rPr>
                <w:rFonts w:ascii="Arial" w:hAnsi="Arial" w:cs="Arial"/>
              </w:rPr>
            </w:pPr>
          </w:p>
        </w:tc>
        <w:tc>
          <w:tcPr>
            <w:tcW w:w="2289" w:type="dxa"/>
            <w:gridSpan w:val="3"/>
            <w:tcBorders>
              <w:top w:val="single" w:sz="2" w:space="0" w:color="auto"/>
            </w:tcBorders>
          </w:tcPr>
          <w:p w14:paraId="604715E2" w14:textId="77777777" w:rsidR="0050081F" w:rsidRDefault="0050081F" w:rsidP="0050081F">
            <w:pPr>
              <w:tabs>
                <w:tab w:val="left" w:pos="432"/>
                <w:tab w:val="left" w:pos="792"/>
              </w:tabs>
              <w:autoSpaceDE w:val="0"/>
              <w:autoSpaceDN w:val="0"/>
              <w:adjustRightInd w:val="0"/>
              <w:ind w:left="450"/>
              <w:jc w:val="center"/>
              <w:rPr>
                <w:rFonts w:ascii="Arial" w:hAnsi="Arial" w:cs="Arial"/>
              </w:rPr>
            </w:pPr>
          </w:p>
          <w:p w14:paraId="221F59D8" w14:textId="77777777" w:rsidR="0050081F" w:rsidRDefault="0050081F" w:rsidP="0050081F">
            <w:pPr>
              <w:tabs>
                <w:tab w:val="left" w:pos="432"/>
                <w:tab w:val="left" w:pos="792"/>
              </w:tabs>
              <w:autoSpaceDE w:val="0"/>
              <w:autoSpaceDN w:val="0"/>
              <w:adjustRightInd w:val="0"/>
              <w:ind w:left="450"/>
              <w:jc w:val="center"/>
              <w:rPr>
                <w:rFonts w:ascii="Arial" w:hAnsi="Arial" w:cs="Arial"/>
              </w:rPr>
            </w:pPr>
          </w:p>
          <w:p w14:paraId="27C665AC" w14:textId="77777777" w:rsidR="0050081F" w:rsidRDefault="0050081F" w:rsidP="00007823">
            <w:pPr>
              <w:tabs>
                <w:tab w:val="left" w:pos="792"/>
              </w:tabs>
              <w:autoSpaceDE w:val="0"/>
              <w:autoSpaceDN w:val="0"/>
              <w:adjustRightInd w:val="0"/>
              <w:ind w:left="1"/>
              <w:jc w:val="center"/>
              <w:rPr>
                <w:rFonts w:ascii="Arial" w:hAnsi="Arial" w:cs="Arial"/>
              </w:rPr>
            </w:pPr>
            <w:r>
              <w:rPr>
                <w:rFonts w:ascii="Arial" w:hAnsi="Arial" w:cs="Arial"/>
              </w:rPr>
              <w:t>Classification</w:t>
            </w:r>
          </w:p>
        </w:tc>
        <w:tc>
          <w:tcPr>
            <w:tcW w:w="1422" w:type="dxa"/>
            <w:gridSpan w:val="2"/>
            <w:tcBorders>
              <w:top w:val="single" w:sz="2" w:space="0" w:color="auto"/>
            </w:tcBorders>
          </w:tcPr>
          <w:p w14:paraId="013745CA" w14:textId="77777777" w:rsidR="0050081F" w:rsidRDefault="0050081F" w:rsidP="0050081F">
            <w:pPr>
              <w:tabs>
                <w:tab w:val="left" w:pos="432"/>
                <w:tab w:val="left" w:pos="792"/>
              </w:tabs>
              <w:autoSpaceDE w:val="0"/>
              <w:autoSpaceDN w:val="0"/>
              <w:adjustRightInd w:val="0"/>
              <w:ind w:left="450"/>
              <w:jc w:val="center"/>
              <w:rPr>
                <w:rFonts w:ascii="Arial" w:hAnsi="Arial" w:cs="Arial"/>
              </w:rPr>
            </w:pPr>
            <w:r>
              <w:rPr>
                <w:rFonts w:ascii="Arial" w:hAnsi="Arial" w:cs="Arial"/>
              </w:rPr>
              <w:t>Carrying</w:t>
            </w:r>
          </w:p>
          <w:p w14:paraId="407D02BE" w14:textId="77777777" w:rsidR="0050081F" w:rsidRDefault="0050081F" w:rsidP="0050081F">
            <w:pPr>
              <w:tabs>
                <w:tab w:val="left" w:pos="432"/>
                <w:tab w:val="left" w:pos="792"/>
              </w:tabs>
              <w:autoSpaceDE w:val="0"/>
              <w:autoSpaceDN w:val="0"/>
              <w:adjustRightInd w:val="0"/>
              <w:ind w:left="450"/>
              <w:jc w:val="center"/>
              <w:rPr>
                <w:rFonts w:ascii="Arial" w:hAnsi="Arial" w:cs="Arial"/>
              </w:rPr>
            </w:pPr>
            <w:r>
              <w:rPr>
                <w:rFonts w:ascii="Arial" w:hAnsi="Arial" w:cs="Arial"/>
              </w:rPr>
              <w:t>Amount</w:t>
            </w:r>
          </w:p>
          <w:p w14:paraId="16DEFAE2" w14:textId="77777777" w:rsidR="0050081F" w:rsidRDefault="0050081F" w:rsidP="0050081F">
            <w:pPr>
              <w:tabs>
                <w:tab w:val="left" w:pos="432"/>
                <w:tab w:val="left" w:pos="792"/>
              </w:tabs>
              <w:autoSpaceDE w:val="0"/>
              <w:autoSpaceDN w:val="0"/>
              <w:adjustRightInd w:val="0"/>
              <w:ind w:left="450"/>
              <w:jc w:val="center"/>
              <w:rPr>
                <w:rFonts w:ascii="Arial" w:hAnsi="Arial" w:cs="Arial"/>
              </w:rPr>
            </w:pPr>
            <w:r>
              <w:rPr>
                <w:rFonts w:ascii="Arial" w:hAnsi="Arial" w:cs="Arial"/>
              </w:rPr>
              <w:t>$</w:t>
            </w:r>
          </w:p>
        </w:tc>
        <w:tc>
          <w:tcPr>
            <w:tcW w:w="1701" w:type="dxa"/>
            <w:gridSpan w:val="2"/>
            <w:tcBorders>
              <w:top w:val="single" w:sz="2" w:space="0" w:color="auto"/>
            </w:tcBorders>
          </w:tcPr>
          <w:p w14:paraId="034B7677" w14:textId="77777777" w:rsidR="0050081F" w:rsidRDefault="0050081F" w:rsidP="0050081F">
            <w:pPr>
              <w:tabs>
                <w:tab w:val="left" w:pos="432"/>
                <w:tab w:val="left" w:pos="792"/>
              </w:tabs>
              <w:autoSpaceDE w:val="0"/>
              <w:autoSpaceDN w:val="0"/>
              <w:adjustRightInd w:val="0"/>
              <w:ind w:left="450"/>
              <w:jc w:val="center"/>
              <w:rPr>
                <w:rFonts w:ascii="Arial" w:hAnsi="Arial" w:cs="Arial"/>
              </w:rPr>
            </w:pPr>
          </w:p>
          <w:p w14:paraId="010C55DA" w14:textId="77777777" w:rsidR="0050081F" w:rsidRDefault="0050081F" w:rsidP="0050081F">
            <w:pPr>
              <w:tabs>
                <w:tab w:val="left" w:pos="432"/>
                <w:tab w:val="left" w:pos="792"/>
              </w:tabs>
              <w:autoSpaceDE w:val="0"/>
              <w:autoSpaceDN w:val="0"/>
              <w:adjustRightInd w:val="0"/>
              <w:ind w:left="450"/>
              <w:jc w:val="center"/>
              <w:rPr>
                <w:rFonts w:ascii="Arial" w:hAnsi="Arial" w:cs="Arial"/>
              </w:rPr>
            </w:pPr>
          </w:p>
          <w:p w14:paraId="51463C87" w14:textId="77777777" w:rsidR="0050081F" w:rsidRDefault="0050081F" w:rsidP="00007823">
            <w:pPr>
              <w:autoSpaceDE w:val="0"/>
              <w:autoSpaceDN w:val="0"/>
              <w:adjustRightInd w:val="0"/>
              <w:jc w:val="center"/>
              <w:rPr>
                <w:rFonts w:ascii="Arial" w:hAnsi="Arial" w:cs="Arial"/>
              </w:rPr>
            </w:pPr>
            <w:r>
              <w:rPr>
                <w:rFonts w:ascii="Arial" w:hAnsi="Arial" w:cs="Arial"/>
              </w:rPr>
              <w:t>Classification</w:t>
            </w:r>
          </w:p>
        </w:tc>
        <w:tc>
          <w:tcPr>
            <w:tcW w:w="1258" w:type="dxa"/>
            <w:tcBorders>
              <w:top w:val="single" w:sz="2" w:space="0" w:color="auto"/>
            </w:tcBorders>
          </w:tcPr>
          <w:p w14:paraId="0E8CD797" w14:textId="77777777" w:rsidR="0050081F" w:rsidRDefault="0050081F" w:rsidP="00007823">
            <w:pPr>
              <w:autoSpaceDE w:val="0"/>
              <w:autoSpaceDN w:val="0"/>
              <w:adjustRightInd w:val="0"/>
              <w:jc w:val="center"/>
              <w:rPr>
                <w:rFonts w:ascii="Arial" w:hAnsi="Arial" w:cs="Arial"/>
              </w:rPr>
            </w:pPr>
            <w:r>
              <w:rPr>
                <w:rFonts w:ascii="Arial" w:hAnsi="Arial" w:cs="Arial"/>
              </w:rPr>
              <w:t>Carrying</w:t>
            </w:r>
          </w:p>
          <w:p w14:paraId="4C376657" w14:textId="77777777" w:rsidR="0050081F" w:rsidRDefault="0050081F" w:rsidP="00007823">
            <w:pPr>
              <w:autoSpaceDE w:val="0"/>
              <w:autoSpaceDN w:val="0"/>
              <w:adjustRightInd w:val="0"/>
              <w:jc w:val="center"/>
              <w:rPr>
                <w:rFonts w:ascii="Arial" w:hAnsi="Arial" w:cs="Arial"/>
              </w:rPr>
            </w:pPr>
            <w:r>
              <w:rPr>
                <w:rFonts w:ascii="Arial" w:hAnsi="Arial" w:cs="Arial"/>
              </w:rPr>
              <w:t>Amount</w:t>
            </w:r>
          </w:p>
          <w:p w14:paraId="045DF113" w14:textId="77777777" w:rsidR="0050081F" w:rsidRDefault="0050081F" w:rsidP="0050081F">
            <w:pPr>
              <w:tabs>
                <w:tab w:val="left" w:pos="432"/>
                <w:tab w:val="left" w:pos="792"/>
              </w:tabs>
              <w:autoSpaceDE w:val="0"/>
              <w:autoSpaceDN w:val="0"/>
              <w:adjustRightInd w:val="0"/>
              <w:ind w:left="450"/>
              <w:jc w:val="center"/>
              <w:rPr>
                <w:rFonts w:ascii="Arial" w:hAnsi="Arial" w:cs="Arial"/>
              </w:rPr>
            </w:pPr>
            <w:r>
              <w:rPr>
                <w:rFonts w:ascii="Arial" w:hAnsi="Arial" w:cs="Arial"/>
              </w:rPr>
              <w:t>$</w:t>
            </w:r>
          </w:p>
        </w:tc>
      </w:tr>
      <w:tr w:rsidR="0050081F" w14:paraId="00397B27" w14:textId="77777777" w:rsidTr="00007823">
        <w:tc>
          <w:tcPr>
            <w:tcW w:w="2721" w:type="dxa"/>
            <w:gridSpan w:val="2"/>
            <w:tcBorders>
              <w:top w:val="single" w:sz="2" w:space="0" w:color="auto"/>
            </w:tcBorders>
          </w:tcPr>
          <w:p w14:paraId="558637ED" w14:textId="7C0F6543" w:rsidR="0050081F" w:rsidRDefault="0050081F" w:rsidP="00007823">
            <w:pPr>
              <w:autoSpaceDE w:val="0"/>
              <w:autoSpaceDN w:val="0"/>
              <w:adjustRightInd w:val="0"/>
              <w:rPr>
                <w:rFonts w:ascii="Arial" w:hAnsi="Arial" w:cs="Arial"/>
              </w:rPr>
            </w:pPr>
            <w:r>
              <w:rPr>
                <w:rFonts w:ascii="Arial" w:hAnsi="Arial" w:cs="Arial"/>
              </w:rPr>
              <w:t xml:space="preserve">Cash </w:t>
            </w:r>
          </w:p>
        </w:tc>
        <w:tc>
          <w:tcPr>
            <w:tcW w:w="1547" w:type="dxa"/>
            <w:tcBorders>
              <w:top w:val="single" w:sz="2" w:space="0" w:color="auto"/>
            </w:tcBorders>
          </w:tcPr>
          <w:p w14:paraId="734715EC" w14:textId="77777777" w:rsidR="0050081F" w:rsidRDefault="0050081F" w:rsidP="00007823">
            <w:pPr>
              <w:autoSpaceDE w:val="0"/>
              <w:autoSpaceDN w:val="0"/>
              <w:adjustRightInd w:val="0"/>
              <w:jc w:val="center"/>
              <w:rPr>
                <w:rFonts w:ascii="Arial" w:hAnsi="Arial" w:cs="Arial"/>
              </w:rPr>
            </w:pPr>
            <w:r>
              <w:rPr>
                <w:rFonts w:ascii="Arial" w:hAnsi="Arial" w:cs="Arial"/>
              </w:rPr>
              <w:t>FVTPL</w:t>
            </w:r>
          </w:p>
        </w:tc>
        <w:tc>
          <w:tcPr>
            <w:tcW w:w="1406" w:type="dxa"/>
            <w:gridSpan w:val="2"/>
            <w:tcBorders>
              <w:top w:val="single" w:sz="2" w:space="0" w:color="auto"/>
            </w:tcBorders>
          </w:tcPr>
          <w:p w14:paraId="4DFE7BAE" w14:textId="5AE09D6C" w:rsidR="0050081F" w:rsidRDefault="00007823" w:rsidP="0050081F">
            <w:pPr>
              <w:tabs>
                <w:tab w:val="left" w:pos="432"/>
                <w:tab w:val="left" w:pos="792"/>
              </w:tabs>
              <w:autoSpaceDE w:val="0"/>
              <w:autoSpaceDN w:val="0"/>
              <w:adjustRightInd w:val="0"/>
              <w:ind w:left="450"/>
              <w:jc w:val="right"/>
              <w:rPr>
                <w:rFonts w:ascii="Arial" w:hAnsi="Arial" w:cs="Arial"/>
              </w:rPr>
            </w:pPr>
            <w:r>
              <w:rPr>
                <w:rFonts w:ascii="Arial" w:hAnsi="Arial" w:cs="Arial"/>
              </w:rPr>
              <w:t>79,304</w:t>
            </w:r>
          </w:p>
        </w:tc>
        <w:tc>
          <w:tcPr>
            <w:tcW w:w="1724" w:type="dxa"/>
            <w:gridSpan w:val="2"/>
            <w:tcBorders>
              <w:top w:val="single" w:sz="2" w:space="0" w:color="auto"/>
            </w:tcBorders>
          </w:tcPr>
          <w:p w14:paraId="23EFBA06" w14:textId="77777777" w:rsidR="0050081F" w:rsidRDefault="0050081F" w:rsidP="00007823">
            <w:pPr>
              <w:autoSpaceDE w:val="0"/>
              <w:autoSpaceDN w:val="0"/>
              <w:adjustRightInd w:val="0"/>
              <w:jc w:val="center"/>
              <w:rPr>
                <w:rFonts w:ascii="Arial" w:hAnsi="Arial" w:cs="Arial"/>
              </w:rPr>
            </w:pPr>
            <w:r>
              <w:rPr>
                <w:rFonts w:ascii="Arial" w:hAnsi="Arial" w:cs="Arial"/>
              </w:rPr>
              <w:t>Amortized cost</w:t>
            </w:r>
          </w:p>
        </w:tc>
        <w:tc>
          <w:tcPr>
            <w:tcW w:w="1348" w:type="dxa"/>
            <w:gridSpan w:val="2"/>
            <w:tcBorders>
              <w:top w:val="single" w:sz="2" w:space="0" w:color="auto"/>
            </w:tcBorders>
          </w:tcPr>
          <w:p w14:paraId="6FAAA2EE" w14:textId="3FB428D4" w:rsidR="0050081F" w:rsidRDefault="00007823" w:rsidP="00007823">
            <w:pPr>
              <w:autoSpaceDE w:val="0"/>
              <w:autoSpaceDN w:val="0"/>
              <w:adjustRightInd w:val="0"/>
              <w:jc w:val="right"/>
              <w:rPr>
                <w:rFonts w:ascii="Arial" w:hAnsi="Arial" w:cs="Arial"/>
              </w:rPr>
            </w:pPr>
            <w:r>
              <w:rPr>
                <w:rFonts w:ascii="Arial" w:hAnsi="Arial" w:cs="Arial"/>
              </w:rPr>
              <w:t>79,304</w:t>
            </w:r>
          </w:p>
        </w:tc>
      </w:tr>
      <w:tr w:rsidR="0050081F" w14:paraId="3B7DF02A" w14:textId="77777777" w:rsidTr="00007823">
        <w:tc>
          <w:tcPr>
            <w:tcW w:w="2721" w:type="dxa"/>
            <w:gridSpan w:val="2"/>
          </w:tcPr>
          <w:p w14:paraId="38362FDB" w14:textId="189EB131" w:rsidR="0050081F" w:rsidRDefault="0050081F" w:rsidP="0050081F">
            <w:pPr>
              <w:autoSpaceDE w:val="0"/>
              <w:autoSpaceDN w:val="0"/>
              <w:adjustRightInd w:val="0"/>
              <w:rPr>
                <w:rFonts w:ascii="Arial" w:hAnsi="Arial" w:cs="Arial"/>
              </w:rPr>
            </w:pPr>
            <w:r>
              <w:rPr>
                <w:rFonts w:ascii="Arial" w:hAnsi="Arial" w:cs="Arial"/>
              </w:rPr>
              <w:t>Amounts receivable</w:t>
            </w:r>
          </w:p>
        </w:tc>
        <w:tc>
          <w:tcPr>
            <w:tcW w:w="1547" w:type="dxa"/>
          </w:tcPr>
          <w:p w14:paraId="11D6B03E" w14:textId="5ED246CB" w:rsidR="0050081F" w:rsidRDefault="00007823" w:rsidP="00007823">
            <w:pPr>
              <w:autoSpaceDE w:val="0"/>
              <w:autoSpaceDN w:val="0"/>
              <w:adjustRightInd w:val="0"/>
              <w:jc w:val="center"/>
              <w:rPr>
                <w:rFonts w:ascii="Arial" w:hAnsi="Arial" w:cs="Arial"/>
              </w:rPr>
            </w:pPr>
            <w:r>
              <w:rPr>
                <w:rFonts w:ascii="Arial" w:hAnsi="Arial" w:cs="Arial"/>
              </w:rPr>
              <w:t>Amortized cost</w:t>
            </w:r>
          </w:p>
        </w:tc>
        <w:tc>
          <w:tcPr>
            <w:tcW w:w="1406" w:type="dxa"/>
            <w:gridSpan w:val="2"/>
          </w:tcPr>
          <w:p w14:paraId="7433E78D" w14:textId="3A9FB299" w:rsidR="0050081F" w:rsidRDefault="00007823" w:rsidP="0050081F">
            <w:pPr>
              <w:tabs>
                <w:tab w:val="left" w:pos="432"/>
                <w:tab w:val="left" w:pos="792"/>
              </w:tabs>
              <w:autoSpaceDE w:val="0"/>
              <w:autoSpaceDN w:val="0"/>
              <w:adjustRightInd w:val="0"/>
              <w:ind w:left="450"/>
              <w:jc w:val="right"/>
              <w:rPr>
                <w:rFonts w:ascii="Arial" w:hAnsi="Arial" w:cs="Arial"/>
              </w:rPr>
            </w:pPr>
            <w:r>
              <w:rPr>
                <w:rFonts w:ascii="Arial" w:hAnsi="Arial" w:cs="Arial"/>
              </w:rPr>
              <w:t>5,122</w:t>
            </w:r>
          </w:p>
        </w:tc>
        <w:tc>
          <w:tcPr>
            <w:tcW w:w="1724" w:type="dxa"/>
            <w:gridSpan w:val="2"/>
          </w:tcPr>
          <w:p w14:paraId="064712CC" w14:textId="1E4FD338" w:rsidR="0050081F" w:rsidRDefault="00007823" w:rsidP="00007823">
            <w:pPr>
              <w:autoSpaceDE w:val="0"/>
              <w:autoSpaceDN w:val="0"/>
              <w:adjustRightInd w:val="0"/>
              <w:jc w:val="center"/>
              <w:rPr>
                <w:rFonts w:ascii="Arial" w:hAnsi="Arial" w:cs="Arial"/>
              </w:rPr>
            </w:pPr>
            <w:r>
              <w:rPr>
                <w:rFonts w:ascii="Arial" w:hAnsi="Arial" w:cs="Arial"/>
              </w:rPr>
              <w:t>Amortized cost</w:t>
            </w:r>
          </w:p>
        </w:tc>
        <w:tc>
          <w:tcPr>
            <w:tcW w:w="1348" w:type="dxa"/>
            <w:gridSpan w:val="2"/>
          </w:tcPr>
          <w:p w14:paraId="6FA8D846" w14:textId="49A1AD3B" w:rsidR="0050081F" w:rsidRDefault="00007823" w:rsidP="00007823">
            <w:pPr>
              <w:autoSpaceDE w:val="0"/>
              <w:autoSpaceDN w:val="0"/>
              <w:adjustRightInd w:val="0"/>
              <w:jc w:val="right"/>
              <w:rPr>
                <w:rFonts w:ascii="Arial" w:hAnsi="Arial" w:cs="Arial"/>
              </w:rPr>
            </w:pPr>
            <w:r>
              <w:rPr>
                <w:rFonts w:ascii="Arial" w:hAnsi="Arial" w:cs="Arial"/>
              </w:rPr>
              <w:t>5,122</w:t>
            </w:r>
          </w:p>
        </w:tc>
      </w:tr>
      <w:tr w:rsidR="001F3110" w14:paraId="40FB2ACE" w14:textId="77777777" w:rsidTr="00007823">
        <w:tc>
          <w:tcPr>
            <w:tcW w:w="2721" w:type="dxa"/>
            <w:gridSpan w:val="2"/>
          </w:tcPr>
          <w:p w14:paraId="0CDBCA70" w14:textId="72B103F7" w:rsidR="001F3110" w:rsidRDefault="001F3110" w:rsidP="0050081F">
            <w:pPr>
              <w:autoSpaceDE w:val="0"/>
              <w:autoSpaceDN w:val="0"/>
              <w:adjustRightInd w:val="0"/>
              <w:rPr>
                <w:rFonts w:ascii="Arial" w:hAnsi="Arial" w:cs="Arial"/>
              </w:rPr>
            </w:pPr>
            <w:r>
              <w:rPr>
                <w:rFonts w:ascii="Arial" w:hAnsi="Arial" w:cs="Arial"/>
              </w:rPr>
              <w:t>Loan receivable</w:t>
            </w:r>
          </w:p>
        </w:tc>
        <w:tc>
          <w:tcPr>
            <w:tcW w:w="1547" w:type="dxa"/>
          </w:tcPr>
          <w:p w14:paraId="66F1D3F9" w14:textId="4F28630B" w:rsidR="001F3110" w:rsidRDefault="001F3110" w:rsidP="00007823">
            <w:pPr>
              <w:autoSpaceDE w:val="0"/>
              <w:autoSpaceDN w:val="0"/>
              <w:adjustRightInd w:val="0"/>
              <w:jc w:val="center"/>
              <w:rPr>
                <w:rFonts w:ascii="Arial" w:hAnsi="Arial" w:cs="Arial"/>
              </w:rPr>
            </w:pPr>
            <w:r>
              <w:rPr>
                <w:rFonts w:ascii="Arial" w:hAnsi="Arial" w:cs="Arial"/>
              </w:rPr>
              <w:t>Amortized cost</w:t>
            </w:r>
          </w:p>
        </w:tc>
        <w:tc>
          <w:tcPr>
            <w:tcW w:w="1406" w:type="dxa"/>
            <w:gridSpan w:val="2"/>
          </w:tcPr>
          <w:p w14:paraId="665DD484" w14:textId="5B6C72A3" w:rsidR="001F3110" w:rsidRDefault="001F3110" w:rsidP="0050081F">
            <w:pPr>
              <w:tabs>
                <w:tab w:val="left" w:pos="432"/>
                <w:tab w:val="left" w:pos="792"/>
              </w:tabs>
              <w:autoSpaceDE w:val="0"/>
              <w:autoSpaceDN w:val="0"/>
              <w:adjustRightInd w:val="0"/>
              <w:ind w:left="450"/>
              <w:jc w:val="right"/>
              <w:rPr>
                <w:rFonts w:ascii="Arial" w:hAnsi="Arial" w:cs="Arial"/>
              </w:rPr>
            </w:pPr>
            <w:r>
              <w:rPr>
                <w:rFonts w:ascii="Arial" w:hAnsi="Arial" w:cs="Arial"/>
              </w:rPr>
              <w:t>-</w:t>
            </w:r>
          </w:p>
        </w:tc>
        <w:tc>
          <w:tcPr>
            <w:tcW w:w="1724" w:type="dxa"/>
            <w:gridSpan w:val="2"/>
          </w:tcPr>
          <w:p w14:paraId="38AEBCB9" w14:textId="7F0AA1FB" w:rsidR="001F3110" w:rsidRDefault="001F3110" w:rsidP="00007823">
            <w:pPr>
              <w:autoSpaceDE w:val="0"/>
              <w:autoSpaceDN w:val="0"/>
              <w:adjustRightInd w:val="0"/>
              <w:jc w:val="center"/>
              <w:rPr>
                <w:rFonts w:ascii="Arial" w:hAnsi="Arial" w:cs="Arial"/>
              </w:rPr>
            </w:pPr>
            <w:r>
              <w:rPr>
                <w:rFonts w:ascii="Arial" w:hAnsi="Arial" w:cs="Arial"/>
              </w:rPr>
              <w:t>Amortized cost</w:t>
            </w:r>
          </w:p>
        </w:tc>
        <w:tc>
          <w:tcPr>
            <w:tcW w:w="1348" w:type="dxa"/>
            <w:gridSpan w:val="2"/>
          </w:tcPr>
          <w:p w14:paraId="228AC6D9" w14:textId="55F51DAF" w:rsidR="001F3110" w:rsidRDefault="001F3110" w:rsidP="00007823">
            <w:pPr>
              <w:autoSpaceDE w:val="0"/>
              <w:autoSpaceDN w:val="0"/>
              <w:adjustRightInd w:val="0"/>
              <w:jc w:val="right"/>
              <w:rPr>
                <w:rFonts w:ascii="Arial" w:hAnsi="Arial" w:cs="Arial"/>
              </w:rPr>
            </w:pPr>
            <w:r>
              <w:rPr>
                <w:rFonts w:ascii="Arial" w:hAnsi="Arial" w:cs="Arial"/>
              </w:rPr>
              <w:t>-</w:t>
            </w:r>
          </w:p>
        </w:tc>
      </w:tr>
      <w:tr w:rsidR="0050081F" w14:paraId="402E7D6F" w14:textId="77777777" w:rsidTr="00007823">
        <w:tc>
          <w:tcPr>
            <w:tcW w:w="2721" w:type="dxa"/>
            <w:gridSpan w:val="2"/>
          </w:tcPr>
          <w:p w14:paraId="089AF1F4" w14:textId="77777777" w:rsidR="0050081F" w:rsidRDefault="0050081F" w:rsidP="0050081F">
            <w:pPr>
              <w:autoSpaceDE w:val="0"/>
              <w:autoSpaceDN w:val="0"/>
              <w:adjustRightInd w:val="0"/>
              <w:rPr>
                <w:rFonts w:ascii="Arial" w:hAnsi="Arial" w:cs="Arial"/>
              </w:rPr>
            </w:pPr>
            <w:r>
              <w:rPr>
                <w:rFonts w:ascii="Arial" w:hAnsi="Arial" w:cs="Arial"/>
              </w:rPr>
              <w:t>Accounts payable and accrued liabilities</w:t>
            </w:r>
          </w:p>
        </w:tc>
        <w:tc>
          <w:tcPr>
            <w:tcW w:w="1547" w:type="dxa"/>
          </w:tcPr>
          <w:p w14:paraId="3B40E473" w14:textId="77777777" w:rsidR="0050081F" w:rsidRDefault="0050081F" w:rsidP="00007823">
            <w:pPr>
              <w:autoSpaceDE w:val="0"/>
              <w:autoSpaceDN w:val="0"/>
              <w:adjustRightInd w:val="0"/>
              <w:jc w:val="center"/>
              <w:rPr>
                <w:rFonts w:ascii="Arial" w:hAnsi="Arial" w:cs="Arial"/>
              </w:rPr>
            </w:pPr>
            <w:r>
              <w:rPr>
                <w:rFonts w:ascii="Arial" w:hAnsi="Arial" w:cs="Arial"/>
              </w:rPr>
              <w:t>Other financial liabilities</w:t>
            </w:r>
          </w:p>
        </w:tc>
        <w:tc>
          <w:tcPr>
            <w:tcW w:w="1406" w:type="dxa"/>
            <w:gridSpan w:val="2"/>
          </w:tcPr>
          <w:p w14:paraId="4388DC34" w14:textId="77777777" w:rsidR="0050081F" w:rsidRDefault="0050081F" w:rsidP="0050081F">
            <w:pPr>
              <w:tabs>
                <w:tab w:val="left" w:pos="432"/>
                <w:tab w:val="left" w:pos="792"/>
              </w:tabs>
              <w:autoSpaceDE w:val="0"/>
              <w:autoSpaceDN w:val="0"/>
              <w:adjustRightInd w:val="0"/>
              <w:ind w:left="450"/>
              <w:jc w:val="right"/>
              <w:rPr>
                <w:rFonts w:ascii="Arial" w:hAnsi="Arial" w:cs="Arial"/>
              </w:rPr>
            </w:pPr>
          </w:p>
          <w:p w14:paraId="74749B37" w14:textId="15364923" w:rsidR="0050081F" w:rsidRDefault="00007823" w:rsidP="0050081F">
            <w:pPr>
              <w:tabs>
                <w:tab w:val="left" w:pos="432"/>
                <w:tab w:val="left" w:pos="792"/>
              </w:tabs>
              <w:autoSpaceDE w:val="0"/>
              <w:autoSpaceDN w:val="0"/>
              <w:adjustRightInd w:val="0"/>
              <w:ind w:left="450"/>
              <w:jc w:val="right"/>
              <w:rPr>
                <w:rFonts w:ascii="Arial" w:hAnsi="Arial" w:cs="Arial"/>
              </w:rPr>
            </w:pPr>
            <w:r>
              <w:rPr>
                <w:rFonts w:ascii="Arial" w:hAnsi="Arial" w:cs="Arial"/>
              </w:rPr>
              <w:t>267,892</w:t>
            </w:r>
          </w:p>
        </w:tc>
        <w:tc>
          <w:tcPr>
            <w:tcW w:w="1724" w:type="dxa"/>
            <w:gridSpan w:val="2"/>
          </w:tcPr>
          <w:p w14:paraId="579D1078" w14:textId="77777777" w:rsidR="00007823" w:rsidRDefault="00007823" w:rsidP="00007823">
            <w:pPr>
              <w:autoSpaceDE w:val="0"/>
              <w:autoSpaceDN w:val="0"/>
              <w:adjustRightInd w:val="0"/>
              <w:jc w:val="center"/>
              <w:rPr>
                <w:rFonts w:ascii="Arial" w:hAnsi="Arial" w:cs="Arial"/>
              </w:rPr>
            </w:pPr>
          </w:p>
          <w:p w14:paraId="453B278A" w14:textId="77777777" w:rsidR="0050081F" w:rsidRDefault="0050081F" w:rsidP="00007823">
            <w:pPr>
              <w:autoSpaceDE w:val="0"/>
              <w:autoSpaceDN w:val="0"/>
              <w:adjustRightInd w:val="0"/>
              <w:jc w:val="center"/>
              <w:rPr>
                <w:rFonts w:ascii="Arial" w:hAnsi="Arial" w:cs="Arial"/>
              </w:rPr>
            </w:pPr>
            <w:r>
              <w:rPr>
                <w:rFonts w:ascii="Arial" w:hAnsi="Arial" w:cs="Arial"/>
              </w:rPr>
              <w:t>Amortized cost</w:t>
            </w:r>
          </w:p>
        </w:tc>
        <w:tc>
          <w:tcPr>
            <w:tcW w:w="1348" w:type="dxa"/>
            <w:gridSpan w:val="2"/>
          </w:tcPr>
          <w:p w14:paraId="0968C363" w14:textId="77777777" w:rsidR="0050081F" w:rsidRDefault="0050081F" w:rsidP="00007823">
            <w:pPr>
              <w:autoSpaceDE w:val="0"/>
              <w:autoSpaceDN w:val="0"/>
              <w:adjustRightInd w:val="0"/>
              <w:jc w:val="right"/>
              <w:rPr>
                <w:rFonts w:ascii="Arial" w:hAnsi="Arial" w:cs="Arial"/>
              </w:rPr>
            </w:pPr>
          </w:p>
          <w:p w14:paraId="131C4FCF" w14:textId="78736A1C" w:rsidR="0050081F" w:rsidRDefault="00007823" w:rsidP="00007823">
            <w:pPr>
              <w:autoSpaceDE w:val="0"/>
              <w:autoSpaceDN w:val="0"/>
              <w:adjustRightInd w:val="0"/>
              <w:jc w:val="right"/>
              <w:rPr>
                <w:rFonts w:ascii="Arial" w:hAnsi="Arial" w:cs="Arial"/>
              </w:rPr>
            </w:pPr>
            <w:r>
              <w:rPr>
                <w:rFonts w:ascii="Arial" w:hAnsi="Arial" w:cs="Arial"/>
              </w:rPr>
              <w:t>267,892</w:t>
            </w:r>
          </w:p>
        </w:tc>
      </w:tr>
      <w:tr w:rsidR="0050081F" w14:paraId="31D56532" w14:textId="77777777" w:rsidTr="00007823">
        <w:tc>
          <w:tcPr>
            <w:tcW w:w="2721" w:type="dxa"/>
            <w:gridSpan w:val="2"/>
          </w:tcPr>
          <w:p w14:paraId="464D2937" w14:textId="77777777" w:rsidR="00007823" w:rsidRDefault="00007823" w:rsidP="0050081F">
            <w:pPr>
              <w:autoSpaceDE w:val="0"/>
              <w:autoSpaceDN w:val="0"/>
              <w:adjustRightInd w:val="0"/>
              <w:rPr>
                <w:rFonts w:ascii="Arial" w:hAnsi="Arial" w:cs="Arial"/>
              </w:rPr>
            </w:pPr>
          </w:p>
          <w:p w14:paraId="528EDEDE" w14:textId="77777777" w:rsidR="0050081F" w:rsidRDefault="0050081F" w:rsidP="0050081F">
            <w:pPr>
              <w:autoSpaceDE w:val="0"/>
              <w:autoSpaceDN w:val="0"/>
              <w:adjustRightInd w:val="0"/>
              <w:rPr>
                <w:rFonts w:ascii="Arial" w:hAnsi="Arial" w:cs="Arial"/>
              </w:rPr>
            </w:pPr>
            <w:r>
              <w:rPr>
                <w:rFonts w:ascii="Arial" w:hAnsi="Arial" w:cs="Arial"/>
              </w:rPr>
              <w:t>Due to related parties</w:t>
            </w:r>
          </w:p>
        </w:tc>
        <w:tc>
          <w:tcPr>
            <w:tcW w:w="1547" w:type="dxa"/>
          </w:tcPr>
          <w:p w14:paraId="4E08D8CB" w14:textId="77777777" w:rsidR="0050081F" w:rsidRDefault="0050081F" w:rsidP="00007823">
            <w:pPr>
              <w:autoSpaceDE w:val="0"/>
              <w:autoSpaceDN w:val="0"/>
              <w:adjustRightInd w:val="0"/>
              <w:jc w:val="center"/>
              <w:rPr>
                <w:rFonts w:ascii="Arial" w:hAnsi="Arial" w:cs="Arial"/>
              </w:rPr>
            </w:pPr>
            <w:r>
              <w:rPr>
                <w:rFonts w:ascii="Arial" w:hAnsi="Arial" w:cs="Arial"/>
              </w:rPr>
              <w:t>Other financial liabilities</w:t>
            </w:r>
          </w:p>
        </w:tc>
        <w:tc>
          <w:tcPr>
            <w:tcW w:w="1406" w:type="dxa"/>
            <w:gridSpan w:val="2"/>
          </w:tcPr>
          <w:p w14:paraId="4471BE09" w14:textId="77777777" w:rsidR="0050081F" w:rsidRDefault="0050081F" w:rsidP="0050081F">
            <w:pPr>
              <w:tabs>
                <w:tab w:val="left" w:pos="432"/>
                <w:tab w:val="left" w:pos="792"/>
              </w:tabs>
              <w:autoSpaceDE w:val="0"/>
              <w:autoSpaceDN w:val="0"/>
              <w:adjustRightInd w:val="0"/>
              <w:ind w:left="450"/>
              <w:jc w:val="right"/>
              <w:rPr>
                <w:rFonts w:ascii="Arial" w:hAnsi="Arial" w:cs="Arial"/>
              </w:rPr>
            </w:pPr>
          </w:p>
          <w:p w14:paraId="5A943463" w14:textId="48F754F8" w:rsidR="0050081F" w:rsidRDefault="00007823" w:rsidP="0050081F">
            <w:pPr>
              <w:tabs>
                <w:tab w:val="left" w:pos="432"/>
                <w:tab w:val="left" w:pos="792"/>
              </w:tabs>
              <w:autoSpaceDE w:val="0"/>
              <w:autoSpaceDN w:val="0"/>
              <w:adjustRightInd w:val="0"/>
              <w:ind w:left="450"/>
              <w:jc w:val="right"/>
              <w:rPr>
                <w:rFonts w:ascii="Arial" w:hAnsi="Arial" w:cs="Arial"/>
              </w:rPr>
            </w:pPr>
            <w:r>
              <w:rPr>
                <w:rFonts w:ascii="Arial" w:hAnsi="Arial" w:cs="Arial"/>
              </w:rPr>
              <w:t>12,421</w:t>
            </w:r>
          </w:p>
        </w:tc>
        <w:tc>
          <w:tcPr>
            <w:tcW w:w="1724" w:type="dxa"/>
            <w:gridSpan w:val="2"/>
          </w:tcPr>
          <w:p w14:paraId="3F8DC0DB" w14:textId="77777777" w:rsidR="00007823" w:rsidRDefault="00007823" w:rsidP="00007823">
            <w:pPr>
              <w:autoSpaceDE w:val="0"/>
              <w:autoSpaceDN w:val="0"/>
              <w:adjustRightInd w:val="0"/>
              <w:jc w:val="center"/>
              <w:rPr>
                <w:rFonts w:ascii="Arial" w:hAnsi="Arial" w:cs="Arial"/>
              </w:rPr>
            </w:pPr>
          </w:p>
          <w:p w14:paraId="66EF00BF" w14:textId="77777777" w:rsidR="0050081F" w:rsidRDefault="0050081F" w:rsidP="00007823">
            <w:pPr>
              <w:autoSpaceDE w:val="0"/>
              <w:autoSpaceDN w:val="0"/>
              <w:adjustRightInd w:val="0"/>
              <w:jc w:val="center"/>
              <w:rPr>
                <w:rFonts w:ascii="Arial" w:hAnsi="Arial" w:cs="Arial"/>
              </w:rPr>
            </w:pPr>
            <w:r>
              <w:rPr>
                <w:rFonts w:ascii="Arial" w:hAnsi="Arial" w:cs="Arial"/>
              </w:rPr>
              <w:t>Amortized cost</w:t>
            </w:r>
          </w:p>
        </w:tc>
        <w:tc>
          <w:tcPr>
            <w:tcW w:w="1348" w:type="dxa"/>
            <w:gridSpan w:val="2"/>
          </w:tcPr>
          <w:p w14:paraId="79FC7C5F" w14:textId="77777777" w:rsidR="0050081F" w:rsidRDefault="0050081F" w:rsidP="00007823">
            <w:pPr>
              <w:autoSpaceDE w:val="0"/>
              <w:autoSpaceDN w:val="0"/>
              <w:adjustRightInd w:val="0"/>
              <w:jc w:val="right"/>
              <w:rPr>
                <w:rFonts w:ascii="Arial" w:hAnsi="Arial" w:cs="Arial"/>
              </w:rPr>
            </w:pPr>
          </w:p>
          <w:p w14:paraId="663C4950" w14:textId="6A1D22B2" w:rsidR="0050081F" w:rsidRDefault="00007823" w:rsidP="00007823">
            <w:pPr>
              <w:autoSpaceDE w:val="0"/>
              <w:autoSpaceDN w:val="0"/>
              <w:adjustRightInd w:val="0"/>
              <w:jc w:val="right"/>
              <w:rPr>
                <w:rFonts w:ascii="Arial" w:hAnsi="Arial" w:cs="Arial"/>
              </w:rPr>
            </w:pPr>
            <w:r>
              <w:rPr>
                <w:rFonts w:ascii="Arial" w:hAnsi="Arial" w:cs="Arial"/>
              </w:rPr>
              <w:t>12,421</w:t>
            </w:r>
          </w:p>
        </w:tc>
      </w:tr>
      <w:tr w:rsidR="0050081F" w14:paraId="661A07D3" w14:textId="77777777" w:rsidTr="00007823">
        <w:tc>
          <w:tcPr>
            <w:tcW w:w="2721" w:type="dxa"/>
            <w:gridSpan w:val="2"/>
          </w:tcPr>
          <w:p w14:paraId="1932F747" w14:textId="77777777" w:rsidR="00007823" w:rsidRDefault="00007823" w:rsidP="0050081F">
            <w:pPr>
              <w:autoSpaceDE w:val="0"/>
              <w:autoSpaceDN w:val="0"/>
              <w:adjustRightInd w:val="0"/>
              <w:rPr>
                <w:rFonts w:ascii="Arial" w:hAnsi="Arial" w:cs="Arial"/>
              </w:rPr>
            </w:pPr>
          </w:p>
          <w:p w14:paraId="6297EE8D" w14:textId="1B2DC78D" w:rsidR="0050081F" w:rsidRDefault="00007823" w:rsidP="0050081F">
            <w:pPr>
              <w:autoSpaceDE w:val="0"/>
              <w:autoSpaceDN w:val="0"/>
              <w:adjustRightInd w:val="0"/>
              <w:rPr>
                <w:rFonts w:ascii="Arial" w:hAnsi="Arial" w:cs="Arial"/>
              </w:rPr>
            </w:pPr>
            <w:r>
              <w:rPr>
                <w:rFonts w:ascii="Arial" w:hAnsi="Arial" w:cs="Arial"/>
              </w:rPr>
              <w:t>Convertible debentures</w:t>
            </w:r>
          </w:p>
        </w:tc>
        <w:tc>
          <w:tcPr>
            <w:tcW w:w="1547" w:type="dxa"/>
          </w:tcPr>
          <w:p w14:paraId="79A78AAF" w14:textId="77777777" w:rsidR="0050081F" w:rsidRDefault="0050081F" w:rsidP="00007823">
            <w:pPr>
              <w:autoSpaceDE w:val="0"/>
              <w:autoSpaceDN w:val="0"/>
              <w:adjustRightInd w:val="0"/>
              <w:jc w:val="center"/>
              <w:rPr>
                <w:rFonts w:ascii="Arial" w:hAnsi="Arial" w:cs="Arial"/>
              </w:rPr>
            </w:pPr>
            <w:r>
              <w:rPr>
                <w:rFonts w:ascii="Arial" w:hAnsi="Arial" w:cs="Arial"/>
              </w:rPr>
              <w:t>Other financial liabilities</w:t>
            </w:r>
          </w:p>
        </w:tc>
        <w:tc>
          <w:tcPr>
            <w:tcW w:w="1406" w:type="dxa"/>
            <w:gridSpan w:val="2"/>
          </w:tcPr>
          <w:p w14:paraId="2B805842" w14:textId="77777777" w:rsidR="0050081F" w:rsidRDefault="0050081F" w:rsidP="0050081F">
            <w:pPr>
              <w:tabs>
                <w:tab w:val="left" w:pos="432"/>
                <w:tab w:val="left" w:pos="792"/>
              </w:tabs>
              <w:autoSpaceDE w:val="0"/>
              <w:autoSpaceDN w:val="0"/>
              <w:adjustRightInd w:val="0"/>
              <w:ind w:left="450"/>
              <w:jc w:val="right"/>
              <w:rPr>
                <w:rFonts w:ascii="Arial" w:hAnsi="Arial" w:cs="Arial"/>
              </w:rPr>
            </w:pPr>
          </w:p>
          <w:p w14:paraId="75C6990A" w14:textId="77777777" w:rsidR="0050081F" w:rsidRDefault="0050081F" w:rsidP="0050081F">
            <w:pPr>
              <w:tabs>
                <w:tab w:val="left" w:pos="432"/>
                <w:tab w:val="left" w:pos="792"/>
              </w:tabs>
              <w:autoSpaceDE w:val="0"/>
              <w:autoSpaceDN w:val="0"/>
              <w:adjustRightInd w:val="0"/>
              <w:ind w:left="450"/>
              <w:jc w:val="right"/>
              <w:rPr>
                <w:rFonts w:ascii="Arial" w:hAnsi="Arial" w:cs="Arial"/>
              </w:rPr>
            </w:pPr>
            <w:r>
              <w:rPr>
                <w:rFonts w:ascii="Arial" w:hAnsi="Arial" w:cs="Arial"/>
              </w:rPr>
              <w:t>-</w:t>
            </w:r>
          </w:p>
        </w:tc>
        <w:tc>
          <w:tcPr>
            <w:tcW w:w="1724" w:type="dxa"/>
            <w:gridSpan w:val="2"/>
          </w:tcPr>
          <w:p w14:paraId="3C2C75AA" w14:textId="77777777" w:rsidR="00007823" w:rsidRDefault="00007823" w:rsidP="00007823">
            <w:pPr>
              <w:autoSpaceDE w:val="0"/>
              <w:autoSpaceDN w:val="0"/>
              <w:adjustRightInd w:val="0"/>
              <w:jc w:val="center"/>
              <w:rPr>
                <w:rFonts w:ascii="Arial" w:hAnsi="Arial" w:cs="Arial"/>
              </w:rPr>
            </w:pPr>
          </w:p>
          <w:p w14:paraId="5564C51B" w14:textId="77777777" w:rsidR="0050081F" w:rsidRDefault="0050081F" w:rsidP="00007823">
            <w:pPr>
              <w:autoSpaceDE w:val="0"/>
              <w:autoSpaceDN w:val="0"/>
              <w:adjustRightInd w:val="0"/>
              <w:jc w:val="center"/>
              <w:rPr>
                <w:rFonts w:ascii="Arial" w:hAnsi="Arial" w:cs="Arial"/>
              </w:rPr>
            </w:pPr>
            <w:r>
              <w:rPr>
                <w:rFonts w:ascii="Arial" w:hAnsi="Arial" w:cs="Arial"/>
              </w:rPr>
              <w:t>Amortized cost</w:t>
            </w:r>
          </w:p>
        </w:tc>
        <w:tc>
          <w:tcPr>
            <w:tcW w:w="1348" w:type="dxa"/>
            <w:gridSpan w:val="2"/>
          </w:tcPr>
          <w:p w14:paraId="15EA8290" w14:textId="77777777" w:rsidR="0050081F" w:rsidRDefault="0050081F" w:rsidP="00007823">
            <w:pPr>
              <w:autoSpaceDE w:val="0"/>
              <w:autoSpaceDN w:val="0"/>
              <w:adjustRightInd w:val="0"/>
              <w:jc w:val="right"/>
              <w:rPr>
                <w:rFonts w:ascii="Arial" w:hAnsi="Arial" w:cs="Arial"/>
              </w:rPr>
            </w:pPr>
          </w:p>
          <w:p w14:paraId="609F9B69" w14:textId="77777777" w:rsidR="0050081F" w:rsidRDefault="0050081F" w:rsidP="00007823">
            <w:pPr>
              <w:autoSpaceDE w:val="0"/>
              <w:autoSpaceDN w:val="0"/>
              <w:adjustRightInd w:val="0"/>
              <w:jc w:val="right"/>
              <w:rPr>
                <w:rFonts w:ascii="Arial" w:hAnsi="Arial" w:cs="Arial"/>
              </w:rPr>
            </w:pPr>
            <w:r>
              <w:rPr>
                <w:rFonts w:ascii="Arial" w:hAnsi="Arial" w:cs="Arial"/>
              </w:rPr>
              <w:t>-</w:t>
            </w:r>
          </w:p>
        </w:tc>
      </w:tr>
      <w:tr w:rsidR="0050081F" w14:paraId="06042CAE" w14:textId="77777777" w:rsidTr="00007823">
        <w:tc>
          <w:tcPr>
            <w:tcW w:w="2721" w:type="dxa"/>
            <w:gridSpan w:val="2"/>
            <w:tcBorders>
              <w:bottom w:val="single" w:sz="2" w:space="0" w:color="auto"/>
            </w:tcBorders>
          </w:tcPr>
          <w:p w14:paraId="7AC904B1" w14:textId="77777777" w:rsidR="00007823" w:rsidRDefault="00007823" w:rsidP="0050081F">
            <w:pPr>
              <w:autoSpaceDE w:val="0"/>
              <w:autoSpaceDN w:val="0"/>
              <w:adjustRightInd w:val="0"/>
              <w:rPr>
                <w:rFonts w:ascii="Arial" w:hAnsi="Arial" w:cs="Arial"/>
              </w:rPr>
            </w:pPr>
          </w:p>
          <w:p w14:paraId="0FAB0D16" w14:textId="5E66E46A" w:rsidR="0050081F" w:rsidRDefault="00007823" w:rsidP="0050081F">
            <w:pPr>
              <w:autoSpaceDE w:val="0"/>
              <w:autoSpaceDN w:val="0"/>
              <w:adjustRightInd w:val="0"/>
              <w:rPr>
                <w:rFonts w:ascii="Arial" w:hAnsi="Arial" w:cs="Arial"/>
              </w:rPr>
            </w:pPr>
            <w:r>
              <w:rPr>
                <w:rFonts w:ascii="Arial" w:hAnsi="Arial" w:cs="Arial"/>
              </w:rPr>
              <w:t>Promissory notes</w:t>
            </w:r>
          </w:p>
        </w:tc>
        <w:tc>
          <w:tcPr>
            <w:tcW w:w="1547" w:type="dxa"/>
            <w:tcBorders>
              <w:bottom w:val="single" w:sz="2" w:space="0" w:color="auto"/>
            </w:tcBorders>
          </w:tcPr>
          <w:p w14:paraId="3021B9E5" w14:textId="307CE7BD" w:rsidR="0050081F" w:rsidRDefault="00007823" w:rsidP="00007823">
            <w:pPr>
              <w:autoSpaceDE w:val="0"/>
              <w:autoSpaceDN w:val="0"/>
              <w:adjustRightInd w:val="0"/>
              <w:jc w:val="center"/>
              <w:rPr>
                <w:rFonts w:ascii="Arial" w:hAnsi="Arial" w:cs="Arial"/>
              </w:rPr>
            </w:pPr>
            <w:r>
              <w:rPr>
                <w:rFonts w:ascii="Arial" w:hAnsi="Arial" w:cs="Arial"/>
              </w:rPr>
              <w:t>Other financial liabilities</w:t>
            </w:r>
          </w:p>
        </w:tc>
        <w:tc>
          <w:tcPr>
            <w:tcW w:w="1406" w:type="dxa"/>
            <w:gridSpan w:val="2"/>
            <w:tcBorders>
              <w:bottom w:val="single" w:sz="2" w:space="0" w:color="auto"/>
            </w:tcBorders>
          </w:tcPr>
          <w:p w14:paraId="42D308D0" w14:textId="77777777" w:rsidR="00007823" w:rsidRDefault="00007823" w:rsidP="0050081F">
            <w:pPr>
              <w:tabs>
                <w:tab w:val="left" w:pos="432"/>
                <w:tab w:val="left" w:pos="792"/>
              </w:tabs>
              <w:autoSpaceDE w:val="0"/>
              <w:autoSpaceDN w:val="0"/>
              <w:adjustRightInd w:val="0"/>
              <w:ind w:left="450"/>
              <w:jc w:val="right"/>
              <w:rPr>
                <w:rFonts w:ascii="Arial" w:hAnsi="Arial" w:cs="Arial"/>
              </w:rPr>
            </w:pPr>
          </w:p>
          <w:p w14:paraId="18E542D0" w14:textId="7ACF97EC" w:rsidR="0050081F" w:rsidRDefault="00007823" w:rsidP="0050081F">
            <w:pPr>
              <w:tabs>
                <w:tab w:val="left" w:pos="432"/>
                <w:tab w:val="left" w:pos="792"/>
              </w:tabs>
              <w:autoSpaceDE w:val="0"/>
              <w:autoSpaceDN w:val="0"/>
              <w:adjustRightInd w:val="0"/>
              <w:ind w:left="450"/>
              <w:jc w:val="right"/>
              <w:rPr>
                <w:rFonts w:ascii="Arial" w:hAnsi="Arial" w:cs="Arial"/>
              </w:rPr>
            </w:pPr>
            <w:r>
              <w:rPr>
                <w:rFonts w:ascii="Arial" w:hAnsi="Arial" w:cs="Arial"/>
              </w:rPr>
              <w:t>247,305</w:t>
            </w:r>
          </w:p>
        </w:tc>
        <w:tc>
          <w:tcPr>
            <w:tcW w:w="1724" w:type="dxa"/>
            <w:gridSpan w:val="2"/>
            <w:tcBorders>
              <w:bottom w:val="single" w:sz="2" w:space="0" w:color="auto"/>
            </w:tcBorders>
          </w:tcPr>
          <w:p w14:paraId="2F253579" w14:textId="77777777" w:rsidR="00007823" w:rsidRDefault="00007823" w:rsidP="00007823">
            <w:pPr>
              <w:autoSpaceDE w:val="0"/>
              <w:autoSpaceDN w:val="0"/>
              <w:adjustRightInd w:val="0"/>
              <w:jc w:val="center"/>
              <w:rPr>
                <w:rFonts w:ascii="Arial" w:hAnsi="Arial" w:cs="Arial"/>
              </w:rPr>
            </w:pPr>
          </w:p>
          <w:p w14:paraId="2E40D704" w14:textId="4ABF7CD8" w:rsidR="0050081F" w:rsidRDefault="00007823" w:rsidP="00007823">
            <w:pPr>
              <w:autoSpaceDE w:val="0"/>
              <w:autoSpaceDN w:val="0"/>
              <w:adjustRightInd w:val="0"/>
              <w:jc w:val="center"/>
              <w:rPr>
                <w:rFonts w:ascii="Arial" w:hAnsi="Arial" w:cs="Arial"/>
              </w:rPr>
            </w:pPr>
            <w:r>
              <w:rPr>
                <w:rFonts w:ascii="Arial" w:hAnsi="Arial" w:cs="Arial"/>
              </w:rPr>
              <w:t>Amortized cost</w:t>
            </w:r>
          </w:p>
        </w:tc>
        <w:tc>
          <w:tcPr>
            <w:tcW w:w="1348" w:type="dxa"/>
            <w:gridSpan w:val="2"/>
            <w:tcBorders>
              <w:bottom w:val="single" w:sz="2" w:space="0" w:color="auto"/>
            </w:tcBorders>
          </w:tcPr>
          <w:p w14:paraId="287255A6" w14:textId="77777777" w:rsidR="00007823" w:rsidRDefault="00007823" w:rsidP="00007823">
            <w:pPr>
              <w:autoSpaceDE w:val="0"/>
              <w:autoSpaceDN w:val="0"/>
              <w:adjustRightInd w:val="0"/>
              <w:jc w:val="right"/>
              <w:rPr>
                <w:rFonts w:ascii="Arial" w:hAnsi="Arial" w:cs="Arial"/>
              </w:rPr>
            </w:pPr>
          </w:p>
          <w:p w14:paraId="088589CD" w14:textId="0DA906B0" w:rsidR="0050081F" w:rsidRDefault="00007823" w:rsidP="00007823">
            <w:pPr>
              <w:autoSpaceDE w:val="0"/>
              <w:autoSpaceDN w:val="0"/>
              <w:adjustRightInd w:val="0"/>
              <w:jc w:val="right"/>
              <w:rPr>
                <w:rFonts w:ascii="Arial" w:hAnsi="Arial" w:cs="Arial"/>
              </w:rPr>
            </w:pPr>
            <w:r>
              <w:rPr>
                <w:rFonts w:ascii="Arial" w:hAnsi="Arial" w:cs="Arial"/>
              </w:rPr>
              <w:t>247,305</w:t>
            </w:r>
          </w:p>
        </w:tc>
      </w:tr>
    </w:tbl>
    <w:p w14:paraId="6932D352" w14:textId="77777777" w:rsidR="0050081F" w:rsidRPr="00CB6281" w:rsidRDefault="0050081F" w:rsidP="0050081F">
      <w:pPr>
        <w:pStyle w:val="NormalWeb"/>
        <w:spacing w:before="0" w:beforeAutospacing="0" w:after="0" w:afterAutospacing="0"/>
        <w:ind w:left="450"/>
        <w:jc w:val="both"/>
        <w:rPr>
          <w:rFonts w:ascii="Arial" w:hAnsi="Arial" w:cs="Arial"/>
          <w:sz w:val="20"/>
          <w:szCs w:val="20"/>
        </w:rPr>
      </w:pPr>
    </w:p>
    <w:p w14:paraId="5DE1CEE6" w14:textId="37809406" w:rsidR="0050081F" w:rsidRPr="00F3067D" w:rsidRDefault="0050081F" w:rsidP="00747374">
      <w:pPr>
        <w:pStyle w:val="NormalWeb"/>
        <w:spacing w:before="0" w:beforeAutospacing="0" w:after="0" w:afterAutospacing="0"/>
        <w:ind w:left="720"/>
        <w:jc w:val="both"/>
        <w:rPr>
          <w:rFonts w:ascii="Arial" w:hAnsi="Arial" w:cs="Arial"/>
          <w:sz w:val="20"/>
          <w:szCs w:val="20"/>
        </w:rPr>
      </w:pPr>
      <w:r w:rsidRPr="00CB6281">
        <w:rPr>
          <w:rFonts w:ascii="Arial" w:hAnsi="Arial" w:cs="Arial"/>
          <w:sz w:val="20"/>
          <w:szCs w:val="20"/>
        </w:rPr>
        <w:t>As the standard permits on transition to IFRS 9, the Company has not restated prior periods with respect to the new</w:t>
      </w:r>
      <w:r w:rsidRPr="00F3067D">
        <w:rPr>
          <w:rFonts w:ascii="Arial" w:hAnsi="Arial" w:cs="Arial"/>
          <w:sz w:val="20"/>
          <w:szCs w:val="20"/>
        </w:rPr>
        <w:t xml:space="preserve"> </w:t>
      </w:r>
      <w:r w:rsidRPr="00CB6281">
        <w:rPr>
          <w:rFonts w:ascii="Arial" w:hAnsi="Arial" w:cs="Arial"/>
          <w:sz w:val="20"/>
          <w:szCs w:val="20"/>
        </w:rPr>
        <w:t>amortized cost measurement for financial assets and impairment requirements.</w:t>
      </w:r>
      <w:r w:rsidRPr="00F3067D">
        <w:rPr>
          <w:rFonts w:ascii="Arial" w:hAnsi="Arial" w:cs="Arial"/>
          <w:sz w:val="20"/>
          <w:szCs w:val="20"/>
        </w:rPr>
        <w:t xml:space="preserve"> </w:t>
      </w:r>
      <w:r w:rsidRPr="00CB6281">
        <w:rPr>
          <w:rFonts w:ascii="Arial" w:hAnsi="Arial" w:cs="Arial"/>
          <w:sz w:val="20"/>
          <w:szCs w:val="20"/>
        </w:rPr>
        <w:t>The adoption of IFRS 9 resulted in no impact to opening accumulated deficit.</w:t>
      </w:r>
    </w:p>
    <w:p w14:paraId="5AB98638" w14:textId="03EF124C" w:rsidR="00007823" w:rsidRPr="00007823" w:rsidRDefault="00007823" w:rsidP="00007823">
      <w:pPr>
        <w:tabs>
          <w:tab w:val="left" w:pos="450"/>
        </w:tabs>
        <w:spacing w:after="0" w:line="240" w:lineRule="auto"/>
        <w:jc w:val="both"/>
        <w:rPr>
          <w:rFonts w:ascii="Arial" w:hAnsi="Arial" w:cs="Arial"/>
          <w:szCs w:val="20"/>
        </w:rPr>
      </w:pPr>
      <w:r w:rsidRPr="00BA56F7">
        <w:rPr>
          <w:rFonts w:ascii="Arial" w:hAnsi="Arial" w:cs="Arial"/>
          <w:b/>
          <w:szCs w:val="20"/>
        </w:rPr>
        <w:lastRenderedPageBreak/>
        <w:t xml:space="preserve">3.    </w:t>
      </w:r>
      <w:r w:rsidRPr="00BA56F7">
        <w:rPr>
          <w:rFonts w:ascii="Arial" w:hAnsi="Arial" w:cs="Arial"/>
          <w:b/>
          <w:szCs w:val="20"/>
        </w:rPr>
        <w:tab/>
      </w:r>
      <w:r>
        <w:rPr>
          <w:rFonts w:ascii="Arial" w:hAnsi="Arial" w:cs="Arial"/>
          <w:b/>
          <w:szCs w:val="20"/>
        </w:rPr>
        <w:t xml:space="preserve">New Accounting Pronouncements </w:t>
      </w:r>
      <w:r>
        <w:rPr>
          <w:rFonts w:ascii="Arial" w:hAnsi="Arial" w:cs="Arial"/>
          <w:szCs w:val="20"/>
        </w:rPr>
        <w:t>(continued)</w:t>
      </w:r>
    </w:p>
    <w:p w14:paraId="470671BA" w14:textId="77777777" w:rsidR="00007823" w:rsidRDefault="00007823" w:rsidP="0050081F">
      <w:pPr>
        <w:pStyle w:val="NormalWeb"/>
        <w:spacing w:before="0" w:beforeAutospacing="0" w:after="0" w:afterAutospacing="0"/>
        <w:ind w:left="450"/>
        <w:jc w:val="both"/>
        <w:rPr>
          <w:rFonts w:ascii="Arial" w:hAnsi="Arial" w:cs="Arial"/>
          <w:sz w:val="20"/>
          <w:szCs w:val="20"/>
          <w:u w:val="single"/>
        </w:rPr>
      </w:pPr>
    </w:p>
    <w:p w14:paraId="12E5E33C" w14:textId="1C8A4018" w:rsidR="0050081F" w:rsidRPr="00747374" w:rsidRDefault="0050081F" w:rsidP="00747374">
      <w:pPr>
        <w:pStyle w:val="NormalWeb"/>
        <w:numPr>
          <w:ilvl w:val="0"/>
          <w:numId w:val="42"/>
        </w:numPr>
        <w:spacing w:before="0" w:beforeAutospacing="0" w:after="0" w:afterAutospacing="0"/>
        <w:jc w:val="both"/>
        <w:rPr>
          <w:rFonts w:ascii="Arial" w:hAnsi="Arial" w:cs="Arial"/>
          <w:sz w:val="20"/>
          <w:szCs w:val="20"/>
        </w:rPr>
      </w:pPr>
      <w:r w:rsidRPr="00747374">
        <w:rPr>
          <w:rFonts w:ascii="Arial" w:hAnsi="Arial" w:cs="Arial"/>
          <w:sz w:val="20"/>
          <w:szCs w:val="20"/>
        </w:rPr>
        <w:t>IFRS 16 – Leases</w:t>
      </w:r>
    </w:p>
    <w:p w14:paraId="7EC9AA2A" w14:textId="77777777" w:rsidR="00747374" w:rsidRDefault="00747374" w:rsidP="0050081F">
      <w:pPr>
        <w:pStyle w:val="NormalWeb"/>
        <w:spacing w:before="0" w:beforeAutospacing="0" w:after="0" w:afterAutospacing="0"/>
        <w:ind w:left="450"/>
        <w:jc w:val="both"/>
        <w:rPr>
          <w:rFonts w:ascii="Arial" w:hAnsi="Arial" w:cs="Arial"/>
          <w:sz w:val="20"/>
          <w:szCs w:val="20"/>
        </w:rPr>
      </w:pPr>
    </w:p>
    <w:p w14:paraId="184B3490" w14:textId="2D7C6589" w:rsidR="0050081F" w:rsidRPr="00422076" w:rsidRDefault="0050081F" w:rsidP="00747374">
      <w:pPr>
        <w:pStyle w:val="NormalWeb"/>
        <w:spacing w:before="0" w:beforeAutospacing="0" w:after="0" w:afterAutospacing="0"/>
        <w:ind w:left="810"/>
        <w:jc w:val="both"/>
        <w:rPr>
          <w:rFonts w:ascii="Arial" w:hAnsi="Arial" w:cs="Arial"/>
          <w:sz w:val="20"/>
          <w:szCs w:val="20"/>
        </w:rPr>
      </w:pPr>
      <w:r w:rsidRPr="00422076">
        <w:rPr>
          <w:rFonts w:ascii="Arial" w:hAnsi="Arial" w:cs="Arial"/>
          <w:sz w:val="20"/>
          <w:szCs w:val="20"/>
        </w:rPr>
        <w:t xml:space="preserve">IFRS 16 specifies how to recognize, measure, present and disclose leases. The standard provides a single lessee model, requiring lessees to recognize assets and liabilities for all leases unless the lease term is twelve months or less or the underlying asset has a low value. IFRS 16 replaces IAS 17 Leases, IFRIC 4 Determining Whether an Arrangement Contains a Lease, SIC-15 Operating Leases – Incentives, and SIC-27 Evaluating the Substance of Transactions Involving the Legal Form of a Lease. IFRS 16 is effective for annual periods beginning on or after January 1, 2019.  </w:t>
      </w:r>
      <w:r w:rsidR="00007823">
        <w:rPr>
          <w:rFonts w:ascii="Arial" w:hAnsi="Arial" w:cs="Arial"/>
          <w:sz w:val="20"/>
          <w:szCs w:val="20"/>
        </w:rPr>
        <w:t>On February 1, 201</w:t>
      </w:r>
      <w:r w:rsidR="001D1EF9">
        <w:rPr>
          <w:rFonts w:ascii="Arial" w:hAnsi="Arial" w:cs="Arial"/>
          <w:sz w:val="20"/>
          <w:szCs w:val="20"/>
        </w:rPr>
        <w:t>9</w:t>
      </w:r>
      <w:r>
        <w:rPr>
          <w:rFonts w:ascii="Arial" w:hAnsi="Arial" w:cs="Arial"/>
          <w:sz w:val="20"/>
          <w:szCs w:val="20"/>
        </w:rPr>
        <w:t>, the</w:t>
      </w:r>
      <w:r w:rsidRPr="00422076">
        <w:rPr>
          <w:rFonts w:ascii="Arial" w:hAnsi="Arial" w:cs="Arial"/>
          <w:sz w:val="20"/>
          <w:szCs w:val="20"/>
        </w:rPr>
        <w:t xml:space="preserve"> Company </w:t>
      </w:r>
      <w:r>
        <w:rPr>
          <w:rFonts w:ascii="Arial" w:hAnsi="Arial" w:cs="Arial"/>
          <w:sz w:val="20"/>
          <w:szCs w:val="20"/>
        </w:rPr>
        <w:t>adopted</w:t>
      </w:r>
      <w:r w:rsidRPr="00422076">
        <w:rPr>
          <w:rFonts w:ascii="Arial" w:hAnsi="Arial" w:cs="Arial"/>
          <w:sz w:val="20"/>
          <w:szCs w:val="20"/>
        </w:rPr>
        <w:t xml:space="preserve"> IFRS 16</w:t>
      </w:r>
      <w:r w:rsidR="001D1EF9">
        <w:rPr>
          <w:rFonts w:ascii="Arial" w:hAnsi="Arial" w:cs="Arial"/>
          <w:sz w:val="20"/>
          <w:szCs w:val="20"/>
        </w:rPr>
        <w:t xml:space="preserve"> and </w:t>
      </w:r>
      <w:r w:rsidR="008653A8">
        <w:rPr>
          <w:rFonts w:ascii="Arial" w:hAnsi="Arial" w:cs="Arial"/>
          <w:sz w:val="20"/>
          <w:szCs w:val="20"/>
        </w:rPr>
        <w:t>applied IFRS 16 retrospectively to each prior reporting period presented.</w:t>
      </w:r>
    </w:p>
    <w:p w14:paraId="451C9678" w14:textId="77777777" w:rsidR="0050081F" w:rsidRDefault="0050081F" w:rsidP="00747374">
      <w:pPr>
        <w:tabs>
          <w:tab w:val="left" w:pos="450"/>
        </w:tabs>
        <w:spacing w:after="0" w:line="240" w:lineRule="auto"/>
        <w:ind w:left="810"/>
        <w:jc w:val="both"/>
        <w:rPr>
          <w:rFonts w:ascii="Arial" w:eastAsia="Times New Roman" w:hAnsi="Arial" w:cs="Arial"/>
          <w:bCs/>
          <w:szCs w:val="20"/>
        </w:rPr>
      </w:pPr>
    </w:p>
    <w:p w14:paraId="6FFFB3A7" w14:textId="37AD5C3B" w:rsidR="003C2EF4" w:rsidRDefault="003C2EF4" w:rsidP="00747374">
      <w:pPr>
        <w:tabs>
          <w:tab w:val="left" w:pos="450"/>
        </w:tabs>
        <w:spacing w:after="0" w:line="240" w:lineRule="auto"/>
        <w:ind w:left="810"/>
        <w:jc w:val="both"/>
        <w:rPr>
          <w:rFonts w:ascii="Arial" w:eastAsia="Times New Roman" w:hAnsi="Arial" w:cs="Arial"/>
          <w:bCs/>
          <w:szCs w:val="20"/>
        </w:rPr>
      </w:pPr>
      <w:r w:rsidRPr="003C2EF4">
        <w:rPr>
          <w:rFonts w:ascii="Arial" w:eastAsia="Times New Roman" w:hAnsi="Arial" w:cs="Arial"/>
          <w:bCs/>
          <w:szCs w:val="20"/>
        </w:rPr>
        <w:t xml:space="preserve">In accordance with </w:t>
      </w:r>
      <w:r>
        <w:rPr>
          <w:rFonts w:ascii="Arial" w:eastAsia="Times New Roman" w:hAnsi="Arial" w:cs="Arial"/>
          <w:bCs/>
          <w:szCs w:val="20"/>
        </w:rPr>
        <w:t>IFRS 16</w:t>
      </w:r>
      <w:r w:rsidRPr="003C2EF4">
        <w:rPr>
          <w:rFonts w:ascii="Arial" w:eastAsia="Times New Roman" w:hAnsi="Arial" w:cs="Arial"/>
          <w:bCs/>
          <w:szCs w:val="20"/>
        </w:rPr>
        <w:t xml:space="preserve">, the Company determines if an arrangement is a lease at inception based on whether there is an identified asset, whether the Company has the right to obtain substantially all of the economic benefits from the use of the asset and whether the Company has the right to direct the use of the asset. The Company has operating leases, on office and facility spaces, and no financing leases. Operating lease </w:t>
      </w:r>
      <w:r>
        <w:rPr>
          <w:rFonts w:ascii="Arial" w:eastAsia="Times New Roman" w:hAnsi="Arial" w:cs="Arial"/>
          <w:bCs/>
          <w:szCs w:val="20"/>
        </w:rPr>
        <w:t>right-of-use (“</w:t>
      </w:r>
      <w:r w:rsidRPr="003C2EF4">
        <w:rPr>
          <w:rFonts w:ascii="Arial" w:eastAsia="Times New Roman" w:hAnsi="Arial" w:cs="Arial"/>
          <w:bCs/>
          <w:szCs w:val="20"/>
        </w:rPr>
        <w:t>ROU</w:t>
      </w:r>
      <w:r>
        <w:rPr>
          <w:rFonts w:ascii="Arial" w:eastAsia="Times New Roman" w:hAnsi="Arial" w:cs="Arial"/>
          <w:bCs/>
          <w:szCs w:val="20"/>
        </w:rPr>
        <w:t>”)</w:t>
      </w:r>
      <w:r w:rsidRPr="003C2EF4">
        <w:rPr>
          <w:rFonts w:ascii="Arial" w:eastAsia="Times New Roman" w:hAnsi="Arial" w:cs="Arial"/>
          <w:bCs/>
          <w:szCs w:val="20"/>
        </w:rPr>
        <w:t xml:space="preserve"> assets and operating lease liabilities are recognized based on the present value of the future minimum lease payments over the lease term. Lease expense for minimum lease payments is recognized on a straight-line basis over the lease term. See Note </w:t>
      </w:r>
      <w:r w:rsidR="00F870C2">
        <w:rPr>
          <w:rFonts w:ascii="Arial" w:eastAsia="Times New Roman" w:hAnsi="Arial" w:cs="Arial"/>
          <w:bCs/>
          <w:szCs w:val="20"/>
        </w:rPr>
        <w:t>9</w:t>
      </w:r>
      <w:r w:rsidRPr="003C2EF4">
        <w:rPr>
          <w:rFonts w:ascii="Arial" w:eastAsia="Times New Roman" w:hAnsi="Arial" w:cs="Arial"/>
          <w:bCs/>
          <w:szCs w:val="20"/>
        </w:rPr>
        <w:t xml:space="preserve"> for further disclosures and detail regarding the Company’s operating leases</w:t>
      </w:r>
      <w:r>
        <w:rPr>
          <w:rFonts w:ascii="Arial" w:eastAsia="Times New Roman" w:hAnsi="Arial" w:cs="Arial"/>
          <w:bCs/>
          <w:szCs w:val="20"/>
        </w:rPr>
        <w:t>.</w:t>
      </w:r>
    </w:p>
    <w:p w14:paraId="618E1CD2" w14:textId="77777777" w:rsidR="00D462FC" w:rsidRDefault="00D462FC" w:rsidP="00747374">
      <w:pPr>
        <w:tabs>
          <w:tab w:val="left" w:pos="450"/>
        </w:tabs>
        <w:spacing w:after="0" w:line="240" w:lineRule="auto"/>
        <w:ind w:left="810"/>
        <w:jc w:val="both"/>
        <w:rPr>
          <w:rFonts w:ascii="Arial" w:eastAsia="Times New Roman" w:hAnsi="Arial" w:cs="Arial"/>
          <w:bCs/>
          <w:szCs w:val="20"/>
        </w:rPr>
      </w:pPr>
    </w:p>
    <w:p w14:paraId="2F826287" w14:textId="77777777" w:rsidR="003C2EF4" w:rsidRPr="003C2EF4" w:rsidRDefault="003C2EF4" w:rsidP="00747374">
      <w:pPr>
        <w:tabs>
          <w:tab w:val="left" w:pos="450"/>
        </w:tabs>
        <w:spacing w:after="0" w:line="240" w:lineRule="auto"/>
        <w:ind w:left="810"/>
        <w:jc w:val="both"/>
        <w:rPr>
          <w:rFonts w:ascii="Arial" w:eastAsia="Times New Roman" w:hAnsi="Arial" w:cs="Arial"/>
          <w:bCs/>
          <w:szCs w:val="20"/>
        </w:rPr>
      </w:pPr>
      <w:r w:rsidRPr="003C2EF4">
        <w:rPr>
          <w:rFonts w:ascii="Arial" w:eastAsia="Times New Roman" w:hAnsi="Arial" w:cs="Arial"/>
          <w:bCs/>
          <w:szCs w:val="20"/>
        </w:rPr>
        <w:t>For leases with terms greater than twelve (12) months, the Company records the related ROU asset and lease obligation at the present value of lease payments over the term. Leases may include fixed rental escalation clauses, renewal options and / or termination options that are factored into the determination of lease payments when appropriate. The Company’s leases do not provide a readily determinable implicit rate; therefore, an estimate of the Company’s incremental borrowing rate is used to discount the lease payments based on information available at the lease commencement date. The discount rate used was 14.4%.</w:t>
      </w:r>
    </w:p>
    <w:p w14:paraId="380A9AF4" w14:textId="77777777" w:rsidR="003C2EF4" w:rsidRPr="003C2EF4" w:rsidRDefault="003C2EF4" w:rsidP="00747374">
      <w:pPr>
        <w:tabs>
          <w:tab w:val="left" w:pos="450"/>
        </w:tabs>
        <w:spacing w:after="0" w:line="240" w:lineRule="auto"/>
        <w:ind w:left="810"/>
        <w:jc w:val="both"/>
        <w:rPr>
          <w:rFonts w:ascii="Arial" w:eastAsia="Times New Roman" w:hAnsi="Arial" w:cs="Arial"/>
          <w:bCs/>
          <w:szCs w:val="20"/>
        </w:rPr>
      </w:pPr>
      <w:r w:rsidRPr="003C2EF4">
        <w:rPr>
          <w:rFonts w:ascii="Arial" w:eastAsia="Times New Roman" w:hAnsi="Arial" w:cs="Arial"/>
          <w:bCs/>
          <w:szCs w:val="20"/>
        </w:rPr>
        <w:t xml:space="preserve"> </w:t>
      </w:r>
    </w:p>
    <w:p w14:paraId="4A6816A4" w14:textId="5B0B8704" w:rsidR="003C2EF4" w:rsidRDefault="003C2EF4" w:rsidP="00747374">
      <w:pPr>
        <w:tabs>
          <w:tab w:val="left" w:pos="450"/>
        </w:tabs>
        <w:spacing w:after="0" w:line="240" w:lineRule="auto"/>
        <w:ind w:left="810"/>
        <w:jc w:val="both"/>
        <w:rPr>
          <w:rFonts w:ascii="Arial" w:eastAsia="Times New Roman" w:hAnsi="Arial" w:cs="Arial"/>
          <w:bCs/>
          <w:szCs w:val="20"/>
        </w:rPr>
      </w:pPr>
      <w:r w:rsidRPr="003C2EF4">
        <w:rPr>
          <w:rFonts w:ascii="Arial" w:eastAsia="Times New Roman" w:hAnsi="Arial" w:cs="Arial"/>
          <w:bCs/>
          <w:szCs w:val="20"/>
        </w:rPr>
        <w:t xml:space="preserve">The adoption of </w:t>
      </w:r>
      <w:r>
        <w:rPr>
          <w:rFonts w:ascii="Arial" w:eastAsia="Times New Roman" w:hAnsi="Arial" w:cs="Arial"/>
          <w:bCs/>
          <w:szCs w:val="20"/>
        </w:rPr>
        <w:t>IFRS 16</w:t>
      </w:r>
      <w:r w:rsidRPr="003C2EF4">
        <w:rPr>
          <w:rFonts w:ascii="Arial" w:eastAsia="Times New Roman" w:hAnsi="Arial" w:cs="Arial"/>
          <w:bCs/>
          <w:szCs w:val="20"/>
        </w:rPr>
        <w:t xml:space="preserve"> resulted in the recognition of </w:t>
      </w:r>
      <w:r>
        <w:rPr>
          <w:rFonts w:ascii="Arial" w:eastAsia="Times New Roman" w:hAnsi="Arial" w:cs="Arial"/>
          <w:bCs/>
          <w:szCs w:val="20"/>
        </w:rPr>
        <w:t>ROU</w:t>
      </w:r>
      <w:r w:rsidRPr="003C2EF4">
        <w:rPr>
          <w:rFonts w:ascii="Arial" w:eastAsia="Times New Roman" w:hAnsi="Arial" w:cs="Arial"/>
          <w:bCs/>
          <w:szCs w:val="20"/>
        </w:rPr>
        <w:t xml:space="preserve"> assets and lease liabilities of $</w:t>
      </w:r>
      <w:r w:rsidR="00ED7B37">
        <w:rPr>
          <w:rFonts w:ascii="Arial" w:eastAsia="Times New Roman" w:hAnsi="Arial" w:cs="Arial"/>
          <w:bCs/>
          <w:szCs w:val="20"/>
        </w:rPr>
        <w:t>1,367,287 in July 2018.</w:t>
      </w:r>
    </w:p>
    <w:p w14:paraId="47A7C3BE" w14:textId="77777777" w:rsidR="003C2EF4" w:rsidRDefault="003C2EF4" w:rsidP="003C2EF4">
      <w:pPr>
        <w:tabs>
          <w:tab w:val="left" w:pos="450"/>
        </w:tabs>
        <w:spacing w:after="0" w:line="240" w:lineRule="auto"/>
        <w:jc w:val="both"/>
        <w:rPr>
          <w:rFonts w:ascii="Arial" w:hAnsi="Arial" w:cs="Arial"/>
          <w:b/>
          <w:szCs w:val="20"/>
        </w:rPr>
      </w:pPr>
    </w:p>
    <w:p w14:paraId="37D1AD07" w14:textId="6CDA3703" w:rsidR="00BA56F7" w:rsidRPr="00BA56F7" w:rsidRDefault="00BA56F7" w:rsidP="00F15B99">
      <w:pPr>
        <w:tabs>
          <w:tab w:val="left" w:pos="450"/>
        </w:tabs>
        <w:spacing w:after="0" w:line="240" w:lineRule="auto"/>
        <w:jc w:val="both"/>
        <w:rPr>
          <w:rFonts w:ascii="Arial" w:hAnsi="Arial" w:cs="Arial"/>
          <w:b/>
          <w:szCs w:val="20"/>
        </w:rPr>
      </w:pPr>
      <w:r w:rsidRPr="00BA56F7">
        <w:rPr>
          <w:rFonts w:ascii="Arial" w:hAnsi="Arial" w:cs="Arial"/>
          <w:b/>
          <w:szCs w:val="20"/>
        </w:rPr>
        <w:t xml:space="preserve">4.    </w:t>
      </w:r>
      <w:r w:rsidRPr="00BA56F7">
        <w:rPr>
          <w:rFonts w:ascii="Arial" w:hAnsi="Arial" w:cs="Arial"/>
          <w:b/>
          <w:szCs w:val="20"/>
        </w:rPr>
        <w:tab/>
        <w:t>Asset Acquisitions</w:t>
      </w:r>
    </w:p>
    <w:p w14:paraId="3922521F" w14:textId="77777777" w:rsidR="00E54C87" w:rsidRDefault="00E54C87" w:rsidP="00F15B99">
      <w:pPr>
        <w:tabs>
          <w:tab w:val="left" w:pos="450"/>
        </w:tabs>
        <w:spacing w:after="0" w:line="240" w:lineRule="auto"/>
        <w:ind w:left="450"/>
        <w:jc w:val="both"/>
        <w:rPr>
          <w:rFonts w:ascii="Arial" w:eastAsia="Times New Roman" w:hAnsi="Arial" w:cs="Arial"/>
          <w:bCs/>
          <w:szCs w:val="20"/>
        </w:rPr>
      </w:pPr>
    </w:p>
    <w:p w14:paraId="56CFDE7F" w14:textId="0FDF4248" w:rsidR="004E5AFC" w:rsidRPr="00BA56F7" w:rsidRDefault="00C174F9" w:rsidP="004E5AFC">
      <w:pPr>
        <w:tabs>
          <w:tab w:val="left" w:pos="450"/>
        </w:tabs>
        <w:spacing w:after="0" w:line="240" w:lineRule="auto"/>
        <w:ind w:left="450"/>
        <w:jc w:val="both"/>
        <w:rPr>
          <w:rFonts w:ascii="Arial" w:eastAsia="Times New Roman" w:hAnsi="Arial" w:cs="Arial"/>
          <w:bCs/>
          <w:szCs w:val="20"/>
        </w:rPr>
      </w:pPr>
      <w:r>
        <w:rPr>
          <w:rFonts w:ascii="Arial" w:eastAsia="Times New Roman" w:hAnsi="Arial" w:cs="Arial"/>
          <w:bCs/>
          <w:szCs w:val="20"/>
        </w:rPr>
        <w:t>(</w:t>
      </w:r>
      <w:r w:rsidR="00EC3BF6">
        <w:rPr>
          <w:rFonts w:ascii="Arial" w:eastAsia="Times New Roman" w:hAnsi="Arial" w:cs="Arial"/>
          <w:bCs/>
          <w:szCs w:val="20"/>
        </w:rPr>
        <w:t>a</w:t>
      </w:r>
      <w:r w:rsidR="004E5AFC">
        <w:rPr>
          <w:rFonts w:ascii="Arial" w:eastAsia="Times New Roman" w:hAnsi="Arial" w:cs="Arial"/>
          <w:bCs/>
          <w:szCs w:val="20"/>
        </w:rPr>
        <w:t xml:space="preserve">) </w:t>
      </w:r>
      <w:r w:rsidR="004E5AFC" w:rsidRPr="004E5AFC">
        <w:rPr>
          <w:rFonts w:ascii="Arial" w:eastAsia="Times New Roman" w:hAnsi="Arial" w:cs="Arial"/>
          <w:bCs/>
          <w:szCs w:val="20"/>
        </w:rPr>
        <w:t>Thrudermic Transdermal Nanotechnology</w:t>
      </w:r>
    </w:p>
    <w:p w14:paraId="7F9793D0" w14:textId="77777777" w:rsidR="004E5AFC" w:rsidRDefault="004E5AFC" w:rsidP="004E5AFC">
      <w:pPr>
        <w:spacing w:after="0" w:line="240" w:lineRule="auto"/>
        <w:ind w:left="720"/>
        <w:jc w:val="both"/>
        <w:rPr>
          <w:rFonts w:ascii="Arial" w:eastAsia="Times New Roman" w:hAnsi="Arial" w:cs="Arial"/>
          <w:bCs/>
          <w:szCs w:val="20"/>
        </w:rPr>
      </w:pPr>
    </w:p>
    <w:p w14:paraId="571BCC18" w14:textId="65CD3388" w:rsidR="004E5AFC" w:rsidRDefault="00EC3BF6" w:rsidP="004E5AFC">
      <w:pPr>
        <w:spacing w:after="0" w:line="240" w:lineRule="auto"/>
        <w:ind w:left="720"/>
        <w:jc w:val="both"/>
        <w:rPr>
          <w:rFonts w:ascii="Arial" w:eastAsia="Times New Roman" w:hAnsi="Arial" w:cs="Arial"/>
          <w:bCs/>
          <w:szCs w:val="20"/>
        </w:rPr>
      </w:pPr>
      <w:r w:rsidRPr="004E5AFC">
        <w:rPr>
          <w:rFonts w:ascii="Arial" w:eastAsia="Times New Roman" w:hAnsi="Arial" w:cs="Arial"/>
          <w:bCs/>
          <w:szCs w:val="20"/>
        </w:rPr>
        <w:t xml:space="preserve">On March 2, 2018, the Company entered into an exchange agreement with Thrudermic, LLC (“Thrudermic”) and the members of Thrudermic whereby the Company paid </w:t>
      </w:r>
      <w:r>
        <w:rPr>
          <w:rFonts w:ascii="Arial" w:eastAsia="Times New Roman" w:hAnsi="Arial" w:cs="Arial"/>
          <w:bCs/>
          <w:szCs w:val="20"/>
        </w:rPr>
        <w:t>US</w:t>
      </w:r>
      <w:r w:rsidRPr="004E5AFC">
        <w:rPr>
          <w:rFonts w:ascii="Arial" w:eastAsia="Times New Roman" w:hAnsi="Arial" w:cs="Arial"/>
          <w:bCs/>
          <w:szCs w:val="20"/>
        </w:rPr>
        <w:t xml:space="preserve">$1.00 for the issued and outstanding units of Thrudermic and issued 500,000 </w:t>
      </w:r>
      <w:r w:rsidR="00F07391">
        <w:rPr>
          <w:rFonts w:ascii="Arial" w:eastAsia="Times New Roman" w:hAnsi="Arial" w:cs="Arial"/>
          <w:bCs/>
          <w:szCs w:val="20"/>
        </w:rPr>
        <w:t>common shares</w:t>
      </w:r>
      <w:r w:rsidRPr="004E5AFC">
        <w:rPr>
          <w:rFonts w:ascii="Arial" w:eastAsia="Times New Roman" w:hAnsi="Arial" w:cs="Arial"/>
          <w:bCs/>
          <w:szCs w:val="20"/>
        </w:rPr>
        <w:t xml:space="preserve"> (Note</w:t>
      </w:r>
      <w:r w:rsidR="00D803A5">
        <w:rPr>
          <w:rFonts w:ascii="Arial" w:eastAsia="Times New Roman" w:hAnsi="Arial" w:cs="Arial"/>
          <w:bCs/>
          <w:szCs w:val="20"/>
        </w:rPr>
        <w:t xml:space="preserve"> 1</w:t>
      </w:r>
      <w:r w:rsidR="00A61862">
        <w:rPr>
          <w:rFonts w:ascii="Arial" w:eastAsia="Times New Roman" w:hAnsi="Arial" w:cs="Arial"/>
          <w:bCs/>
          <w:szCs w:val="20"/>
        </w:rPr>
        <w:t>2</w:t>
      </w:r>
      <w:r w:rsidR="00D803A5">
        <w:rPr>
          <w:rFonts w:ascii="Arial" w:eastAsia="Times New Roman" w:hAnsi="Arial" w:cs="Arial"/>
          <w:bCs/>
          <w:szCs w:val="20"/>
        </w:rPr>
        <w:t>(h</w:t>
      </w:r>
      <w:r w:rsidRPr="004E5AFC">
        <w:rPr>
          <w:rFonts w:ascii="Arial" w:eastAsia="Times New Roman" w:hAnsi="Arial" w:cs="Arial"/>
          <w:bCs/>
          <w:szCs w:val="20"/>
        </w:rPr>
        <w:t xml:space="preserve">)) to the members of Thrudermic for their intellectual property portfolio, including </w:t>
      </w:r>
      <w:r>
        <w:rPr>
          <w:rFonts w:ascii="Arial" w:eastAsia="Times New Roman" w:hAnsi="Arial" w:cs="Arial"/>
          <w:bCs/>
          <w:szCs w:val="20"/>
        </w:rPr>
        <w:t>un</w:t>
      </w:r>
      <w:r w:rsidRPr="004E5AFC">
        <w:rPr>
          <w:rFonts w:ascii="Arial" w:eastAsia="Times New Roman" w:hAnsi="Arial" w:cs="Arial"/>
          <w:bCs/>
          <w:szCs w:val="20"/>
        </w:rPr>
        <w:t>patent</w:t>
      </w:r>
      <w:r>
        <w:rPr>
          <w:rFonts w:ascii="Arial" w:eastAsia="Times New Roman" w:hAnsi="Arial" w:cs="Arial"/>
          <w:bCs/>
          <w:szCs w:val="20"/>
        </w:rPr>
        <w:t>ed technology</w:t>
      </w:r>
      <w:r w:rsidRPr="004E5AFC">
        <w:rPr>
          <w:rFonts w:ascii="Arial" w:eastAsia="Times New Roman" w:hAnsi="Arial" w:cs="Arial"/>
          <w:bCs/>
          <w:szCs w:val="20"/>
        </w:rPr>
        <w:t>, goodwill and know-how in connection with the Thrudermic Transdermal Nanotechnology</w:t>
      </w:r>
      <w:r w:rsidR="004E5AFC" w:rsidRPr="00BA56F7">
        <w:rPr>
          <w:rFonts w:ascii="Arial" w:eastAsia="Times New Roman" w:hAnsi="Arial" w:cs="Arial"/>
          <w:bCs/>
          <w:szCs w:val="20"/>
        </w:rPr>
        <w:t xml:space="preserve">.  </w:t>
      </w:r>
    </w:p>
    <w:p w14:paraId="68D24CC9" w14:textId="77777777" w:rsidR="004E5AFC" w:rsidRDefault="004E5AFC" w:rsidP="004E5AFC">
      <w:pPr>
        <w:spacing w:after="0" w:line="240" w:lineRule="auto"/>
        <w:ind w:left="720"/>
        <w:jc w:val="both"/>
        <w:rPr>
          <w:rFonts w:ascii="Arial" w:eastAsia="Times New Roman" w:hAnsi="Arial" w:cs="Arial"/>
          <w:bCs/>
          <w:szCs w:val="20"/>
        </w:rPr>
      </w:pPr>
    </w:p>
    <w:p w14:paraId="66D8A63D" w14:textId="6F127067" w:rsidR="004E5AFC" w:rsidRDefault="00EC3BF6" w:rsidP="004E5AFC">
      <w:pPr>
        <w:spacing w:after="0" w:line="240" w:lineRule="auto"/>
        <w:ind w:left="720"/>
        <w:jc w:val="both"/>
        <w:rPr>
          <w:rFonts w:ascii="Arial" w:eastAsia="Times New Roman" w:hAnsi="Arial" w:cs="Arial"/>
          <w:bCs/>
          <w:szCs w:val="20"/>
        </w:rPr>
      </w:pPr>
      <w:r w:rsidRPr="00081B98">
        <w:rPr>
          <w:rFonts w:ascii="Arial" w:eastAsia="Times New Roman" w:hAnsi="Arial" w:cs="Arial"/>
          <w:bCs/>
          <w:szCs w:val="20"/>
        </w:rPr>
        <w:t xml:space="preserve">The Company evaluated this acquisition in accordance with </w:t>
      </w:r>
      <w:r>
        <w:rPr>
          <w:rFonts w:ascii="Arial" w:eastAsia="Times New Roman" w:hAnsi="Arial" w:cs="Arial"/>
          <w:bCs/>
          <w:szCs w:val="20"/>
        </w:rPr>
        <w:t>IFRS 3</w:t>
      </w:r>
      <w:r w:rsidRPr="00081B98">
        <w:rPr>
          <w:rFonts w:ascii="Arial" w:eastAsia="Times New Roman" w:hAnsi="Arial" w:cs="Arial"/>
          <w:bCs/>
          <w:szCs w:val="20"/>
        </w:rPr>
        <w:t xml:space="preserve">, Business Combinations to discern whether the assets and operations of </w:t>
      </w:r>
      <w:r>
        <w:rPr>
          <w:rFonts w:ascii="Arial" w:eastAsia="Times New Roman" w:hAnsi="Arial" w:cs="Arial"/>
          <w:bCs/>
          <w:szCs w:val="20"/>
        </w:rPr>
        <w:t>Thrudermic</w:t>
      </w:r>
      <w:r w:rsidRPr="00081B98">
        <w:rPr>
          <w:rFonts w:ascii="Arial" w:eastAsia="Times New Roman" w:hAnsi="Arial" w:cs="Arial"/>
          <w:bCs/>
          <w:szCs w:val="20"/>
        </w:rPr>
        <w:t xml:space="preserve"> met the definition of a business. The Company concluded there were not a sufficient number of key processes obtained to develop the inputs into outputs, nor could such processes be easily obtained by the Company. Accordingly, the Company accounted for this transaction as</w:t>
      </w:r>
      <w:r>
        <w:rPr>
          <w:rFonts w:ascii="Arial" w:eastAsia="Times New Roman" w:hAnsi="Arial" w:cs="Arial"/>
          <w:bCs/>
          <w:szCs w:val="20"/>
        </w:rPr>
        <w:t xml:space="preserve"> an asset</w:t>
      </w:r>
      <w:r w:rsidRPr="00081B98">
        <w:rPr>
          <w:rFonts w:ascii="Arial" w:eastAsia="Times New Roman" w:hAnsi="Arial" w:cs="Arial"/>
          <w:bCs/>
          <w:szCs w:val="20"/>
        </w:rPr>
        <w:t xml:space="preserve"> acquisition at cost of $8</w:t>
      </w:r>
      <w:r>
        <w:rPr>
          <w:rFonts w:ascii="Arial" w:eastAsia="Times New Roman" w:hAnsi="Arial" w:cs="Arial"/>
          <w:bCs/>
          <w:szCs w:val="20"/>
        </w:rPr>
        <w:t xml:space="preserve">30,000 </w:t>
      </w:r>
      <w:r w:rsidR="00D169A3">
        <w:rPr>
          <w:rFonts w:ascii="Arial" w:eastAsia="Times New Roman" w:hAnsi="Arial" w:cs="Arial"/>
          <w:bCs/>
          <w:szCs w:val="20"/>
        </w:rPr>
        <w:t xml:space="preserve">(Note </w:t>
      </w:r>
      <w:r w:rsidR="00C83768">
        <w:rPr>
          <w:rFonts w:ascii="Arial" w:eastAsia="Times New Roman" w:hAnsi="Arial" w:cs="Arial"/>
          <w:bCs/>
          <w:szCs w:val="20"/>
        </w:rPr>
        <w:t>8</w:t>
      </w:r>
      <w:r w:rsidR="00D169A3">
        <w:rPr>
          <w:rFonts w:ascii="Arial" w:eastAsia="Times New Roman" w:hAnsi="Arial" w:cs="Arial"/>
          <w:bCs/>
          <w:szCs w:val="20"/>
        </w:rPr>
        <w:t>).</w:t>
      </w:r>
    </w:p>
    <w:p w14:paraId="084AD69D" w14:textId="77777777" w:rsidR="00E90180" w:rsidRDefault="00E90180" w:rsidP="004E5AFC">
      <w:pPr>
        <w:spacing w:after="0" w:line="240" w:lineRule="auto"/>
        <w:ind w:left="720"/>
        <w:jc w:val="both"/>
        <w:rPr>
          <w:rFonts w:ascii="Arial" w:eastAsia="Times New Roman" w:hAnsi="Arial" w:cs="Arial"/>
          <w:bCs/>
          <w:szCs w:val="20"/>
        </w:rPr>
      </w:pPr>
    </w:p>
    <w:p w14:paraId="08FA7CCA" w14:textId="77777777" w:rsidR="00FB4135" w:rsidRDefault="00FB4135">
      <w:pPr>
        <w:rPr>
          <w:rFonts w:ascii="Arial" w:hAnsi="Arial" w:cs="Arial"/>
          <w:b/>
          <w:szCs w:val="20"/>
        </w:rPr>
      </w:pPr>
      <w:r>
        <w:rPr>
          <w:rFonts w:ascii="Arial" w:hAnsi="Arial" w:cs="Arial"/>
          <w:b/>
          <w:szCs w:val="20"/>
        </w:rPr>
        <w:br w:type="page"/>
      </w:r>
    </w:p>
    <w:p w14:paraId="4E3C1C83" w14:textId="2E1C266A" w:rsidR="0007122C" w:rsidRPr="0089508D" w:rsidRDefault="0007122C" w:rsidP="0007122C">
      <w:pPr>
        <w:tabs>
          <w:tab w:val="left" w:pos="450"/>
        </w:tabs>
        <w:spacing w:after="0" w:line="240" w:lineRule="auto"/>
        <w:jc w:val="both"/>
        <w:rPr>
          <w:rFonts w:ascii="Arial" w:hAnsi="Arial" w:cs="Arial"/>
          <w:szCs w:val="20"/>
        </w:rPr>
      </w:pPr>
      <w:r w:rsidRPr="00BA56F7">
        <w:rPr>
          <w:rFonts w:ascii="Arial" w:hAnsi="Arial" w:cs="Arial"/>
          <w:b/>
          <w:szCs w:val="20"/>
        </w:rPr>
        <w:lastRenderedPageBreak/>
        <w:t xml:space="preserve">4.    </w:t>
      </w:r>
      <w:r w:rsidRPr="00BA56F7">
        <w:rPr>
          <w:rFonts w:ascii="Arial" w:hAnsi="Arial" w:cs="Arial"/>
          <w:b/>
          <w:szCs w:val="20"/>
        </w:rPr>
        <w:tab/>
        <w:t>Asset Acquisitions</w:t>
      </w:r>
      <w:r>
        <w:rPr>
          <w:rFonts w:ascii="Arial" w:hAnsi="Arial" w:cs="Arial"/>
          <w:b/>
          <w:szCs w:val="20"/>
        </w:rPr>
        <w:t xml:space="preserve"> </w:t>
      </w:r>
      <w:r>
        <w:rPr>
          <w:rFonts w:ascii="Arial" w:hAnsi="Arial" w:cs="Arial"/>
          <w:szCs w:val="20"/>
        </w:rPr>
        <w:t>(continued)</w:t>
      </w:r>
    </w:p>
    <w:p w14:paraId="384F1DEF" w14:textId="77777777" w:rsidR="0007122C" w:rsidRDefault="0007122C" w:rsidP="004E5AFC">
      <w:pPr>
        <w:spacing w:after="0" w:line="240" w:lineRule="auto"/>
        <w:ind w:left="720"/>
        <w:jc w:val="both"/>
        <w:rPr>
          <w:rFonts w:ascii="Arial" w:eastAsia="Times New Roman" w:hAnsi="Arial" w:cs="Arial"/>
          <w:bCs/>
          <w:szCs w:val="20"/>
        </w:rPr>
      </w:pPr>
    </w:p>
    <w:p w14:paraId="44B9AA5B" w14:textId="71DCC841" w:rsidR="00E90180" w:rsidRPr="00BA56F7" w:rsidRDefault="0089508D" w:rsidP="00E90180">
      <w:pPr>
        <w:tabs>
          <w:tab w:val="left" w:pos="450"/>
        </w:tabs>
        <w:spacing w:after="0" w:line="240" w:lineRule="auto"/>
        <w:ind w:left="450"/>
        <w:jc w:val="both"/>
        <w:rPr>
          <w:rFonts w:ascii="Arial" w:eastAsia="Times New Roman" w:hAnsi="Arial" w:cs="Arial"/>
          <w:bCs/>
          <w:szCs w:val="20"/>
        </w:rPr>
      </w:pPr>
      <w:r>
        <w:rPr>
          <w:rFonts w:ascii="Arial" w:eastAsia="Times New Roman" w:hAnsi="Arial" w:cs="Arial"/>
          <w:bCs/>
          <w:szCs w:val="20"/>
        </w:rPr>
        <w:t>(b</w:t>
      </w:r>
      <w:r w:rsidR="00E90180">
        <w:rPr>
          <w:rFonts w:ascii="Arial" w:eastAsia="Times New Roman" w:hAnsi="Arial" w:cs="Arial"/>
          <w:bCs/>
          <w:szCs w:val="20"/>
        </w:rPr>
        <w:t xml:space="preserve">) </w:t>
      </w:r>
      <w:r w:rsidRPr="00F90149">
        <w:rPr>
          <w:rFonts w:ascii="Arial" w:eastAsia="Times New Roman" w:hAnsi="Arial" w:cs="Arial"/>
          <w:bCs/>
          <w:szCs w:val="20"/>
        </w:rPr>
        <w:t>Ready-to-Infuse Cann</w:t>
      </w:r>
      <w:r>
        <w:rPr>
          <w:rFonts w:ascii="Arial" w:eastAsia="Times New Roman" w:hAnsi="Arial" w:cs="Arial"/>
          <w:bCs/>
          <w:szCs w:val="20"/>
        </w:rPr>
        <w:t>a</w:t>
      </w:r>
      <w:r w:rsidRPr="00F90149">
        <w:rPr>
          <w:rFonts w:ascii="Arial" w:eastAsia="Times New Roman" w:hAnsi="Arial" w:cs="Arial"/>
          <w:bCs/>
          <w:szCs w:val="20"/>
        </w:rPr>
        <w:t>bis Patents</w:t>
      </w:r>
      <w:r>
        <w:rPr>
          <w:rFonts w:ascii="Arial" w:eastAsia="Times New Roman" w:hAnsi="Arial" w:cs="Arial"/>
          <w:bCs/>
          <w:szCs w:val="20"/>
        </w:rPr>
        <w:t xml:space="preserve"> (“RTIC Patents”)</w:t>
      </w:r>
    </w:p>
    <w:p w14:paraId="21C947F7" w14:textId="77777777" w:rsidR="00E90180" w:rsidRDefault="00E90180" w:rsidP="00E90180">
      <w:pPr>
        <w:spacing w:after="0" w:line="240" w:lineRule="auto"/>
        <w:ind w:left="720"/>
        <w:jc w:val="both"/>
        <w:rPr>
          <w:rFonts w:ascii="Arial" w:eastAsia="Times New Roman" w:hAnsi="Arial" w:cs="Arial"/>
          <w:bCs/>
          <w:szCs w:val="20"/>
        </w:rPr>
      </w:pPr>
    </w:p>
    <w:p w14:paraId="62A28F09" w14:textId="77777777" w:rsidR="00A61862" w:rsidRDefault="0089508D" w:rsidP="0089508D">
      <w:pPr>
        <w:spacing w:after="0" w:line="240" w:lineRule="auto"/>
        <w:ind w:left="720"/>
        <w:jc w:val="both"/>
        <w:rPr>
          <w:rFonts w:ascii="Arial" w:eastAsia="Times New Roman" w:hAnsi="Arial" w:cs="Arial"/>
          <w:bCs/>
          <w:szCs w:val="20"/>
        </w:rPr>
      </w:pPr>
      <w:r w:rsidRPr="00E90180">
        <w:rPr>
          <w:rFonts w:ascii="Arial" w:eastAsia="Times New Roman" w:hAnsi="Arial" w:cs="Arial"/>
          <w:bCs/>
          <w:szCs w:val="20"/>
        </w:rPr>
        <w:t xml:space="preserve">On February 28, 2018, the Company completed the acquisition of Pivot Naturals, LLC (previously ERS Holdings, LLC) (“Pivot Naturals”) pursuant to an exchange agreement dated as of February 10, 2018. As consideration for the purchase, the Company paid </w:t>
      </w:r>
      <w:r>
        <w:rPr>
          <w:rFonts w:ascii="Arial" w:eastAsia="Times New Roman" w:hAnsi="Arial" w:cs="Arial"/>
          <w:bCs/>
          <w:szCs w:val="20"/>
        </w:rPr>
        <w:t>$430,420 (US</w:t>
      </w:r>
      <w:r w:rsidRPr="00E90180">
        <w:rPr>
          <w:rFonts w:ascii="Arial" w:eastAsia="Times New Roman" w:hAnsi="Arial" w:cs="Arial"/>
          <w:bCs/>
          <w:szCs w:val="20"/>
        </w:rPr>
        <w:t>$333,333</w:t>
      </w:r>
      <w:r>
        <w:rPr>
          <w:rFonts w:ascii="Arial" w:eastAsia="Times New Roman" w:hAnsi="Arial" w:cs="Arial"/>
          <w:bCs/>
          <w:szCs w:val="20"/>
        </w:rPr>
        <w:t>)</w:t>
      </w:r>
      <w:r w:rsidRPr="00E90180">
        <w:rPr>
          <w:rFonts w:ascii="Arial" w:eastAsia="Times New Roman" w:hAnsi="Arial" w:cs="Arial"/>
          <w:bCs/>
          <w:szCs w:val="20"/>
        </w:rPr>
        <w:t xml:space="preserve"> in cash on closing, issued 5,000,000 </w:t>
      </w:r>
      <w:r w:rsidR="00F07391">
        <w:rPr>
          <w:rFonts w:ascii="Arial" w:eastAsia="Times New Roman" w:hAnsi="Arial" w:cs="Arial"/>
          <w:bCs/>
          <w:szCs w:val="20"/>
        </w:rPr>
        <w:t>common shares</w:t>
      </w:r>
      <w:r w:rsidR="003F632A">
        <w:rPr>
          <w:rFonts w:ascii="Arial" w:eastAsia="Times New Roman" w:hAnsi="Arial" w:cs="Arial"/>
          <w:bCs/>
          <w:szCs w:val="20"/>
        </w:rPr>
        <w:t xml:space="preserve"> (Note 1</w:t>
      </w:r>
      <w:r w:rsidR="00C83768">
        <w:rPr>
          <w:rFonts w:ascii="Arial" w:eastAsia="Times New Roman" w:hAnsi="Arial" w:cs="Arial"/>
          <w:bCs/>
          <w:szCs w:val="20"/>
        </w:rPr>
        <w:t>2</w:t>
      </w:r>
      <w:r w:rsidR="003F632A">
        <w:rPr>
          <w:rFonts w:ascii="Arial" w:eastAsia="Times New Roman" w:hAnsi="Arial" w:cs="Arial"/>
          <w:bCs/>
          <w:szCs w:val="20"/>
        </w:rPr>
        <w:t>(g</w:t>
      </w:r>
      <w:r>
        <w:rPr>
          <w:rFonts w:ascii="Arial" w:eastAsia="Times New Roman" w:hAnsi="Arial" w:cs="Arial"/>
          <w:bCs/>
          <w:szCs w:val="20"/>
        </w:rPr>
        <w:t xml:space="preserve">)) </w:t>
      </w:r>
      <w:r w:rsidRPr="00E90180">
        <w:rPr>
          <w:rFonts w:ascii="Arial" w:eastAsia="Times New Roman" w:hAnsi="Arial" w:cs="Arial"/>
          <w:bCs/>
          <w:szCs w:val="20"/>
        </w:rPr>
        <w:t xml:space="preserve">and will pay an additional </w:t>
      </w:r>
      <w:r>
        <w:rPr>
          <w:rFonts w:ascii="Arial" w:eastAsia="Times New Roman" w:hAnsi="Arial" w:cs="Arial"/>
          <w:bCs/>
          <w:szCs w:val="20"/>
        </w:rPr>
        <w:t>US$</w:t>
      </w:r>
      <w:r w:rsidRPr="00E90180">
        <w:rPr>
          <w:rFonts w:ascii="Arial" w:eastAsia="Times New Roman" w:hAnsi="Arial" w:cs="Arial"/>
          <w:bCs/>
          <w:szCs w:val="20"/>
        </w:rPr>
        <w:t xml:space="preserve">333,333 six (6) and twelve (12) months after closing.  On September 28, 2018, a payment of </w:t>
      </w:r>
      <w:r>
        <w:rPr>
          <w:rFonts w:ascii="Arial" w:eastAsia="Times New Roman" w:hAnsi="Arial" w:cs="Arial"/>
          <w:bCs/>
          <w:szCs w:val="20"/>
        </w:rPr>
        <w:t>$429,370 (US</w:t>
      </w:r>
      <w:r w:rsidRPr="00E90180">
        <w:rPr>
          <w:rFonts w:ascii="Arial" w:eastAsia="Times New Roman" w:hAnsi="Arial" w:cs="Arial"/>
          <w:bCs/>
          <w:szCs w:val="20"/>
        </w:rPr>
        <w:t>$326,666</w:t>
      </w:r>
      <w:r>
        <w:rPr>
          <w:rFonts w:ascii="Arial" w:eastAsia="Times New Roman" w:hAnsi="Arial" w:cs="Arial"/>
          <w:bCs/>
          <w:szCs w:val="20"/>
        </w:rPr>
        <w:t>)</w:t>
      </w:r>
      <w:r w:rsidRPr="00E90180">
        <w:rPr>
          <w:rFonts w:ascii="Arial" w:eastAsia="Times New Roman" w:hAnsi="Arial" w:cs="Arial"/>
          <w:bCs/>
          <w:szCs w:val="20"/>
        </w:rPr>
        <w:t xml:space="preserve">, representing a portion of the payment due six (6) months after closing, was made. </w:t>
      </w:r>
      <w:r w:rsidR="00A81C39" w:rsidRPr="00A81C39">
        <w:rPr>
          <w:rFonts w:ascii="Arial" w:eastAsia="Times New Roman" w:hAnsi="Arial" w:cs="Arial"/>
          <w:bCs/>
          <w:szCs w:val="20"/>
        </w:rPr>
        <w:t>The Company extended the payment date for the payment due twelve (12) months after closing from February 28, 2019 to May 31, 2019.  As consideration for the extension, the Company issued 60,515</w:t>
      </w:r>
      <w:r w:rsidR="00A81C39">
        <w:rPr>
          <w:rFonts w:ascii="Arial" w:eastAsia="Times New Roman" w:hAnsi="Arial" w:cs="Arial"/>
          <w:bCs/>
          <w:szCs w:val="20"/>
        </w:rPr>
        <w:t xml:space="preserve"> </w:t>
      </w:r>
      <w:r w:rsidR="00F07391">
        <w:rPr>
          <w:rFonts w:ascii="Arial" w:eastAsia="Times New Roman" w:hAnsi="Arial" w:cs="Arial"/>
          <w:bCs/>
          <w:szCs w:val="20"/>
        </w:rPr>
        <w:t>common shares</w:t>
      </w:r>
      <w:r w:rsidR="00A81C39">
        <w:rPr>
          <w:rFonts w:ascii="Arial" w:eastAsia="Times New Roman" w:hAnsi="Arial" w:cs="Arial"/>
          <w:bCs/>
          <w:szCs w:val="20"/>
        </w:rPr>
        <w:t xml:space="preserve"> (Note 1</w:t>
      </w:r>
      <w:r w:rsidR="00C83768">
        <w:rPr>
          <w:rFonts w:ascii="Arial" w:eastAsia="Times New Roman" w:hAnsi="Arial" w:cs="Arial"/>
          <w:bCs/>
          <w:szCs w:val="20"/>
        </w:rPr>
        <w:t>2</w:t>
      </w:r>
      <w:r w:rsidR="00A81C39" w:rsidRPr="00A81C39">
        <w:rPr>
          <w:rFonts w:ascii="Arial" w:eastAsia="Times New Roman" w:hAnsi="Arial" w:cs="Arial"/>
          <w:bCs/>
          <w:szCs w:val="20"/>
        </w:rPr>
        <w:t xml:space="preserve">(c)) and </w:t>
      </w:r>
      <w:r w:rsidR="00A81C39">
        <w:rPr>
          <w:rFonts w:ascii="Arial" w:eastAsia="Times New Roman" w:hAnsi="Arial" w:cs="Arial"/>
          <w:bCs/>
          <w:szCs w:val="20"/>
        </w:rPr>
        <w:t xml:space="preserve">paid $14,266 (US$10,832) in cash.  </w:t>
      </w:r>
      <w:r w:rsidR="00FC4DD3">
        <w:rPr>
          <w:rFonts w:ascii="Arial" w:eastAsia="Times New Roman" w:hAnsi="Arial" w:cs="Arial"/>
          <w:bCs/>
          <w:szCs w:val="20"/>
        </w:rPr>
        <w:t>On May 17, 2019, all outstanding consideration related to the purchase of Pivot Naturals</w:t>
      </w:r>
      <w:r w:rsidR="00A81C39" w:rsidRPr="00A81C39">
        <w:rPr>
          <w:rFonts w:ascii="Arial" w:eastAsia="Times New Roman" w:hAnsi="Arial" w:cs="Arial"/>
          <w:bCs/>
          <w:szCs w:val="20"/>
        </w:rPr>
        <w:t xml:space="preserve"> was made</w:t>
      </w:r>
      <w:r>
        <w:rPr>
          <w:rFonts w:ascii="Arial" w:eastAsia="Times New Roman" w:hAnsi="Arial" w:cs="Arial"/>
          <w:bCs/>
          <w:szCs w:val="20"/>
        </w:rPr>
        <w:t xml:space="preserve">. </w:t>
      </w:r>
      <w:r w:rsidR="00FD563A">
        <w:rPr>
          <w:rFonts w:ascii="Arial" w:eastAsia="Times New Roman" w:hAnsi="Arial" w:cs="Arial"/>
          <w:bCs/>
          <w:szCs w:val="20"/>
        </w:rPr>
        <w:t xml:space="preserve"> </w:t>
      </w:r>
    </w:p>
    <w:p w14:paraId="32038635" w14:textId="77777777" w:rsidR="00A61862" w:rsidRDefault="00A61862" w:rsidP="0089508D">
      <w:pPr>
        <w:spacing w:after="0" w:line="240" w:lineRule="auto"/>
        <w:ind w:left="720"/>
        <w:jc w:val="both"/>
        <w:rPr>
          <w:rFonts w:ascii="Arial" w:eastAsia="Times New Roman" w:hAnsi="Arial" w:cs="Arial"/>
          <w:bCs/>
          <w:szCs w:val="20"/>
        </w:rPr>
      </w:pPr>
    </w:p>
    <w:p w14:paraId="5DC1B2F2" w14:textId="2A10C742" w:rsidR="0089508D" w:rsidRDefault="00A07070" w:rsidP="0089508D">
      <w:pPr>
        <w:spacing w:after="0" w:line="240" w:lineRule="auto"/>
        <w:ind w:left="720"/>
        <w:jc w:val="both"/>
        <w:rPr>
          <w:rFonts w:ascii="Arial" w:eastAsia="Times New Roman" w:hAnsi="Arial" w:cs="Arial"/>
          <w:bCs/>
          <w:szCs w:val="20"/>
        </w:rPr>
      </w:pPr>
      <w:r w:rsidRPr="00A07070">
        <w:rPr>
          <w:rFonts w:ascii="Arial" w:eastAsia="Times New Roman" w:hAnsi="Arial" w:cs="Arial"/>
          <w:bCs/>
          <w:szCs w:val="20"/>
        </w:rPr>
        <w:t>Pursuant to the acquisition of Pivot Naturals, the Company acquired a patented technology called “RTIC” Ready-To-Infuse-Cannabis, relating to the transformation of cannabis oil into powder for infusion into a variety of products</w:t>
      </w:r>
      <w:r>
        <w:rPr>
          <w:rFonts w:ascii="Arial" w:eastAsia="Times New Roman" w:hAnsi="Arial" w:cs="Arial"/>
          <w:bCs/>
          <w:szCs w:val="20"/>
        </w:rPr>
        <w:t>.</w:t>
      </w:r>
      <w:r w:rsidR="00A61862">
        <w:rPr>
          <w:rFonts w:ascii="Arial" w:eastAsia="Times New Roman" w:hAnsi="Arial" w:cs="Arial"/>
          <w:bCs/>
          <w:szCs w:val="20"/>
        </w:rPr>
        <w:t xml:space="preserve"> </w:t>
      </w:r>
      <w:r w:rsidR="00A61862" w:rsidRPr="00A61862">
        <w:rPr>
          <w:rFonts w:ascii="Arial" w:eastAsia="Times New Roman" w:hAnsi="Arial" w:cs="Arial"/>
          <w:bCs/>
          <w:szCs w:val="20"/>
        </w:rPr>
        <w:t xml:space="preserve"> </w:t>
      </w:r>
      <w:r w:rsidR="00FD563A">
        <w:rPr>
          <w:rFonts w:ascii="Arial" w:eastAsia="Times New Roman" w:hAnsi="Arial" w:cs="Arial"/>
          <w:bCs/>
          <w:szCs w:val="20"/>
        </w:rPr>
        <w:t>If certain conditions are met, the Company may be obligated to pay</w:t>
      </w:r>
      <w:r w:rsidR="00FD563A" w:rsidRPr="00E90180">
        <w:rPr>
          <w:rFonts w:ascii="Arial" w:eastAsia="Times New Roman" w:hAnsi="Arial" w:cs="Arial"/>
          <w:bCs/>
          <w:szCs w:val="20"/>
        </w:rPr>
        <w:t xml:space="preserve"> royalties on future annual net sales</w:t>
      </w:r>
      <w:r w:rsidR="00A61862">
        <w:rPr>
          <w:rFonts w:ascii="Arial" w:eastAsia="Times New Roman" w:hAnsi="Arial" w:cs="Arial"/>
          <w:bCs/>
          <w:szCs w:val="20"/>
        </w:rPr>
        <w:t xml:space="preserve"> utilizing the RTIC patents.</w:t>
      </w:r>
    </w:p>
    <w:p w14:paraId="6AFAD098" w14:textId="77777777" w:rsidR="0089508D" w:rsidRDefault="0089508D" w:rsidP="0089508D">
      <w:pPr>
        <w:spacing w:after="0" w:line="240" w:lineRule="auto"/>
        <w:ind w:left="720"/>
        <w:jc w:val="both"/>
        <w:rPr>
          <w:rFonts w:ascii="Arial" w:eastAsia="Times New Roman" w:hAnsi="Arial" w:cs="Arial"/>
          <w:bCs/>
          <w:szCs w:val="20"/>
        </w:rPr>
      </w:pPr>
    </w:p>
    <w:p w14:paraId="49173392" w14:textId="5D87A844" w:rsidR="00157C2E" w:rsidRDefault="0089508D" w:rsidP="0007122C">
      <w:pPr>
        <w:spacing w:after="0" w:line="240" w:lineRule="auto"/>
        <w:ind w:left="720"/>
        <w:jc w:val="both"/>
        <w:rPr>
          <w:rFonts w:ascii="Arial" w:eastAsia="Times New Roman" w:hAnsi="Arial" w:cs="Arial"/>
          <w:bCs/>
          <w:szCs w:val="20"/>
        </w:rPr>
      </w:pPr>
      <w:r w:rsidRPr="00081B98">
        <w:rPr>
          <w:rFonts w:ascii="Arial" w:eastAsia="Times New Roman" w:hAnsi="Arial" w:cs="Arial"/>
          <w:bCs/>
          <w:szCs w:val="20"/>
        </w:rPr>
        <w:t xml:space="preserve">The Company evaluated this acquisition in accordance with </w:t>
      </w:r>
      <w:r w:rsidR="00A81C39">
        <w:rPr>
          <w:rFonts w:ascii="Arial" w:eastAsia="Times New Roman" w:hAnsi="Arial" w:cs="Arial"/>
          <w:bCs/>
          <w:szCs w:val="20"/>
        </w:rPr>
        <w:t>IFRS 3</w:t>
      </w:r>
      <w:r w:rsidR="00A81C39" w:rsidRPr="00081B98">
        <w:rPr>
          <w:rFonts w:ascii="Arial" w:eastAsia="Times New Roman" w:hAnsi="Arial" w:cs="Arial"/>
          <w:bCs/>
          <w:szCs w:val="20"/>
        </w:rPr>
        <w:t>, Business Combinations</w:t>
      </w:r>
      <w:r w:rsidRPr="00081B98">
        <w:rPr>
          <w:rFonts w:ascii="Arial" w:eastAsia="Times New Roman" w:hAnsi="Arial" w:cs="Arial"/>
          <w:bCs/>
          <w:szCs w:val="20"/>
        </w:rPr>
        <w:t xml:space="preserve"> to discern whether the assets and operations of </w:t>
      </w:r>
      <w:r>
        <w:rPr>
          <w:rFonts w:ascii="Arial" w:eastAsia="Times New Roman" w:hAnsi="Arial" w:cs="Arial"/>
          <w:bCs/>
          <w:szCs w:val="20"/>
        </w:rPr>
        <w:t>Pivot Naturals</w:t>
      </w:r>
      <w:r w:rsidRPr="00081B98">
        <w:rPr>
          <w:rFonts w:ascii="Arial" w:eastAsia="Times New Roman" w:hAnsi="Arial" w:cs="Arial"/>
          <w:bCs/>
          <w:szCs w:val="20"/>
        </w:rPr>
        <w:t xml:space="preserve"> met the definition of a business. The Company concluded there were not a sufficient number of key processes obtained to develop the inputs into outputs, nor could such processes be easily obtained by the Company. Accordingly, the Company accounted for this transaction as </w:t>
      </w:r>
      <w:r>
        <w:rPr>
          <w:rFonts w:ascii="Arial" w:eastAsia="Times New Roman" w:hAnsi="Arial" w:cs="Arial"/>
          <w:bCs/>
          <w:szCs w:val="20"/>
        </w:rPr>
        <w:t xml:space="preserve">an asset </w:t>
      </w:r>
      <w:r w:rsidRPr="00081B98">
        <w:rPr>
          <w:rFonts w:ascii="Arial" w:eastAsia="Times New Roman" w:hAnsi="Arial" w:cs="Arial"/>
          <w:bCs/>
          <w:szCs w:val="20"/>
        </w:rPr>
        <w:t>acquisition</w:t>
      </w:r>
      <w:r>
        <w:rPr>
          <w:rFonts w:ascii="Arial" w:eastAsia="Times New Roman" w:hAnsi="Arial" w:cs="Arial"/>
          <w:bCs/>
          <w:szCs w:val="20"/>
        </w:rPr>
        <w:t>.</w:t>
      </w:r>
      <w:r w:rsidRPr="00BC2A99">
        <w:rPr>
          <w:rFonts w:ascii="Arial" w:eastAsia="Times New Roman" w:hAnsi="Arial" w:cs="Arial"/>
          <w:bCs/>
          <w:szCs w:val="20"/>
        </w:rPr>
        <w:t xml:space="preserve"> </w:t>
      </w:r>
    </w:p>
    <w:p w14:paraId="7A288869" w14:textId="77777777" w:rsidR="00D462FC" w:rsidRDefault="00D462FC" w:rsidP="0089508D">
      <w:pPr>
        <w:spacing w:after="0" w:line="240" w:lineRule="auto"/>
        <w:ind w:left="720"/>
        <w:jc w:val="both"/>
        <w:rPr>
          <w:rFonts w:ascii="Arial" w:eastAsia="Times New Roman" w:hAnsi="Arial" w:cs="Arial"/>
          <w:bCs/>
          <w:szCs w:val="20"/>
        </w:rPr>
      </w:pPr>
    </w:p>
    <w:p w14:paraId="3A17F909" w14:textId="298C62A3" w:rsidR="00E90180" w:rsidRDefault="0089508D" w:rsidP="0089508D">
      <w:pPr>
        <w:spacing w:after="0" w:line="240" w:lineRule="auto"/>
        <w:ind w:left="720"/>
        <w:jc w:val="both"/>
        <w:rPr>
          <w:rFonts w:ascii="Arial" w:eastAsia="Times New Roman" w:hAnsi="Arial" w:cs="Arial"/>
          <w:bCs/>
          <w:szCs w:val="20"/>
        </w:rPr>
      </w:pPr>
      <w:r w:rsidRPr="006312E7">
        <w:rPr>
          <w:rFonts w:ascii="Arial" w:eastAsia="Times New Roman" w:hAnsi="Arial" w:cs="Arial"/>
          <w:bCs/>
          <w:szCs w:val="20"/>
        </w:rPr>
        <w:t xml:space="preserve">The consideration transferred, assets acquired and liabilities assumed recognized </w:t>
      </w:r>
      <w:r w:rsidR="00A61862">
        <w:rPr>
          <w:rFonts w:ascii="Arial" w:eastAsia="Times New Roman" w:hAnsi="Arial" w:cs="Arial"/>
          <w:bCs/>
          <w:szCs w:val="20"/>
        </w:rPr>
        <w:t>are</w:t>
      </w:r>
      <w:r w:rsidRPr="006312E7">
        <w:rPr>
          <w:rFonts w:ascii="Arial" w:eastAsia="Times New Roman" w:hAnsi="Arial" w:cs="Arial"/>
          <w:bCs/>
          <w:szCs w:val="20"/>
        </w:rPr>
        <w:t xml:space="preserve"> as follows:</w:t>
      </w:r>
    </w:p>
    <w:p w14:paraId="4DAF33A0" w14:textId="77777777" w:rsidR="0089508D" w:rsidRDefault="0089508D" w:rsidP="0089508D">
      <w:pPr>
        <w:spacing w:after="0" w:line="240" w:lineRule="auto"/>
        <w:ind w:left="720"/>
        <w:jc w:val="both"/>
        <w:rPr>
          <w:rFonts w:ascii="Arial" w:eastAsia="Times New Roman" w:hAnsi="Arial" w:cs="Arial"/>
          <w:bCs/>
          <w:szCs w:val="20"/>
        </w:rPr>
      </w:pPr>
    </w:p>
    <w:tbl>
      <w:tblPr>
        <w:tblW w:w="5699" w:type="dxa"/>
        <w:tblInd w:w="810" w:type="dxa"/>
        <w:tblLayout w:type="fixed"/>
        <w:tblCellMar>
          <w:left w:w="0" w:type="dxa"/>
          <w:right w:w="0" w:type="dxa"/>
        </w:tblCellMar>
        <w:tblLook w:val="0000" w:firstRow="0" w:lastRow="0" w:firstColumn="0" w:lastColumn="0" w:noHBand="0" w:noVBand="0"/>
      </w:tblPr>
      <w:tblGrid>
        <w:gridCol w:w="4140"/>
        <w:gridCol w:w="1559"/>
      </w:tblGrid>
      <w:tr w:rsidR="0089508D" w:rsidRPr="006312E7" w14:paraId="6BA66D7B" w14:textId="77777777" w:rsidTr="00C74354">
        <w:tc>
          <w:tcPr>
            <w:tcW w:w="4140" w:type="dxa"/>
            <w:tcBorders>
              <w:top w:val="nil"/>
              <w:left w:val="nil"/>
              <w:bottom w:val="single" w:sz="4" w:space="0" w:color="auto"/>
            </w:tcBorders>
            <w:vAlign w:val="bottom"/>
          </w:tcPr>
          <w:p w14:paraId="5428BB3F" w14:textId="77777777" w:rsidR="0089508D" w:rsidRPr="006312E7" w:rsidRDefault="0089508D" w:rsidP="00C74354">
            <w:pPr>
              <w:spacing w:after="0"/>
              <w:rPr>
                <w:rFonts w:ascii="Arial" w:hAnsi="Arial" w:cs="Arial"/>
                <w:szCs w:val="20"/>
              </w:rPr>
            </w:pPr>
            <w:r w:rsidRPr="006312E7">
              <w:rPr>
                <w:rFonts w:ascii="Arial" w:hAnsi="Arial" w:cs="Arial"/>
                <w:b/>
                <w:bCs/>
                <w:szCs w:val="20"/>
              </w:rPr>
              <w:t>Consideration paid:</w:t>
            </w:r>
            <w:r w:rsidRPr="006312E7">
              <w:rPr>
                <w:rFonts w:ascii="Arial" w:hAnsi="Arial" w:cs="Arial"/>
                <w:b/>
                <w:bCs/>
                <w:szCs w:val="20"/>
              </w:rPr>
              <w:tab/>
            </w:r>
          </w:p>
        </w:tc>
        <w:tc>
          <w:tcPr>
            <w:tcW w:w="1559" w:type="dxa"/>
            <w:tcBorders>
              <w:top w:val="nil"/>
              <w:left w:val="nil"/>
              <w:bottom w:val="single" w:sz="4" w:space="0" w:color="auto"/>
              <w:right w:val="nil"/>
            </w:tcBorders>
            <w:vAlign w:val="bottom"/>
          </w:tcPr>
          <w:p w14:paraId="39A43588" w14:textId="77777777" w:rsidR="0089508D" w:rsidRPr="006312E7" w:rsidRDefault="0089508D" w:rsidP="00C74354">
            <w:pPr>
              <w:spacing w:after="0"/>
              <w:jc w:val="center"/>
              <w:rPr>
                <w:rFonts w:ascii="Arial" w:hAnsi="Arial" w:cs="Arial"/>
                <w:szCs w:val="20"/>
              </w:rPr>
            </w:pPr>
            <w:r w:rsidRPr="006312E7">
              <w:rPr>
                <w:rFonts w:ascii="Arial" w:hAnsi="Arial" w:cs="Arial"/>
                <w:szCs w:val="20"/>
              </w:rPr>
              <w:t>$</w:t>
            </w:r>
          </w:p>
        </w:tc>
      </w:tr>
      <w:tr w:rsidR="0089508D" w:rsidRPr="006312E7" w14:paraId="53B508C1" w14:textId="77777777" w:rsidTr="00C74354">
        <w:trPr>
          <w:trHeight w:hRule="exact" w:val="113"/>
        </w:trPr>
        <w:tc>
          <w:tcPr>
            <w:tcW w:w="4140" w:type="dxa"/>
            <w:tcBorders>
              <w:top w:val="single" w:sz="4" w:space="0" w:color="auto"/>
              <w:left w:val="nil"/>
            </w:tcBorders>
            <w:vAlign w:val="bottom"/>
          </w:tcPr>
          <w:p w14:paraId="6AC30809" w14:textId="77777777" w:rsidR="0089508D" w:rsidRPr="006312E7" w:rsidRDefault="0089508D" w:rsidP="00C74354">
            <w:pPr>
              <w:spacing w:after="0"/>
              <w:rPr>
                <w:rFonts w:ascii="Arial" w:hAnsi="Arial" w:cs="Arial"/>
                <w:szCs w:val="20"/>
              </w:rPr>
            </w:pPr>
          </w:p>
        </w:tc>
        <w:tc>
          <w:tcPr>
            <w:tcW w:w="1559" w:type="dxa"/>
            <w:tcBorders>
              <w:top w:val="single" w:sz="4" w:space="0" w:color="auto"/>
              <w:left w:val="nil"/>
              <w:right w:val="nil"/>
            </w:tcBorders>
            <w:vAlign w:val="bottom"/>
          </w:tcPr>
          <w:p w14:paraId="571820F4" w14:textId="77777777" w:rsidR="0089508D" w:rsidRPr="006312E7" w:rsidRDefault="0089508D" w:rsidP="00C74354">
            <w:pPr>
              <w:spacing w:after="0"/>
              <w:ind w:right="369"/>
              <w:jc w:val="right"/>
              <w:rPr>
                <w:rFonts w:ascii="Arial" w:hAnsi="Arial" w:cs="Arial"/>
                <w:szCs w:val="20"/>
              </w:rPr>
            </w:pPr>
          </w:p>
        </w:tc>
      </w:tr>
      <w:tr w:rsidR="0089508D" w:rsidRPr="006312E7" w14:paraId="046C5358" w14:textId="77777777" w:rsidTr="00C74354">
        <w:tc>
          <w:tcPr>
            <w:tcW w:w="4140" w:type="dxa"/>
            <w:tcBorders>
              <w:left w:val="nil"/>
            </w:tcBorders>
            <w:vAlign w:val="bottom"/>
          </w:tcPr>
          <w:p w14:paraId="631DC554" w14:textId="77777777" w:rsidR="0089508D" w:rsidRPr="006312E7" w:rsidRDefault="0089508D" w:rsidP="00C74354">
            <w:pPr>
              <w:spacing w:after="0"/>
              <w:rPr>
                <w:rFonts w:ascii="Arial" w:hAnsi="Arial" w:cs="Arial"/>
                <w:szCs w:val="20"/>
              </w:rPr>
            </w:pPr>
            <w:r w:rsidRPr="006312E7">
              <w:rPr>
                <w:rFonts w:ascii="Arial" w:hAnsi="Arial" w:cs="Arial"/>
                <w:szCs w:val="20"/>
              </w:rPr>
              <w:t>Cash paid</w:t>
            </w:r>
          </w:p>
        </w:tc>
        <w:tc>
          <w:tcPr>
            <w:tcW w:w="1559" w:type="dxa"/>
            <w:tcBorders>
              <w:left w:val="nil"/>
              <w:right w:val="nil"/>
            </w:tcBorders>
            <w:vAlign w:val="bottom"/>
          </w:tcPr>
          <w:p w14:paraId="082812F7" w14:textId="77777777" w:rsidR="0089508D" w:rsidRPr="006312E7" w:rsidRDefault="0089508D" w:rsidP="00C74354">
            <w:pPr>
              <w:spacing w:after="0"/>
              <w:ind w:right="173"/>
              <w:jc w:val="right"/>
              <w:rPr>
                <w:rFonts w:ascii="Arial" w:hAnsi="Arial" w:cs="Arial"/>
                <w:szCs w:val="20"/>
              </w:rPr>
            </w:pPr>
            <w:r>
              <w:rPr>
                <w:rFonts w:ascii="Arial" w:hAnsi="Arial" w:cs="Arial"/>
                <w:szCs w:val="20"/>
              </w:rPr>
              <w:t>430,420</w:t>
            </w:r>
          </w:p>
        </w:tc>
      </w:tr>
      <w:tr w:rsidR="0089508D" w:rsidRPr="006312E7" w14:paraId="580EBAB4" w14:textId="77777777" w:rsidTr="00C74354">
        <w:tc>
          <w:tcPr>
            <w:tcW w:w="4140" w:type="dxa"/>
            <w:tcBorders>
              <w:left w:val="nil"/>
            </w:tcBorders>
            <w:vAlign w:val="bottom"/>
          </w:tcPr>
          <w:p w14:paraId="4AC600A1" w14:textId="77777777" w:rsidR="0089508D" w:rsidRPr="006312E7" w:rsidRDefault="0089508D" w:rsidP="00C74354">
            <w:pPr>
              <w:spacing w:after="0"/>
              <w:rPr>
                <w:rFonts w:ascii="Arial" w:hAnsi="Arial" w:cs="Arial"/>
                <w:szCs w:val="20"/>
              </w:rPr>
            </w:pPr>
            <w:r w:rsidRPr="006312E7">
              <w:rPr>
                <w:rFonts w:ascii="Arial" w:hAnsi="Arial" w:cs="Arial"/>
                <w:szCs w:val="20"/>
              </w:rPr>
              <w:t>Cash to be paid</w:t>
            </w:r>
          </w:p>
        </w:tc>
        <w:tc>
          <w:tcPr>
            <w:tcW w:w="1559" w:type="dxa"/>
            <w:tcBorders>
              <w:left w:val="nil"/>
              <w:right w:val="nil"/>
            </w:tcBorders>
            <w:vAlign w:val="bottom"/>
          </w:tcPr>
          <w:p w14:paraId="2912FA08" w14:textId="77777777" w:rsidR="0089508D" w:rsidRPr="006312E7" w:rsidRDefault="0089508D" w:rsidP="00C74354">
            <w:pPr>
              <w:spacing w:after="0"/>
              <w:ind w:right="173"/>
              <w:jc w:val="right"/>
              <w:rPr>
                <w:rFonts w:ascii="Arial" w:hAnsi="Arial" w:cs="Arial"/>
                <w:szCs w:val="20"/>
              </w:rPr>
            </w:pPr>
            <w:r>
              <w:rPr>
                <w:rFonts w:ascii="Arial" w:hAnsi="Arial" w:cs="Arial"/>
                <w:szCs w:val="20"/>
              </w:rPr>
              <w:t>778,662</w:t>
            </w:r>
          </w:p>
        </w:tc>
      </w:tr>
      <w:tr w:rsidR="0089508D" w:rsidRPr="006312E7" w14:paraId="05871BCE" w14:textId="77777777" w:rsidTr="00C74354">
        <w:tc>
          <w:tcPr>
            <w:tcW w:w="4140" w:type="dxa"/>
            <w:tcBorders>
              <w:left w:val="nil"/>
            </w:tcBorders>
            <w:vAlign w:val="bottom"/>
          </w:tcPr>
          <w:p w14:paraId="481D7544" w14:textId="43AA5C3F" w:rsidR="0089508D" w:rsidRPr="006312E7" w:rsidRDefault="0089508D" w:rsidP="00F07391">
            <w:pPr>
              <w:spacing w:after="0"/>
              <w:rPr>
                <w:rFonts w:ascii="Arial" w:hAnsi="Arial" w:cs="Arial"/>
                <w:szCs w:val="20"/>
              </w:rPr>
            </w:pPr>
            <w:r w:rsidRPr="006312E7">
              <w:rPr>
                <w:rFonts w:ascii="Arial" w:hAnsi="Arial" w:cs="Arial"/>
                <w:szCs w:val="20"/>
              </w:rPr>
              <w:t xml:space="preserve">Common </w:t>
            </w:r>
            <w:r w:rsidR="00F07391">
              <w:rPr>
                <w:rFonts w:ascii="Arial" w:hAnsi="Arial" w:cs="Arial"/>
                <w:szCs w:val="20"/>
              </w:rPr>
              <w:t>shares</w:t>
            </w:r>
            <w:r w:rsidRPr="006312E7">
              <w:rPr>
                <w:rFonts w:ascii="Arial" w:hAnsi="Arial" w:cs="Arial"/>
                <w:szCs w:val="20"/>
              </w:rPr>
              <w:t xml:space="preserve"> issued</w:t>
            </w:r>
          </w:p>
        </w:tc>
        <w:tc>
          <w:tcPr>
            <w:tcW w:w="1559" w:type="dxa"/>
            <w:tcBorders>
              <w:left w:val="nil"/>
              <w:right w:val="nil"/>
            </w:tcBorders>
            <w:vAlign w:val="bottom"/>
          </w:tcPr>
          <w:p w14:paraId="2D287E6E" w14:textId="77777777" w:rsidR="0089508D" w:rsidRPr="006312E7" w:rsidRDefault="0089508D" w:rsidP="00C74354">
            <w:pPr>
              <w:spacing w:after="0"/>
              <w:ind w:right="173"/>
              <w:jc w:val="right"/>
              <w:rPr>
                <w:rFonts w:ascii="Arial" w:hAnsi="Arial" w:cs="Arial"/>
                <w:szCs w:val="20"/>
              </w:rPr>
            </w:pPr>
            <w:r>
              <w:rPr>
                <w:rFonts w:ascii="Arial" w:hAnsi="Arial" w:cs="Arial"/>
                <w:szCs w:val="20"/>
              </w:rPr>
              <w:t>6,650,000</w:t>
            </w:r>
          </w:p>
        </w:tc>
      </w:tr>
      <w:tr w:rsidR="0089508D" w:rsidRPr="006312E7" w14:paraId="057FEE9C" w14:textId="77777777" w:rsidTr="00C74354">
        <w:tc>
          <w:tcPr>
            <w:tcW w:w="4140" w:type="dxa"/>
            <w:tcBorders>
              <w:left w:val="nil"/>
            </w:tcBorders>
            <w:vAlign w:val="bottom"/>
          </w:tcPr>
          <w:p w14:paraId="2B425925" w14:textId="77777777" w:rsidR="0089508D" w:rsidRPr="006312E7" w:rsidRDefault="0089508D" w:rsidP="00C74354">
            <w:pPr>
              <w:spacing w:after="0"/>
              <w:rPr>
                <w:rFonts w:ascii="Arial" w:hAnsi="Arial" w:cs="Arial"/>
                <w:szCs w:val="20"/>
              </w:rPr>
            </w:pPr>
            <w:r>
              <w:rPr>
                <w:rFonts w:ascii="Arial" w:hAnsi="Arial" w:cs="Arial"/>
                <w:szCs w:val="20"/>
              </w:rPr>
              <w:t>Transaction costs</w:t>
            </w:r>
          </w:p>
        </w:tc>
        <w:tc>
          <w:tcPr>
            <w:tcW w:w="1559" w:type="dxa"/>
            <w:tcBorders>
              <w:left w:val="nil"/>
              <w:right w:val="nil"/>
            </w:tcBorders>
            <w:vAlign w:val="bottom"/>
          </w:tcPr>
          <w:p w14:paraId="2B62B9D5" w14:textId="77777777" w:rsidR="0089508D" w:rsidRDefault="0089508D" w:rsidP="00C74354">
            <w:pPr>
              <w:spacing w:after="0"/>
              <w:ind w:right="173"/>
              <w:jc w:val="right"/>
              <w:rPr>
                <w:rFonts w:ascii="Arial" w:hAnsi="Arial" w:cs="Arial"/>
                <w:szCs w:val="20"/>
              </w:rPr>
            </w:pPr>
            <w:r>
              <w:rPr>
                <w:rFonts w:ascii="Arial" w:hAnsi="Arial" w:cs="Arial"/>
                <w:szCs w:val="20"/>
              </w:rPr>
              <w:t>154,951</w:t>
            </w:r>
          </w:p>
        </w:tc>
      </w:tr>
      <w:tr w:rsidR="0089508D" w:rsidRPr="006312E7" w14:paraId="4A1C4F44" w14:textId="77777777" w:rsidTr="00C74354">
        <w:trPr>
          <w:trHeight w:hRule="exact" w:val="86"/>
        </w:trPr>
        <w:tc>
          <w:tcPr>
            <w:tcW w:w="4140" w:type="dxa"/>
            <w:tcBorders>
              <w:top w:val="single" w:sz="4" w:space="0" w:color="auto"/>
              <w:left w:val="nil"/>
            </w:tcBorders>
            <w:vAlign w:val="bottom"/>
          </w:tcPr>
          <w:p w14:paraId="17F17C10" w14:textId="77777777" w:rsidR="0089508D" w:rsidRPr="006312E7" w:rsidRDefault="0089508D" w:rsidP="00C74354">
            <w:pPr>
              <w:spacing w:after="0"/>
              <w:rPr>
                <w:rFonts w:ascii="Arial" w:hAnsi="Arial" w:cs="Arial"/>
                <w:szCs w:val="20"/>
              </w:rPr>
            </w:pPr>
          </w:p>
        </w:tc>
        <w:tc>
          <w:tcPr>
            <w:tcW w:w="1559" w:type="dxa"/>
            <w:tcBorders>
              <w:top w:val="single" w:sz="4" w:space="0" w:color="auto"/>
              <w:left w:val="nil"/>
              <w:right w:val="nil"/>
            </w:tcBorders>
            <w:vAlign w:val="bottom"/>
          </w:tcPr>
          <w:p w14:paraId="26313DCB" w14:textId="77777777" w:rsidR="0089508D" w:rsidRPr="006312E7" w:rsidRDefault="0089508D" w:rsidP="00C74354">
            <w:pPr>
              <w:spacing w:after="0"/>
              <w:ind w:right="173"/>
              <w:jc w:val="right"/>
              <w:rPr>
                <w:rFonts w:ascii="Arial" w:hAnsi="Arial" w:cs="Arial"/>
                <w:szCs w:val="20"/>
              </w:rPr>
            </w:pPr>
          </w:p>
        </w:tc>
      </w:tr>
      <w:tr w:rsidR="0089508D" w:rsidRPr="006312E7" w14:paraId="4A279FC6" w14:textId="77777777" w:rsidTr="00C74354">
        <w:tc>
          <w:tcPr>
            <w:tcW w:w="4140" w:type="dxa"/>
            <w:tcBorders>
              <w:left w:val="nil"/>
              <w:bottom w:val="single" w:sz="12" w:space="0" w:color="auto"/>
            </w:tcBorders>
            <w:vAlign w:val="bottom"/>
          </w:tcPr>
          <w:p w14:paraId="3B19B839" w14:textId="77777777" w:rsidR="0089508D" w:rsidRPr="006312E7" w:rsidRDefault="0089508D" w:rsidP="00C74354">
            <w:pPr>
              <w:spacing w:after="0"/>
              <w:rPr>
                <w:rFonts w:ascii="Arial" w:hAnsi="Arial" w:cs="Arial"/>
                <w:szCs w:val="20"/>
              </w:rPr>
            </w:pPr>
            <w:r w:rsidRPr="006312E7">
              <w:rPr>
                <w:rFonts w:ascii="Arial" w:hAnsi="Arial" w:cs="Arial"/>
                <w:szCs w:val="20"/>
              </w:rPr>
              <w:t>Total purchase price</w:t>
            </w:r>
          </w:p>
        </w:tc>
        <w:tc>
          <w:tcPr>
            <w:tcW w:w="1559" w:type="dxa"/>
            <w:tcBorders>
              <w:left w:val="nil"/>
              <w:bottom w:val="single" w:sz="12" w:space="0" w:color="auto"/>
              <w:right w:val="nil"/>
            </w:tcBorders>
            <w:vAlign w:val="bottom"/>
          </w:tcPr>
          <w:p w14:paraId="64BD3859" w14:textId="77777777" w:rsidR="0089508D" w:rsidRPr="006312E7" w:rsidRDefault="0089508D" w:rsidP="00C74354">
            <w:pPr>
              <w:spacing w:after="0"/>
              <w:ind w:right="173"/>
              <w:jc w:val="right"/>
              <w:rPr>
                <w:rFonts w:ascii="Arial" w:hAnsi="Arial" w:cs="Arial"/>
                <w:szCs w:val="20"/>
              </w:rPr>
            </w:pPr>
            <w:r>
              <w:rPr>
                <w:rFonts w:ascii="Arial" w:hAnsi="Arial" w:cs="Arial"/>
                <w:szCs w:val="20"/>
              </w:rPr>
              <w:t>8,014,033</w:t>
            </w:r>
          </w:p>
        </w:tc>
      </w:tr>
      <w:tr w:rsidR="0089508D" w:rsidRPr="006312E7" w14:paraId="75CD2FDA" w14:textId="77777777" w:rsidTr="00C74354">
        <w:tc>
          <w:tcPr>
            <w:tcW w:w="4140" w:type="dxa"/>
            <w:tcBorders>
              <w:top w:val="nil"/>
              <w:left w:val="nil"/>
              <w:bottom w:val="single" w:sz="4" w:space="0" w:color="auto"/>
            </w:tcBorders>
            <w:vAlign w:val="bottom"/>
          </w:tcPr>
          <w:p w14:paraId="6D2948EB" w14:textId="77777777" w:rsidR="0089508D" w:rsidRPr="006312E7" w:rsidRDefault="0089508D" w:rsidP="00C74354">
            <w:pPr>
              <w:spacing w:before="120" w:after="0"/>
              <w:rPr>
                <w:rFonts w:ascii="Arial" w:hAnsi="Arial" w:cs="Arial"/>
                <w:b/>
                <w:bCs/>
                <w:szCs w:val="20"/>
              </w:rPr>
            </w:pPr>
          </w:p>
          <w:p w14:paraId="63DF3EFA" w14:textId="77777777" w:rsidR="0089508D" w:rsidRPr="006312E7" w:rsidRDefault="0089508D" w:rsidP="00C74354">
            <w:pPr>
              <w:spacing w:before="120" w:after="0"/>
              <w:rPr>
                <w:rFonts w:ascii="Arial" w:hAnsi="Arial" w:cs="Arial"/>
                <w:szCs w:val="20"/>
              </w:rPr>
            </w:pPr>
            <w:r w:rsidRPr="006312E7">
              <w:rPr>
                <w:rFonts w:ascii="Arial" w:hAnsi="Arial" w:cs="Arial"/>
                <w:b/>
                <w:bCs/>
                <w:szCs w:val="20"/>
              </w:rPr>
              <w:t>Net assets acquired:</w:t>
            </w:r>
            <w:r w:rsidRPr="006312E7">
              <w:rPr>
                <w:rFonts w:ascii="Arial" w:hAnsi="Arial" w:cs="Arial"/>
                <w:b/>
                <w:bCs/>
                <w:szCs w:val="20"/>
              </w:rPr>
              <w:tab/>
            </w:r>
          </w:p>
        </w:tc>
        <w:tc>
          <w:tcPr>
            <w:tcW w:w="1559" w:type="dxa"/>
            <w:tcBorders>
              <w:top w:val="nil"/>
              <w:left w:val="nil"/>
              <w:bottom w:val="single" w:sz="4" w:space="0" w:color="auto"/>
              <w:right w:val="nil"/>
            </w:tcBorders>
            <w:vAlign w:val="bottom"/>
          </w:tcPr>
          <w:p w14:paraId="067FF456" w14:textId="77777777" w:rsidR="0089508D" w:rsidRPr="006312E7" w:rsidRDefault="0089508D" w:rsidP="00C74354">
            <w:pPr>
              <w:spacing w:after="0"/>
              <w:jc w:val="center"/>
              <w:rPr>
                <w:rFonts w:ascii="Arial" w:hAnsi="Arial" w:cs="Arial"/>
                <w:szCs w:val="20"/>
              </w:rPr>
            </w:pPr>
            <w:r w:rsidRPr="006312E7">
              <w:rPr>
                <w:rFonts w:ascii="Arial" w:hAnsi="Arial" w:cs="Arial"/>
                <w:szCs w:val="20"/>
              </w:rPr>
              <w:t>$</w:t>
            </w:r>
          </w:p>
        </w:tc>
      </w:tr>
      <w:tr w:rsidR="0089508D" w:rsidRPr="006312E7" w14:paraId="208093AA" w14:textId="77777777" w:rsidTr="00C74354">
        <w:trPr>
          <w:trHeight w:hRule="exact" w:val="173"/>
        </w:trPr>
        <w:tc>
          <w:tcPr>
            <w:tcW w:w="4140" w:type="dxa"/>
            <w:tcBorders>
              <w:top w:val="single" w:sz="4" w:space="0" w:color="auto"/>
              <w:left w:val="nil"/>
            </w:tcBorders>
            <w:vAlign w:val="bottom"/>
          </w:tcPr>
          <w:p w14:paraId="5BB1A944" w14:textId="77777777" w:rsidR="0089508D" w:rsidRPr="006312E7" w:rsidRDefault="0089508D" w:rsidP="00C74354">
            <w:pPr>
              <w:spacing w:after="0"/>
              <w:rPr>
                <w:rFonts w:ascii="Arial" w:hAnsi="Arial" w:cs="Arial"/>
                <w:szCs w:val="20"/>
              </w:rPr>
            </w:pPr>
          </w:p>
        </w:tc>
        <w:tc>
          <w:tcPr>
            <w:tcW w:w="1559" w:type="dxa"/>
            <w:tcBorders>
              <w:top w:val="single" w:sz="4" w:space="0" w:color="auto"/>
              <w:left w:val="nil"/>
              <w:right w:val="nil"/>
            </w:tcBorders>
            <w:vAlign w:val="bottom"/>
          </w:tcPr>
          <w:p w14:paraId="49B78545" w14:textId="77777777" w:rsidR="0089508D" w:rsidRPr="006312E7" w:rsidRDefault="0089508D" w:rsidP="00C74354">
            <w:pPr>
              <w:spacing w:after="0"/>
              <w:ind w:right="369"/>
              <w:jc w:val="right"/>
              <w:rPr>
                <w:rFonts w:ascii="Arial" w:hAnsi="Arial" w:cs="Arial"/>
                <w:szCs w:val="20"/>
              </w:rPr>
            </w:pPr>
          </w:p>
        </w:tc>
      </w:tr>
      <w:tr w:rsidR="0089508D" w:rsidRPr="006312E7" w14:paraId="5E0B4556" w14:textId="77777777" w:rsidTr="00C74354">
        <w:tc>
          <w:tcPr>
            <w:tcW w:w="4140" w:type="dxa"/>
            <w:tcBorders>
              <w:left w:val="nil"/>
            </w:tcBorders>
            <w:vAlign w:val="bottom"/>
          </w:tcPr>
          <w:p w14:paraId="7FADB44D" w14:textId="77777777" w:rsidR="0089508D" w:rsidRPr="006312E7" w:rsidRDefault="0089508D" w:rsidP="00C74354">
            <w:pPr>
              <w:spacing w:after="0"/>
              <w:rPr>
                <w:rFonts w:ascii="Arial" w:hAnsi="Arial" w:cs="Arial"/>
                <w:szCs w:val="20"/>
              </w:rPr>
            </w:pPr>
            <w:r w:rsidRPr="006312E7">
              <w:rPr>
                <w:rFonts w:ascii="Arial" w:hAnsi="Arial" w:cs="Arial"/>
                <w:szCs w:val="20"/>
              </w:rPr>
              <w:t>Cash</w:t>
            </w:r>
          </w:p>
        </w:tc>
        <w:tc>
          <w:tcPr>
            <w:tcW w:w="1559" w:type="dxa"/>
            <w:tcBorders>
              <w:left w:val="nil"/>
              <w:right w:val="nil"/>
            </w:tcBorders>
            <w:vAlign w:val="bottom"/>
          </w:tcPr>
          <w:p w14:paraId="45EADC1E" w14:textId="77777777" w:rsidR="0089508D" w:rsidRPr="006312E7" w:rsidRDefault="0089508D" w:rsidP="00C74354">
            <w:pPr>
              <w:spacing w:after="0"/>
              <w:ind w:right="173"/>
              <w:jc w:val="right"/>
              <w:rPr>
                <w:rFonts w:ascii="Arial" w:hAnsi="Arial" w:cs="Arial"/>
                <w:szCs w:val="20"/>
              </w:rPr>
            </w:pPr>
            <w:r>
              <w:rPr>
                <w:rFonts w:ascii="Arial" w:hAnsi="Arial" w:cs="Arial"/>
                <w:szCs w:val="20"/>
              </w:rPr>
              <w:t>2,779</w:t>
            </w:r>
          </w:p>
        </w:tc>
      </w:tr>
      <w:tr w:rsidR="0089508D" w:rsidRPr="006312E7" w14:paraId="1842BCFE" w14:textId="77777777" w:rsidTr="00C74354">
        <w:tc>
          <w:tcPr>
            <w:tcW w:w="4140" w:type="dxa"/>
            <w:tcBorders>
              <w:left w:val="nil"/>
            </w:tcBorders>
            <w:vAlign w:val="bottom"/>
          </w:tcPr>
          <w:p w14:paraId="716FD74B" w14:textId="77777777" w:rsidR="0089508D" w:rsidRPr="006312E7" w:rsidRDefault="0089508D" w:rsidP="00C74354">
            <w:pPr>
              <w:spacing w:after="0"/>
              <w:rPr>
                <w:rFonts w:ascii="Arial" w:hAnsi="Arial" w:cs="Arial"/>
                <w:szCs w:val="20"/>
              </w:rPr>
            </w:pPr>
            <w:r w:rsidRPr="006312E7">
              <w:rPr>
                <w:rFonts w:ascii="Arial" w:hAnsi="Arial" w:cs="Arial"/>
                <w:szCs w:val="20"/>
              </w:rPr>
              <w:t>Equipment</w:t>
            </w:r>
          </w:p>
        </w:tc>
        <w:tc>
          <w:tcPr>
            <w:tcW w:w="1559" w:type="dxa"/>
            <w:tcBorders>
              <w:left w:val="nil"/>
              <w:right w:val="nil"/>
            </w:tcBorders>
            <w:vAlign w:val="bottom"/>
          </w:tcPr>
          <w:p w14:paraId="6AA35D64" w14:textId="77777777" w:rsidR="0089508D" w:rsidRPr="006312E7" w:rsidRDefault="0089508D" w:rsidP="00C74354">
            <w:pPr>
              <w:spacing w:after="0"/>
              <w:ind w:right="173"/>
              <w:jc w:val="right"/>
              <w:rPr>
                <w:rFonts w:ascii="Arial" w:hAnsi="Arial" w:cs="Arial"/>
                <w:szCs w:val="20"/>
              </w:rPr>
            </w:pPr>
            <w:r>
              <w:rPr>
                <w:rFonts w:ascii="Arial" w:hAnsi="Arial" w:cs="Arial"/>
                <w:szCs w:val="20"/>
              </w:rPr>
              <w:t>5,213</w:t>
            </w:r>
          </w:p>
        </w:tc>
      </w:tr>
      <w:tr w:rsidR="0089508D" w:rsidRPr="006312E7" w14:paraId="30E9A024" w14:textId="77777777" w:rsidTr="00C74354">
        <w:tc>
          <w:tcPr>
            <w:tcW w:w="4140" w:type="dxa"/>
            <w:tcBorders>
              <w:left w:val="nil"/>
            </w:tcBorders>
            <w:vAlign w:val="bottom"/>
          </w:tcPr>
          <w:p w14:paraId="535912D2" w14:textId="77777777" w:rsidR="0089508D" w:rsidRPr="006312E7" w:rsidRDefault="0089508D" w:rsidP="00C74354">
            <w:pPr>
              <w:spacing w:after="0"/>
              <w:rPr>
                <w:rFonts w:ascii="Arial" w:hAnsi="Arial" w:cs="Arial"/>
                <w:szCs w:val="20"/>
              </w:rPr>
            </w:pPr>
            <w:r>
              <w:rPr>
                <w:rFonts w:ascii="Arial" w:hAnsi="Arial" w:cs="Arial"/>
                <w:szCs w:val="20"/>
              </w:rPr>
              <w:t>Ready-to-infuse cannabis (“RTIC”) patents</w:t>
            </w:r>
          </w:p>
        </w:tc>
        <w:tc>
          <w:tcPr>
            <w:tcW w:w="1559" w:type="dxa"/>
            <w:tcBorders>
              <w:left w:val="nil"/>
              <w:right w:val="nil"/>
            </w:tcBorders>
            <w:vAlign w:val="bottom"/>
          </w:tcPr>
          <w:p w14:paraId="1B33E51F" w14:textId="77777777" w:rsidR="0089508D" w:rsidRPr="006312E7" w:rsidRDefault="0089508D" w:rsidP="00C74354">
            <w:pPr>
              <w:spacing w:after="0"/>
              <w:ind w:right="173"/>
              <w:jc w:val="right"/>
              <w:rPr>
                <w:rFonts w:ascii="Arial" w:hAnsi="Arial" w:cs="Arial"/>
                <w:szCs w:val="20"/>
              </w:rPr>
            </w:pPr>
            <w:r>
              <w:rPr>
                <w:rFonts w:ascii="Arial" w:hAnsi="Arial" w:cs="Arial"/>
                <w:szCs w:val="20"/>
              </w:rPr>
              <w:t>8,008,411</w:t>
            </w:r>
          </w:p>
        </w:tc>
      </w:tr>
      <w:tr w:rsidR="0089508D" w:rsidRPr="006312E7" w14:paraId="7B4140EA" w14:textId="77777777" w:rsidTr="00C74354">
        <w:tc>
          <w:tcPr>
            <w:tcW w:w="4140" w:type="dxa"/>
            <w:tcBorders>
              <w:left w:val="nil"/>
            </w:tcBorders>
            <w:vAlign w:val="bottom"/>
          </w:tcPr>
          <w:p w14:paraId="0DB162AB" w14:textId="77777777" w:rsidR="0089508D" w:rsidRPr="006312E7" w:rsidRDefault="0089508D" w:rsidP="00C74354">
            <w:pPr>
              <w:spacing w:after="0"/>
              <w:rPr>
                <w:rFonts w:ascii="Arial" w:hAnsi="Arial" w:cs="Arial"/>
                <w:szCs w:val="20"/>
              </w:rPr>
            </w:pPr>
            <w:r w:rsidRPr="006312E7">
              <w:rPr>
                <w:rFonts w:ascii="Arial" w:hAnsi="Arial" w:cs="Arial"/>
                <w:szCs w:val="20"/>
              </w:rPr>
              <w:t>Accounts payable and accrued liabilities</w:t>
            </w:r>
          </w:p>
        </w:tc>
        <w:tc>
          <w:tcPr>
            <w:tcW w:w="1559" w:type="dxa"/>
            <w:tcBorders>
              <w:left w:val="nil"/>
              <w:right w:val="nil"/>
            </w:tcBorders>
            <w:vAlign w:val="bottom"/>
          </w:tcPr>
          <w:p w14:paraId="6922E893" w14:textId="77777777" w:rsidR="0089508D" w:rsidRPr="006312E7" w:rsidRDefault="0089508D" w:rsidP="00C74354">
            <w:pPr>
              <w:spacing w:after="0"/>
              <w:ind w:right="173"/>
              <w:jc w:val="right"/>
              <w:rPr>
                <w:rFonts w:ascii="Arial" w:hAnsi="Arial" w:cs="Arial"/>
                <w:szCs w:val="20"/>
              </w:rPr>
            </w:pPr>
            <w:r w:rsidRPr="006312E7">
              <w:rPr>
                <w:rFonts w:ascii="Arial" w:hAnsi="Arial" w:cs="Arial"/>
                <w:szCs w:val="20"/>
              </w:rPr>
              <w:t>(</w:t>
            </w:r>
            <w:r>
              <w:rPr>
                <w:rFonts w:ascii="Arial" w:hAnsi="Arial" w:cs="Arial"/>
                <w:szCs w:val="20"/>
              </w:rPr>
              <w:t>2,370</w:t>
            </w:r>
            <w:r w:rsidRPr="006312E7">
              <w:rPr>
                <w:rFonts w:ascii="Arial" w:hAnsi="Arial" w:cs="Arial"/>
                <w:szCs w:val="20"/>
              </w:rPr>
              <w:t>)</w:t>
            </w:r>
          </w:p>
        </w:tc>
      </w:tr>
      <w:tr w:rsidR="0089508D" w:rsidRPr="006312E7" w14:paraId="1EFE39A1" w14:textId="77777777" w:rsidTr="00C74354">
        <w:trPr>
          <w:trHeight w:hRule="exact" w:val="86"/>
        </w:trPr>
        <w:tc>
          <w:tcPr>
            <w:tcW w:w="4140" w:type="dxa"/>
            <w:tcBorders>
              <w:top w:val="single" w:sz="4" w:space="0" w:color="auto"/>
              <w:left w:val="nil"/>
            </w:tcBorders>
            <w:vAlign w:val="bottom"/>
          </w:tcPr>
          <w:p w14:paraId="11645855" w14:textId="77777777" w:rsidR="0089508D" w:rsidRPr="006312E7" w:rsidRDefault="0089508D" w:rsidP="00C74354">
            <w:pPr>
              <w:spacing w:after="0"/>
              <w:rPr>
                <w:rFonts w:ascii="Arial" w:hAnsi="Arial" w:cs="Arial"/>
                <w:szCs w:val="20"/>
              </w:rPr>
            </w:pPr>
          </w:p>
        </w:tc>
        <w:tc>
          <w:tcPr>
            <w:tcW w:w="1559" w:type="dxa"/>
            <w:tcBorders>
              <w:top w:val="single" w:sz="4" w:space="0" w:color="auto"/>
              <w:left w:val="nil"/>
              <w:right w:val="nil"/>
            </w:tcBorders>
            <w:vAlign w:val="bottom"/>
          </w:tcPr>
          <w:p w14:paraId="519D6A27" w14:textId="77777777" w:rsidR="0089508D" w:rsidRPr="006312E7" w:rsidRDefault="0089508D" w:rsidP="00C74354">
            <w:pPr>
              <w:spacing w:after="0"/>
              <w:ind w:right="173"/>
              <w:jc w:val="right"/>
              <w:rPr>
                <w:rFonts w:ascii="Arial" w:hAnsi="Arial" w:cs="Arial"/>
                <w:szCs w:val="20"/>
              </w:rPr>
            </w:pPr>
          </w:p>
        </w:tc>
      </w:tr>
      <w:tr w:rsidR="0089508D" w:rsidRPr="006312E7" w14:paraId="76C74ED8" w14:textId="77777777" w:rsidTr="00C21CCD">
        <w:trPr>
          <w:trHeight w:val="270"/>
        </w:trPr>
        <w:tc>
          <w:tcPr>
            <w:tcW w:w="4140" w:type="dxa"/>
            <w:tcBorders>
              <w:left w:val="nil"/>
              <w:bottom w:val="single" w:sz="12" w:space="0" w:color="auto"/>
            </w:tcBorders>
            <w:vAlign w:val="bottom"/>
          </w:tcPr>
          <w:p w14:paraId="19F598B4" w14:textId="77777777" w:rsidR="0089508D" w:rsidRPr="006312E7" w:rsidRDefault="0089508D" w:rsidP="00C74354">
            <w:pPr>
              <w:spacing w:after="0"/>
              <w:rPr>
                <w:rFonts w:ascii="Arial" w:hAnsi="Arial" w:cs="Arial"/>
                <w:szCs w:val="20"/>
              </w:rPr>
            </w:pPr>
            <w:r w:rsidRPr="006312E7">
              <w:rPr>
                <w:rFonts w:ascii="Arial" w:hAnsi="Arial" w:cs="Arial"/>
                <w:szCs w:val="20"/>
              </w:rPr>
              <w:t>Net value of business purchased</w:t>
            </w:r>
          </w:p>
        </w:tc>
        <w:tc>
          <w:tcPr>
            <w:tcW w:w="1559" w:type="dxa"/>
            <w:tcBorders>
              <w:left w:val="nil"/>
              <w:bottom w:val="single" w:sz="12" w:space="0" w:color="auto"/>
              <w:right w:val="nil"/>
            </w:tcBorders>
            <w:vAlign w:val="bottom"/>
          </w:tcPr>
          <w:p w14:paraId="7DEFE23E" w14:textId="77777777" w:rsidR="0089508D" w:rsidRPr="006312E7" w:rsidRDefault="0089508D" w:rsidP="00C74354">
            <w:pPr>
              <w:spacing w:after="0"/>
              <w:ind w:right="173"/>
              <w:jc w:val="right"/>
              <w:rPr>
                <w:rFonts w:ascii="Arial" w:hAnsi="Arial" w:cs="Arial"/>
                <w:szCs w:val="20"/>
              </w:rPr>
            </w:pPr>
            <w:r>
              <w:rPr>
                <w:rFonts w:ascii="Arial" w:hAnsi="Arial" w:cs="Arial"/>
                <w:szCs w:val="20"/>
              </w:rPr>
              <w:t>8,014,033</w:t>
            </w:r>
          </w:p>
        </w:tc>
      </w:tr>
    </w:tbl>
    <w:p w14:paraId="5728AB14" w14:textId="77777777" w:rsidR="0089508D" w:rsidRDefault="0089508D" w:rsidP="0089508D">
      <w:pPr>
        <w:tabs>
          <w:tab w:val="left" w:pos="450"/>
        </w:tabs>
        <w:spacing w:after="0" w:line="240" w:lineRule="auto"/>
        <w:jc w:val="both"/>
        <w:rPr>
          <w:rFonts w:ascii="Arial" w:hAnsi="Arial" w:cs="Arial"/>
          <w:b/>
          <w:szCs w:val="20"/>
        </w:rPr>
      </w:pPr>
    </w:p>
    <w:p w14:paraId="4E380CC9" w14:textId="5C4ED7BD" w:rsidR="0089508D" w:rsidRDefault="0089508D" w:rsidP="0089508D">
      <w:pPr>
        <w:spacing w:after="0" w:line="240" w:lineRule="auto"/>
        <w:ind w:left="810"/>
        <w:jc w:val="both"/>
        <w:rPr>
          <w:rFonts w:ascii="Arial" w:eastAsia="Times New Roman" w:hAnsi="Arial" w:cs="Arial"/>
          <w:bCs/>
          <w:szCs w:val="20"/>
        </w:rPr>
      </w:pPr>
      <w:r>
        <w:rPr>
          <w:rFonts w:ascii="Arial" w:eastAsia="Times New Roman" w:hAnsi="Arial" w:cs="Arial"/>
          <w:bCs/>
          <w:szCs w:val="20"/>
        </w:rPr>
        <w:t>The RTIC p</w:t>
      </w:r>
      <w:r w:rsidRPr="006312E7">
        <w:rPr>
          <w:rFonts w:ascii="Arial" w:eastAsia="Times New Roman" w:hAnsi="Arial" w:cs="Arial"/>
          <w:bCs/>
          <w:szCs w:val="20"/>
        </w:rPr>
        <w:t xml:space="preserve">atents acquired </w:t>
      </w:r>
      <w:r>
        <w:rPr>
          <w:rFonts w:ascii="Arial" w:eastAsia="Times New Roman" w:hAnsi="Arial" w:cs="Arial"/>
          <w:bCs/>
          <w:szCs w:val="20"/>
        </w:rPr>
        <w:t>are</w:t>
      </w:r>
      <w:r w:rsidRPr="006312E7">
        <w:rPr>
          <w:rFonts w:ascii="Arial" w:eastAsia="Times New Roman" w:hAnsi="Arial" w:cs="Arial"/>
          <w:bCs/>
          <w:szCs w:val="20"/>
        </w:rPr>
        <w:t xml:space="preserve"> amortized over an estimated useful life of ten (10) yea</w:t>
      </w:r>
      <w:r>
        <w:rPr>
          <w:rFonts w:ascii="Arial" w:eastAsia="Times New Roman" w:hAnsi="Arial" w:cs="Arial"/>
          <w:bCs/>
          <w:szCs w:val="20"/>
        </w:rPr>
        <w:t>rs.</w:t>
      </w:r>
    </w:p>
    <w:p w14:paraId="05596787" w14:textId="4CE7CD2C" w:rsidR="002956D7" w:rsidRDefault="002956D7" w:rsidP="0089508D">
      <w:pPr>
        <w:spacing w:after="0" w:line="240" w:lineRule="auto"/>
        <w:ind w:left="810"/>
        <w:jc w:val="both"/>
        <w:rPr>
          <w:rFonts w:ascii="Arial" w:eastAsia="Times New Roman" w:hAnsi="Arial" w:cs="Arial"/>
          <w:bCs/>
          <w:szCs w:val="20"/>
        </w:rPr>
      </w:pPr>
    </w:p>
    <w:p w14:paraId="409AC4A6" w14:textId="77777777" w:rsidR="00C23BFD" w:rsidRDefault="00C23BFD">
      <w:pPr>
        <w:rPr>
          <w:rFonts w:ascii="Arial" w:hAnsi="Arial" w:cs="Arial"/>
          <w:b/>
          <w:bCs/>
          <w:szCs w:val="20"/>
        </w:rPr>
      </w:pPr>
      <w:r>
        <w:rPr>
          <w:rFonts w:ascii="Arial" w:hAnsi="Arial" w:cs="Arial"/>
          <w:b/>
          <w:bCs/>
          <w:szCs w:val="20"/>
        </w:rPr>
        <w:br w:type="page"/>
      </w:r>
    </w:p>
    <w:p w14:paraId="4A925261" w14:textId="11A34BAC" w:rsidR="00B256C2" w:rsidRPr="00F60034" w:rsidRDefault="00B256C2" w:rsidP="00B256C2">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
          <w:bCs/>
          <w:szCs w:val="20"/>
        </w:rPr>
      </w:pPr>
      <w:r w:rsidRPr="00C23BFD">
        <w:rPr>
          <w:rFonts w:ascii="Arial" w:hAnsi="Arial" w:cs="Arial"/>
          <w:b/>
          <w:bCs/>
          <w:szCs w:val="20"/>
        </w:rPr>
        <w:lastRenderedPageBreak/>
        <w:t>5.</w:t>
      </w:r>
      <w:r w:rsidRPr="00C23BFD">
        <w:rPr>
          <w:rFonts w:ascii="Arial" w:hAnsi="Arial" w:cs="Arial"/>
          <w:b/>
          <w:bCs/>
          <w:szCs w:val="20"/>
        </w:rPr>
        <w:tab/>
        <w:t>Loan receivable</w:t>
      </w:r>
    </w:p>
    <w:tbl>
      <w:tblPr>
        <w:tblW w:w="9011" w:type="dxa"/>
        <w:tblInd w:w="450" w:type="dxa"/>
        <w:tblLayout w:type="fixed"/>
        <w:tblCellMar>
          <w:left w:w="0" w:type="dxa"/>
          <w:right w:w="0" w:type="dxa"/>
        </w:tblCellMar>
        <w:tblLook w:val="0000" w:firstRow="0" w:lastRow="0" w:firstColumn="0" w:lastColumn="0" w:noHBand="0" w:noVBand="0"/>
      </w:tblPr>
      <w:tblGrid>
        <w:gridCol w:w="2610"/>
        <w:gridCol w:w="1440"/>
        <w:gridCol w:w="119"/>
        <w:gridCol w:w="1559"/>
        <w:gridCol w:w="23"/>
        <w:gridCol w:w="1701"/>
        <w:gridCol w:w="105"/>
        <w:gridCol w:w="1289"/>
        <w:gridCol w:w="165"/>
      </w:tblGrid>
      <w:tr w:rsidR="00B256C2" w:rsidRPr="009858B0" w14:paraId="193D1FA4" w14:textId="77777777" w:rsidTr="007975AC">
        <w:tc>
          <w:tcPr>
            <w:tcW w:w="4050" w:type="dxa"/>
            <w:gridSpan w:val="2"/>
            <w:tcBorders>
              <w:top w:val="nil"/>
              <w:left w:val="nil"/>
              <w:bottom w:val="single" w:sz="4" w:space="0" w:color="auto"/>
            </w:tcBorders>
            <w:vAlign w:val="bottom"/>
          </w:tcPr>
          <w:p w14:paraId="6A6F3791" w14:textId="77777777" w:rsidR="00B256C2" w:rsidRPr="009858B0" w:rsidRDefault="00B256C2" w:rsidP="007975AC">
            <w:pPr>
              <w:spacing w:after="0" w:line="240" w:lineRule="auto"/>
              <w:rPr>
                <w:rFonts w:ascii="Arial" w:hAnsi="Arial" w:cs="Arial"/>
                <w:szCs w:val="20"/>
              </w:rPr>
            </w:pPr>
            <w:r w:rsidRPr="009858B0">
              <w:rPr>
                <w:rFonts w:ascii="Arial" w:hAnsi="Arial" w:cs="Arial"/>
                <w:b/>
                <w:bCs/>
                <w:szCs w:val="20"/>
              </w:rPr>
              <w:tab/>
            </w:r>
          </w:p>
        </w:tc>
        <w:tc>
          <w:tcPr>
            <w:tcW w:w="1701" w:type="dxa"/>
            <w:gridSpan w:val="3"/>
            <w:tcBorders>
              <w:top w:val="nil"/>
              <w:left w:val="nil"/>
              <w:bottom w:val="single" w:sz="4" w:space="0" w:color="auto"/>
            </w:tcBorders>
            <w:vAlign w:val="bottom"/>
          </w:tcPr>
          <w:p w14:paraId="47B397D5" w14:textId="77777777" w:rsidR="00B256C2" w:rsidRPr="009858B0" w:rsidRDefault="00B256C2" w:rsidP="007975AC">
            <w:pPr>
              <w:spacing w:after="0" w:line="240" w:lineRule="auto"/>
              <w:jc w:val="center"/>
              <w:rPr>
                <w:rFonts w:ascii="Arial" w:hAnsi="Arial" w:cs="Arial"/>
                <w:szCs w:val="20"/>
              </w:rPr>
            </w:pPr>
            <w:r>
              <w:rPr>
                <w:rFonts w:ascii="Arial" w:hAnsi="Arial" w:cs="Arial"/>
                <w:szCs w:val="20"/>
              </w:rPr>
              <w:t>October</w:t>
            </w:r>
            <w:r w:rsidRPr="009858B0">
              <w:rPr>
                <w:rFonts w:ascii="Arial" w:hAnsi="Arial" w:cs="Arial"/>
                <w:szCs w:val="20"/>
              </w:rPr>
              <w:t xml:space="preserve"> 31,</w:t>
            </w:r>
          </w:p>
          <w:p w14:paraId="4FD49E45" w14:textId="77777777" w:rsidR="00B256C2" w:rsidRPr="009858B0" w:rsidRDefault="00B256C2" w:rsidP="007975AC">
            <w:pPr>
              <w:spacing w:after="0" w:line="240" w:lineRule="auto"/>
              <w:jc w:val="center"/>
              <w:rPr>
                <w:rFonts w:ascii="Arial" w:hAnsi="Arial" w:cs="Arial"/>
                <w:szCs w:val="20"/>
              </w:rPr>
            </w:pPr>
            <w:r>
              <w:rPr>
                <w:rFonts w:ascii="Arial" w:hAnsi="Arial" w:cs="Arial"/>
                <w:szCs w:val="20"/>
              </w:rPr>
              <w:t>2019</w:t>
            </w:r>
          </w:p>
          <w:p w14:paraId="2AC89961" w14:textId="77777777" w:rsidR="00B256C2" w:rsidRDefault="00B256C2" w:rsidP="007975AC">
            <w:pPr>
              <w:spacing w:after="0" w:line="240" w:lineRule="auto"/>
              <w:jc w:val="center"/>
              <w:rPr>
                <w:rFonts w:ascii="Arial" w:hAnsi="Arial" w:cs="Arial"/>
                <w:szCs w:val="20"/>
              </w:rPr>
            </w:pPr>
            <w:r w:rsidRPr="009858B0">
              <w:rPr>
                <w:rFonts w:ascii="Arial" w:hAnsi="Arial" w:cs="Arial"/>
                <w:szCs w:val="20"/>
              </w:rPr>
              <w:t>$</w:t>
            </w:r>
          </w:p>
        </w:tc>
        <w:tc>
          <w:tcPr>
            <w:tcW w:w="1701" w:type="dxa"/>
            <w:tcBorders>
              <w:top w:val="nil"/>
              <w:left w:val="nil"/>
              <w:bottom w:val="single" w:sz="4" w:space="0" w:color="auto"/>
              <w:right w:val="nil"/>
            </w:tcBorders>
            <w:vAlign w:val="bottom"/>
          </w:tcPr>
          <w:p w14:paraId="6CB0EFAF" w14:textId="77777777" w:rsidR="00B256C2" w:rsidRPr="009858B0" w:rsidRDefault="00B256C2" w:rsidP="007975AC">
            <w:pPr>
              <w:spacing w:after="0" w:line="240" w:lineRule="auto"/>
              <w:jc w:val="center"/>
              <w:rPr>
                <w:rFonts w:ascii="Arial" w:hAnsi="Arial" w:cs="Arial"/>
                <w:szCs w:val="20"/>
              </w:rPr>
            </w:pPr>
            <w:r>
              <w:rPr>
                <w:rFonts w:ascii="Arial" w:hAnsi="Arial" w:cs="Arial"/>
                <w:szCs w:val="20"/>
              </w:rPr>
              <w:t>January</w:t>
            </w:r>
            <w:r w:rsidRPr="009858B0">
              <w:rPr>
                <w:rFonts w:ascii="Arial" w:hAnsi="Arial" w:cs="Arial"/>
                <w:szCs w:val="20"/>
              </w:rPr>
              <w:t xml:space="preserve"> 31,</w:t>
            </w:r>
          </w:p>
          <w:p w14:paraId="5AE7F76C" w14:textId="77777777" w:rsidR="00B256C2" w:rsidRPr="009858B0" w:rsidRDefault="00B256C2" w:rsidP="007975AC">
            <w:pPr>
              <w:spacing w:after="0" w:line="240" w:lineRule="auto"/>
              <w:jc w:val="center"/>
              <w:rPr>
                <w:rFonts w:ascii="Arial" w:hAnsi="Arial" w:cs="Arial"/>
                <w:szCs w:val="20"/>
              </w:rPr>
            </w:pPr>
            <w:r>
              <w:rPr>
                <w:rFonts w:ascii="Arial" w:hAnsi="Arial" w:cs="Arial"/>
                <w:szCs w:val="20"/>
              </w:rPr>
              <w:t>2019</w:t>
            </w:r>
          </w:p>
          <w:p w14:paraId="100BC4FA" w14:textId="77777777" w:rsidR="00B256C2" w:rsidRPr="009858B0" w:rsidRDefault="00B256C2" w:rsidP="007975AC">
            <w:pPr>
              <w:spacing w:after="0" w:line="240" w:lineRule="auto"/>
              <w:jc w:val="center"/>
              <w:rPr>
                <w:rFonts w:ascii="Arial" w:hAnsi="Arial" w:cs="Arial"/>
                <w:szCs w:val="20"/>
              </w:rPr>
            </w:pPr>
            <w:r w:rsidRPr="009858B0">
              <w:rPr>
                <w:rFonts w:ascii="Arial" w:hAnsi="Arial" w:cs="Arial"/>
                <w:szCs w:val="20"/>
              </w:rPr>
              <w:t>$</w:t>
            </w:r>
          </w:p>
        </w:tc>
        <w:tc>
          <w:tcPr>
            <w:tcW w:w="1559" w:type="dxa"/>
            <w:gridSpan w:val="3"/>
            <w:tcBorders>
              <w:top w:val="nil"/>
              <w:left w:val="nil"/>
              <w:bottom w:val="single" w:sz="4" w:space="0" w:color="auto"/>
              <w:right w:val="nil"/>
            </w:tcBorders>
            <w:vAlign w:val="bottom"/>
          </w:tcPr>
          <w:p w14:paraId="2E905D06" w14:textId="77777777" w:rsidR="00B256C2" w:rsidRPr="009858B0" w:rsidRDefault="00B256C2" w:rsidP="007975AC">
            <w:pPr>
              <w:spacing w:after="0" w:line="240" w:lineRule="auto"/>
              <w:jc w:val="center"/>
              <w:rPr>
                <w:rFonts w:ascii="Arial" w:hAnsi="Arial" w:cs="Arial"/>
                <w:szCs w:val="20"/>
              </w:rPr>
            </w:pPr>
            <w:r>
              <w:rPr>
                <w:rFonts w:ascii="Arial" w:hAnsi="Arial" w:cs="Arial"/>
                <w:szCs w:val="20"/>
              </w:rPr>
              <w:t>February 1</w:t>
            </w:r>
            <w:r w:rsidRPr="009858B0">
              <w:rPr>
                <w:rFonts w:ascii="Arial" w:hAnsi="Arial" w:cs="Arial"/>
                <w:szCs w:val="20"/>
              </w:rPr>
              <w:t>,</w:t>
            </w:r>
          </w:p>
          <w:p w14:paraId="734D7D7A" w14:textId="77777777" w:rsidR="00B256C2" w:rsidRPr="009858B0" w:rsidRDefault="00B256C2" w:rsidP="007975AC">
            <w:pPr>
              <w:spacing w:after="0" w:line="240" w:lineRule="auto"/>
              <w:jc w:val="center"/>
              <w:rPr>
                <w:rFonts w:ascii="Arial" w:hAnsi="Arial" w:cs="Arial"/>
                <w:szCs w:val="20"/>
              </w:rPr>
            </w:pPr>
            <w:r>
              <w:rPr>
                <w:rFonts w:ascii="Arial" w:hAnsi="Arial" w:cs="Arial"/>
                <w:szCs w:val="20"/>
              </w:rPr>
              <w:t>2018</w:t>
            </w:r>
          </w:p>
          <w:p w14:paraId="7ED3AA67" w14:textId="77777777" w:rsidR="00B256C2" w:rsidRPr="009858B0" w:rsidRDefault="00B256C2" w:rsidP="007975AC">
            <w:pPr>
              <w:spacing w:after="0" w:line="240" w:lineRule="auto"/>
              <w:jc w:val="center"/>
              <w:rPr>
                <w:rFonts w:ascii="Arial" w:hAnsi="Arial" w:cs="Arial"/>
                <w:szCs w:val="20"/>
              </w:rPr>
            </w:pPr>
            <w:r w:rsidRPr="009858B0">
              <w:rPr>
                <w:rFonts w:ascii="Arial" w:hAnsi="Arial" w:cs="Arial"/>
                <w:szCs w:val="20"/>
              </w:rPr>
              <w:t>$</w:t>
            </w:r>
          </w:p>
        </w:tc>
      </w:tr>
      <w:tr w:rsidR="00B256C2" w:rsidRPr="009858B0" w14:paraId="6B47C706" w14:textId="77777777" w:rsidTr="007975AC">
        <w:trPr>
          <w:trHeight w:hRule="exact" w:val="113"/>
        </w:trPr>
        <w:tc>
          <w:tcPr>
            <w:tcW w:w="4050" w:type="dxa"/>
            <w:gridSpan w:val="2"/>
            <w:tcBorders>
              <w:top w:val="single" w:sz="4" w:space="0" w:color="auto"/>
              <w:left w:val="nil"/>
            </w:tcBorders>
            <w:vAlign w:val="bottom"/>
          </w:tcPr>
          <w:p w14:paraId="58F3918C" w14:textId="77777777" w:rsidR="00B256C2" w:rsidRPr="009858B0" w:rsidRDefault="00B256C2" w:rsidP="007975AC">
            <w:pPr>
              <w:spacing w:after="0" w:line="240" w:lineRule="auto"/>
              <w:rPr>
                <w:rFonts w:ascii="Arial" w:hAnsi="Arial" w:cs="Arial"/>
                <w:szCs w:val="20"/>
              </w:rPr>
            </w:pPr>
          </w:p>
        </w:tc>
        <w:tc>
          <w:tcPr>
            <w:tcW w:w="1701" w:type="dxa"/>
            <w:gridSpan w:val="3"/>
            <w:tcBorders>
              <w:top w:val="single" w:sz="4" w:space="0" w:color="auto"/>
              <w:left w:val="nil"/>
            </w:tcBorders>
            <w:vAlign w:val="bottom"/>
          </w:tcPr>
          <w:p w14:paraId="13237FD4" w14:textId="77777777" w:rsidR="00B256C2" w:rsidRPr="009858B0" w:rsidRDefault="00B256C2" w:rsidP="007975AC">
            <w:pPr>
              <w:spacing w:after="0" w:line="240" w:lineRule="auto"/>
              <w:ind w:right="369"/>
              <w:jc w:val="right"/>
              <w:rPr>
                <w:rFonts w:ascii="Arial" w:hAnsi="Arial" w:cs="Arial"/>
                <w:szCs w:val="20"/>
              </w:rPr>
            </w:pPr>
          </w:p>
        </w:tc>
        <w:tc>
          <w:tcPr>
            <w:tcW w:w="1701" w:type="dxa"/>
            <w:tcBorders>
              <w:top w:val="single" w:sz="4" w:space="0" w:color="auto"/>
              <w:left w:val="nil"/>
              <w:right w:val="nil"/>
            </w:tcBorders>
            <w:vAlign w:val="bottom"/>
          </w:tcPr>
          <w:p w14:paraId="53EBA4EE" w14:textId="77777777" w:rsidR="00B256C2" w:rsidRPr="009858B0" w:rsidRDefault="00B256C2" w:rsidP="007975AC">
            <w:pPr>
              <w:spacing w:after="0" w:line="240" w:lineRule="auto"/>
              <w:ind w:right="369"/>
              <w:jc w:val="right"/>
              <w:rPr>
                <w:rFonts w:ascii="Arial" w:hAnsi="Arial" w:cs="Arial"/>
                <w:szCs w:val="20"/>
              </w:rPr>
            </w:pPr>
          </w:p>
        </w:tc>
        <w:tc>
          <w:tcPr>
            <w:tcW w:w="1559" w:type="dxa"/>
            <w:gridSpan w:val="3"/>
            <w:tcBorders>
              <w:top w:val="single" w:sz="4" w:space="0" w:color="auto"/>
              <w:left w:val="nil"/>
              <w:right w:val="nil"/>
            </w:tcBorders>
            <w:vAlign w:val="bottom"/>
          </w:tcPr>
          <w:p w14:paraId="12233227" w14:textId="77777777" w:rsidR="00B256C2" w:rsidRPr="009858B0" w:rsidRDefault="00B256C2" w:rsidP="007975AC">
            <w:pPr>
              <w:spacing w:after="0" w:line="240" w:lineRule="auto"/>
              <w:ind w:right="369"/>
              <w:jc w:val="right"/>
              <w:rPr>
                <w:rFonts w:ascii="Arial" w:hAnsi="Arial" w:cs="Arial"/>
                <w:szCs w:val="20"/>
              </w:rPr>
            </w:pPr>
          </w:p>
        </w:tc>
      </w:tr>
      <w:tr w:rsidR="00B256C2" w:rsidRPr="009858B0" w14:paraId="568F8D75" w14:textId="77777777" w:rsidTr="007975AC">
        <w:tc>
          <w:tcPr>
            <w:tcW w:w="4050" w:type="dxa"/>
            <w:gridSpan w:val="2"/>
            <w:tcBorders>
              <w:left w:val="nil"/>
              <w:bottom w:val="single" w:sz="4" w:space="0" w:color="auto"/>
            </w:tcBorders>
            <w:vAlign w:val="bottom"/>
          </w:tcPr>
          <w:p w14:paraId="3BAB2E9C" w14:textId="5E3A26F6" w:rsidR="00B256C2" w:rsidRPr="009858B0" w:rsidRDefault="00C23BFD" w:rsidP="007975AC">
            <w:pPr>
              <w:spacing w:after="0"/>
              <w:rPr>
                <w:rFonts w:ascii="Arial" w:hAnsi="Arial" w:cs="Arial"/>
                <w:szCs w:val="20"/>
              </w:rPr>
            </w:pPr>
            <w:r>
              <w:rPr>
                <w:rFonts w:ascii="Arial" w:hAnsi="Arial" w:cs="Arial"/>
                <w:szCs w:val="20"/>
              </w:rPr>
              <w:t>Loan receivable</w:t>
            </w:r>
            <w:r w:rsidR="00B256C2">
              <w:rPr>
                <w:rFonts w:ascii="Arial" w:hAnsi="Arial" w:cs="Arial"/>
                <w:szCs w:val="20"/>
              </w:rPr>
              <w:t xml:space="preserve"> </w:t>
            </w:r>
          </w:p>
        </w:tc>
        <w:tc>
          <w:tcPr>
            <w:tcW w:w="1701" w:type="dxa"/>
            <w:gridSpan w:val="3"/>
            <w:tcBorders>
              <w:left w:val="nil"/>
              <w:bottom w:val="single" w:sz="4" w:space="0" w:color="auto"/>
            </w:tcBorders>
            <w:vAlign w:val="bottom"/>
          </w:tcPr>
          <w:p w14:paraId="3127F336" w14:textId="7A9937C5" w:rsidR="00B256C2" w:rsidRPr="009858B0" w:rsidRDefault="00C23BFD" w:rsidP="007975AC">
            <w:pPr>
              <w:spacing w:after="0"/>
              <w:ind w:right="173"/>
              <w:jc w:val="right"/>
              <w:rPr>
                <w:rFonts w:ascii="Arial" w:hAnsi="Arial" w:cs="Arial"/>
                <w:szCs w:val="20"/>
              </w:rPr>
            </w:pPr>
            <w:r w:rsidRPr="005241D0">
              <w:rPr>
                <w:rFonts w:ascii="Arial" w:hAnsi="Arial" w:cs="Arial"/>
              </w:rPr>
              <w:t>224,686</w:t>
            </w:r>
          </w:p>
        </w:tc>
        <w:tc>
          <w:tcPr>
            <w:tcW w:w="1701" w:type="dxa"/>
            <w:tcBorders>
              <w:left w:val="nil"/>
              <w:bottom w:val="single" w:sz="4" w:space="0" w:color="auto"/>
              <w:right w:val="nil"/>
            </w:tcBorders>
            <w:vAlign w:val="bottom"/>
          </w:tcPr>
          <w:p w14:paraId="64AA1E9B" w14:textId="6A2511D6" w:rsidR="00B256C2" w:rsidRPr="009858B0" w:rsidRDefault="00C23BFD" w:rsidP="007975AC">
            <w:pPr>
              <w:spacing w:after="0"/>
              <w:ind w:right="173"/>
              <w:jc w:val="right"/>
              <w:rPr>
                <w:rFonts w:ascii="Arial" w:hAnsi="Arial" w:cs="Arial"/>
                <w:szCs w:val="20"/>
              </w:rPr>
            </w:pPr>
            <w:r w:rsidRPr="009858B0">
              <w:rPr>
                <w:rFonts w:ascii="Arial" w:hAnsi="Arial" w:cs="Arial"/>
                <w:szCs w:val="20"/>
              </w:rPr>
              <w:t>–</w:t>
            </w:r>
          </w:p>
        </w:tc>
        <w:tc>
          <w:tcPr>
            <w:tcW w:w="1559" w:type="dxa"/>
            <w:gridSpan w:val="3"/>
            <w:tcBorders>
              <w:left w:val="nil"/>
              <w:bottom w:val="single" w:sz="4" w:space="0" w:color="auto"/>
              <w:right w:val="nil"/>
            </w:tcBorders>
            <w:vAlign w:val="bottom"/>
          </w:tcPr>
          <w:p w14:paraId="6D64FECA" w14:textId="77777777" w:rsidR="00B256C2" w:rsidRPr="009858B0" w:rsidRDefault="00B256C2" w:rsidP="007975AC">
            <w:pPr>
              <w:spacing w:after="0"/>
              <w:ind w:right="173"/>
              <w:jc w:val="right"/>
              <w:rPr>
                <w:rFonts w:ascii="Arial" w:hAnsi="Arial" w:cs="Arial"/>
                <w:szCs w:val="20"/>
              </w:rPr>
            </w:pPr>
            <w:r w:rsidRPr="009858B0">
              <w:rPr>
                <w:rFonts w:ascii="Arial" w:hAnsi="Arial" w:cs="Arial"/>
                <w:szCs w:val="20"/>
              </w:rPr>
              <w:t>–</w:t>
            </w:r>
          </w:p>
        </w:tc>
      </w:tr>
      <w:tr w:rsidR="00B256C2" w:rsidRPr="00BA56F7" w14:paraId="53364DC2" w14:textId="77777777" w:rsidTr="007975AC">
        <w:trPr>
          <w:gridAfter w:val="1"/>
          <w:wAfter w:w="165" w:type="dxa"/>
          <w:trHeight w:hRule="exact" w:val="86"/>
        </w:trPr>
        <w:tc>
          <w:tcPr>
            <w:tcW w:w="2610" w:type="dxa"/>
            <w:tcBorders>
              <w:left w:val="nil"/>
            </w:tcBorders>
            <w:vAlign w:val="bottom"/>
          </w:tcPr>
          <w:p w14:paraId="5C32A7EE" w14:textId="77777777" w:rsidR="00B256C2" w:rsidRPr="00BA56F7" w:rsidRDefault="00B256C2" w:rsidP="007975AC">
            <w:pPr>
              <w:spacing w:after="0"/>
              <w:rPr>
                <w:rFonts w:ascii="Arial" w:hAnsi="Arial" w:cs="Arial"/>
                <w:szCs w:val="20"/>
              </w:rPr>
            </w:pPr>
          </w:p>
        </w:tc>
        <w:tc>
          <w:tcPr>
            <w:tcW w:w="1559" w:type="dxa"/>
            <w:gridSpan w:val="2"/>
            <w:tcBorders>
              <w:left w:val="nil"/>
            </w:tcBorders>
          </w:tcPr>
          <w:p w14:paraId="1E613AEB" w14:textId="77777777" w:rsidR="00B256C2" w:rsidRPr="00BA56F7" w:rsidRDefault="00B256C2" w:rsidP="007975AC">
            <w:pPr>
              <w:spacing w:after="0"/>
              <w:ind w:right="173"/>
              <w:jc w:val="right"/>
              <w:rPr>
                <w:rFonts w:ascii="Arial" w:hAnsi="Arial" w:cs="Arial"/>
                <w:szCs w:val="20"/>
              </w:rPr>
            </w:pPr>
          </w:p>
        </w:tc>
        <w:tc>
          <w:tcPr>
            <w:tcW w:w="1559" w:type="dxa"/>
            <w:tcBorders>
              <w:left w:val="nil"/>
              <w:right w:val="nil"/>
            </w:tcBorders>
          </w:tcPr>
          <w:p w14:paraId="131DFA9A" w14:textId="77777777" w:rsidR="00B256C2" w:rsidRPr="00BA56F7" w:rsidRDefault="00B256C2" w:rsidP="007975AC">
            <w:pPr>
              <w:spacing w:after="0"/>
              <w:ind w:right="173"/>
              <w:jc w:val="right"/>
              <w:rPr>
                <w:rFonts w:ascii="Arial" w:hAnsi="Arial" w:cs="Arial"/>
                <w:szCs w:val="20"/>
              </w:rPr>
            </w:pPr>
          </w:p>
        </w:tc>
        <w:tc>
          <w:tcPr>
            <w:tcW w:w="1829" w:type="dxa"/>
            <w:gridSpan w:val="3"/>
            <w:tcBorders>
              <w:left w:val="nil"/>
            </w:tcBorders>
          </w:tcPr>
          <w:p w14:paraId="0023A663" w14:textId="77777777" w:rsidR="00B256C2" w:rsidRPr="00BA56F7" w:rsidRDefault="00B256C2" w:rsidP="007975AC">
            <w:pPr>
              <w:spacing w:after="0"/>
              <w:ind w:right="173"/>
              <w:jc w:val="right"/>
              <w:rPr>
                <w:rFonts w:ascii="Arial" w:hAnsi="Arial" w:cs="Arial"/>
                <w:szCs w:val="20"/>
              </w:rPr>
            </w:pPr>
          </w:p>
        </w:tc>
        <w:tc>
          <w:tcPr>
            <w:tcW w:w="1289" w:type="dxa"/>
            <w:tcBorders>
              <w:left w:val="nil"/>
              <w:right w:val="nil"/>
            </w:tcBorders>
            <w:vAlign w:val="bottom"/>
          </w:tcPr>
          <w:p w14:paraId="72B2DF88" w14:textId="77777777" w:rsidR="00B256C2" w:rsidRPr="00BA56F7" w:rsidRDefault="00B256C2" w:rsidP="007975AC">
            <w:pPr>
              <w:spacing w:after="0"/>
              <w:ind w:right="173"/>
              <w:jc w:val="right"/>
              <w:rPr>
                <w:rFonts w:ascii="Arial" w:hAnsi="Arial" w:cs="Arial"/>
                <w:szCs w:val="20"/>
              </w:rPr>
            </w:pPr>
          </w:p>
        </w:tc>
      </w:tr>
      <w:tr w:rsidR="00B256C2" w:rsidRPr="009858B0" w14:paraId="0D6D79F6" w14:textId="77777777" w:rsidTr="007975AC">
        <w:tc>
          <w:tcPr>
            <w:tcW w:w="4050" w:type="dxa"/>
            <w:gridSpan w:val="2"/>
            <w:tcBorders>
              <w:left w:val="nil"/>
              <w:bottom w:val="single" w:sz="12" w:space="0" w:color="auto"/>
            </w:tcBorders>
            <w:vAlign w:val="bottom"/>
          </w:tcPr>
          <w:p w14:paraId="6551DC2C" w14:textId="77777777" w:rsidR="00B256C2" w:rsidRPr="009858B0" w:rsidRDefault="00B256C2" w:rsidP="007975AC">
            <w:pPr>
              <w:spacing w:after="0"/>
              <w:rPr>
                <w:rFonts w:ascii="Arial" w:hAnsi="Arial" w:cs="Arial"/>
                <w:szCs w:val="20"/>
              </w:rPr>
            </w:pPr>
          </w:p>
        </w:tc>
        <w:tc>
          <w:tcPr>
            <w:tcW w:w="1701" w:type="dxa"/>
            <w:gridSpan w:val="3"/>
            <w:tcBorders>
              <w:left w:val="nil"/>
              <w:bottom w:val="single" w:sz="12" w:space="0" w:color="auto"/>
            </w:tcBorders>
            <w:vAlign w:val="bottom"/>
          </w:tcPr>
          <w:p w14:paraId="107875E1" w14:textId="3225189C" w:rsidR="00B256C2" w:rsidRPr="009858B0" w:rsidRDefault="00C23BFD" w:rsidP="007975AC">
            <w:pPr>
              <w:spacing w:after="0"/>
              <w:ind w:right="173"/>
              <w:jc w:val="right"/>
              <w:rPr>
                <w:rFonts w:ascii="Arial" w:hAnsi="Arial" w:cs="Arial"/>
                <w:szCs w:val="20"/>
              </w:rPr>
            </w:pPr>
            <w:r w:rsidRPr="005241D0">
              <w:rPr>
                <w:rFonts w:ascii="Arial" w:hAnsi="Arial" w:cs="Arial"/>
              </w:rPr>
              <w:t>224,686</w:t>
            </w:r>
          </w:p>
        </w:tc>
        <w:tc>
          <w:tcPr>
            <w:tcW w:w="1701" w:type="dxa"/>
            <w:tcBorders>
              <w:left w:val="nil"/>
              <w:bottom w:val="single" w:sz="12" w:space="0" w:color="auto"/>
              <w:right w:val="nil"/>
            </w:tcBorders>
            <w:vAlign w:val="bottom"/>
          </w:tcPr>
          <w:p w14:paraId="784EEFCF" w14:textId="0BFD5B46" w:rsidR="00B256C2" w:rsidRPr="009858B0" w:rsidRDefault="00C23BFD" w:rsidP="007975AC">
            <w:pPr>
              <w:spacing w:after="0"/>
              <w:ind w:right="173"/>
              <w:jc w:val="right"/>
              <w:rPr>
                <w:rFonts w:ascii="Arial" w:hAnsi="Arial" w:cs="Arial"/>
                <w:szCs w:val="20"/>
              </w:rPr>
            </w:pPr>
            <w:r w:rsidRPr="009858B0">
              <w:rPr>
                <w:rFonts w:ascii="Arial" w:hAnsi="Arial" w:cs="Arial"/>
                <w:szCs w:val="20"/>
              </w:rPr>
              <w:t>–</w:t>
            </w:r>
          </w:p>
        </w:tc>
        <w:tc>
          <w:tcPr>
            <w:tcW w:w="1559" w:type="dxa"/>
            <w:gridSpan w:val="3"/>
            <w:tcBorders>
              <w:left w:val="nil"/>
              <w:bottom w:val="single" w:sz="12" w:space="0" w:color="auto"/>
              <w:right w:val="nil"/>
            </w:tcBorders>
            <w:vAlign w:val="bottom"/>
          </w:tcPr>
          <w:p w14:paraId="0752C573" w14:textId="77777777" w:rsidR="00B256C2" w:rsidRPr="009858B0" w:rsidRDefault="00B256C2" w:rsidP="007975AC">
            <w:pPr>
              <w:spacing w:after="0"/>
              <w:ind w:right="173"/>
              <w:jc w:val="right"/>
              <w:rPr>
                <w:rFonts w:ascii="Arial" w:hAnsi="Arial" w:cs="Arial"/>
                <w:szCs w:val="20"/>
              </w:rPr>
            </w:pPr>
            <w:r w:rsidRPr="009858B0">
              <w:rPr>
                <w:rFonts w:ascii="Arial" w:hAnsi="Arial" w:cs="Arial"/>
                <w:szCs w:val="20"/>
              </w:rPr>
              <w:t>–</w:t>
            </w:r>
          </w:p>
        </w:tc>
      </w:tr>
      <w:tr w:rsidR="00B256C2" w:rsidRPr="009858B0" w14:paraId="218B790B" w14:textId="77777777" w:rsidTr="007975AC">
        <w:trPr>
          <w:trHeight w:hRule="exact" w:val="86"/>
        </w:trPr>
        <w:tc>
          <w:tcPr>
            <w:tcW w:w="4050" w:type="dxa"/>
            <w:gridSpan w:val="2"/>
            <w:tcBorders>
              <w:top w:val="single" w:sz="12" w:space="0" w:color="auto"/>
              <w:left w:val="nil"/>
            </w:tcBorders>
            <w:vAlign w:val="bottom"/>
          </w:tcPr>
          <w:p w14:paraId="3BEC9A26" w14:textId="77777777" w:rsidR="00B256C2" w:rsidRPr="009858B0" w:rsidRDefault="00B256C2" w:rsidP="007975AC">
            <w:pPr>
              <w:spacing w:after="0"/>
              <w:rPr>
                <w:rFonts w:ascii="Arial" w:hAnsi="Arial" w:cs="Arial"/>
                <w:szCs w:val="20"/>
              </w:rPr>
            </w:pPr>
          </w:p>
        </w:tc>
        <w:tc>
          <w:tcPr>
            <w:tcW w:w="1701" w:type="dxa"/>
            <w:gridSpan w:val="3"/>
            <w:tcBorders>
              <w:top w:val="single" w:sz="12" w:space="0" w:color="auto"/>
              <w:left w:val="nil"/>
            </w:tcBorders>
            <w:vAlign w:val="bottom"/>
          </w:tcPr>
          <w:p w14:paraId="7EE27E17" w14:textId="77777777" w:rsidR="00B256C2" w:rsidRPr="009858B0" w:rsidRDefault="00B256C2" w:rsidP="007975AC">
            <w:pPr>
              <w:spacing w:after="0"/>
              <w:ind w:right="173"/>
              <w:jc w:val="right"/>
              <w:rPr>
                <w:rFonts w:ascii="Arial" w:hAnsi="Arial" w:cs="Arial"/>
                <w:szCs w:val="20"/>
              </w:rPr>
            </w:pPr>
          </w:p>
        </w:tc>
        <w:tc>
          <w:tcPr>
            <w:tcW w:w="1701" w:type="dxa"/>
            <w:tcBorders>
              <w:top w:val="single" w:sz="12" w:space="0" w:color="auto"/>
              <w:left w:val="nil"/>
              <w:right w:val="nil"/>
            </w:tcBorders>
            <w:vAlign w:val="bottom"/>
          </w:tcPr>
          <w:p w14:paraId="520C33D6" w14:textId="77777777" w:rsidR="00B256C2" w:rsidRPr="009858B0" w:rsidRDefault="00B256C2" w:rsidP="007975AC">
            <w:pPr>
              <w:spacing w:after="0"/>
              <w:ind w:right="173"/>
              <w:jc w:val="right"/>
              <w:rPr>
                <w:rFonts w:ascii="Arial" w:hAnsi="Arial" w:cs="Arial"/>
                <w:szCs w:val="20"/>
              </w:rPr>
            </w:pPr>
          </w:p>
        </w:tc>
        <w:tc>
          <w:tcPr>
            <w:tcW w:w="1559" w:type="dxa"/>
            <w:gridSpan w:val="3"/>
            <w:tcBorders>
              <w:top w:val="single" w:sz="12" w:space="0" w:color="auto"/>
              <w:left w:val="nil"/>
              <w:right w:val="nil"/>
            </w:tcBorders>
            <w:vAlign w:val="bottom"/>
          </w:tcPr>
          <w:p w14:paraId="392D7FC5" w14:textId="77777777" w:rsidR="00B256C2" w:rsidRPr="009858B0" w:rsidRDefault="00B256C2" w:rsidP="007975AC">
            <w:pPr>
              <w:spacing w:after="0"/>
              <w:ind w:right="173"/>
              <w:jc w:val="right"/>
              <w:rPr>
                <w:rFonts w:ascii="Arial" w:hAnsi="Arial" w:cs="Arial"/>
                <w:szCs w:val="20"/>
              </w:rPr>
            </w:pPr>
          </w:p>
        </w:tc>
      </w:tr>
    </w:tbl>
    <w:p w14:paraId="7EAF519E" w14:textId="77777777" w:rsidR="00B256C2" w:rsidRDefault="00B256C2" w:rsidP="00B256C2">
      <w:pPr>
        <w:pStyle w:val="BodyTextIndent"/>
        <w:spacing w:after="0" w:line="240" w:lineRule="auto"/>
        <w:ind w:left="450"/>
        <w:jc w:val="both"/>
        <w:rPr>
          <w:rFonts w:ascii="Arial" w:hAnsi="Arial" w:cs="Arial"/>
          <w:bCs/>
          <w:szCs w:val="20"/>
        </w:rPr>
      </w:pPr>
    </w:p>
    <w:p w14:paraId="73B6E594" w14:textId="516C5F5F" w:rsidR="00B256C2" w:rsidRDefault="00B256C2" w:rsidP="00C23BFD">
      <w:pPr>
        <w:spacing w:after="0" w:line="240" w:lineRule="auto"/>
        <w:ind w:left="450"/>
        <w:jc w:val="both"/>
        <w:rPr>
          <w:rFonts w:ascii="Arial" w:eastAsia="Times New Roman" w:hAnsi="Arial" w:cs="Arial"/>
          <w:bCs/>
          <w:szCs w:val="20"/>
        </w:rPr>
      </w:pPr>
      <w:r w:rsidRPr="00EC59D2">
        <w:rPr>
          <w:rFonts w:ascii="Arial" w:hAnsi="Arial" w:cs="Arial"/>
          <w:bCs/>
          <w:szCs w:val="20"/>
          <w:lang w:val="en-CA"/>
        </w:rPr>
        <w:t xml:space="preserve">On </w:t>
      </w:r>
      <w:r w:rsidR="00C23BFD">
        <w:rPr>
          <w:rFonts w:ascii="Arial" w:hAnsi="Arial" w:cs="Arial"/>
          <w:bCs/>
          <w:szCs w:val="20"/>
          <w:lang w:val="en-CA"/>
        </w:rPr>
        <w:t xml:space="preserve">September 19, 2019, the Company entered into a loan </w:t>
      </w:r>
      <w:r w:rsidR="00C83768">
        <w:rPr>
          <w:rFonts w:ascii="Arial" w:hAnsi="Arial" w:cs="Arial"/>
          <w:bCs/>
          <w:szCs w:val="20"/>
          <w:lang w:val="en-CA"/>
        </w:rPr>
        <w:t xml:space="preserve">agreement with principal amount of </w:t>
      </w:r>
      <w:r w:rsidR="00C83768" w:rsidRPr="00C83768">
        <w:rPr>
          <w:rFonts w:ascii="Arial" w:hAnsi="Arial" w:cs="Arial"/>
          <w:bCs/>
          <w:szCs w:val="20"/>
          <w:lang w:val="en-CA"/>
        </w:rPr>
        <w:t>€</w:t>
      </w:r>
      <w:r w:rsidR="00C83768">
        <w:rPr>
          <w:rFonts w:ascii="Arial" w:hAnsi="Arial" w:cs="Arial"/>
          <w:bCs/>
          <w:szCs w:val="20"/>
          <w:lang w:val="en-CA"/>
        </w:rPr>
        <w:t xml:space="preserve">150,000, term of six months and interest rate of 18% per annum.  The carrying amount of the loan principal and accrued interest as at October 31, 2019 is $224,686 (January 31, 2019 and February 1, 2018 - $nil and $nil, respectively).  </w:t>
      </w:r>
    </w:p>
    <w:p w14:paraId="6402B927" w14:textId="77777777" w:rsidR="00B256C2" w:rsidRDefault="00B256C2" w:rsidP="002956D7">
      <w:pPr>
        <w:tabs>
          <w:tab w:val="left" w:pos="450"/>
        </w:tabs>
        <w:spacing w:after="0" w:line="240" w:lineRule="auto"/>
        <w:jc w:val="both"/>
        <w:rPr>
          <w:rFonts w:ascii="Arial" w:hAnsi="Arial" w:cs="Arial"/>
          <w:b/>
          <w:szCs w:val="20"/>
        </w:rPr>
      </w:pPr>
    </w:p>
    <w:p w14:paraId="6657989B" w14:textId="065FA52B" w:rsidR="002956D7" w:rsidRDefault="00C83768" w:rsidP="002956D7">
      <w:pPr>
        <w:tabs>
          <w:tab w:val="left" w:pos="450"/>
        </w:tabs>
        <w:spacing w:after="0" w:line="240" w:lineRule="auto"/>
        <w:jc w:val="both"/>
        <w:rPr>
          <w:rFonts w:ascii="Arial" w:hAnsi="Arial" w:cs="Arial"/>
          <w:b/>
          <w:szCs w:val="20"/>
        </w:rPr>
      </w:pPr>
      <w:r>
        <w:rPr>
          <w:rFonts w:ascii="Arial" w:hAnsi="Arial" w:cs="Arial"/>
          <w:b/>
          <w:szCs w:val="20"/>
        </w:rPr>
        <w:t>6</w:t>
      </w:r>
      <w:r w:rsidR="002956D7" w:rsidRPr="00BA56F7">
        <w:rPr>
          <w:rFonts w:ascii="Arial" w:hAnsi="Arial" w:cs="Arial"/>
          <w:b/>
          <w:szCs w:val="20"/>
        </w:rPr>
        <w:t xml:space="preserve">.    </w:t>
      </w:r>
      <w:r w:rsidR="002956D7" w:rsidRPr="00BA56F7">
        <w:rPr>
          <w:rFonts w:ascii="Arial" w:hAnsi="Arial" w:cs="Arial"/>
          <w:b/>
          <w:szCs w:val="20"/>
        </w:rPr>
        <w:tab/>
      </w:r>
      <w:r w:rsidR="002B1A73">
        <w:rPr>
          <w:rFonts w:ascii="Arial" w:hAnsi="Arial" w:cs="Arial"/>
          <w:b/>
          <w:szCs w:val="20"/>
        </w:rPr>
        <w:t>Prepaid i</w:t>
      </w:r>
      <w:r w:rsidR="002956D7">
        <w:rPr>
          <w:rFonts w:ascii="Arial" w:hAnsi="Arial" w:cs="Arial"/>
          <w:b/>
          <w:szCs w:val="20"/>
        </w:rPr>
        <w:t>nventory</w:t>
      </w:r>
    </w:p>
    <w:tbl>
      <w:tblPr>
        <w:tblW w:w="8741" w:type="dxa"/>
        <w:tblInd w:w="450" w:type="dxa"/>
        <w:tblLayout w:type="fixed"/>
        <w:tblCellMar>
          <w:left w:w="0" w:type="dxa"/>
          <w:right w:w="0" w:type="dxa"/>
        </w:tblCellMar>
        <w:tblLook w:val="0000" w:firstRow="0" w:lastRow="0" w:firstColumn="0" w:lastColumn="0" w:noHBand="0" w:noVBand="0"/>
      </w:tblPr>
      <w:tblGrid>
        <w:gridCol w:w="2610"/>
        <w:gridCol w:w="1170"/>
        <w:gridCol w:w="119"/>
        <w:gridCol w:w="1559"/>
        <w:gridCol w:w="23"/>
        <w:gridCol w:w="1701"/>
        <w:gridCol w:w="105"/>
        <w:gridCol w:w="1289"/>
        <w:gridCol w:w="165"/>
      </w:tblGrid>
      <w:tr w:rsidR="002956D7" w:rsidRPr="009858B0" w14:paraId="5E1A83A9" w14:textId="77777777" w:rsidTr="002956D7">
        <w:tc>
          <w:tcPr>
            <w:tcW w:w="3780" w:type="dxa"/>
            <w:gridSpan w:val="2"/>
            <w:tcBorders>
              <w:top w:val="nil"/>
              <w:left w:val="nil"/>
              <w:bottom w:val="single" w:sz="4" w:space="0" w:color="auto"/>
            </w:tcBorders>
            <w:vAlign w:val="bottom"/>
          </w:tcPr>
          <w:p w14:paraId="20E5E199" w14:textId="77777777" w:rsidR="002956D7" w:rsidRPr="009858B0" w:rsidRDefault="002956D7" w:rsidP="00C74354">
            <w:pPr>
              <w:spacing w:after="0" w:line="240" w:lineRule="auto"/>
              <w:rPr>
                <w:rFonts w:ascii="Arial" w:hAnsi="Arial" w:cs="Arial"/>
                <w:szCs w:val="20"/>
              </w:rPr>
            </w:pPr>
            <w:r w:rsidRPr="009858B0">
              <w:rPr>
                <w:rFonts w:ascii="Arial" w:hAnsi="Arial" w:cs="Arial"/>
                <w:b/>
                <w:bCs/>
                <w:szCs w:val="20"/>
              </w:rPr>
              <w:tab/>
            </w:r>
          </w:p>
        </w:tc>
        <w:tc>
          <w:tcPr>
            <w:tcW w:w="1701" w:type="dxa"/>
            <w:gridSpan w:val="3"/>
            <w:tcBorders>
              <w:top w:val="nil"/>
              <w:left w:val="nil"/>
              <w:bottom w:val="single" w:sz="4" w:space="0" w:color="auto"/>
            </w:tcBorders>
            <w:vAlign w:val="bottom"/>
          </w:tcPr>
          <w:p w14:paraId="2E0C61CE" w14:textId="7DF3EEDE" w:rsidR="002956D7" w:rsidRPr="009858B0" w:rsidRDefault="002B1A73" w:rsidP="00C74354">
            <w:pPr>
              <w:spacing w:after="0" w:line="240" w:lineRule="auto"/>
              <w:jc w:val="center"/>
              <w:rPr>
                <w:rFonts w:ascii="Arial" w:hAnsi="Arial" w:cs="Arial"/>
                <w:szCs w:val="20"/>
              </w:rPr>
            </w:pPr>
            <w:r>
              <w:rPr>
                <w:rFonts w:ascii="Arial" w:hAnsi="Arial" w:cs="Arial"/>
                <w:szCs w:val="20"/>
              </w:rPr>
              <w:t>October</w:t>
            </w:r>
            <w:r w:rsidR="002956D7" w:rsidRPr="009858B0">
              <w:rPr>
                <w:rFonts w:ascii="Arial" w:hAnsi="Arial" w:cs="Arial"/>
                <w:szCs w:val="20"/>
              </w:rPr>
              <w:t xml:space="preserve"> 31,</w:t>
            </w:r>
          </w:p>
          <w:p w14:paraId="2C10F0A8" w14:textId="77777777" w:rsidR="002956D7" w:rsidRPr="009858B0" w:rsidRDefault="002956D7" w:rsidP="00C74354">
            <w:pPr>
              <w:spacing w:after="0" w:line="240" w:lineRule="auto"/>
              <w:jc w:val="center"/>
              <w:rPr>
                <w:rFonts w:ascii="Arial" w:hAnsi="Arial" w:cs="Arial"/>
                <w:szCs w:val="20"/>
              </w:rPr>
            </w:pPr>
            <w:r>
              <w:rPr>
                <w:rFonts w:ascii="Arial" w:hAnsi="Arial" w:cs="Arial"/>
                <w:szCs w:val="20"/>
              </w:rPr>
              <w:t>2019</w:t>
            </w:r>
          </w:p>
          <w:p w14:paraId="20ED2830" w14:textId="77777777" w:rsidR="002956D7" w:rsidRDefault="002956D7" w:rsidP="00C74354">
            <w:pPr>
              <w:spacing w:after="0" w:line="240" w:lineRule="auto"/>
              <w:jc w:val="center"/>
              <w:rPr>
                <w:rFonts w:ascii="Arial" w:hAnsi="Arial" w:cs="Arial"/>
                <w:szCs w:val="20"/>
              </w:rPr>
            </w:pPr>
            <w:r w:rsidRPr="009858B0">
              <w:rPr>
                <w:rFonts w:ascii="Arial" w:hAnsi="Arial" w:cs="Arial"/>
                <w:szCs w:val="20"/>
              </w:rPr>
              <w:t>$</w:t>
            </w:r>
          </w:p>
        </w:tc>
        <w:tc>
          <w:tcPr>
            <w:tcW w:w="1701" w:type="dxa"/>
            <w:tcBorders>
              <w:top w:val="nil"/>
              <w:left w:val="nil"/>
              <w:bottom w:val="single" w:sz="4" w:space="0" w:color="auto"/>
              <w:right w:val="nil"/>
            </w:tcBorders>
            <w:vAlign w:val="bottom"/>
          </w:tcPr>
          <w:p w14:paraId="452B7408" w14:textId="77777777" w:rsidR="002956D7" w:rsidRPr="009858B0" w:rsidRDefault="002956D7" w:rsidP="00C74354">
            <w:pPr>
              <w:spacing w:after="0" w:line="240" w:lineRule="auto"/>
              <w:jc w:val="center"/>
              <w:rPr>
                <w:rFonts w:ascii="Arial" w:hAnsi="Arial" w:cs="Arial"/>
                <w:szCs w:val="20"/>
              </w:rPr>
            </w:pPr>
            <w:r>
              <w:rPr>
                <w:rFonts w:ascii="Arial" w:hAnsi="Arial" w:cs="Arial"/>
                <w:szCs w:val="20"/>
              </w:rPr>
              <w:t>January</w:t>
            </w:r>
            <w:r w:rsidRPr="009858B0">
              <w:rPr>
                <w:rFonts w:ascii="Arial" w:hAnsi="Arial" w:cs="Arial"/>
                <w:szCs w:val="20"/>
              </w:rPr>
              <w:t xml:space="preserve"> 31,</w:t>
            </w:r>
          </w:p>
          <w:p w14:paraId="2F0F3265" w14:textId="5D1199D5" w:rsidR="002956D7" w:rsidRPr="009858B0" w:rsidRDefault="002956D7" w:rsidP="00C74354">
            <w:pPr>
              <w:spacing w:after="0" w:line="240" w:lineRule="auto"/>
              <w:jc w:val="center"/>
              <w:rPr>
                <w:rFonts w:ascii="Arial" w:hAnsi="Arial" w:cs="Arial"/>
                <w:szCs w:val="20"/>
              </w:rPr>
            </w:pPr>
            <w:r>
              <w:rPr>
                <w:rFonts w:ascii="Arial" w:hAnsi="Arial" w:cs="Arial"/>
                <w:szCs w:val="20"/>
              </w:rPr>
              <w:t>2019</w:t>
            </w:r>
          </w:p>
          <w:p w14:paraId="750D1E36" w14:textId="77777777" w:rsidR="002956D7" w:rsidRPr="009858B0" w:rsidRDefault="002956D7" w:rsidP="00C74354">
            <w:pPr>
              <w:spacing w:after="0" w:line="240" w:lineRule="auto"/>
              <w:jc w:val="center"/>
              <w:rPr>
                <w:rFonts w:ascii="Arial" w:hAnsi="Arial" w:cs="Arial"/>
                <w:szCs w:val="20"/>
              </w:rPr>
            </w:pPr>
            <w:r w:rsidRPr="009858B0">
              <w:rPr>
                <w:rFonts w:ascii="Arial" w:hAnsi="Arial" w:cs="Arial"/>
                <w:szCs w:val="20"/>
              </w:rPr>
              <w:t>$</w:t>
            </w:r>
          </w:p>
        </w:tc>
        <w:tc>
          <w:tcPr>
            <w:tcW w:w="1559" w:type="dxa"/>
            <w:gridSpan w:val="3"/>
            <w:tcBorders>
              <w:top w:val="nil"/>
              <w:left w:val="nil"/>
              <w:bottom w:val="single" w:sz="4" w:space="0" w:color="auto"/>
              <w:right w:val="nil"/>
            </w:tcBorders>
            <w:vAlign w:val="bottom"/>
          </w:tcPr>
          <w:p w14:paraId="134CEF70" w14:textId="77777777" w:rsidR="002956D7" w:rsidRPr="009858B0" w:rsidRDefault="002956D7" w:rsidP="00C74354">
            <w:pPr>
              <w:spacing w:after="0" w:line="240" w:lineRule="auto"/>
              <w:jc w:val="center"/>
              <w:rPr>
                <w:rFonts w:ascii="Arial" w:hAnsi="Arial" w:cs="Arial"/>
                <w:szCs w:val="20"/>
              </w:rPr>
            </w:pPr>
            <w:r>
              <w:rPr>
                <w:rFonts w:ascii="Arial" w:hAnsi="Arial" w:cs="Arial"/>
                <w:szCs w:val="20"/>
              </w:rPr>
              <w:t>February 1</w:t>
            </w:r>
            <w:r w:rsidRPr="009858B0">
              <w:rPr>
                <w:rFonts w:ascii="Arial" w:hAnsi="Arial" w:cs="Arial"/>
                <w:szCs w:val="20"/>
              </w:rPr>
              <w:t>,</w:t>
            </w:r>
          </w:p>
          <w:p w14:paraId="098A4BDF" w14:textId="645D624C" w:rsidR="002956D7" w:rsidRPr="009858B0" w:rsidRDefault="002956D7" w:rsidP="00C74354">
            <w:pPr>
              <w:spacing w:after="0" w:line="240" w:lineRule="auto"/>
              <w:jc w:val="center"/>
              <w:rPr>
                <w:rFonts w:ascii="Arial" w:hAnsi="Arial" w:cs="Arial"/>
                <w:szCs w:val="20"/>
              </w:rPr>
            </w:pPr>
            <w:r>
              <w:rPr>
                <w:rFonts w:ascii="Arial" w:hAnsi="Arial" w:cs="Arial"/>
                <w:szCs w:val="20"/>
              </w:rPr>
              <w:t>2018</w:t>
            </w:r>
          </w:p>
          <w:p w14:paraId="198D559F" w14:textId="77777777" w:rsidR="002956D7" w:rsidRPr="009858B0" w:rsidRDefault="002956D7" w:rsidP="00C74354">
            <w:pPr>
              <w:spacing w:after="0" w:line="240" w:lineRule="auto"/>
              <w:jc w:val="center"/>
              <w:rPr>
                <w:rFonts w:ascii="Arial" w:hAnsi="Arial" w:cs="Arial"/>
                <w:szCs w:val="20"/>
              </w:rPr>
            </w:pPr>
            <w:r w:rsidRPr="009858B0">
              <w:rPr>
                <w:rFonts w:ascii="Arial" w:hAnsi="Arial" w:cs="Arial"/>
                <w:szCs w:val="20"/>
              </w:rPr>
              <w:t>$</w:t>
            </w:r>
          </w:p>
        </w:tc>
      </w:tr>
      <w:tr w:rsidR="002956D7" w:rsidRPr="009858B0" w14:paraId="3904E93C" w14:textId="77777777" w:rsidTr="002956D7">
        <w:trPr>
          <w:trHeight w:hRule="exact" w:val="113"/>
        </w:trPr>
        <w:tc>
          <w:tcPr>
            <w:tcW w:w="3780" w:type="dxa"/>
            <w:gridSpan w:val="2"/>
            <w:tcBorders>
              <w:top w:val="single" w:sz="4" w:space="0" w:color="auto"/>
              <w:left w:val="nil"/>
            </w:tcBorders>
            <w:vAlign w:val="bottom"/>
          </w:tcPr>
          <w:p w14:paraId="3A39CE80" w14:textId="77777777" w:rsidR="002956D7" w:rsidRPr="009858B0" w:rsidRDefault="002956D7" w:rsidP="00C74354">
            <w:pPr>
              <w:spacing w:after="0" w:line="240" w:lineRule="auto"/>
              <w:rPr>
                <w:rFonts w:ascii="Arial" w:hAnsi="Arial" w:cs="Arial"/>
                <w:szCs w:val="20"/>
              </w:rPr>
            </w:pPr>
          </w:p>
        </w:tc>
        <w:tc>
          <w:tcPr>
            <w:tcW w:w="1701" w:type="dxa"/>
            <w:gridSpan w:val="3"/>
            <w:tcBorders>
              <w:top w:val="single" w:sz="4" w:space="0" w:color="auto"/>
              <w:left w:val="nil"/>
            </w:tcBorders>
            <w:vAlign w:val="bottom"/>
          </w:tcPr>
          <w:p w14:paraId="56B3D1C0" w14:textId="77777777" w:rsidR="002956D7" w:rsidRPr="009858B0" w:rsidRDefault="002956D7" w:rsidP="00C74354">
            <w:pPr>
              <w:spacing w:after="0" w:line="240" w:lineRule="auto"/>
              <w:ind w:right="369"/>
              <w:jc w:val="right"/>
              <w:rPr>
                <w:rFonts w:ascii="Arial" w:hAnsi="Arial" w:cs="Arial"/>
                <w:szCs w:val="20"/>
              </w:rPr>
            </w:pPr>
          </w:p>
        </w:tc>
        <w:tc>
          <w:tcPr>
            <w:tcW w:w="1701" w:type="dxa"/>
            <w:tcBorders>
              <w:top w:val="single" w:sz="4" w:space="0" w:color="auto"/>
              <w:left w:val="nil"/>
              <w:right w:val="nil"/>
            </w:tcBorders>
            <w:vAlign w:val="bottom"/>
          </w:tcPr>
          <w:p w14:paraId="4B829701" w14:textId="77777777" w:rsidR="002956D7" w:rsidRPr="009858B0" w:rsidRDefault="002956D7" w:rsidP="00C74354">
            <w:pPr>
              <w:spacing w:after="0" w:line="240" w:lineRule="auto"/>
              <w:ind w:right="369"/>
              <w:jc w:val="right"/>
              <w:rPr>
                <w:rFonts w:ascii="Arial" w:hAnsi="Arial" w:cs="Arial"/>
                <w:szCs w:val="20"/>
              </w:rPr>
            </w:pPr>
          </w:p>
        </w:tc>
        <w:tc>
          <w:tcPr>
            <w:tcW w:w="1559" w:type="dxa"/>
            <w:gridSpan w:val="3"/>
            <w:tcBorders>
              <w:top w:val="single" w:sz="4" w:space="0" w:color="auto"/>
              <w:left w:val="nil"/>
              <w:right w:val="nil"/>
            </w:tcBorders>
            <w:vAlign w:val="bottom"/>
          </w:tcPr>
          <w:p w14:paraId="6BE7DC8C" w14:textId="77777777" w:rsidR="002956D7" w:rsidRPr="009858B0" w:rsidRDefault="002956D7" w:rsidP="00C74354">
            <w:pPr>
              <w:spacing w:after="0" w:line="240" w:lineRule="auto"/>
              <w:ind w:right="369"/>
              <w:jc w:val="right"/>
              <w:rPr>
                <w:rFonts w:ascii="Arial" w:hAnsi="Arial" w:cs="Arial"/>
                <w:szCs w:val="20"/>
              </w:rPr>
            </w:pPr>
          </w:p>
        </w:tc>
      </w:tr>
      <w:tr w:rsidR="002956D7" w:rsidRPr="009858B0" w14:paraId="746015BB" w14:textId="77777777" w:rsidTr="002956D7">
        <w:tc>
          <w:tcPr>
            <w:tcW w:w="3780" w:type="dxa"/>
            <w:gridSpan w:val="2"/>
            <w:tcBorders>
              <w:left w:val="nil"/>
              <w:bottom w:val="single" w:sz="4" w:space="0" w:color="auto"/>
            </w:tcBorders>
            <w:vAlign w:val="bottom"/>
          </w:tcPr>
          <w:p w14:paraId="63FAC72D" w14:textId="7529CF92" w:rsidR="002956D7" w:rsidRPr="00C83768" w:rsidRDefault="002B1A73" w:rsidP="00C74354">
            <w:pPr>
              <w:spacing w:after="0"/>
              <w:rPr>
                <w:rFonts w:ascii="Arial" w:hAnsi="Arial" w:cs="Arial"/>
                <w:szCs w:val="20"/>
              </w:rPr>
            </w:pPr>
            <w:r w:rsidRPr="00C83768">
              <w:rPr>
                <w:rFonts w:ascii="Arial" w:hAnsi="Arial" w:cs="Arial"/>
                <w:szCs w:val="20"/>
              </w:rPr>
              <w:t>Micelle cannabinoid oils</w:t>
            </w:r>
          </w:p>
        </w:tc>
        <w:tc>
          <w:tcPr>
            <w:tcW w:w="1701" w:type="dxa"/>
            <w:gridSpan w:val="3"/>
            <w:tcBorders>
              <w:left w:val="nil"/>
              <w:bottom w:val="single" w:sz="4" w:space="0" w:color="auto"/>
            </w:tcBorders>
            <w:vAlign w:val="bottom"/>
          </w:tcPr>
          <w:p w14:paraId="26B7F8B1" w14:textId="7B50CF1C" w:rsidR="002956D7" w:rsidRPr="00C83768" w:rsidRDefault="001E7D46" w:rsidP="00C74354">
            <w:pPr>
              <w:spacing w:after="0"/>
              <w:ind w:right="173"/>
              <w:jc w:val="right"/>
              <w:rPr>
                <w:rFonts w:ascii="Arial" w:hAnsi="Arial" w:cs="Arial"/>
                <w:szCs w:val="20"/>
              </w:rPr>
            </w:pPr>
            <w:r>
              <w:rPr>
                <w:rFonts w:ascii="Arial" w:hAnsi="Arial" w:cs="Arial"/>
                <w:szCs w:val="20"/>
              </w:rPr>
              <w:t>480,480</w:t>
            </w:r>
          </w:p>
        </w:tc>
        <w:tc>
          <w:tcPr>
            <w:tcW w:w="1701" w:type="dxa"/>
            <w:tcBorders>
              <w:left w:val="nil"/>
              <w:bottom w:val="single" w:sz="4" w:space="0" w:color="auto"/>
              <w:right w:val="nil"/>
            </w:tcBorders>
            <w:vAlign w:val="bottom"/>
          </w:tcPr>
          <w:p w14:paraId="7ACC74FD" w14:textId="77777777" w:rsidR="002956D7" w:rsidRPr="00C83768" w:rsidRDefault="002956D7" w:rsidP="00C74354">
            <w:pPr>
              <w:spacing w:after="0"/>
              <w:ind w:right="173"/>
              <w:jc w:val="right"/>
              <w:rPr>
                <w:rFonts w:ascii="Arial" w:hAnsi="Arial" w:cs="Arial"/>
                <w:szCs w:val="20"/>
              </w:rPr>
            </w:pPr>
            <w:r w:rsidRPr="00C83768">
              <w:rPr>
                <w:rFonts w:ascii="Arial" w:hAnsi="Arial" w:cs="Arial"/>
              </w:rPr>
              <w:t>–</w:t>
            </w:r>
          </w:p>
        </w:tc>
        <w:tc>
          <w:tcPr>
            <w:tcW w:w="1559" w:type="dxa"/>
            <w:gridSpan w:val="3"/>
            <w:tcBorders>
              <w:left w:val="nil"/>
              <w:bottom w:val="single" w:sz="4" w:space="0" w:color="auto"/>
              <w:right w:val="nil"/>
            </w:tcBorders>
            <w:vAlign w:val="bottom"/>
          </w:tcPr>
          <w:p w14:paraId="10B1142F" w14:textId="77777777" w:rsidR="002956D7" w:rsidRPr="009858B0" w:rsidRDefault="002956D7" w:rsidP="00C74354">
            <w:pPr>
              <w:spacing w:after="0"/>
              <w:ind w:right="173"/>
              <w:jc w:val="right"/>
              <w:rPr>
                <w:rFonts w:ascii="Arial" w:hAnsi="Arial" w:cs="Arial"/>
                <w:szCs w:val="20"/>
              </w:rPr>
            </w:pPr>
            <w:r w:rsidRPr="00C83768">
              <w:rPr>
                <w:rFonts w:ascii="Arial" w:hAnsi="Arial" w:cs="Arial"/>
                <w:szCs w:val="20"/>
              </w:rPr>
              <w:t>–</w:t>
            </w:r>
          </w:p>
        </w:tc>
      </w:tr>
      <w:tr w:rsidR="002956D7" w:rsidRPr="00BA56F7" w14:paraId="5C88AE4B" w14:textId="77777777" w:rsidTr="002956D7">
        <w:trPr>
          <w:gridAfter w:val="1"/>
          <w:wAfter w:w="165" w:type="dxa"/>
          <w:trHeight w:hRule="exact" w:val="86"/>
        </w:trPr>
        <w:tc>
          <w:tcPr>
            <w:tcW w:w="2610" w:type="dxa"/>
            <w:tcBorders>
              <w:left w:val="nil"/>
            </w:tcBorders>
            <w:vAlign w:val="bottom"/>
          </w:tcPr>
          <w:p w14:paraId="252E8BCA" w14:textId="77777777" w:rsidR="002956D7" w:rsidRPr="00BA56F7" w:rsidRDefault="002956D7" w:rsidP="00C74354">
            <w:pPr>
              <w:spacing w:after="0"/>
              <w:rPr>
                <w:rFonts w:ascii="Arial" w:hAnsi="Arial" w:cs="Arial"/>
                <w:szCs w:val="20"/>
              </w:rPr>
            </w:pPr>
          </w:p>
        </w:tc>
        <w:tc>
          <w:tcPr>
            <w:tcW w:w="1289" w:type="dxa"/>
            <w:gridSpan w:val="2"/>
            <w:tcBorders>
              <w:left w:val="nil"/>
            </w:tcBorders>
          </w:tcPr>
          <w:p w14:paraId="05B58ABF" w14:textId="77777777" w:rsidR="002956D7" w:rsidRPr="00BA56F7" w:rsidRDefault="002956D7" w:rsidP="00C74354">
            <w:pPr>
              <w:spacing w:after="0"/>
              <w:ind w:right="173"/>
              <w:jc w:val="right"/>
              <w:rPr>
                <w:rFonts w:ascii="Arial" w:hAnsi="Arial" w:cs="Arial"/>
                <w:szCs w:val="20"/>
              </w:rPr>
            </w:pPr>
          </w:p>
        </w:tc>
        <w:tc>
          <w:tcPr>
            <w:tcW w:w="1559" w:type="dxa"/>
            <w:tcBorders>
              <w:left w:val="nil"/>
              <w:right w:val="nil"/>
            </w:tcBorders>
          </w:tcPr>
          <w:p w14:paraId="20986401" w14:textId="77777777" w:rsidR="002956D7" w:rsidRPr="00BA56F7" w:rsidRDefault="002956D7" w:rsidP="00C74354">
            <w:pPr>
              <w:spacing w:after="0"/>
              <w:ind w:right="173"/>
              <w:jc w:val="right"/>
              <w:rPr>
                <w:rFonts w:ascii="Arial" w:hAnsi="Arial" w:cs="Arial"/>
                <w:szCs w:val="20"/>
              </w:rPr>
            </w:pPr>
          </w:p>
        </w:tc>
        <w:tc>
          <w:tcPr>
            <w:tcW w:w="1829" w:type="dxa"/>
            <w:gridSpan w:val="3"/>
            <w:tcBorders>
              <w:left w:val="nil"/>
            </w:tcBorders>
          </w:tcPr>
          <w:p w14:paraId="1141510F" w14:textId="77777777" w:rsidR="002956D7" w:rsidRPr="00BA56F7" w:rsidRDefault="002956D7" w:rsidP="00C74354">
            <w:pPr>
              <w:spacing w:after="0"/>
              <w:ind w:right="173"/>
              <w:jc w:val="right"/>
              <w:rPr>
                <w:rFonts w:ascii="Arial" w:hAnsi="Arial" w:cs="Arial"/>
                <w:szCs w:val="20"/>
              </w:rPr>
            </w:pPr>
          </w:p>
        </w:tc>
        <w:tc>
          <w:tcPr>
            <w:tcW w:w="1289" w:type="dxa"/>
            <w:tcBorders>
              <w:left w:val="nil"/>
              <w:right w:val="nil"/>
            </w:tcBorders>
            <w:vAlign w:val="bottom"/>
          </w:tcPr>
          <w:p w14:paraId="11CF65FF" w14:textId="77777777" w:rsidR="002956D7" w:rsidRPr="00BA56F7" w:rsidRDefault="002956D7" w:rsidP="00C74354">
            <w:pPr>
              <w:spacing w:after="0"/>
              <w:ind w:right="173"/>
              <w:jc w:val="right"/>
              <w:rPr>
                <w:rFonts w:ascii="Arial" w:hAnsi="Arial" w:cs="Arial"/>
                <w:szCs w:val="20"/>
              </w:rPr>
            </w:pPr>
          </w:p>
        </w:tc>
      </w:tr>
      <w:tr w:rsidR="002956D7" w:rsidRPr="009858B0" w14:paraId="0E283B34" w14:textId="77777777" w:rsidTr="002956D7">
        <w:tc>
          <w:tcPr>
            <w:tcW w:w="3780" w:type="dxa"/>
            <w:gridSpan w:val="2"/>
            <w:tcBorders>
              <w:left w:val="nil"/>
              <w:bottom w:val="single" w:sz="12" w:space="0" w:color="auto"/>
            </w:tcBorders>
            <w:vAlign w:val="bottom"/>
          </w:tcPr>
          <w:p w14:paraId="0293581B" w14:textId="77777777" w:rsidR="002956D7" w:rsidRPr="009858B0" w:rsidRDefault="002956D7" w:rsidP="00C74354">
            <w:pPr>
              <w:spacing w:after="0"/>
              <w:rPr>
                <w:rFonts w:ascii="Arial" w:hAnsi="Arial" w:cs="Arial"/>
                <w:szCs w:val="20"/>
              </w:rPr>
            </w:pPr>
          </w:p>
        </w:tc>
        <w:tc>
          <w:tcPr>
            <w:tcW w:w="1701" w:type="dxa"/>
            <w:gridSpan w:val="3"/>
            <w:tcBorders>
              <w:left w:val="nil"/>
              <w:bottom w:val="single" w:sz="12" w:space="0" w:color="auto"/>
            </w:tcBorders>
            <w:vAlign w:val="bottom"/>
          </w:tcPr>
          <w:p w14:paraId="69A7A3A7" w14:textId="0255B444" w:rsidR="002956D7" w:rsidRPr="009858B0" w:rsidRDefault="001E7D46" w:rsidP="00C74354">
            <w:pPr>
              <w:spacing w:after="0"/>
              <w:ind w:right="173"/>
              <w:jc w:val="right"/>
              <w:rPr>
                <w:rFonts w:ascii="Arial" w:hAnsi="Arial" w:cs="Arial"/>
                <w:szCs w:val="20"/>
              </w:rPr>
            </w:pPr>
            <w:r>
              <w:rPr>
                <w:rFonts w:ascii="Arial" w:hAnsi="Arial" w:cs="Arial"/>
                <w:szCs w:val="20"/>
              </w:rPr>
              <w:t>480,480</w:t>
            </w:r>
          </w:p>
        </w:tc>
        <w:tc>
          <w:tcPr>
            <w:tcW w:w="1701" w:type="dxa"/>
            <w:tcBorders>
              <w:left w:val="nil"/>
              <w:bottom w:val="single" w:sz="12" w:space="0" w:color="auto"/>
              <w:right w:val="nil"/>
            </w:tcBorders>
            <w:vAlign w:val="bottom"/>
          </w:tcPr>
          <w:p w14:paraId="5F3E1F13" w14:textId="77777777" w:rsidR="002956D7" w:rsidRPr="009858B0" w:rsidRDefault="002956D7" w:rsidP="00C74354">
            <w:pPr>
              <w:spacing w:after="0"/>
              <w:ind w:right="173"/>
              <w:jc w:val="right"/>
              <w:rPr>
                <w:rFonts w:ascii="Arial" w:hAnsi="Arial" w:cs="Arial"/>
                <w:szCs w:val="20"/>
              </w:rPr>
            </w:pPr>
            <w:r w:rsidRPr="009F3026">
              <w:rPr>
                <w:rFonts w:ascii="Arial" w:hAnsi="Arial" w:cs="Arial"/>
              </w:rPr>
              <w:t>–</w:t>
            </w:r>
          </w:p>
        </w:tc>
        <w:tc>
          <w:tcPr>
            <w:tcW w:w="1559" w:type="dxa"/>
            <w:gridSpan w:val="3"/>
            <w:tcBorders>
              <w:left w:val="nil"/>
              <w:bottom w:val="single" w:sz="12" w:space="0" w:color="auto"/>
              <w:right w:val="nil"/>
            </w:tcBorders>
            <w:vAlign w:val="bottom"/>
          </w:tcPr>
          <w:p w14:paraId="6D3B11D6" w14:textId="1D9E80DB" w:rsidR="002956D7" w:rsidRPr="009858B0" w:rsidRDefault="002956D7" w:rsidP="00C74354">
            <w:pPr>
              <w:spacing w:after="0"/>
              <w:ind w:right="173"/>
              <w:jc w:val="right"/>
              <w:rPr>
                <w:rFonts w:ascii="Arial" w:hAnsi="Arial" w:cs="Arial"/>
                <w:szCs w:val="20"/>
              </w:rPr>
            </w:pPr>
            <w:r w:rsidRPr="009858B0">
              <w:rPr>
                <w:rFonts w:ascii="Arial" w:hAnsi="Arial" w:cs="Arial"/>
                <w:szCs w:val="20"/>
              </w:rPr>
              <w:t>–</w:t>
            </w:r>
          </w:p>
        </w:tc>
      </w:tr>
      <w:tr w:rsidR="002956D7" w:rsidRPr="009858B0" w14:paraId="23FBB918" w14:textId="77777777" w:rsidTr="002956D7">
        <w:trPr>
          <w:trHeight w:hRule="exact" w:val="86"/>
        </w:trPr>
        <w:tc>
          <w:tcPr>
            <w:tcW w:w="3780" w:type="dxa"/>
            <w:gridSpan w:val="2"/>
            <w:tcBorders>
              <w:top w:val="single" w:sz="12" w:space="0" w:color="auto"/>
              <w:left w:val="nil"/>
            </w:tcBorders>
            <w:vAlign w:val="bottom"/>
          </w:tcPr>
          <w:p w14:paraId="3873E221" w14:textId="77777777" w:rsidR="002956D7" w:rsidRPr="009858B0" w:rsidRDefault="002956D7" w:rsidP="00C74354">
            <w:pPr>
              <w:spacing w:after="0"/>
              <w:rPr>
                <w:rFonts w:ascii="Arial" w:hAnsi="Arial" w:cs="Arial"/>
                <w:szCs w:val="20"/>
              </w:rPr>
            </w:pPr>
          </w:p>
        </w:tc>
        <w:tc>
          <w:tcPr>
            <w:tcW w:w="1701" w:type="dxa"/>
            <w:gridSpan w:val="3"/>
            <w:tcBorders>
              <w:top w:val="single" w:sz="12" w:space="0" w:color="auto"/>
              <w:left w:val="nil"/>
            </w:tcBorders>
            <w:vAlign w:val="bottom"/>
          </w:tcPr>
          <w:p w14:paraId="50B6D438" w14:textId="77777777" w:rsidR="002956D7" w:rsidRPr="009858B0" w:rsidRDefault="002956D7" w:rsidP="00C74354">
            <w:pPr>
              <w:spacing w:after="0"/>
              <w:ind w:right="173"/>
              <w:jc w:val="right"/>
              <w:rPr>
                <w:rFonts w:ascii="Arial" w:hAnsi="Arial" w:cs="Arial"/>
                <w:szCs w:val="20"/>
              </w:rPr>
            </w:pPr>
          </w:p>
        </w:tc>
        <w:tc>
          <w:tcPr>
            <w:tcW w:w="1701" w:type="dxa"/>
            <w:tcBorders>
              <w:top w:val="single" w:sz="12" w:space="0" w:color="auto"/>
              <w:left w:val="nil"/>
              <w:right w:val="nil"/>
            </w:tcBorders>
            <w:vAlign w:val="bottom"/>
          </w:tcPr>
          <w:p w14:paraId="10F84615" w14:textId="77777777" w:rsidR="002956D7" w:rsidRPr="009858B0" w:rsidRDefault="002956D7" w:rsidP="00C74354">
            <w:pPr>
              <w:spacing w:after="0"/>
              <w:ind w:right="173"/>
              <w:jc w:val="right"/>
              <w:rPr>
                <w:rFonts w:ascii="Arial" w:hAnsi="Arial" w:cs="Arial"/>
                <w:szCs w:val="20"/>
              </w:rPr>
            </w:pPr>
          </w:p>
        </w:tc>
        <w:tc>
          <w:tcPr>
            <w:tcW w:w="1559" w:type="dxa"/>
            <w:gridSpan w:val="3"/>
            <w:tcBorders>
              <w:top w:val="single" w:sz="12" w:space="0" w:color="auto"/>
              <w:left w:val="nil"/>
              <w:right w:val="nil"/>
            </w:tcBorders>
            <w:vAlign w:val="bottom"/>
          </w:tcPr>
          <w:p w14:paraId="1FA55006" w14:textId="77777777" w:rsidR="002956D7" w:rsidRPr="009858B0" w:rsidRDefault="002956D7" w:rsidP="00C74354">
            <w:pPr>
              <w:spacing w:after="0"/>
              <w:ind w:right="173"/>
              <w:jc w:val="right"/>
              <w:rPr>
                <w:rFonts w:ascii="Arial" w:hAnsi="Arial" w:cs="Arial"/>
                <w:szCs w:val="20"/>
              </w:rPr>
            </w:pPr>
          </w:p>
        </w:tc>
      </w:tr>
    </w:tbl>
    <w:p w14:paraId="01A32C4D" w14:textId="77777777" w:rsidR="00C83768" w:rsidRDefault="00C83768" w:rsidP="006359BD">
      <w:pPr>
        <w:tabs>
          <w:tab w:val="left" w:pos="450"/>
        </w:tabs>
        <w:spacing w:after="0" w:line="240" w:lineRule="auto"/>
        <w:jc w:val="both"/>
        <w:rPr>
          <w:rFonts w:ascii="Arial" w:hAnsi="Arial" w:cs="Arial"/>
          <w:b/>
          <w:szCs w:val="20"/>
        </w:rPr>
      </w:pPr>
    </w:p>
    <w:p w14:paraId="7F52718D" w14:textId="204625F2" w:rsidR="006359BD" w:rsidRDefault="00C83768" w:rsidP="006359BD">
      <w:pPr>
        <w:tabs>
          <w:tab w:val="left" w:pos="450"/>
        </w:tabs>
        <w:spacing w:after="0" w:line="240" w:lineRule="auto"/>
        <w:jc w:val="both"/>
        <w:rPr>
          <w:rFonts w:ascii="Arial" w:hAnsi="Arial" w:cs="Arial"/>
          <w:b/>
          <w:szCs w:val="20"/>
        </w:rPr>
      </w:pPr>
      <w:r>
        <w:rPr>
          <w:rFonts w:ascii="Arial" w:hAnsi="Arial" w:cs="Arial"/>
          <w:b/>
          <w:szCs w:val="20"/>
        </w:rPr>
        <w:t>7</w:t>
      </w:r>
      <w:r w:rsidR="006359BD" w:rsidRPr="00BA56F7">
        <w:rPr>
          <w:rFonts w:ascii="Arial" w:hAnsi="Arial" w:cs="Arial"/>
          <w:b/>
          <w:szCs w:val="20"/>
        </w:rPr>
        <w:t xml:space="preserve">.    </w:t>
      </w:r>
      <w:r w:rsidR="006359BD" w:rsidRPr="00BA56F7">
        <w:rPr>
          <w:rFonts w:ascii="Arial" w:hAnsi="Arial" w:cs="Arial"/>
          <w:b/>
          <w:szCs w:val="20"/>
        </w:rPr>
        <w:tab/>
      </w:r>
      <w:r w:rsidR="006359BD">
        <w:rPr>
          <w:rFonts w:ascii="Arial" w:hAnsi="Arial" w:cs="Arial"/>
          <w:b/>
          <w:szCs w:val="20"/>
        </w:rPr>
        <w:t>Equipment</w:t>
      </w:r>
    </w:p>
    <w:tbl>
      <w:tblPr>
        <w:tblW w:w="8910" w:type="dxa"/>
        <w:tblInd w:w="450" w:type="dxa"/>
        <w:tblLayout w:type="fixed"/>
        <w:tblCellMar>
          <w:left w:w="0" w:type="dxa"/>
          <w:right w:w="0" w:type="dxa"/>
        </w:tblCellMar>
        <w:tblLook w:val="0000" w:firstRow="0" w:lastRow="0" w:firstColumn="0" w:lastColumn="0" w:noHBand="0" w:noVBand="0"/>
      </w:tblPr>
      <w:tblGrid>
        <w:gridCol w:w="5310"/>
        <w:gridCol w:w="1559"/>
        <w:gridCol w:w="2041"/>
      </w:tblGrid>
      <w:tr w:rsidR="006359BD" w:rsidRPr="006359BD" w14:paraId="74DAB661" w14:textId="77777777" w:rsidTr="0007122C">
        <w:tc>
          <w:tcPr>
            <w:tcW w:w="5310" w:type="dxa"/>
            <w:tcBorders>
              <w:top w:val="nil"/>
              <w:left w:val="nil"/>
              <w:bottom w:val="single" w:sz="4" w:space="0" w:color="auto"/>
            </w:tcBorders>
            <w:vAlign w:val="bottom"/>
          </w:tcPr>
          <w:p w14:paraId="5440FF7F" w14:textId="77777777" w:rsidR="006359BD" w:rsidRPr="006359BD" w:rsidRDefault="006359BD" w:rsidP="00C174F9">
            <w:pPr>
              <w:spacing w:after="0"/>
              <w:rPr>
                <w:rFonts w:ascii="Arial" w:hAnsi="Arial" w:cs="Arial"/>
                <w:szCs w:val="20"/>
              </w:rPr>
            </w:pPr>
            <w:r w:rsidRPr="006359BD">
              <w:rPr>
                <w:rFonts w:ascii="Arial" w:hAnsi="Arial" w:cs="Arial"/>
                <w:b/>
                <w:bCs/>
                <w:szCs w:val="20"/>
              </w:rPr>
              <w:t>Cost</w:t>
            </w:r>
            <w:r w:rsidRPr="006359BD">
              <w:rPr>
                <w:rFonts w:ascii="Arial" w:hAnsi="Arial" w:cs="Arial"/>
                <w:b/>
                <w:bCs/>
                <w:szCs w:val="20"/>
              </w:rPr>
              <w:tab/>
            </w:r>
          </w:p>
        </w:tc>
        <w:tc>
          <w:tcPr>
            <w:tcW w:w="1559" w:type="dxa"/>
            <w:tcBorders>
              <w:top w:val="nil"/>
              <w:left w:val="nil"/>
              <w:bottom w:val="single" w:sz="4" w:space="0" w:color="auto"/>
              <w:right w:val="nil"/>
            </w:tcBorders>
            <w:vAlign w:val="bottom"/>
          </w:tcPr>
          <w:p w14:paraId="5C969CE0" w14:textId="77777777" w:rsidR="006359BD" w:rsidRPr="006359BD" w:rsidRDefault="006359BD" w:rsidP="00C174F9">
            <w:pPr>
              <w:spacing w:after="0"/>
              <w:jc w:val="center"/>
              <w:rPr>
                <w:rFonts w:ascii="Arial" w:hAnsi="Arial" w:cs="Arial"/>
                <w:szCs w:val="20"/>
              </w:rPr>
            </w:pPr>
          </w:p>
        </w:tc>
        <w:tc>
          <w:tcPr>
            <w:tcW w:w="2041" w:type="dxa"/>
            <w:tcBorders>
              <w:top w:val="nil"/>
              <w:left w:val="nil"/>
              <w:bottom w:val="single" w:sz="4" w:space="0" w:color="auto"/>
              <w:right w:val="nil"/>
            </w:tcBorders>
          </w:tcPr>
          <w:p w14:paraId="31B6079B" w14:textId="1A99A0D5" w:rsidR="006359BD" w:rsidRPr="006359BD" w:rsidRDefault="006359BD" w:rsidP="00C174F9">
            <w:pPr>
              <w:spacing w:after="0"/>
              <w:ind w:left="90"/>
              <w:jc w:val="center"/>
              <w:rPr>
                <w:rFonts w:ascii="Arial" w:hAnsi="Arial" w:cs="Arial"/>
                <w:szCs w:val="20"/>
              </w:rPr>
            </w:pPr>
            <w:r w:rsidRPr="005E7A4B">
              <w:rPr>
                <w:rFonts w:ascii="Arial" w:hAnsi="Arial" w:cs="Arial"/>
                <w:szCs w:val="20"/>
              </w:rPr>
              <w:t>Lab</w:t>
            </w:r>
            <w:r w:rsidR="0007122C">
              <w:rPr>
                <w:rFonts w:ascii="Arial" w:hAnsi="Arial" w:cs="Arial"/>
                <w:szCs w:val="20"/>
              </w:rPr>
              <w:t xml:space="preserve"> </w:t>
            </w:r>
            <w:r w:rsidRPr="005E7A4B">
              <w:rPr>
                <w:rFonts w:ascii="Arial" w:hAnsi="Arial" w:cs="Arial"/>
                <w:szCs w:val="20"/>
              </w:rPr>
              <w:t>Equipment</w:t>
            </w:r>
          </w:p>
          <w:p w14:paraId="2F4E95EF" w14:textId="77777777" w:rsidR="006359BD" w:rsidRPr="006359BD" w:rsidRDefault="006359BD" w:rsidP="00C174F9">
            <w:pPr>
              <w:spacing w:after="0"/>
              <w:ind w:left="90"/>
              <w:jc w:val="center"/>
              <w:rPr>
                <w:rFonts w:ascii="Arial" w:hAnsi="Arial" w:cs="Arial"/>
                <w:szCs w:val="20"/>
              </w:rPr>
            </w:pPr>
            <w:r w:rsidRPr="006359BD">
              <w:rPr>
                <w:rFonts w:ascii="Arial" w:hAnsi="Arial" w:cs="Arial"/>
                <w:szCs w:val="20"/>
              </w:rPr>
              <w:t>$</w:t>
            </w:r>
          </w:p>
        </w:tc>
      </w:tr>
      <w:tr w:rsidR="006359BD" w:rsidRPr="006359BD" w14:paraId="062DC05E" w14:textId="77777777" w:rsidTr="0007122C">
        <w:trPr>
          <w:trHeight w:hRule="exact" w:val="113"/>
        </w:trPr>
        <w:tc>
          <w:tcPr>
            <w:tcW w:w="5310" w:type="dxa"/>
            <w:tcBorders>
              <w:top w:val="single" w:sz="4" w:space="0" w:color="auto"/>
              <w:left w:val="nil"/>
            </w:tcBorders>
            <w:vAlign w:val="bottom"/>
          </w:tcPr>
          <w:p w14:paraId="0593AF29" w14:textId="77777777" w:rsidR="006359BD" w:rsidRPr="006359BD" w:rsidRDefault="006359BD" w:rsidP="00C174F9">
            <w:pPr>
              <w:spacing w:after="0"/>
              <w:rPr>
                <w:rFonts w:ascii="Arial" w:hAnsi="Arial" w:cs="Arial"/>
                <w:szCs w:val="20"/>
              </w:rPr>
            </w:pPr>
          </w:p>
        </w:tc>
        <w:tc>
          <w:tcPr>
            <w:tcW w:w="1559" w:type="dxa"/>
            <w:tcBorders>
              <w:top w:val="single" w:sz="4" w:space="0" w:color="auto"/>
              <w:left w:val="nil"/>
              <w:right w:val="nil"/>
            </w:tcBorders>
            <w:vAlign w:val="bottom"/>
          </w:tcPr>
          <w:p w14:paraId="0DB37E8E" w14:textId="77777777" w:rsidR="006359BD" w:rsidRPr="006359BD" w:rsidRDefault="006359BD" w:rsidP="00C174F9">
            <w:pPr>
              <w:spacing w:after="0"/>
              <w:ind w:right="369"/>
              <w:jc w:val="right"/>
              <w:rPr>
                <w:rFonts w:ascii="Arial" w:hAnsi="Arial" w:cs="Arial"/>
                <w:szCs w:val="20"/>
              </w:rPr>
            </w:pPr>
          </w:p>
        </w:tc>
        <w:tc>
          <w:tcPr>
            <w:tcW w:w="2041" w:type="dxa"/>
            <w:tcBorders>
              <w:top w:val="single" w:sz="4" w:space="0" w:color="auto"/>
              <w:left w:val="nil"/>
              <w:right w:val="nil"/>
            </w:tcBorders>
          </w:tcPr>
          <w:p w14:paraId="4B43E179" w14:textId="77777777" w:rsidR="006359BD" w:rsidRPr="006359BD" w:rsidRDefault="006359BD" w:rsidP="00C174F9">
            <w:pPr>
              <w:spacing w:after="0"/>
              <w:ind w:right="369"/>
              <w:jc w:val="right"/>
              <w:rPr>
                <w:rFonts w:ascii="Arial" w:hAnsi="Arial" w:cs="Arial"/>
                <w:szCs w:val="20"/>
              </w:rPr>
            </w:pPr>
          </w:p>
        </w:tc>
      </w:tr>
      <w:tr w:rsidR="006359BD" w:rsidRPr="006359BD" w14:paraId="20663F6B" w14:textId="77777777" w:rsidTr="0007122C">
        <w:tc>
          <w:tcPr>
            <w:tcW w:w="5310" w:type="dxa"/>
            <w:tcBorders>
              <w:left w:val="nil"/>
            </w:tcBorders>
            <w:vAlign w:val="bottom"/>
          </w:tcPr>
          <w:p w14:paraId="24398EB9" w14:textId="2F6EF699" w:rsidR="006359BD" w:rsidRPr="006359BD" w:rsidRDefault="006359BD" w:rsidP="0089508D">
            <w:pPr>
              <w:spacing w:after="0"/>
              <w:rPr>
                <w:rFonts w:ascii="Arial" w:hAnsi="Arial" w:cs="Arial"/>
                <w:szCs w:val="20"/>
              </w:rPr>
            </w:pPr>
            <w:r w:rsidRPr="006359BD">
              <w:rPr>
                <w:rFonts w:ascii="Arial" w:hAnsi="Arial" w:cs="Arial"/>
                <w:szCs w:val="20"/>
              </w:rPr>
              <w:t xml:space="preserve">Balance, </w:t>
            </w:r>
            <w:r>
              <w:rPr>
                <w:rFonts w:ascii="Arial" w:hAnsi="Arial" w:cs="Arial"/>
                <w:szCs w:val="20"/>
              </w:rPr>
              <w:t xml:space="preserve">February 1, </w:t>
            </w:r>
            <w:r w:rsidRPr="006359BD">
              <w:rPr>
                <w:rFonts w:ascii="Arial" w:hAnsi="Arial" w:cs="Arial"/>
                <w:szCs w:val="20"/>
              </w:rPr>
              <w:t>2018</w:t>
            </w:r>
          </w:p>
        </w:tc>
        <w:tc>
          <w:tcPr>
            <w:tcW w:w="1559" w:type="dxa"/>
            <w:tcBorders>
              <w:left w:val="nil"/>
              <w:right w:val="nil"/>
            </w:tcBorders>
            <w:vAlign w:val="bottom"/>
          </w:tcPr>
          <w:p w14:paraId="4F250801" w14:textId="77777777" w:rsidR="006359BD" w:rsidRPr="006359BD" w:rsidRDefault="006359BD" w:rsidP="00C174F9">
            <w:pPr>
              <w:spacing w:after="0"/>
              <w:ind w:right="173"/>
              <w:jc w:val="right"/>
              <w:rPr>
                <w:rFonts w:ascii="Arial" w:hAnsi="Arial" w:cs="Arial"/>
                <w:szCs w:val="20"/>
              </w:rPr>
            </w:pPr>
          </w:p>
        </w:tc>
        <w:tc>
          <w:tcPr>
            <w:tcW w:w="2041" w:type="dxa"/>
            <w:tcBorders>
              <w:left w:val="nil"/>
              <w:right w:val="nil"/>
            </w:tcBorders>
          </w:tcPr>
          <w:p w14:paraId="4DF73983" w14:textId="77777777" w:rsidR="006359BD" w:rsidRPr="006359BD" w:rsidRDefault="006359BD" w:rsidP="00C174F9">
            <w:pPr>
              <w:spacing w:after="0"/>
              <w:ind w:right="173"/>
              <w:jc w:val="right"/>
              <w:rPr>
                <w:rFonts w:ascii="Arial" w:hAnsi="Arial" w:cs="Arial"/>
                <w:szCs w:val="20"/>
              </w:rPr>
            </w:pPr>
            <w:r w:rsidRPr="006359BD">
              <w:rPr>
                <w:rFonts w:ascii="Arial" w:hAnsi="Arial" w:cs="Arial"/>
                <w:szCs w:val="20"/>
              </w:rPr>
              <w:t>–</w:t>
            </w:r>
          </w:p>
        </w:tc>
      </w:tr>
      <w:tr w:rsidR="006359BD" w:rsidRPr="006359BD" w14:paraId="502FD834" w14:textId="77777777" w:rsidTr="0007122C">
        <w:tc>
          <w:tcPr>
            <w:tcW w:w="5310" w:type="dxa"/>
            <w:tcBorders>
              <w:left w:val="nil"/>
            </w:tcBorders>
            <w:vAlign w:val="bottom"/>
          </w:tcPr>
          <w:p w14:paraId="0D9BA3C5" w14:textId="663118B0" w:rsidR="006359BD" w:rsidRPr="006359BD" w:rsidRDefault="006359BD" w:rsidP="00C174F9">
            <w:pPr>
              <w:spacing w:after="0"/>
              <w:rPr>
                <w:rFonts w:ascii="Arial" w:hAnsi="Arial" w:cs="Arial"/>
                <w:szCs w:val="20"/>
              </w:rPr>
            </w:pPr>
            <w:r w:rsidRPr="006359BD">
              <w:rPr>
                <w:rFonts w:ascii="Arial" w:hAnsi="Arial" w:cs="Arial"/>
                <w:szCs w:val="20"/>
              </w:rPr>
              <w:t xml:space="preserve">Exchange agreement (Note </w:t>
            </w:r>
            <w:r w:rsidR="003F632A">
              <w:rPr>
                <w:rFonts w:ascii="Arial" w:hAnsi="Arial" w:cs="Arial"/>
                <w:szCs w:val="20"/>
              </w:rPr>
              <w:t>4(b)</w:t>
            </w:r>
            <w:r w:rsidRPr="006359BD">
              <w:rPr>
                <w:rFonts w:ascii="Arial" w:hAnsi="Arial" w:cs="Arial"/>
                <w:szCs w:val="20"/>
              </w:rPr>
              <w:t>)</w:t>
            </w:r>
          </w:p>
        </w:tc>
        <w:tc>
          <w:tcPr>
            <w:tcW w:w="1559" w:type="dxa"/>
            <w:tcBorders>
              <w:left w:val="nil"/>
              <w:right w:val="nil"/>
            </w:tcBorders>
            <w:vAlign w:val="bottom"/>
          </w:tcPr>
          <w:p w14:paraId="26E68360" w14:textId="77777777" w:rsidR="006359BD" w:rsidRPr="006359BD" w:rsidRDefault="006359BD" w:rsidP="00C174F9">
            <w:pPr>
              <w:spacing w:after="0"/>
              <w:ind w:right="173"/>
              <w:jc w:val="right"/>
              <w:rPr>
                <w:rFonts w:ascii="Arial" w:hAnsi="Arial" w:cs="Arial"/>
                <w:szCs w:val="20"/>
              </w:rPr>
            </w:pPr>
          </w:p>
        </w:tc>
        <w:tc>
          <w:tcPr>
            <w:tcW w:w="2041" w:type="dxa"/>
            <w:tcBorders>
              <w:left w:val="nil"/>
              <w:right w:val="nil"/>
            </w:tcBorders>
          </w:tcPr>
          <w:p w14:paraId="73A65C4C" w14:textId="68E94116" w:rsidR="006359BD" w:rsidRPr="006359BD" w:rsidRDefault="00EF43E4" w:rsidP="00C174F9">
            <w:pPr>
              <w:spacing w:after="0"/>
              <w:ind w:right="173"/>
              <w:jc w:val="right"/>
              <w:rPr>
                <w:rFonts w:ascii="Arial" w:hAnsi="Arial" w:cs="Arial"/>
                <w:szCs w:val="20"/>
              </w:rPr>
            </w:pPr>
            <w:r>
              <w:rPr>
                <w:rFonts w:ascii="Arial" w:hAnsi="Arial" w:cs="Arial"/>
                <w:szCs w:val="20"/>
              </w:rPr>
              <w:t>5,213</w:t>
            </w:r>
          </w:p>
        </w:tc>
      </w:tr>
      <w:tr w:rsidR="005E7A4B" w:rsidRPr="006359BD" w14:paraId="07ED65DE" w14:textId="77777777" w:rsidTr="0007122C">
        <w:tc>
          <w:tcPr>
            <w:tcW w:w="5310" w:type="dxa"/>
            <w:tcBorders>
              <w:left w:val="nil"/>
            </w:tcBorders>
            <w:vAlign w:val="bottom"/>
          </w:tcPr>
          <w:p w14:paraId="50B32755" w14:textId="3866EDB9" w:rsidR="005E7A4B" w:rsidRPr="006359BD" w:rsidRDefault="005E7A4B" w:rsidP="00C174F9">
            <w:pPr>
              <w:spacing w:after="0"/>
              <w:rPr>
                <w:rFonts w:ascii="Arial" w:hAnsi="Arial" w:cs="Arial"/>
                <w:szCs w:val="20"/>
              </w:rPr>
            </w:pPr>
            <w:r>
              <w:rPr>
                <w:rFonts w:ascii="Arial" w:hAnsi="Arial" w:cs="Arial"/>
                <w:szCs w:val="20"/>
              </w:rPr>
              <w:t>Effect of foreign exchange rate changes</w:t>
            </w:r>
          </w:p>
        </w:tc>
        <w:tc>
          <w:tcPr>
            <w:tcW w:w="1559" w:type="dxa"/>
            <w:tcBorders>
              <w:left w:val="nil"/>
              <w:right w:val="nil"/>
            </w:tcBorders>
            <w:vAlign w:val="bottom"/>
          </w:tcPr>
          <w:p w14:paraId="03F8CE63" w14:textId="77777777" w:rsidR="005E7A4B" w:rsidRPr="006359BD" w:rsidRDefault="005E7A4B" w:rsidP="00C174F9">
            <w:pPr>
              <w:spacing w:after="0"/>
              <w:ind w:right="173"/>
              <w:jc w:val="right"/>
              <w:rPr>
                <w:rFonts w:ascii="Arial" w:hAnsi="Arial" w:cs="Arial"/>
                <w:szCs w:val="20"/>
              </w:rPr>
            </w:pPr>
          </w:p>
        </w:tc>
        <w:tc>
          <w:tcPr>
            <w:tcW w:w="2041" w:type="dxa"/>
            <w:tcBorders>
              <w:left w:val="nil"/>
              <w:right w:val="nil"/>
            </w:tcBorders>
          </w:tcPr>
          <w:p w14:paraId="7B124BA8" w14:textId="4C5F5AE1" w:rsidR="005E7A4B" w:rsidRDefault="00EF43E4" w:rsidP="00C174F9">
            <w:pPr>
              <w:spacing w:after="0"/>
              <w:ind w:right="173"/>
              <w:jc w:val="right"/>
              <w:rPr>
                <w:rFonts w:ascii="Arial" w:hAnsi="Arial" w:cs="Arial"/>
                <w:szCs w:val="20"/>
              </w:rPr>
            </w:pPr>
            <w:r>
              <w:rPr>
                <w:rFonts w:ascii="Arial" w:hAnsi="Arial" w:cs="Arial"/>
                <w:szCs w:val="20"/>
              </w:rPr>
              <w:t>94</w:t>
            </w:r>
          </w:p>
        </w:tc>
      </w:tr>
      <w:tr w:rsidR="006359BD" w:rsidRPr="006359BD" w14:paraId="78FD1553" w14:textId="77777777" w:rsidTr="0007122C">
        <w:trPr>
          <w:trHeight w:hRule="exact" w:val="86"/>
        </w:trPr>
        <w:tc>
          <w:tcPr>
            <w:tcW w:w="5310" w:type="dxa"/>
            <w:tcBorders>
              <w:top w:val="single" w:sz="4" w:space="0" w:color="auto"/>
              <w:left w:val="nil"/>
            </w:tcBorders>
            <w:vAlign w:val="bottom"/>
          </w:tcPr>
          <w:p w14:paraId="568621D3" w14:textId="77777777" w:rsidR="006359BD" w:rsidRPr="006359BD" w:rsidRDefault="006359BD" w:rsidP="00C174F9">
            <w:pPr>
              <w:spacing w:after="0"/>
              <w:rPr>
                <w:rFonts w:ascii="Arial" w:hAnsi="Arial" w:cs="Arial"/>
                <w:szCs w:val="20"/>
              </w:rPr>
            </w:pPr>
          </w:p>
        </w:tc>
        <w:tc>
          <w:tcPr>
            <w:tcW w:w="1559" w:type="dxa"/>
            <w:tcBorders>
              <w:top w:val="single" w:sz="4" w:space="0" w:color="auto"/>
              <w:left w:val="nil"/>
              <w:right w:val="nil"/>
            </w:tcBorders>
            <w:vAlign w:val="bottom"/>
          </w:tcPr>
          <w:p w14:paraId="72CC7ACF" w14:textId="77777777" w:rsidR="006359BD" w:rsidRPr="006359BD" w:rsidRDefault="006359BD" w:rsidP="00C174F9">
            <w:pPr>
              <w:spacing w:after="0"/>
              <w:ind w:right="173"/>
              <w:jc w:val="right"/>
              <w:rPr>
                <w:rFonts w:ascii="Arial" w:hAnsi="Arial" w:cs="Arial"/>
                <w:szCs w:val="20"/>
              </w:rPr>
            </w:pPr>
          </w:p>
        </w:tc>
        <w:tc>
          <w:tcPr>
            <w:tcW w:w="2041" w:type="dxa"/>
            <w:tcBorders>
              <w:top w:val="single" w:sz="4" w:space="0" w:color="auto"/>
              <w:left w:val="nil"/>
              <w:right w:val="nil"/>
            </w:tcBorders>
          </w:tcPr>
          <w:p w14:paraId="1FA4311E" w14:textId="77777777" w:rsidR="006359BD" w:rsidRPr="006359BD" w:rsidRDefault="006359BD" w:rsidP="00C174F9">
            <w:pPr>
              <w:spacing w:after="0"/>
              <w:ind w:right="173"/>
              <w:jc w:val="right"/>
              <w:rPr>
                <w:rFonts w:ascii="Arial" w:hAnsi="Arial" w:cs="Arial"/>
                <w:szCs w:val="20"/>
              </w:rPr>
            </w:pPr>
          </w:p>
        </w:tc>
      </w:tr>
      <w:tr w:rsidR="006359BD" w:rsidRPr="006359BD" w14:paraId="7EB5C4AB" w14:textId="77777777" w:rsidTr="0007122C">
        <w:tc>
          <w:tcPr>
            <w:tcW w:w="5310" w:type="dxa"/>
            <w:tcBorders>
              <w:left w:val="nil"/>
            </w:tcBorders>
            <w:vAlign w:val="bottom"/>
          </w:tcPr>
          <w:p w14:paraId="202811A8" w14:textId="588B8920" w:rsidR="006359BD" w:rsidRPr="006359BD" w:rsidRDefault="006359BD" w:rsidP="00D10600">
            <w:pPr>
              <w:spacing w:after="0"/>
              <w:rPr>
                <w:rFonts w:ascii="Arial" w:hAnsi="Arial" w:cs="Arial"/>
                <w:szCs w:val="20"/>
              </w:rPr>
            </w:pPr>
            <w:r w:rsidRPr="006359BD">
              <w:rPr>
                <w:rFonts w:ascii="Arial" w:hAnsi="Arial" w:cs="Arial"/>
                <w:szCs w:val="20"/>
              </w:rPr>
              <w:t xml:space="preserve">Balance, </w:t>
            </w:r>
            <w:r w:rsidR="00D10600">
              <w:rPr>
                <w:rFonts w:ascii="Arial" w:hAnsi="Arial" w:cs="Arial"/>
                <w:szCs w:val="20"/>
              </w:rPr>
              <w:t>January</w:t>
            </w:r>
            <w:r w:rsidRPr="006359BD">
              <w:rPr>
                <w:rFonts w:ascii="Arial" w:hAnsi="Arial" w:cs="Arial"/>
                <w:szCs w:val="20"/>
              </w:rPr>
              <w:t xml:space="preserve"> 31</w:t>
            </w:r>
            <w:r w:rsidR="00D10600">
              <w:rPr>
                <w:rFonts w:ascii="Arial" w:hAnsi="Arial" w:cs="Arial"/>
                <w:szCs w:val="20"/>
              </w:rPr>
              <w:t>, 2019</w:t>
            </w:r>
          </w:p>
        </w:tc>
        <w:tc>
          <w:tcPr>
            <w:tcW w:w="1559" w:type="dxa"/>
            <w:tcBorders>
              <w:left w:val="nil"/>
              <w:right w:val="nil"/>
            </w:tcBorders>
            <w:vAlign w:val="bottom"/>
          </w:tcPr>
          <w:p w14:paraId="3C3A214A" w14:textId="77777777" w:rsidR="006359BD" w:rsidRPr="006359BD" w:rsidRDefault="006359BD" w:rsidP="00C174F9">
            <w:pPr>
              <w:spacing w:after="0"/>
              <w:ind w:right="173"/>
              <w:jc w:val="right"/>
              <w:rPr>
                <w:rFonts w:ascii="Arial" w:hAnsi="Arial" w:cs="Arial"/>
                <w:szCs w:val="20"/>
              </w:rPr>
            </w:pPr>
          </w:p>
        </w:tc>
        <w:tc>
          <w:tcPr>
            <w:tcW w:w="2041" w:type="dxa"/>
            <w:tcBorders>
              <w:left w:val="nil"/>
              <w:right w:val="nil"/>
            </w:tcBorders>
          </w:tcPr>
          <w:p w14:paraId="51FD5514" w14:textId="3A39A5DD" w:rsidR="006359BD" w:rsidRPr="006359BD" w:rsidRDefault="00EF43E4" w:rsidP="00C174F9">
            <w:pPr>
              <w:spacing w:after="0"/>
              <w:ind w:right="173"/>
              <w:jc w:val="right"/>
              <w:rPr>
                <w:rFonts w:ascii="Arial" w:hAnsi="Arial" w:cs="Arial"/>
                <w:szCs w:val="20"/>
              </w:rPr>
            </w:pPr>
            <w:r>
              <w:rPr>
                <w:rFonts w:ascii="Arial" w:hAnsi="Arial" w:cs="Arial"/>
                <w:szCs w:val="20"/>
              </w:rPr>
              <w:t>5,307</w:t>
            </w:r>
          </w:p>
        </w:tc>
      </w:tr>
      <w:tr w:rsidR="0089508D" w:rsidRPr="006359BD" w14:paraId="62EC70B2" w14:textId="77777777" w:rsidTr="0007122C">
        <w:tc>
          <w:tcPr>
            <w:tcW w:w="5310" w:type="dxa"/>
            <w:tcBorders>
              <w:left w:val="nil"/>
            </w:tcBorders>
            <w:vAlign w:val="bottom"/>
          </w:tcPr>
          <w:p w14:paraId="0DA1FD21" w14:textId="5420264A" w:rsidR="0089508D" w:rsidRPr="006359BD" w:rsidRDefault="00EF43E4" w:rsidP="00C74354">
            <w:pPr>
              <w:spacing w:after="0"/>
              <w:rPr>
                <w:rFonts w:ascii="Arial" w:hAnsi="Arial" w:cs="Arial"/>
                <w:szCs w:val="20"/>
              </w:rPr>
            </w:pPr>
            <w:r>
              <w:rPr>
                <w:rFonts w:ascii="Arial" w:hAnsi="Arial" w:cs="Arial"/>
                <w:szCs w:val="20"/>
              </w:rPr>
              <w:t>Write-off</w:t>
            </w:r>
          </w:p>
        </w:tc>
        <w:tc>
          <w:tcPr>
            <w:tcW w:w="1559" w:type="dxa"/>
            <w:tcBorders>
              <w:left w:val="nil"/>
              <w:right w:val="nil"/>
            </w:tcBorders>
            <w:vAlign w:val="bottom"/>
          </w:tcPr>
          <w:p w14:paraId="1A788C25" w14:textId="77777777" w:rsidR="0089508D" w:rsidRPr="006359BD" w:rsidRDefault="0089508D" w:rsidP="00C74354">
            <w:pPr>
              <w:spacing w:after="0"/>
              <w:ind w:right="173"/>
              <w:jc w:val="right"/>
              <w:rPr>
                <w:rFonts w:ascii="Arial" w:hAnsi="Arial" w:cs="Arial"/>
                <w:szCs w:val="20"/>
              </w:rPr>
            </w:pPr>
          </w:p>
        </w:tc>
        <w:tc>
          <w:tcPr>
            <w:tcW w:w="2041" w:type="dxa"/>
            <w:tcBorders>
              <w:left w:val="nil"/>
              <w:right w:val="nil"/>
            </w:tcBorders>
          </w:tcPr>
          <w:p w14:paraId="1DA520EA" w14:textId="654964CD" w:rsidR="0089508D" w:rsidRPr="006359BD" w:rsidRDefault="00EF43E4" w:rsidP="00C74354">
            <w:pPr>
              <w:spacing w:after="0"/>
              <w:ind w:right="173"/>
              <w:jc w:val="right"/>
              <w:rPr>
                <w:rFonts w:ascii="Arial" w:hAnsi="Arial" w:cs="Arial"/>
                <w:szCs w:val="20"/>
              </w:rPr>
            </w:pPr>
            <w:r>
              <w:rPr>
                <w:rFonts w:ascii="Arial" w:hAnsi="Arial" w:cs="Arial"/>
                <w:szCs w:val="20"/>
              </w:rPr>
              <w:t>(5,267)</w:t>
            </w:r>
          </w:p>
        </w:tc>
      </w:tr>
      <w:tr w:rsidR="0089508D" w:rsidRPr="006359BD" w14:paraId="25A95D15" w14:textId="77777777" w:rsidTr="0007122C">
        <w:tc>
          <w:tcPr>
            <w:tcW w:w="5310" w:type="dxa"/>
            <w:tcBorders>
              <w:left w:val="nil"/>
              <w:bottom w:val="single" w:sz="2" w:space="0" w:color="auto"/>
            </w:tcBorders>
            <w:vAlign w:val="bottom"/>
          </w:tcPr>
          <w:p w14:paraId="23AC45A4" w14:textId="77777777" w:rsidR="0089508D" w:rsidRPr="006359BD" w:rsidRDefault="0089508D" w:rsidP="00C74354">
            <w:pPr>
              <w:spacing w:after="0"/>
              <w:rPr>
                <w:rFonts w:ascii="Arial" w:hAnsi="Arial" w:cs="Arial"/>
                <w:szCs w:val="20"/>
              </w:rPr>
            </w:pPr>
            <w:r>
              <w:rPr>
                <w:rFonts w:ascii="Arial" w:hAnsi="Arial" w:cs="Arial"/>
                <w:szCs w:val="20"/>
              </w:rPr>
              <w:t>Effect of foreign exchange rate changes</w:t>
            </w:r>
          </w:p>
        </w:tc>
        <w:tc>
          <w:tcPr>
            <w:tcW w:w="1559" w:type="dxa"/>
            <w:tcBorders>
              <w:left w:val="nil"/>
              <w:bottom w:val="single" w:sz="2" w:space="0" w:color="auto"/>
              <w:right w:val="nil"/>
            </w:tcBorders>
            <w:vAlign w:val="bottom"/>
          </w:tcPr>
          <w:p w14:paraId="22F86A6A" w14:textId="77777777" w:rsidR="0089508D" w:rsidRPr="006359BD" w:rsidRDefault="0089508D" w:rsidP="00C74354">
            <w:pPr>
              <w:spacing w:after="0"/>
              <w:ind w:right="173"/>
              <w:jc w:val="right"/>
              <w:rPr>
                <w:rFonts w:ascii="Arial" w:hAnsi="Arial" w:cs="Arial"/>
                <w:szCs w:val="20"/>
              </w:rPr>
            </w:pPr>
          </w:p>
        </w:tc>
        <w:tc>
          <w:tcPr>
            <w:tcW w:w="2041" w:type="dxa"/>
            <w:tcBorders>
              <w:left w:val="nil"/>
              <w:bottom w:val="single" w:sz="2" w:space="0" w:color="auto"/>
              <w:right w:val="nil"/>
            </w:tcBorders>
          </w:tcPr>
          <w:p w14:paraId="2F172313" w14:textId="62E6760D" w:rsidR="0089508D" w:rsidRDefault="00EF43E4" w:rsidP="00C74354">
            <w:pPr>
              <w:spacing w:after="0"/>
              <w:ind w:right="173"/>
              <w:jc w:val="right"/>
              <w:rPr>
                <w:rFonts w:ascii="Arial" w:hAnsi="Arial" w:cs="Arial"/>
                <w:szCs w:val="20"/>
              </w:rPr>
            </w:pPr>
            <w:r>
              <w:rPr>
                <w:rFonts w:ascii="Arial" w:hAnsi="Arial" w:cs="Arial"/>
                <w:szCs w:val="20"/>
              </w:rPr>
              <w:t>(40)</w:t>
            </w:r>
          </w:p>
        </w:tc>
      </w:tr>
      <w:tr w:rsidR="0089508D" w:rsidRPr="006359BD" w14:paraId="29E5D277" w14:textId="77777777" w:rsidTr="0007122C">
        <w:trPr>
          <w:trHeight w:hRule="exact" w:val="86"/>
        </w:trPr>
        <w:tc>
          <w:tcPr>
            <w:tcW w:w="5310" w:type="dxa"/>
            <w:tcBorders>
              <w:top w:val="single" w:sz="2" w:space="0" w:color="auto"/>
              <w:left w:val="nil"/>
            </w:tcBorders>
            <w:vAlign w:val="bottom"/>
          </w:tcPr>
          <w:p w14:paraId="60E08404" w14:textId="77777777" w:rsidR="0089508D" w:rsidRPr="006359BD" w:rsidRDefault="0089508D" w:rsidP="00C74354">
            <w:pPr>
              <w:spacing w:after="0"/>
              <w:rPr>
                <w:rFonts w:ascii="Arial" w:hAnsi="Arial" w:cs="Arial"/>
                <w:szCs w:val="20"/>
              </w:rPr>
            </w:pPr>
          </w:p>
        </w:tc>
        <w:tc>
          <w:tcPr>
            <w:tcW w:w="1559" w:type="dxa"/>
            <w:tcBorders>
              <w:top w:val="single" w:sz="2" w:space="0" w:color="auto"/>
              <w:left w:val="nil"/>
              <w:right w:val="nil"/>
            </w:tcBorders>
            <w:vAlign w:val="bottom"/>
          </w:tcPr>
          <w:p w14:paraId="203584F7" w14:textId="77777777" w:rsidR="0089508D" w:rsidRPr="006359BD" w:rsidRDefault="0089508D" w:rsidP="00C74354">
            <w:pPr>
              <w:spacing w:after="0"/>
              <w:ind w:right="173"/>
              <w:jc w:val="right"/>
              <w:rPr>
                <w:rFonts w:ascii="Arial" w:hAnsi="Arial" w:cs="Arial"/>
                <w:szCs w:val="20"/>
              </w:rPr>
            </w:pPr>
          </w:p>
        </w:tc>
        <w:tc>
          <w:tcPr>
            <w:tcW w:w="2041" w:type="dxa"/>
            <w:tcBorders>
              <w:top w:val="single" w:sz="2" w:space="0" w:color="auto"/>
              <w:left w:val="nil"/>
              <w:right w:val="nil"/>
            </w:tcBorders>
          </w:tcPr>
          <w:p w14:paraId="403AC6B5" w14:textId="77777777" w:rsidR="0089508D" w:rsidRPr="006359BD" w:rsidRDefault="0089508D" w:rsidP="00C74354">
            <w:pPr>
              <w:spacing w:after="0"/>
              <w:ind w:right="173"/>
              <w:jc w:val="right"/>
              <w:rPr>
                <w:rFonts w:ascii="Arial" w:hAnsi="Arial" w:cs="Arial"/>
                <w:szCs w:val="20"/>
              </w:rPr>
            </w:pPr>
          </w:p>
        </w:tc>
      </w:tr>
      <w:tr w:rsidR="0089508D" w:rsidRPr="006359BD" w14:paraId="3E88E115" w14:textId="77777777" w:rsidTr="0007122C">
        <w:tc>
          <w:tcPr>
            <w:tcW w:w="5310" w:type="dxa"/>
            <w:tcBorders>
              <w:left w:val="nil"/>
              <w:bottom w:val="single" w:sz="12" w:space="0" w:color="auto"/>
            </w:tcBorders>
            <w:vAlign w:val="bottom"/>
          </w:tcPr>
          <w:p w14:paraId="767C36B6" w14:textId="31F8F747" w:rsidR="0089508D" w:rsidRPr="006359BD" w:rsidRDefault="0089508D" w:rsidP="0089508D">
            <w:pPr>
              <w:spacing w:after="0"/>
              <w:rPr>
                <w:rFonts w:ascii="Arial" w:hAnsi="Arial" w:cs="Arial"/>
                <w:szCs w:val="20"/>
              </w:rPr>
            </w:pPr>
            <w:r w:rsidRPr="006359BD">
              <w:rPr>
                <w:rFonts w:ascii="Arial" w:hAnsi="Arial" w:cs="Arial"/>
                <w:szCs w:val="20"/>
              </w:rPr>
              <w:t xml:space="preserve">Balance, </w:t>
            </w:r>
            <w:r w:rsidR="002B1A73">
              <w:rPr>
                <w:rFonts w:ascii="Arial" w:hAnsi="Arial" w:cs="Arial"/>
                <w:szCs w:val="20"/>
              </w:rPr>
              <w:t>October</w:t>
            </w:r>
            <w:r w:rsidRPr="006359BD">
              <w:rPr>
                <w:rFonts w:ascii="Arial" w:hAnsi="Arial" w:cs="Arial"/>
                <w:szCs w:val="20"/>
              </w:rPr>
              <w:t xml:space="preserve"> 31</w:t>
            </w:r>
            <w:r>
              <w:rPr>
                <w:rFonts w:ascii="Arial" w:hAnsi="Arial" w:cs="Arial"/>
                <w:szCs w:val="20"/>
              </w:rPr>
              <w:t>, 2019</w:t>
            </w:r>
          </w:p>
        </w:tc>
        <w:tc>
          <w:tcPr>
            <w:tcW w:w="1559" w:type="dxa"/>
            <w:tcBorders>
              <w:left w:val="nil"/>
              <w:bottom w:val="single" w:sz="12" w:space="0" w:color="auto"/>
              <w:right w:val="nil"/>
            </w:tcBorders>
            <w:vAlign w:val="bottom"/>
          </w:tcPr>
          <w:p w14:paraId="164BE1B3" w14:textId="77777777" w:rsidR="0089508D" w:rsidRPr="006359BD" w:rsidRDefault="0089508D" w:rsidP="00C74354">
            <w:pPr>
              <w:spacing w:after="0"/>
              <w:ind w:right="173"/>
              <w:jc w:val="right"/>
              <w:rPr>
                <w:rFonts w:ascii="Arial" w:hAnsi="Arial" w:cs="Arial"/>
                <w:szCs w:val="20"/>
              </w:rPr>
            </w:pPr>
          </w:p>
        </w:tc>
        <w:tc>
          <w:tcPr>
            <w:tcW w:w="2041" w:type="dxa"/>
            <w:tcBorders>
              <w:left w:val="nil"/>
              <w:bottom w:val="single" w:sz="12" w:space="0" w:color="auto"/>
              <w:right w:val="nil"/>
            </w:tcBorders>
          </w:tcPr>
          <w:p w14:paraId="781E53FC" w14:textId="191F8204" w:rsidR="0089508D" w:rsidRPr="006359BD" w:rsidRDefault="00EF43E4" w:rsidP="00C74354">
            <w:pPr>
              <w:spacing w:after="0"/>
              <w:ind w:right="173"/>
              <w:jc w:val="right"/>
              <w:rPr>
                <w:rFonts w:ascii="Arial" w:hAnsi="Arial" w:cs="Arial"/>
                <w:szCs w:val="20"/>
              </w:rPr>
            </w:pPr>
            <w:r w:rsidRPr="006359BD">
              <w:rPr>
                <w:rFonts w:ascii="Arial" w:hAnsi="Arial" w:cs="Arial"/>
                <w:szCs w:val="20"/>
              </w:rPr>
              <w:t>–</w:t>
            </w:r>
          </w:p>
        </w:tc>
      </w:tr>
    </w:tbl>
    <w:p w14:paraId="64C20C9A" w14:textId="77777777" w:rsidR="002956D7" w:rsidRPr="006359BD" w:rsidRDefault="002956D7" w:rsidP="006359BD">
      <w:pPr>
        <w:tabs>
          <w:tab w:val="left" w:pos="450"/>
        </w:tabs>
        <w:spacing w:before="120" w:after="0" w:line="240" w:lineRule="auto"/>
        <w:jc w:val="both"/>
        <w:rPr>
          <w:rFonts w:ascii="Arial" w:hAnsi="Arial" w:cs="Arial"/>
          <w:b/>
          <w:szCs w:val="20"/>
        </w:rPr>
      </w:pPr>
    </w:p>
    <w:tbl>
      <w:tblPr>
        <w:tblW w:w="8910" w:type="dxa"/>
        <w:tblInd w:w="450" w:type="dxa"/>
        <w:tblLayout w:type="fixed"/>
        <w:tblCellMar>
          <w:left w:w="0" w:type="dxa"/>
          <w:right w:w="0" w:type="dxa"/>
        </w:tblCellMar>
        <w:tblLook w:val="0000" w:firstRow="0" w:lastRow="0" w:firstColumn="0" w:lastColumn="0" w:noHBand="0" w:noVBand="0"/>
      </w:tblPr>
      <w:tblGrid>
        <w:gridCol w:w="5310"/>
        <w:gridCol w:w="1559"/>
        <w:gridCol w:w="2041"/>
      </w:tblGrid>
      <w:tr w:rsidR="006359BD" w:rsidRPr="006359BD" w14:paraId="37DDD208" w14:textId="77777777" w:rsidTr="0007122C">
        <w:tc>
          <w:tcPr>
            <w:tcW w:w="5310" w:type="dxa"/>
            <w:tcBorders>
              <w:top w:val="nil"/>
              <w:left w:val="nil"/>
              <w:bottom w:val="single" w:sz="4" w:space="0" w:color="auto"/>
            </w:tcBorders>
            <w:vAlign w:val="bottom"/>
          </w:tcPr>
          <w:p w14:paraId="1AD6EDBC" w14:textId="027304B6" w:rsidR="006359BD" w:rsidRPr="006359BD" w:rsidRDefault="006359BD" w:rsidP="00C174F9">
            <w:pPr>
              <w:spacing w:after="0"/>
              <w:rPr>
                <w:rFonts w:ascii="Arial" w:hAnsi="Arial" w:cs="Arial"/>
                <w:szCs w:val="20"/>
              </w:rPr>
            </w:pPr>
            <w:r w:rsidRPr="006359BD">
              <w:rPr>
                <w:rFonts w:ascii="Arial" w:hAnsi="Arial" w:cs="Arial"/>
                <w:b/>
                <w:bCs/>
                <w:szCs w:val="20"/>
              </w:rPr>
              <w:t xml:space="preserve">Accumulated </w:t>
            </w:r>
            <w:r w:rsidR="00C67E13">
              <w:rPr>
                <w:rFonts w:ascii="Arial" w:hAnsi="Arial" w:cs="Arial"/>
                <w:b/>
                <w:bCs/>
                <w:szCs w:val="20"/>
              </w:rPr>
              <w:t>Depreciation</w:t>
            </w:r>
            <w:r w:rsidRPr="006359BD">
              <w:rPr>
                <w:rFonts w:ascii="Arial" w:hAnsi="Arial" w:cs="Arial"/>
                <w:b/>
                <w:bCs/>
                <w:szCs w:val="20"/>
              </w:rPr>
              <w:tab/>
            </w:r>
          </w:p>
        </w:tc>
        <w:tc>
          <w:tcPr>
            <w:tcW w:w="1559" w:type="dxa"/>
            <w:tcBorders>
              <w:top w:val="nil"/>
              <w:left w:val="nil"/>
              <w:bottom w:val="single" w:sz="4" w:space="0" w:color="auto"/>
              <w:right w:val="nil"/>
            </w:tcBorders>
            <w:vAlign w:val="bottom"/>
          </w:tcPr>
          <w:p w14:paraId="426B0297" w14:textId="77777777" w:rsidR="006359BD" w:rsidRPr="006359BD" w:rsidRDefault="006359BD" w:rsidP="00C174F9">
            <w:pPr>
              <w:spacing w:after="0"/>
              <w:jc w:val="center"/>
              <w:rPr>
                <w:rFonts w:ascii="Arial" w:hAnsi="Arial" w:cs="Arial"/>
                <w:szCs w:val="20"/>
              </w:rPr>
            </w:pPr>
          </w:p>
        </w:tc>
        <w:tc>
          <w:tcPr>
            <w:tcW w:w="2041" w:type="dxa"/>
            <w:tcBorders>
              <w:top w:val="nil"/>
              <w:left w:val="nil"/>
              <w:bottom w:val="single" w:sz="4" w:space="0" w:color="auto"/>
              <w:right w:val="nil"/>
            </w:tcBorders>
          </w:tcPr>
          <w:p w14:paraId="5D3E3E03" w14:textId="77777777" w:rsidR="006359BD" w:rsidRPr="006359BD" w:rsidRDefault="006359BD" w:rsidP="00C174F9">
            <w:pPr>
              <w:spacing w:after="0"/>
              <w:jc w:val="center"/>
              <w:rPr>
                <w:rFonts w:ascii="Arial" w:hAnsi="Arial" w:cs="Arial"/>
                <w:szCs w:val="20"/>
              </w:rPr>
            </w:pPr>
          </w:p>
        </w:tc>
      </w:tr>
      <w:tr w:rsidR="006359BD" w:rsidRPr="006359BD" w14:paraId="6397E076" w14:textId="77777777" w:rsidTr="0007122C">
        <w:trPr>
          <w:trHeight w:hRule="exact" w:val="113"/>
        </w:trPr>
        <w:tc>
          <w:tcPr>
            <w:tcW w:w="5310" w:type="dxa"/>
            <w:tcBorders>
              <w:top w:val="single" w:sz="4" w:space="0" w:color="auto"/>
              <w:left w:val="nil"/>
            </w:tcBorders>
            <w:vAlign w:val="bottom"/>
          </w:tcPr>
          <w:p w14:paraId="53CF47AF" w14:textId="77777777" w:rsidR="006359BD" w:rsidRPr="006359BD" w:rsidRDefault="006359BD" w:rsidP="00C174F9">
            <w:pPr>
              <w:spacing w:after="0"/>
              <w:rPr>
                <w:rFonts w:ascii="Arial" w:hAnsi="Arial" w:cs="Arial"/>
                <w:szCs w:val="20"/>
              </w:rPr>
            </w:pPr>
          </w:p>
        </w:tc>
        <w:tc>
          <w:tcPr>
            <w:tcW w:w="1559" w:type="dxa"/>
            <w:tcBorders>
              <w:top w:val="single" w:sz="4" w:space="0" w:color="auto"/>
              <w:left w:val="nil"/>
              <w:right w:val="nil"/>
            </w:tcBorders>
            <w:vAlign w:val="bottom"/>
          </w:tcPr>
          <w:p w14:paraId="51FDE90D" w14:textId="77777777" w:rsidR="006359BD" w:rsidRPr="006359BD" w:rsidRDefault="006359BD" w:rsidP="00C174F9">
            <w:pPr>
              <w:spacing w:after="0"/>
              <w:ind w:right="369"/>
              <w:jc w:val="right"/>
              <w:rPr>
                <w:rFonts w:ascii="Arial" w:hAnsi="Arial" w:cs="Arial"/>
                <w:szCs w:val="20"/>
              </w:rPr>
            </w:pPr>
          </w:p>
        </w:tc>
        <w:tc>
          <w:tcPr>
            <w:tcW w:w="2041" w:type="dxa"/>
            <w:tcBorders>
              <w:top w:val="single" w:sz="4" w:space="0" w:color="auto"/>
              <w:left w:val="nil"/>
              <w:right w:val="nil"/>
            </w:tcBorders>
          </w:tcPr>
          <w:p w14:paraId="51812C93" w14:textId="77777777" w:rsidR="006359BD" w:rsidRPr="006359BD" w:rsidRDefault="006359BD" w:rsidP="00C174F9">
            <w:pPr>
              <w:spacing w:after="0"/>
              <w:ind w:right="369"/>
              <w:jc w:val="right"/>
              <w:rPr>
                <w:rFonts w:ascii="Arial" w:hAnsi="Arial" w:cs="Arial"/>
                <w:szCs w:val="20"/>
              </w:rPr>
            </w:pPr>
          </w:p>
        </w:tc>
      </w:tr>
      <w:tr w:rsidR="006359BD" w:rsidRPr="006359BD" w14:paraId="5EC16C40" w14:textId="77777777" w:rsidTr="0007122C">
        <w:tc>
          <w:tcPr>
            <w:tcW w:w="5310" w:type="dxa"/>
            <w:tcBorders>
              <w:left w:val="nil"/>
            </w:tcBorders>
            <w:vAlign w:val="bottom"/>
          </w:tcPr>
          <w:p w14:paraId="548AFFA2" w14:textId="0D60A37B" w:rsidR="006359BD" w:rsidRPr="006359BD" w:rsidRDefault="006359BD" w:rsidP="00EF43E4">
            <w:pPr>
              <w:spacing w:after="0"/>
              <w:rPr>
                <w:rFonts w:ascii="Arial" w:hAnsi="Arial" w:cs="Arial"/>
                <w:szCs w:val="20"/>
              </w:rPr>
            </w:pPr>
            <w:r w:rsidRPr="006359BD">
              <w:rPr>
                <w:rFonts w:ascii="Arial" w:hAnsi="Arial" w:cs="Arial"/>
                <w:szCs w:val="20"/>
              </w:rPr>
              <w:t xml:space="preserve">Balance, </w:t>
            </w:r>
            <w:r>
              <w:rPr>
                <w:rFonts w:ascii="Arial" w:hAnsi="Arial" w:cs="Arial"/>
                <w:szCs w:val="20"/>
              </w:rPr>
              <w:t>February 1, 201</w:t>
            </w:r>
            <w:r w:rsidR="00EF43E4">
              <w:rPr>
                <w:rFonts w:ascii="Arial" w:hAnsi="Arial" w:cs="Arial"/>
                <w:szCs w:val="20"/>
              </w:rPr>
              <w:t>8</w:t>
            </w:r>
            <w:r>
              <w:rPr>
                <w:rFonts w:ascii="Arial" w:hAnsi="Arial" w:cs="Arial"/>
                <w:szCs w:val="20"/>
              </w:rPr>
              <w:t xml:space="preserve"> </w:t>
            </w:r>
          </w:p>
        </w:tc>
        <w:tc>
          <w:tcPr>
            <w:tcW w:w="1559" w:type="dxa"/>
            <w:tcBorders>
              <w:left w:val="nil"/>
              <w:right w:val="nil"/>
            </w:tcBorders>
            <w:vAlign w:val="bottom"/>
          </w:tcPr>
          <w:p w14:paraId="737DD1D9" w14:textId="77777777" w:rsidR="006359BD" w:rsidRPr="006359BD" w:rsidRDefault="006359BD" w:rsidP="00C174F9">
            <w:pPr>
              <w:spacing w:after="0"/>
              <w:ind w:right="173"/>
              <w:jc w:val="right"/>
              <w:rPr>
                <w:rFonts w:ascii="Arial" w:hAnsi="Arial" w:cs="Arial"/>
                <w:szCs w:val="20"/>
              </w:rPr>
            </w:pPr>
          </w:p>
        </w:tc>
        <w:tc>
          <w:tcPr>
            <w:tcW w:w="2041" w:type="dxa"/>
            <w:tcBorders>
              <w:left w:val="nil"/>
              <w:right w:val="nil"/>
            </w:tcBorders>
          </w:tcPr>
          <w:p w14:paraId="3D180D42" w14:textId="77777777" w:rsidR="006359BD" w:rsidRPr="006359BD" w:rsidRDefault="006359BD" w:rsidP="00C174F9">
            <w:pPr>
              <w:spacing w:after="0"/>
              <w:ind w:right="173"/>
              <w:jc w:val="right"/>
              <w:rPr>
                <w:rFonts w:ascii="Arial" w:hAnsi="Arial" w:cs="Arial"/>
                <w:szCs w:val="20"/>
              </w:rPr>
            </w:pPr>
            <w:r w:rsidRPr="006359BD">
              <w:rPr>
                <w:rFonts w:ascii="Arial" w:hAnsi="Arial" w:cs="Arial"/>
                <w:szCs w:val="20"/>
              </w:rPr>
              <w:t>–</w:t>
            </w:r>
          </w:p>
        </w:tc>
      </w:tr>
      <w:tr w:rsidR="00EF43E4" w:rsidRPr="006359BD" w14:paraId="1E26CBFE" w14:textId="77777777" w:rsidTr="0007122C">
        <w:tc>
          <w:tcPr>
            <w:tcW w:w="5310" w:type="dxa"/>
            <w:tcBorders>
              <w:left w:val="nil"/>
            </w:tcBorders>
            <w:vAlign w:val="bottom"/>
          </w:tcPr>
          <w:p w14:paraId="19DAFA7A" w14:textId="4A6A3E07" w:rsidR="00EF43E4" w:rsidRPr="006359BD" w:rsidRDefault="003131A7" w:rsidP="00C74354">
            <w:pPr>
              <w:spacing w:after="0"/>
              <w:rPr>
                <w:rFonts w:ascii="Arial" w:hAnsi="Arial" w:cs="Arial"/>
                <w:szCs w:val="20"/>
              </w:rPr>
            </w:pPr>
            <w:r>
              <w:rPr>
                <w:rFonts w:ascii="Arial" w:hAnsi="Arial" w:cs="Arial"/>
                <w:szCs w:val="20"/>
              </w:rPr>
              <w:t>Depreciation</w:t>
            </w:r>
          </w:p>
        </w:tc>
        <w:tc>
          <w:tcPr>
            <w:tcW w:w="1559" w:type="dxa"/>
            <w:tcBorders>
              <w:left w:val="nil"/>
              <w:right w:val="nil"/>
            </w:tcBorders>
            <w:vAlign w:val="bottom"/>
          </w:tcPr>
          <w:p w14:paraId="00C7D4B2" w14:textId="77777777" w:rsidR="00EF43E4" w:rsidRPr="006359BD" w:rsidRDefault="00EF43E4" w:rsidP="00C74354">
            <w:pPr>
              <w:spacing w:after="0"/>
              <w:ind w:right="173"/>
              <w:jc w:val="right"/>
              <w:rPr>
                <w:rFonts w:ascii="Arial" w:hAnsi="Arial" w:cs="Arial"/>
                <w:szCs w:val="20"/>
              </w:rPr>
            </w:pPr>
          </w:p>
        </w:tc>
        <w:tc>
          <w:tcPr>
            <w:tcW w:w="2041" w:type="dxa"/>
            <w:tcBorders>
              <w:left w:val="nil"/>
              <w:right w:val="nil"/>
            </w:tcBorders>
          </w:tcPr>
          <w:p w14:paraId="0D3750E3" w14:textId="6CA5CF79" w:rsidR="00EF43E4" w:rsidRPr="006359BD" w:rsidRDefault="00EF43E4" w:rsidP="00EF43E4">
            <w:pPr>
              <w:spacing w:after="0"/>
              <w:ind w:right="173"/>
              <w:jc w:val="right"/>
              <w:rPr>
                <w:rFonts w:ascii="Arial" w:hAnsi="Arial" w:cs="Arial"/>
                <w:szCs w:val="20"/>
              </w:rPr>
            </w:pPr>
            <w:r>
              <w:rPr>
                <w:rFonts w:ascii="Arial" w:hAnsi="Arial" w:cs="Arial"/>
                <w:szCs w:val="20"/>
              </w:rPr>
              <w:t>1,135</w:t>
            </w:r>
          </w:p>
        </w:tc>
      </w:tr>
      <w:tr w:rsidR="00EF43E4" w:rsidRPr="006359BD" w14:paraId="07407671" w14:textId="77777777" w:rsidTr="0007122C">
        <w:tc>
          <w:tcPr>
            <w:tcW w:w="5310" w:type="dxa"/>
            <w:tcBorders>
              <w:left w:val="nil"/>
            </w:tcBorders>
            <w:vAlign w:val="bottom"/>
          </w:tcPr>
          <w:p w14:paraId="516C7EBD" w14:textId="77777777" w:rsidR="00EF43E4" w:rsidRPr="006359BD" w:rsidRDefault="00EF43E4" w:rsidP="00C74354">
            <w:pPr>
              <w:spacing w:after="0"/>
              <w:rPr>
                <w:rFonts w:ascii="Arial" w:hAnsi="Arial" w:cs="Arial"/>
                <w:szCs w:val="20"/>
              </w:rPr>
            </w:pPr>
            <w:r>
              <w:rPr>
                <w:rFonts w:ascii="Arial" w:hAnsi="Arial" w:cs="Arial"/>
                <w:szCs w:val="20"/>
              </w:rPr>
              <w:t>Effect of foreign exchange rate changes</w:t>
            </w:r>
          </w:p>
        </w:tc>
        <w:tc>
          <w:tcPr>
            <w:tcW w:w="1559" w:type="dxa"/>
            <w:tcBorders>
              <w:left w:val="nil"/>
              <w:right w:val="nil"/>
            </w:tcBorders>
            <w:vAlign w:val="bottom"/>
          </w:tcPr>
          <w:p w14:paraId="4A470857" w14:textId="77777777" w:rsidR="00EF43E4" w:rsidRPr="006359BD" w:rsidRDefault="00EF43E4" w:rsidP="00C74354">
            <w:pPr>
              <w:spacing w:after="0"/>
              <w:ind w:right="173"/>
              <w:jc w:val="right"/>
              <w:rPr>
                <w:rFonts w:ascii="Arial" w:hAnsi="Arial" w:cs="Arial"/>
                <w:szCs w:val="20"/>
              </w:rPr>
            </w:pPr>
          </w:p>
        </w:tc>
        <w:tc>
          <w:tcPr>
            <w:tcW w:w="2041" w:type="dxa"/>
            <w:tcBorders>
              <w:left w:val="nil"/>
              <w:right w:val="nil"/>
            </w:tcBorders>
          </w:tcPr>
          <w:p w14:paraId="2217D483" w14:textId="70A293AC" w:rsidR="00EF43E4" w:rsidRPr="006359BD" w:rsidRDefault="00EF43E4" w:rsidP="00EF43E4">
            <w:pPr>
              <w:spacing w:after="0"/>
              <w:ind w:right="173"/>
              <w:jc w:val="right"/>
              <w:rPr>
                <w:rFonts w:ascii="Arial" w:hAnsi="Arial" w:cs="Arial"/>
                <w:szCs w:val="20"/>
              </w:rPr>
            </w:pPr>
            <w:r>
              <w:rPr>
                <w:rFonts w:ascii="Arial" w:hAnsi="Arial" w:cs="Arial"/>
                <w:szCs w:val="20"/>
              </w:rPr>
              <w:t>10</w:t>
            </w:r>
          </w:p>
        </w:tc>
      </w:tr>
      <w:tr w:rsidR="00EF43E4" w:rsidRPr="006359BD" w14:paraId="589CA539" w14:textId="77777777" w:rsidTr="0007122C">
        <w:trPr>
          <w:trHeight w:hRule="exact" w:val="86"/>
        </w:trPr>
        <w:tc>
          <w:tcPr>
            <w:tcW w:w="5310" w:type="dxa"/>
            <w:tcBorders>
              <w:top w:val="single" w:sz="4" w:space="0" w:color="auto"/>
              <w:left w:val="nil"/>
            </w:tcBorders>
            <w:vAlign w:val="bottom"/>
          </w:tcPr>
          <w:p w14:paraId="4F0C8027" w14:textId="77777777" w:rsidR="00EF43E4" w:rsidRPr="006359BD" w:rsidRDefault="00EF43E4" w:rsidP="00C74354">
            <w:pPr>
              <w:spacing w:after="0"/>
              <w:rPr>
                <w:rFonts w:ascii="Arial" w:hAnsi="Arial" w:cs="Arial"/>
                <w:szCs w:val="20"/>
              </w:rPr>
            </w:pPr>
          </w:p>
        </w:tc>
        <w:tc>
          <w:tcPr>
            <w:tcW w:w="1559" w:type="dxa"/>
            <w:tcBorders>
              <w:top w:val="single" w:sz="4" w:space="0" w:color="auto"/>
              <w:left w:val="nil"/>
              <w:right w:val="nil"/>
            </w:tcBorders>
            <w:vAlign w:val="bottom"/>
          </w:tcPr>
          <w:p w14:paraId="2D9D2D5D" w14:textId="77777777" w:rsidR="00EF43E4" w:rsidRPr="006359BD" w:rsidRDefault="00EF43E4" w:rsidP="00C74354">
            <w:pPr>
              <w:spacing w:after="0"/>
              <w:ind w:right="173"/>
              <w:jc w:val="right"/>
              <w:rPr>
                <w:rFonts w:ascii="Arial" w:hAnsi="Arial" w:cs="Arial"/>
                <w:szCs w:val="20"/>
              </w:rPr>
            </w:pPr>
          </w:p>
        </w:tc>
        <w:tc>
          <w:tcPr>
            <w:tcW w:w="2041" w:type="dxa"/>
            <w:tcBorders>
              <w:top w:val="single" w:sz="4" w:space="0" w:color="auto"/>
              <w:left w:val="nil"/>
              <w:right w:val="nil"/>
            </w:tcBorders>
          </w:tcPr>
          <w:p w14:paraId="01E2106C" w14:textId="77777777" w:rsidR="00EF43E4" w:rsidRPr="006359BD" w:rsidRDefault="00EF43E4" w:rsidP="00C74354">
            <w:pPr>
              <w:spacing w:after="0"/>
              <w:ind w:right="173"/>
              <w:jc w:val="right"/>
              <w:rPr>
                <w:rFonts w:ascii="Arial" w:hAnsi="Arial" w:cs="Arial"/>
                <w:szCs w:val="20"/>
              </w:rPr>
            </w:pPr>
          </w:p>
        </w:tc>
      </w:tr>
      <w:tr w:rsidR="00EF43E4" w:rsidRPr="006359BD" w14:paraId="5B42FD5F" w14:textId="77777777" w:rsidTr="0007122C">
        <w:tc>
          <w:tcPr>
            <w:tcW w:w="5310" w:type="dxa"/>
            <w:tcBorders>
              <w:left w:val="nil"/>
            </w:tcBorders>
            <w:vAlign w:val="bottom"/>
          </w:tcPr>
          <w:p w14:paraId="0C7B5913" w14:textId="77777777" w:rsidR="00EF43E4" w:rsidRPr="006359BD" w:rsidRDefault="00EF43E4" w:rsidP="00C74354">
            <w:pPr>
              <w:spacing w:after="0"/>
              <w:rPr>
                <w:rFonts w:ascii="Arial" w:hAnsi="Arial" w:cs="Arial"/>
                <w:szCs w:val="20"/>
              </w:rPr>
            </w:pPr>
            <w:r w:rsidRPr="006359BD">
              <w:rPr>
                <w:rFonts w:ascii="Arial" w:hAnsi="Arial" w:cs="Arial"/>
                <w:szCs w:val="20"/>
              </w:rPr>
              <w:t xml:space="preserve">Balance, </w:t>
            </w:r>
            <w:r>
              <w:rPr>
                <w:rFonts w:ascii="Arial" w:hAnsi="Arial" w:cs="Arial"/>
                <w:szCs w:val="20"/>
              </w:rPr>
              <w:t>January</w:t>
            </w:r>
            <w:r w:rsidRPr="006359BD">
              <w:rPr>
                <w:rFonts w:ascii="Arial" w:hAnsi="Arial" w:cs="Arial"/>
                <w:szCs w:val="20"/>
              </w:rPr>
              <w:t xml:space="preserve"> 31</w:t>
            </w:r>
            <w:r>
              <w:rPr>
                <w:rFonts w:ascii="Arial" w:hAnsi="Arial" w:cs="Arial"/>
                <w:szCs w:val="20"/>
              </w:rPr>
              <w:t>, 2019</w:t>
            </w:r>
          </w:p>
        </w:tc>
        <w:tc>
          <w:tcPr>
            <w:tcW w:w="1559" w:type="dxa"/>
            <w:tcBorders>
              <w:left w:val="nil"/>
              <w:right w:val="nil"/>
            </w:tcBorders>
            <w:vAlign w:val="bottom"/>
          </w:tcPr>
          <w:p w14:paraId="7314DE74" w14:textId="77777777" w:rsidR="00EF43E4" w:rsidRPr="006359BD" w:rsidRDefault="00EF43E4" w:rsidP="00C74354">
            <w:pPr>
              <w:spacing w:after="0"/>
              <w:ind w:right="173"/>
              <w:jc w:val="right"/>
              <w:rPr>
                <w:rFonts w:ascii="Arial" w:hAnsi="Arial" w:cs="Arial"/>
                <w:szCs w:val="20"/>
              </w:rPr>
            </w:pPr>
          </w:p>
        </w:tc>
        <w:tc>
          <w:tcPr>
            <w:tcW w:w="2041" w:type="dxa"/>
            <w:tcBorders>
              <w:left w:val="nil"/>
              <w:right w:val="nil"/>
            </w:tcBorders>
          </w:tcPr>
          <w:p w14:paraId="02A6FCF5" w14:textId="56EFCEA3" w:rsidR="00EF43E4" w:rsidRPr="006359BD" w:rsidRDefault="00EF43E4" w:rsidP="00C74354">
            <w:pPr>
              <w:spacing w:after="0"/>
              <w:ind w:right="173"/>
              <w:jc w:val="right"/>
              <w:rPr>
                <w:rFonts w:ascii="Arial" w:hAnsi="Arial" w:cs="Arial"/>
                <w:szCs w:val="20"/>
              </w:rPr>
            </w:pPr>
            <w:r>
              <w:rPr>
                <w:rFonts w:ascii="Arial" w:hAnsi="Arial" w:cs="Arial"/>
                <w:szCs w:val="20"/>
              </w:rPr>
              <w:t>1,145</w:t>
            </w:r>
          </w:p>
        </w:tc>
      </w:tr>
      <w:tr w:rsidR="006359BD" w:rsidRPr="006359BD" w14:paraId="1C7396B0" w14:textId="77777777" w:rsidTr="0007122C">
        <w:tc>
          <w:tcPr>
            <w:tcW w:w="5310" w:type="dxa"/>
            <w:tcBorders>
              <w:left w:val="nil"/>
            </w:tcBorders>
            <w:vAlign w:val="bottom"/>
          </w:tcPr>
          <w:p w14:paraId="3D62B3D5" w14:textId="74077C99" w:rsidR="006359BD" w:rsidRPr="006359BD" w:rsidRDefault="003131A7" w:rsidP="00C174F9">
            <w:pPr>
              <w:spacing w:after="0"/>
              <w:rPr>
                <w:rFonts w:ascii="Arial" w:hAnsi="Arial" w:cs="Arial"/>
                <w:szCs w:val="20"/>
              </w:rPr>
            </w:pPr>
            <w:r>
              <w:rPr>
                <w:rFonts w:ascii="Arial" w:hAnsi="Arial" w:cs="Arial"/>
                <w:szCs w:val="20"/>
              </w:rPr>
              <w:t>Depreciation</w:t>
            </w:r>
          </w:p>
        </w:tc>
        <w:tc>
          <w:tcPr>
            <w:tcW w:w="1559" w:type="dxa"/>
            <w:tcBorders>
              <w:left w:val="nil"/>
              <w:right w:val="nil"/>
            </w:tcBorders>
            <w:vAlign w:val="bottom"/>
          </w:tcPr>
          <w:p w14:paraId="0E99D164" w14:textId="77777777" w:rsidR="006359BD" w:rsidRPr="006359BD" w:rsidRDefault="006359BD" w:rsidP="00C174F9">
            <w:pPr>
              <w:spacing w:after="0"/>
              <w:ind w:right="173"/>
              <w:jc w:val="right"/>
              <w:rPr>
                <w:rFonts w:ascii="Arial" w:hAnsi="Arial" w:cs="Arial"/>
                <w:szCs w:val="20"/>
              </w:rPr>
            </w:pPr>
          </w:p>
        </w:tc>
        <w:tc>
          <w:tcPr>
            <w:tcW w:w="2041" w:type="dxa"/>
            <w:tcBorders>
              <w:left w:val="nil"/>
              <w:right w:val="nil"/>
            </w:tcBorders>
          </w:tcPr>
          <w:p w14:paraId="071DC74D" w14:textId="1553D36F" w:rsidR="006359BD" w:rsidRPr="006359BD" w:rsidRDefault="00EF43E4" w:rsidP="005E7A4B">
            <w:pPr>
              <w:spacing w:after="0"/>
              <w:ind w:right="173"/>
              <w:jc w:val="right"/>
              <w:rPr>
                <w:rFonts w:ascii="Arial" w:hAnsi="Arial" w:cs="Arial"/>
                <w:szCs w:val="20"/>
              </w:rPr>
            </w:pPr>
            <w:r>
              <w:rPr>
                <w:rFonts w:ascii="Arial" w:hAnsi="Arial" w:cs="Arial"/>
                <w:szCs w:val="20"/>
              </w:rPr>
              <w:t>317</w:t>
            </w:r>
          </w:p>
        </w:tc>
      </w:tr>
      <w:tr w:rsidR="006359BD" w:rsidRPr="006359BD" w14:paraId="399563C5" w14:textId="77777777" w:rsidTr="0007122C">
        <w:tc>
          <w:tcPr>
            <w:tcW w:w="5310" w:type="dxa"/>
            <w:tcBorders>
              <w:left w:val="nil"/>
            </w:tcBorders>
            <w:vAlign w:val="bottom"/>
          </w:tcPr>
          <w:p w14:paraId="19689CE1" w14:textId="3D42BBB3" w:rsidR="006359BD" w:rsidRPr="006359BD" w:rsidRDefault="00EF43E4" w:rsidP="00C174F9">
            <w:pPr>
              <w:spacing w:after="0"/>
              <w:rPr>
                <w:rFonts w:ascii="Arial" w:hAnsi="Arial" w:cs="Arial"/>
                <w:szCs w:val="20"/>
              </w:rPr>
            </w:pPr>
            <w:r>
              <w:rPr>
                <w:rFonts w:ascii="Arial" w:hAnsi="Arial" w:cs="Arial"/>
                <w:szCs w:val="20"/>
              </w:rPr>
              <w:t>Write-off</w:t>
            </w:r>
          </w:p>
        </w:tc>
        <w:tc>
          <w:tcPr>
            <w:tcW w:w="1559" w:type="dxa"/>
            <w:tcBorders>
              <w:left w:val="nil"/>
              <w:right w:val="nil"/>
            </w:tcBorders>
            <w:vAlign w:val="bottom"/>
          </w:tcPr>
          <w:p w14:paraId="5D572D64" w14:textId="77777777" w:rsidR="006359BD" w:rsidRPr="006359BD" w:rsidRDefault="006359BD" w:rsidP="00C174F9">
            <w:pPr>
              <w:spacing w:after="0"/>
              <w:ind w:right="173"/>
              <w:jc w:val="right"/>
              <w:rPr>
                <w:rFonts w:ascii="Arial" w:hAnsi="Arial" w:cs="Arial"/>
                <w:szCs w:val="20"/>
              </w:rPr>
            </w:pPr>
          </w:p>
        </w:tc>
        <w:tc>
          <w:tcPr>
            <w:tcW w:w="2041" w:type="dxa"/>
            <w:tcBorders>
              <w:left w:val="nil"/>
              <w:right w:val="nil"/>
            </w:tcBorders>
          </w:tcPr>
          <w:p w14:paraId="51CCD1B1" w14:textId="1B77D19F" w:rsidR="006359BD" w:rsidRPr="006359BD" w:rsidRDefault="00EF43E4" w:rsidP="00C174F9">
            <w:pPr>
              <w:spacing w:after="0"/>
              <w:ind w:right="173"/>
              <w:jc w:val="right"/>
              <w:rPr>
                <w:rFonts w:ascii="Arial" w:hAnsi="Arial" w:cs="Arial"/>
                <w:szCs w:val="20"/>
              </w:rPr>
            </w:pPr>
            <w:r>
              <w:rPr>
                <w:rFonts w:ascii="Arial" w:hAnsi="Arial" w:cs="Arial"/>
                <w:szCs w:val="20"/>
              </w:rPr>
              <w:t>(1,366)</w:t>
            </w:r>
          </w:p>
        </w:tc>
      </w:tr>
      <w:tr w:rsidR="005E7A4B" w:rsidRPr="006359BD" w14:paraId="76AB5AFE" w14:textId="77777777" w:rsidTr="0007122C">
        <w:tc>
          <w:tcPr>
            <w:tcW w:w="5310" w:type="dxa"/>
            <w:tcBorders>
              <w:left w:val="nil"/>
            </w:tcBorders>
            <w:vAlign w:val="bottom"/>
          </w:tcPr>
          <w:p w14:paraId="2D2066D8" w14:textId="6113C197" w:rsidR="005E7A4B" w:rsidRPr="006359BD" w:rsidRDefault="005E7A4B" w:rsidP="00C174F9">
            <w:pPr>
              <w:spacing w:after="0"/>
              <w:rPr>
                <w:rFonts w:ascii="Arial" w:hAnsi="Arial" w:cs="Arial"/>
                <w:szCs w:val="20"/>
              </w:rPr>
            </w:pPr>
            <w:r>
              <w:rPr>
                <w:rFonts w:ascii="Arial" w:hAnsi="Arial" w:cs="Arial"/>
                <w:szCs w:val="20"/>
              </w:rPr>
              <w:t>Effect of foreign exchange rate changes</w:t>
            </w:r>
          </w:p>
        </w:tc>
        <w:tc>
          <w:tcPr>
            <w:tcW w:w="1559" w:type="dxa"/>
            <w:tcBorders>
              <w:left w:val="nil"/>
              <w:right w:val="nil"/>
            </w:tcBorders>
            <w:vAlign w:val="bottom"/>
          </w:tcPr>
          <w:p w14:paraId="4F1624AA" w14:textId="77777777" w:rsidR="005E7A4B" w:rsidRPr="006359BD" w:rsidRDefault="005E7A4B" w:rsidP="00C174F9">
            <w:pPr>
              <w:spacing w:after="0"/>
              <w:ind w:right="173"/>
              <w:jc w:val="right"/>
              <w:rPr>
                <w:rFonts w:ascii="Arial" w:hAnsi="Arial" w:cs="Arial"/>
                <w:szCs w:val="20"/>
              </w:rPr>
            </w:pPr>
          </w:p>
        </w:tc>
        <w:tc>
          <w:tcPr>
            <w:tcW w:w="2041" w:type="dxa"/>
            <w:tcBorders>
              <w:left w:val="nil"/>
              <w:right w:val="nil"/>
            </w:tcBorders>
          </w:tcPr>
          <w:p w14:paraId="1F897071" w14:textId="6324F7FD" w:rsidR="005E7A4B" w:rsidRPr="006359BD" w:rsidRDefault="00EF43E4" w:rsidP="00C174F9">
            <w:pPr>
              <w:spacing w:after="0"/>
              <w:ind w:right="173"/>
              <w:jc w:val="right"/>
              <w:rPr>
                <w:rFonts w:ascii="Arial" w:hAnsi="Arial" w:cs="Arial"/>
                <w:szCs w:val="20"/>
              </w:rPr>
            </w:pPr>
            <w:r>
              <w:rPr>
                <w:rFonts w:ascii="Arial" w:hAnsi="Arial" w:cs="Arial"/>
                <w:szCs w:val="20"/>
              </w:rPr>
              <w:t>(96</w:t>
            </w:r>
            <w:r w:rsidR="005E7A4B">
              <w:rPr>
                <w:rFonts w:ascii="Arial" w:hAnsi="Arial" w:cs="Arial"/>
                <w:szCs w:val="20"/>
              </w:rPr>
              <w:t>)</w:t>
            </w:r>
          </w:p>
        </w:tc>
      </w:tr>
      <w:tr w:rsidR="006359BD" w:rsidRPr="006359BD" w14:paraId="4C55BD14" w14:textId="77777777" w:rsidTr="0007122C">
        <w:trPr>
          <w:trHeight w:hRule="exact" w:val="86"/>
        </w:trPr>
        <w:tc>
          <w:tcPr>
            <w:tcW w:w="5310" w:type="dxa"/>
            <w:tcBorders>
              <w:top w:val="single" w:sz="4" w:space="0" w:color="auto"/>
              <w:left w:val="nil"/>
            </w:tcBorders>
            <w:vAlign w:val="bottom"/>
          </w:tcPr>
          <w:p w14:paraId="332148B2" w14:textId="77777777" w:rsidR="006359BD" w:rsidRPr="006359BD" w:rsidRDefault="006359BD" w:rsidP="00C174F9">
            <w:pPr>
              <w:spacing w:after="0"/>
              <w:rPr>
                <w:rFonts w:ascii="Arial" w:hAnsi="Arial" w:cs="Arial"/>
                <w:szCs w:val="20"/>
              </w:rPr>
            </w:pPr>
          </w:p>
        </w:tc>
        <w:tc>
          <w:tcPr>
            <w:tcW w:w="1559" w:type="dxa"/>
            <w:tcBorders>
              <w:top w:val="single" w:sz="4" w:space="0" w:color="auto"/>
              <w:left w:val="nil"/>
              <w:right w:val="nil"/>
            </w:tcBorders>
            <w:vAlign w:val="bottom"/>
          </w:tcPr>
          <w:p w14:paraId="1EEE9D1F" w14:textId="77777777" w:rsidR="006359BD" w:rsidRPr="006359BD" w:rsidRDefault="006359BD" w:rsidP="00C174F9">
            <w:pPr>
              <w:spacing w:after="0"/>
              <w:ind w:right="173"/>
              <w:jc w:val="right"/>
              <w:rPr>
                <w:rFonts w:ascii="Arial" w:hAnsi="Arial" w:cs="Arial"/>
                <w:szCs w:val="20"/>
              </w:rPr>
            </w:pPr>
          </w:p>
        </w:tc>
        <w:tc>
          <w:tcPr>
            <w:tcW w:w="2041" w:type="dxa"/>
            <w:tcBorders>
              <w:top w:val="single" w:sz="4" w:space="0" w:color="auto"/>
              <w:left w:val="nil"/>
              <w:right w:val="nil"/>
            </w:tcBorders>
          </w:tcPr>
          <w:p w14:paraId="1D7FD687" w14:textId="77777777" w:rsidR="006359BD" w:rsidRPr="006359BD" w:rsidRDefault="006359BD" w:rsidP="00C174F9">
            <w:pPr>
              <w:spacing w:after="0"/>
              <w:ind w:right="173"/>
              <w:jc w:val="right"/>
              <w:rPr>
                <w:rFonts w:ascii="Arial" w:hAnsi="Arial" w:cs="Arial"/>
                <w:szCs w:val="20"/>
              </w:rPr>
            </w:pPr>
          </w:p>
        </w:tc>
      </w:tr>
      <w:tr w:rsidR="006359BD" w:rsidRPr="006359BD" w14:paraId="7B0C1A74" w14:textId="77777777" w:rsidTr="00E13F53">
        <w:trPr>
          <w:trHeight w:val="333"/>
        </w:trPr>
        <w:tc>
          <w:tcPr>
            <w:tcW w:w="5310" w:type="dxa"/>
            <w:tcBorders>
              <w:left w:val="nil"/>
              <w:bottom w:val="single" w:sz="12" w:space="0" w:color="auto"/>
            </w:tcBorders>
            <w:vAlign w:val="bottom"/>
          </w:tcPr>
          <w:p w14:paraId="10437F69" w14:textId="0F1B059E" w:rsidR="006359BD" w:rsidRPr="006359BD" w:rsidRDefault="006359BD" w:rsidP="00EF43E4">
            <w:pPr>
              <w:spacing w:after="0"/>
              <w:rPr>
                <w:rFonts w:ascii="Arial" w:hAnsi="Arial" w:cs="Arial"/>
                <w:szCs w:val="20"/>
              </w:rPr>
            </w:pPr>
            <w:r w:rsidRPr="006359BD">
              <w:rPr>
                <w:rFonts w:ascii="Arial" w:hAnsi="Arial" w:cs="Arial"/>
                <w:szCs w:val="20"/>
              </w:rPr>
              <w:t xml:space="preserve">Balance, </w:t>
            </w:r>
            <w:r w:rsidR="002B1A73">
              <w:rPr>
                <w:rFonts w:ascii="Arial" w:hAnsi="Arial" w:cs="Arial"/>
                <w:szCs w:val="20"/>
              </w:rPr>
              <w:t>October</w:t>
            </w:r>
            <w:r w:rsidR="00D10600" w:rsidRPr="006359BD">
              <w:rPr>
                <w:rFonts w:ascii="Arial" w:hAnsi="Arial" w:cs="Arial"/>
                <w:szCs w:val="20"/>
              </w:rPr>
              <w:t xml:space="preserve"> 31</w:t>
            </w:r>
            <w:r w:rsidR="00D10600">
              <w:rPr>
                <w:rFonts w:ascii="Arial" w:hAnsi="Arial" w:cs="Arial"/>
                <w:szCs w:val="20"/>
              </w:rPr>
              <w:t>, 2019</w:t>
            </w:r>
          </w:p>
        </w:tc>
        <w:tc>
          <w:tcPr>
            <w:tcW w:w="1559" w:type="dxa"/>
            <w:tcBorders>
              <w:left w:val="nil"/>
              <w:bottom w:val="single" w:sz="12" w:space="0" w:color="auto"/>
              <w:right w:val="nil"/>
            </w:tcBorders>
            <w:vAlign w:val="bottom"/>
          </w:tcPr>
          <w:p w14:paraId="087B9C24" w14:textId="77777777" w:rsidR="006359BD" w:rsidRPr="006359BD" w:rsidRDefault="006359BD" w:rsidP="00C174F9">
            <w:pPr>
              <w:spacing w:after="0"/>
              <w:ind w:right="173"/>
              <w:jc w:val="right"/>
              <w:rPr>
                <w:rFonts w:ascii="Arial" w:hAnsi="Arial" w:cs="Arial"/>
                <w:szCs w:val="20"/>
              </w:rPr>
            </w:pPr>
          </w:p>
        </w:tc>
        <w:tc>
          <w:tcPr>
            <w:tcW w:w="2041" w:type="dxa"/>
            <w:tcBorders>
              <w:left w:val="nil"/>
              <w:bottom w:val="single" w:sz="12" w:space="0" w:color="auto"/>
              <w:right w:val="nil"/>
            </w:tcBorders>
          </w:tcPr>
          <w:p w14:paraId="6EA996D3" w14:textId="79CC4BB0" w:rsidR="006359BD" w:rsidRPr="006359BD" w:rsidRDefault="00EF43E4" w:rsidP="00C174F9">
            <w:pPr>
              <w:spacing w:after="0"/>
              <w:ind w:right="173"/>
              <w:jc w:val="right"/>
              <w:rPr>
                <w:rFonts w:ascii="Arial" w:hAnsi="Arial" w:cs="Arial"/>
                <w:szCs w:val="20"/>
              </w:rPr>
            </w:pPr>
            <w:r w:rsidRPr="006359BD">
              <w:rPr>
                <w:rFonts w:ascii="Arial" w:hAnsi="Arial" w:cs="Arial"/>
                <w:szCs w:val="20"/>
              </w:rPr>
              <w:t>–</w:t>
            </w:r>
          </w:p>
        </w:tc>
      </w:tr>
    </w:tbl>
    <w:p w14:paraId="01C2E0AE" w14:textId="77777777" w:rsidR="00C83768" w:rsidRPr="006359BD" w:rsidRDefault="00C83768" w:rsidP="006359BD">
      <w:pPr>
        <w:tabs>
          <w:tab w:val="left" w:pos="450"/>
        </w:tabs>
        <w:spacing w:before="120" w:after="0" w:line="240" w:lineRule="auto"/>
        <w:jc w:val="both"/>
        <w:rPr>
          <w:rFonts w:ascii="Arial" w:hAnsi="Arial" w:cs="Arial"/>
          <w:b/>
          <w:szCs w:val="20"/>
        </w:rPr>
      </w:pPr>
    </w:p>
    <w:tbl>
      <w:tblPr>
        <w:tblW w:w="8910" w:type="dxa"/>
        <w:tblInd w:w="450" w:type="dxa"/>
        <w:tblLayout w:type="fixed"/>
        <w:tblCellMar>
          <w:left w:w="0" w:type="dxa"/>
          <w:right w:w="0" w:type="dxa"/>
        </w:tblCellMar>
        <w:tblLook w:val="0000" w:firstRow="0" w:lastRow="0" w:firstColumn="0" w:lastColumn="0" w:noHBand="0" w:noVBand="0"/>
      </w:tblPr>
      <w:tblGrid>
        <w:gridCol w:w="5310"/>
        <w:gridCol w:w="1559"/>
        <w:gridCol w:w="2041"/>
      </w:tblGrid>
      <w:tr w:rsidR="00EF43E4" w:rsidRPr="006359BD" w14:paraId="036016F7" w14:textId="77777777" w:rsidTr="0007122C">
        <w:tc>
          <w:tcPr>
            <w:tcW w:w="5310" w:type="dxa"/>
            <w:tcBorders>
              <w:left w:val="nil"/>
              <w:bottom w:val="single" w:sz="12" w:space="0" w:color="auto"/>
            </w:tcBorders>
            <w:vAlign w:val="bottom"/>
          </w:tcPr>
          <w:p w14:paraId="2FF5459D" w14:textId="504594C6" w:rsidR="00EF43E4" w:rsidRPr="006359BD" w:rsidRDefault="00EF43E4" w:rsidP="00EF43E4">
            <w:pPr>
              <w:spacing w:after="0"/>
              <w:rPr>
                <w:rFonts w:ascii="Arial" w:hAnsi="Arial" w:cs="Arial"/>
                <w:szCs w:val="20"/>
              </w:rPr>
            </w:pPr>
            <w:r w:rsidRPr="006359BD">
              <w:rPr>
                <w:rFonts w:ascii="Arial" w:hAnsi="Arial" w:cs="Arial"/>
                <w:szCs w:val="20"/>
              </w:rPr>
              <w:t xml:space="preserve">Net book value, </w:t>
            </w:r>
            <w:r w:rsidR="002B1A73">
              <w:rPr>
                <w:rFonts w:ascii="Arial" w:hAnsi="Arial" w:cs="Arial"/>
                <w:szCs w:val="20"/>
              </w:rPr>
              <w:t>October</w:t>
            </w:r>
            <w:r w:rsidRPr="006359BD">
              <w:rPr>
                <w:rFonts w:ascii="Arial" w:hAnsi="Arial" w:cs="Arial"/>
                <w:szCs w:val="20"/>
              </w:rPr>
              <w:t xml:space="preserve"> 31</w:t>
            </w:r>
            <w:r>
              <w:rPr>
                <w:rFonts w:ascii="Arial" w:hAnsi="Arial" w:cs="Arial"/>
                <w:szCs w:val="20"/>
              </w:rPr>
              <w:t>, 2019</w:t>
            </w:r>
          </w:p>
        </w:tc>
        <w:tc>
          <w:tcPr>
            <w:tcW w:w="1559" w:type="dxa"/>
            <w:tcBorders>
              <w:left w:val="nil"/>
              <w:bottom w:val="single" w:sz="12" w:space="0" w:color="auto"/>
              <w:right w:val="nil"/>
            </w:tcBorders>
            <w:vAlign w:val="bottom"/>
          </w:tcPr>
          <w:p w14:paraId="6F7C6356" w14:textId="77777777" w:rsidR="00EF43E4" w:rsidRPr="006359BD" w:rsidRDefault="00EF43E4" w:rsidP="00C74354">
            <w:pPr>
              <w:spacing w:after="0"/>
              <w:ind w:right="173"/>
              <w:jc w:val="right"/>
              <w:rPr>
                <w:rFonts w:ascii="Arial" w:hAnsi="Arial" w:cs="Arial"/>
                <w:szCs w:val="20"/>
              </w:rPr>
            </w:pPr>
          </w:p>
        </w:tc>
        <w:tc>
          <w:tcPr>
            <w:tcW w:w="2041" w:type="dxa"/>
            <w:tcBorders>
              <w:left w:val="nil"/>
              <w:bottom w:val="single" w:sz="12" w:space="0" w:color="auto"/>
              <w:right w:val="nil"/>
            </w:tcBorders>
          </w:tcPr>
          <w:p w14:paraId="11FBC924" w14:textId="4BDD3D85" w:rsidR="00EF43E4" w:rsidRPr="006359BD" w:rsidRDefault="00EF43E4" w:rsidP="00C74354">
            <w:pPr>
              <w:spacing w:after="0"/>
              <w:ind w:right="173"/>
              <w:jc w:val="right"/>
              <w:rPr>
                <w:rFonts w:ascii="Arial" w:hAnsi="Arial" w:cs="Arial"/>
                <w:szCs w:val="20"/>
              </w:rPr>
            </w:pPr>
            <w:r w:rsidRPr="006359BD">
              <w:rPr>
                <w:rFonts w:ascii="Arial" w:hAnsi="Arial" w:cs="Arial"/>
                <w:szCs w:val="20"/>
              </w:rPr>
              <w:t>–</w:t>
            </w:r>
          </w:p>
        </w:tc>
      </w:tr>
      <w:tr w:rsidR="00D2525D" w:rsidRPr="006359BD" w14:paraId="26A29DAC" w14:textId="77777777" w:rsidTr="0007122C">
        <w:tc>
          <w:tcPr>
            <w:tcW w:w="5310" w:type="dxa"/>
            <w:tcBorders>
              <w:left w:val="nil"/>
              <w:bottom w:val="single" w:sz="12" w:space="0" w:color="auto"/>
            </w:tcBorders>
            <w:vAlign w:val="bottom"/>
          </w:tcPr>
          <w:p w14:paraId="4429BCA2" w14:textId="77777777" w:rsidR="00D2525D" w:rsidRPr="006359BD" w:rsidRDefault="00D2525D" w:rsidP="00CD70E7">
            <w:pPr>
              <w:spacing w:after="0"/>
              <w:rPr>
                <w:rFonts w:ascii="Arial" w:hAnsi="Arial" w:cs="Arial"/>
                <w:szCs w:val="20"/>
              </w:rPr>
            </w:pPr>
            <w:r w:rsidRPr="006359BD">
              <w:rPr>
                <w:rFonts w:ascii="Arial" w:hAnsi="Arial" w:cs="Arial"/>
                <w:szCs w:val="20"/>
              </w:rPr>
              <w:t xml:space="preserve">Net book value, </w:t>
            </w:r>
            <w:r>
              <w:rPr>
                <w:rFonts w:ascii="Arial" w:hAnsi="Arial" w:cs="Arial"/>
                <w:szCs w:val="20"/>
              </w:rPr>
              <w:t>January</w:t>
            </w:r>
            <w:r w:rsidRPr="006359BD">
              <w:rPr>
                <w:rFonts w:ascii="Arial" w:hAnsi="Arial" w:cs="Arial"/>
                <w:szCs w:val="20"/>
              </w:rPr>
              <w:t xml:space="preserve"> 31</w:t>
            </w:r>
            <w:r>
              <w:rPr>
                <w:rFonts w:ascii="Arial" w:hAnsi="Arial" w:cs="Arial"/>
                <w:szCs w:val="20"/>
              </w:rPr>
              <w:t>, 2019</w:t>
            </w:r>
          </w:p>
        </w:tc>
        <w:tc>
          <w:tcPr>
            <w:tcW w:w="1559" w:type="dxa"/>
            <w:tcBorders>
              <w:left w:val="nil"/>
              <w:bottom w:val="single" w:sz="12" w:space="0" w:color="auto"/>
              <w:right w:val="nil"/>
            </w:tcBorders>
            <w:vAlign w:val="bottom"/>
          </w:tcPr>
          <w:p w14:paraId="10366547" w14:textId="77777777" w:rsidR="00D2525D" w:rsidRPr="006359BD" w:rsidRDefault="00D2525D" w:rsidP="00CD70E7">
            <w:pPr>
              <w:spacing w:after="0"/>
              <w:ind w:right="173"/>
              <w:jc w:val="right"/>
              <w:rPr>
                <w:rFonts w:ascii="Arial" w:hAnsi="Arial" w:cs="Arial"/>
                <w:szCs w:val="20"/>
              </w:rPr>
            </w:pPr>
          </w:p>
        </w:tc>
        <w:tc>
          <w:tcPr>
            <w:tcW w:w="2041" w:type="dxa"/>
            <w:tcBorders>
              <w:left w:val="nil"/>
              <w:bottom w:val="single" w:sz="12" w:space="0" w:color="auto"/>
              <w:right w:val="nil"/>
            </w:tcBorders>
          </w:tcPr>
          <w:p w14:paraId="11D800C7" w14:textId="77777777" w:rsidR="00D2525D" w:rsidRPr="006359BD" w:rsidRDefault="00D2525D" w:rsidP="00CD70E7">
            <w:pPr>
              <w:spacing w:after="0"/>
              <w:ind w:right="173"/>
              <w:jc w:val="right"/>
              <w:rPr>
                <w:rFonts w:ascii="Arial" w:hAnsi="Arial" w:cs="Arial"/>
                <w:szCs w:val="20"/>
              </w:rPr>
            </w:pPr>
            <w:r>
              <w:rPr>
                <w:rFonts w:ascii="Arial" w:hAnsi="Arial" w:cs="Arial"/>
                <w:szCs w:val="20"/>
              </w:rPr>
              <w:t>4,162</w:t>
            </w:r>
          </w:p>
        </w:tc>
      </w:tr>
      <w:tr w:rsidR="00D10600" w:rsidRPr="006359BD" w14:paraId="75A9DEF6" w14:textId="77777777" w:rsidTr="0007122C">
        <w:tc>
          <w:tcPr>
            <w:tcW w:w="5310" w:type="dxa"/>
            <w:tcBorders>
              <w:left w:val="nil"/>
              <w:bottom w:val="single" w:sz="12" w:space="0" w:color="auto"/>
            </w:tcBorders>
            <w:vAlign w:val="bottom"/>
          </w:tcPr>
          <w:p w14:paraId="693F8744" w14:textId="1F989463" w:rsidR="00D10600" w:rsidRPr="006359BD" w:rsidRDefault="00D10600" w:rsidP="00EF43E4">
            <w:pPr>
              <w:spacing w:after="0"/>
              <w:rPr>
                <w:rFonts w:ascii="Arial" w:hAnsi="Arial" w:cs="Arial"/>
                <w:szCs w:val="20"/>
              </w:rPr>
            </w:pPr>
            <w:r w:rsidRPr="006359BD">
              <w:rPr>
                <w:rFonts w:ascii="Arial" w:hAnsi="Arial" w:cs="Arial"/>
                <w:szCs w:val="20"/>
              </w:rPr>
              <w:t xml:space="preserve">Net book value, </w:t>
            </w:r>
            <w:r w:rsidR="00EF43E4">
              <w:rPr>
                <w:rFonts w:ascii="Arial" w:hAnsi="Arial" w:cs="Arial"/>
                <w:szCs w:val="20"/>
              </w:rPr>
              <w:t>February 1, 2018</w:t>
            </w:r>
          </w:p>
        </w:tc>
        <w:tc>
          <w:tcPr>
            <w:tcW w:w="1559" w:type="dxa"/>
            <w:tcBorders>
              <w:left w:val="nil"/>
              <w:bottom w:val="single" w:sz="12" w:space="0" w:color="auto"/>
              <w:right w:val="nil"/>
            </w:tcBorders>
            <w:vAlign w:val="bottom"/>
          </w:tcPr>
          <w:p w14:paraId="45352726" w14:textId="77777777" w:rsidR="00D10600" w:rsidRPr="006359BD" w:rsidRDefault="00D10600" w:rsidP="00C174F9">
            <w:pPr>
              <w:spacing w:after="0"/>
              <w:ind w:right="173"/>
              <w:jc w:val="right"/>
              <w:rPr>
                <w:rFonts w:ascii="Arial" w:hAnsi="Arial" w:cs="Arial"/>
                <w:szCs w:val="20"/>
              </w:rPr>
            </w:pPr>
          </w:p>
        </w:tc>
        <w:tc>
          <w:tcPr>
            <w:tcW w:w="2041" w:type="dxa"/>
            <w:tcBorders>
              <w:left w:val="nil"/>
              <w:bottom w:val="single" w:sz="12" w:space="0" w:color="auto"/>
              <w:right w:val="nil"/>
            </w:tcBorders>
          </w:tcPr>
          <w:p w14:paraId="61C24A51" w14:textId="59EBC862" w:rsidR="00D10600" w:rsidRPr="006359BD" w:rsidRDefault="00D10600" w:rsidP="00C174F9">
            <w:pPr>
              <w:spacing w:after="0"/>
              <w:ind w:right="173"/>
              <w:jc w:val="right"/>
              <w:rPr>
                <w:rFonts w:ascii="Arial" w:hAnsi="Arial" w:cs="Arial"/>
                <w:szCs w:val="20"/>
              </w:rPr>
            </w:pPr>
            <w:r w:rsidRPr="006359BD">
              <w:rPr>
                <w:rFonts w:ascii="Arial" w:hAnsi="Arial" w:cs="Arial"/>
                <w:szCs w:val="20"/>
              </w:rPr>
              <w:t>–</w:t>
            </w:r>
          </w:p>
        </w:tc>
      </w:tr>
    </w:tbl>
    <w:p w14:paraId="00DEE90F" w14:textId="77777777" w:rsidR="00E13F53" w:rsidRPr="00C83768" w:rsidRDefault="00E13F53" w:rsidP="00E13F53">
      <w:pPr>
        <w:tabs>
          <w:tab w:val="left" w:pos="450"/>
        </w:tabs>
        <w:spacing w:after="0" w:line="240" w:lineRule="auto"/>
        <w:jc w:val="both"/>
        <w:rPr>
          <w:rFonts w:ascii="Arial" w:hAnsi="Arial" w:cs="Arial"/>
          <w:bCs/>
          <w:szCs w:val="20"/>
        </w:rPr>
      </w:pPr>
      <w:r>
        <w:rPr>
          <w:rFonts w:ascii="Arial" w:hAnsi="Arial" w:cs="Arial"/>
          <w:b/>
          <w:szCs w:val="20"/>
        </w:rPr>
        <w:lastRenderedPageBreak/>
        <w:t>7</w:t>
      </w:r>
      <w:r w:rsidRPr="00BA56F7">
        <w:rPr>
          <w:rFonts w:ascii="Arial" w:hAnsi="Arial" w:cs="Arial"/>
          <w:b/>
          <w:szCs w:val="20"/>
        </w:rPr>
        <w:t xml:space="preserve">.    </w:t>
      </w:r>
      <w:r w:rsidRPr="00BA56F7">
        <w:rPr>
          <w:rFonts w:ascii="Arial" w:hAnsi="Arial" w:cs="Arial"/>
          <w:b/>
          <w:szCs w:val="20"/>
        </w:rPr>
        <w:tab/>
      </w:r>
      <w:r>
        <w:rPr>
          <w:rFonts w:ascii="Arial" w:hAnsi="Arial" w:cs="Arial"/>
          <w:b/>
          <w:szCs w:val="20"/>
        </w:rPr>
        <w:t xml:space="preserve">Equipment </w:t>
      </w:r>
      <w:r>
        <w:rPr>
          <w:rFonts w:ascii="Arial" w:hAnsi="Arial" w:cs="Arial"/>
          <w:bCs/>
          <w:szCs w:val="20"/>
        </w:rPr>
        <w:t>(continued)</w:t>
      </w:r>
    </w:p>
    <w:p w14:paraId="1E30E153" w14:textId="77777777" w:rsidR="006359BD" w:rsidRDefault="006359BD" w:rsidP="006359BD">
      <w:pPr>
        <w:tabs>
          <w:tab w:val="left" w:pos="450"/>
        </w:tabs>
        <w:spacing w:after="0" w:line="240" w:lineRule="auto"/>
        <w:jc w:val="both"/>
        <w:rPr>
          <w:rFonts w:ascii="Arial" w:hAnsi="Arial" w:cs="Arial"/>
          <w:b/>
          <w:szCs w:val="20"/>
        </w:rPr>
      </w:pPr>
    </w:p>
    <w:p w14:paraId="51F24958" w14:textId="3A2D5AED" w:rsidR="002956D7" w:rsidRPr="002956D7" w:rsidRDefault="002956D7" w:rsidP="002956D7">
      <w:pPr>
        <w:tabs>
          <w:tab w:val="left" w:pos="450"/>
        </w:tabs>
        <w:spacing w:after="0" w:line="240" w:lineRule="auto"/>
        <w:ind w:left="450"/>
        <w:jc w:val="both"/>
        <w:rPr>
          <w:rFonts w:ascii="Arial" w:hAnsi="Arial" w:cs="Arial"/>
          <w:szCs w:val="20"/>
        </w:rPr>
      </w:pPr>
      <w:r w:rsidRPr="002956D7">
        <w:rPr>
          <w:rFonts w:ascii="Arial" w:hAnsi="Arial" w:cs="Arial"/>
          <w:szCs w:val="20"/>
        </w:rPr>
        <w:t xml:space="preserve">During the </w:t>
      </w:r>
      <w:r w:rsidR="002B1A73">
        <w:rPr>
          <w:rFonts w:ascii="Arial" w:hAnsi="Arial" w:cs="Arial"/>
          <w:szCs w:val="20"/>
        </w:rPr>
        <w:t>nine</w:t>
      </w:r>
      <w:r w:rsidRPr="002956D7">
        <w:rPr>
          <w:rFonts w:ascii="Arial" w:hAnsi="Arial" w:cs="Arial"/>
          <w:szCs w:val="20"/>
        </w:rPr>
        <w:t xml:space="preserve"> months ended </w:t>
      </w:r>
      <w:r w:rsidR="002B1A73">
        <w:rPr>
          <w:rFonts w:ascii="Arial" w:hAnsi="Arial" w:cs="Arial"/>
          <w:szCs w:val="20"/>
        </w:rPr>
        <w:t>October</w:t>
      </w:r>
      <w:r>
        <w:rPr>
          <w:rFonts w:ascii="Arial" w:hAnsi="Arial" w:cs="Arial"/>
          <w:szCs w:val="20"/>
        </w:rPr>
        <w:t xml:space="preserve"> 31</w:t>
      </w:r>
      <w:r w:rsidRPr="002956D7">
        <w:rPr>
          <w:rFonts w:ascii="Arial" w:hAnsi="Arial" w:cs="Arial"/>
          <w:szCs w:val="20"/>
        </w:rPr>
        <w:t>, 2019, the Company wrote-off its lab equipment and recorded a loss on write-off of $3,901 (2018 - $nil).</w:t>
      </w:r>
    </w:p>
    <w:p w14:paraId="56F4982C" w14:textId="77777777" w:rsidR="002956D7" w:rsidRPr="006359BD" w:rsidRDefault="002956D7" w:rsidP="006359BD">
      <w:pPr>
        <w:tabs>
          <w:tab w:val="left" w:pos="450"/>
        </w:tabs>
        <w:spacing w:after="0" w:line="240" w:lineRule="auto"/>
        <w:jc w:val="both"/>
        <w:rPr>
          <w:rFonts w:ascii="Arial" w:hAnsi="Arial" w:cs="Arial"/>
          <w:b/>
          <w:szCs w:val="20"/>
        </w:rPr>
      </w:pPr>
    </w:p>
    <w:p w14:paraId="45A30324" w14:textId="74F805E3" w:rsidR="00BA56F7" w:rsidRPr="00BA56F7" w:rsidRDefault="00C83768" w:rsidP="00F15B99">
      <w:pPr>
        <w:tabs>
          <w:tab w:val="left" w:pos="450"/>
        </w:tabs>
        <w:spacing w:after="0" w:line="240" w:lineRule="auto"/>
        <w:jc w:val="both"/>
        <w:rPr>
          <w:rFonts w:ascii="Arial" w:hAnsi="Arial" w:cs="Arial"/>
          <w:b/>
          <w:szCs w:val="20"/>
        </w:rPr>
      </w:pPr>
      <w:r>
        <w:rPr>
          <w:rFonts w:ascii="Arial" w:hAnsi="Arial" w:cs="Arial"/>
          <w:b/>
          <w:szCs w:val="20"/>
        </w:rPr>
        <w:t>8</w:t>
      </w:r>
      <w:r w:rsidR="00BA56F7" w:rsidRPr="00BA56F7">
        <w:rPr>
          <w:rFonts w:ascii="Arial" w:hAnsi="Arial" w:cs="Arial"/>
          <w:b/>
          <w:szCs w:val="20"/>
        </w:rPr>
        <w:t xml:space="preserve">.    </w:t>
      </w:r>
      <w:r w:rsidR="00BA56F7" w:rsidRPr="00BA56F7">
        <w:rPr>
          <w:rFonts w:ascii="Arial" w:hAnsi="Arial" w:cs="Arial"/>
          <w:b/>
          <w:szCs w:val="20"/>
        </w:rPr>
        <w:tab/>
        <w:t>Intangible Asset</w:t>
      </w:r>
    </w:p>
    <w:tbl>
      <w:tblPr>
        <w:tblW w:w="8846" w:type="dxa"/>
        <w:tblInd w:w="450" w:type="dxa"/>
        <w:tblLayout w:type="fixed"/>
        <w:tblCellMar>
          <w:left w:w="0" w:type="dxa"/>
          <w:right w:w="0" w:type="dxa"/>
        </w:tblCellMar>
        <w:tblLook w:val="0000" w:firstRow="0" w:lastRow="0" w:firstColumn="0" w:lastColumn="0" w:noHBand="0" w:noVBand="0"/>
      </w:tblPr>
      <w:tblGrid>
        <w:gridCol w:w="2610"/>
        <w:gridCol w:w="1559"/>
        <w:gridCol w:w="1559"/>
        <w:gridCol w:w="1559"/>
        <w:gridCol w:w="1559"/>
      </w:tblGrid>
      <w:tr w:rsidR="00EE5527" w:rsidRPr="00BA56F7" w14:paraId="2CF1C546" w14:textId="77777777" w:rsidTr="00CD2111">
        <w:tc>
          <w:tcPr>
            <w:tcW w:w="2610" w:type="dxa"/>
            <w:tcBorders>
              <w:top w:val="nil"/>
              <w:left w:val="nil"/>
              <w:bottom w:val="single" w:sz="4" w:space="0" w:color="auto"/>
            </w:tcBorders>
            <w:vAlign w:val="bottom"/>
          </w:tcPr>
          <w:p w14:paraId="19BC6761" w14:textId="77777777" w:rsidR="00EE5527" w:rsidRPr="00BA56F7" w:rsidRDefault="00EE5527" w:rsidP="00F15B99">
            <w:pPr>
              <w:spacing w:after="0" w:line="240" w:lineRule="auto"/>
              <w:rPr>
                <w:rFonts w:ascii="Arial" w:hAnsi="Arial" w:cs="Arial"/>
                <w:szCs w:val="20"/>
              </w:rPr>
            </w:pPr>
            <w:r w:rsidRPr="00BA56F7">
              <w:rPr>
                <w:rFonts w:ascii="Arial" w:hAnsi="Arial" w:cs="Arial"/>
                <w:b/>
                <w:bCs/>
                <w:szCs w:val="20"/>
              </w:rPr>
              <w:t>Cost</w:t>
            </w:r>
            <w:r w:rsidRPr="00BA56F7">
              <w:rPr>
                <w:rFonts w:ascii="Arial" w:hAnsi="Arial" w:cs="Arial"/>
                <w:b/>
                <w:bCs/>
                <w:szCs w:val="20"/>
              </w:rPr>
              <w:tab/>
            </w:r>
          </w:p>
        </w:tc>
        <w:tc>
          <w:tcPr>
            <w:tcW w:w="1559" w:type="dxa"/>
            <w:tcBorders>
              <w:top w:val="nil"/>
              <w:left w:val="nil"/>
              <w:bottom w:val="single" w:sz="4" w:space="0" w:color="auto"/>
            </w:tcBorders>
          </w:tcPr>
          <w:p w14:paraId="56DD435F" w14:textId="77777777" w:rsidR="00EE5527" w:rsidRDefault="00EE5527" w:rsidP="00EE5527">
            <w:pPr>
              <w:spacing w:after="0" w:line="240" w:lineRule="auto"/>
              <w:ind w:left="90"/>
              <w:jc w:val="center"/>
              <w:rPr>
                <w:rFonts w:ascii="Arial" w:hAnsi="Arial" w:cs="Arial"/>
                <w:szCs w:val="20"/>
              </w:rPr>
            </w:pPr>
          </w:p>
          <w:p w14:paraId="5C2E1E2F" w14:textId="77777777" w:rsidR="00EE5527" w:rsidRPr="00BA56F7" w:rsidRDefault="00EE5527" w:rsidP="00EE5527">
            <w:pPr>
              <w:spacing w:after="0" w:line="240" w:lineRule="auto"/>
              <w:ind w:left="90"/>
              <w:jc w:val="center"/>
              <w:rPr>
                <w:rFonts w:ascii="Arial" w:hAnsi="Arial" w:cs="Arial"/>
                <w:szCs w:val="20"/>
              </w:rPr>
            </w:pPr>
            <w:r w:rsidRPr="00BA56F7">
              <w:rPr>
                <w:rFonts w:ascii="Arial" w:hAnsi="Arial" w:cs="Arial"/>
                <w:szCs w:val="20"/>
              </w:rPr>
              <w:t>BiPhasix</w:t>
            </w:r>
          </w:p>
          <w:p w14:paraId="7048EA61" w14:textId="77777777" w:rsidR="00EE5527" w:rsidRPr="00BA56F7" w:rsidRDefault="00EE5527" w:rsidP="00EE5527">
            <w:pPr>
              <w:spacing w:after="0" w:line="240" w:lineRule="auto"/>
              <w:jc w:val="center"/>
              <w:rPr>
                <w:rFonts w:ascii="Arial" w:hAnsi="Arial" w:cs="Arial"/>
                <w:szCs w:val="20"/>
              </w:rPr>
            </w:pPr>
            <w:r w:rsidRPr="00BA56F7">
              <w:rPr>
                <w:rFonts w:ascii="Arial" w:hAnsi="Arial" w:cs="Arial"/>
                <w:szCs w:val="20"/>
              </w:rPr>
              <w:t>License</w:t>
            </w:r>
          </w:p>
          <w:p w14:paraId="41CC8C24" w14:textId="38548E5D" w:rsidR="00EE5527" w:rsidRPr="00BA56F7" w:rsidRDefault="00EE5527" w:rsidP="00EE5527">
            <w:pPr>
              <w:spacing w:after="0" w:line="240" w:lineRule="auto"/>
              <w:ind w:left="90"/>
              <w:jc w:val="center"/>
              <w:rPr>
                <w:rFonts w:ascii="Arial" w:hAnsi="Arial" w:cs="Arial"/>
                <w:szCs w:val="20"/>
              </w:rPr>
            </w:pPr>
            <w:r w:rsidRPr="00BA56F7">
              <w:rPr>
                <w:rFonts w:ascii="Arial" w:hAnsi="Arial" w:cs="Arial"/>
                <w:szCs w:val="20"/>
              </w:rPr>
              <w:t>$</w:t>
            </w:r>
          </w:p>
        </w:tc>
        <w:tc>
          <w:tcPr>
            <w:tcW w:w="1559" w:type="dxa"/>
            <w:tcBorders>
              <w:top w:val="nil"/>
              <w:left w:val="nil"/>
              <w:bottom w:val="single" w:sz="4" w:space="0" w:color="auto"/>
              <w:right w:val="nil"/>
            </w:tcBorders>
          </w:tcPr>
          <w:p w14:paraId="7D99C124" w14:textId="77777777" w:rsidR="00EE5527" w:rsidRDefault="00EE5527" w:rsidP="00EE5527">
            <w:pPr>
              <w:spacing w:after="0" w:line="240" w:lineRule="auto"/>
              <w:jc w:val="center"/>
              <w:rPr>
                <w:rFonts w:ascii="Arial" w:hAnsi="Arial" w:cs="Arial"/>
                <w:szCs w:val="20"/>
              </w:rPr>
            </w:pPr>
            <w:r>
              <w:rPr>
                <w:rFonts w:ascii="Arial" w:hAnsi="Arial" w:cs="Arial"/>
                <w:szCs w:val="20"/>
              </w:rPr>
              <w:t>Thrudermic</w:t>
            </w:r>
          </w:p>
          <w:p w14:paraId="06375714" w14:textId="0E9388E1" w:rsidR="00EE5527" w:rsidRPr="00BA56F7" w:rsidRDefault="00EE5527" w:rsidP="00EE5527">
            <w:pPr>
              <w:spacing w:after="0" w:line="240" w:lineRule="auto"/>
              <w:jc w:val="center"/>
              <w:rPr>
                <w:rFonts w:ascii="Arial" w:hAnsi="Arial" w:cs="Arial"/>
                <w:szCs w:val="20"/>
              </w:rPr>
            </w:pPr>
            <w:r>
              <w:rPr>
                <w:rFonts w:ascii="Arial" w:hAnsi="Arial" w:cs="Arial"/>
                <w:szCs w:val="20"/>
              </w:rPr>
              <w:t>Non-Patented Technology</w:t>
            </w:r>
          </w:p>
          <w:p w14:paraId="15AC568E" w14:textId="14144880" w:rsidR="00EE5527" w:rsidRPr="00BA56F7" w:rsidRDefault="00EE5527" w:rsidP="00EE5527">
            <w:pPr>
              <w:spacing w:after="0" w:line="240" w:lineRule="auto"/>
              <w:ind w:left="90"/>
              <w:jc w:val="center"/>
              <w:rPr>
                <w:rFonts w:ascii="Arial" w:hAnsi="Arial" w:cs="Arial"/>
                <w:szCs w:val="20"/>
              </w:rPr>
            </w:pPr>
            <w:r w:rsidRPr="00BA56F7">
              <w:rPr>
                <w:rFonts w:ascii="Arial" w:hAnsi="Arial" w:cs="Arial"/>
                <w:szCs w:val="20"/>
              </w:rPr>
              <w:t>$</w:t>
            </w:r>
          </w:p>
        </w:tc>
        <w:tc>
          <w:tcPr>
            <w:tcW w:w="1559" w:type="dxa"/>
            <w:tcBorders>
              <w:top w:val="nil"/>
              <w:left w:val="nil"/>
              <w:bottom w:val="single" w:sz="4" w:space="0" w:color="auto"/>
            </w:tcBorders>
          </w:tcPr>
          <w:p w14:paraId="660E38AB" w14:textId="77777777" w:rsidR="00EE5527" w:rsidRDefault="00EE5527" w:rsidP="00EE5527">
            <w:pPr>
              <w:spacing w:after="0" w:line="240" w:lineRule="auto"/>
              <w:jc w:val="center"/>
              <w:rPr>
                <w:rFonts w:ascii="Arial" w:hAnsi="Arial" w:cs="Arial"/>
                <w:szCs w:val="20"/>
              </w:rPr>
            </w:pPr>
          </w:p>
          <w:p w14:paraId="26ABE8B5" w14:textId="49970EDA" w:rsidR="00EE5527" w:rsidRDefault="00EE5527" w:rsidP="00EE5527">
            <w:pPr>
              <w:spacing w:after="0" w:line="240" w:lineRule="auto"/>
              <w:jc w:val="center"/>
              <w:rPr>
                <w:rFonts w:ascii="Arial" w:hAnsi="Arial" w:cs="Arial"/>
                <w:szCs w:val="20"/>
              </w:rPr>
            </w:pPr>
            <w:r>
              <w:rPr>
                <w:rFonts w:ascii="Arial" w:hAnsi="Arial" w:cs="Arial"/>
                <w:szCs w:val="20"/>
              </w:rPr>
              <w:t>RTIC</w:t>
            </w:r>
          </w:p>
          <w:p w14:paraId="4321B077" w14:textId="7E7B94F3" w:rsidR="00EE5527" w:rsidRPr="00BA56F7" w:rsidRDefault="00EE5527" w:rsidP="00EE5527">
            <w:pPr>
              <w:spacing w:after="0" w:line="240" w:lineRule="auto"/>
              <w:jc w:val="center"/>
              <w:rPr>
                <w:rFonts w:ascii="Arial" w:hAnsi="Arial" w:cs="Arial"/>
                <w:szCs w:val="20"/>
              </w:rPr>
            </w:pPr>
            <w:r>
              <w:rPr>
                <w:rFonts w:ascii="Arial" w:hAnsi="Arial" w:cs="Arial"/>
                <w:szCs w:val="20"/>
              </w:rPr>
              <w:t>Patents</w:t>
            </w:r>
          </w:p>
          <w:p w14:paraId="7A2A1AE9" w14:textId="2C0B421E" w:rsidR="00EE5527" w:rsidRPr="00BA56F7" w:rsidRDefault="00EE5527" w:rsidP="00EE5527">
            <w:pPr>
              <w:spacing w:after="0" w:line="240" w:lineRule="auto"/>
              <w:ind w:left="90"/>
              <w:jc w:val="center"/>
              <w:rPr>
                <w:rFonts w:ascii="Arial" w:hAnsi="Arial" w:cs="Arial"/>
                <w:szCs w:val="20"/>
              </w:rPr>
            </w:pPr>
            <w:r w:rsidRPr="00BA56F7">
              <w:rPr>
                <w:rFonts w:ascii="Arial" w:hAnsi="Arial" w:cs="Arial"/>
                <w:szCs w:val="20"/>
              </w:rPr>
              <w:t>$</w:t>
            </w:r>
          </w:p>
        </w:tc>
        <w:tc>
          <w:tcPr>
            <w:tcW w:w="1559" w:type="dxa"/>
            <w:tcBorders>
              <w:top w:val="nil"/>
              <w:left w:val="nil"/>
              <w:bottom w:val="single" w:sz="4" w:space="0" w:color="auto"/>
              <w:right w:val="nil"/>
            </w:tcBorders>
            <w:vAlign w:val="bottom"/>
          </w:tcPr>
          <w:p w14:paraId="258DE1E9" w14:textId="450274FD" w:rsidR="00EE5527" w:rsidRPr="00BA56F7" w:rsidRDefault="00EE5527" w:rsidP="00EE5527">
            <w:pPr>
              <w:spacing w:after="0" w:line="240" w:lineRule="auto"/>
              <w:jc w:val="center"/>
              <w:rPr>
                <w:rFonts w:ascii="Arial" w:hAnsi="Arial" w:cs="Arial"/>
                <w:szCs w:val="20"/>
              </w:rPr>
            </w:pPr>
            <w:r>
              <w:rPr>
                <w:rFonts w:ascii="Arial" w:hAnsi="Arial" w:cs="Arial"/>
                <w:szCs w:val="20"/>
              </w:rPr>
              <w:t>Total</w:t>
            </w:r>
          </w:p>
          <w:p w14:paraId="4F208095" w14:textId="77777777" w:rsidR="00EE5527" w:rsidRPr="00BA56F7" w:rsidRDefault="00EE5527" w:rsidP="00EE5527">
            <w:pPr>
              <w:spacing w:after="0" w:line="240" w:lineRule="auto"/>
              <w:jc w:val="center"/>
              <w:rPr>
                <w:rFonts w:ascii="Arial" w:hAnsi="Arial" w:cs="Arial"/>
                <w:szCs w:val="20"/>
              </w:rPr>
            </w:pPr>
            <w:r w:rsidRPr="00BA56F7">
              <w:rPr>
                <w:rFonts w:ascii="Arial" w:hAnsi="Arial" w:cs="Arial"/>
                <w:szCs w:val="20"/>
              </w:rPr>
              <w:t>$</w:t>
            </w:r>
          </w:p>
        </w:tc>
      </w:tr>
      <w:tr w:rsidR="00EE5527" w:rsidRPr="00BA56F7" w14:paraId="0BECD082" w14:textId="77777777" w:rsidTr="00CD2111">
        <w:trPr>
          <w:trHeight w:hRule="exact" w:val="113"/>
        </w:trPr>
        <w:tc>
          <w:tcPr>
            <w:tcW w:w="2610" w:type="dxa"/>
            <w:tcBorders>
              <w:top w:val="single" w:sz="4" w:space="0" w:color="auto"/>
              <w:left w:val="nil"/>
            </w:tcBorders>
            <w:vAlign w:val="bottom"/>
          </w:tcPr>
          <w:p w14:paraId="5229CC8B" w14:textId="77777777" w:rsidR="00EE5527" w:rsidRPr="00BA56F7" w:rsidRDefault="00EE5527" w:rsidP="00F15B99">
            <w:pPr>
              <w:spacing w:after="0" w:line="240" w:lineRule="auto"/>
              <w:rPr>
                <w:rFonts w:ascii="Arial" w:hAnsi="Arial" w:cs="Arial"/>
                <w:szCs w:val="20"/>
              </w:rPr>
            </w:pPr>
          </w:p>
        </w:tc>
        <w:tc>
          <w:tcPr>
            <w:tcW w:w="1559" w:type="dxa"/>
            <w:tcBorders>
              <w:top w:val="single" w:sz="4" w:space="0" w:color="auto"/>
              <w:left w:val="nil"/>
            </w:tcBorders>
          </w:tcPr>
          <w:p w14:paraId="4667E1A3" w14:textId="77777777" w:rsidR="00EE5527" w:rsidRPr="00BA56F7" w:rsidRDefault="00EE5527" w:rsidP="00F15B99">
            <w:pPr>
              <w:spacing w:after="0" w:line="240" w:lineRule="auto"/>
              <w:ind w:right="369"/>
              <w:jc w:val="right"/>
              <w:rPr>
                <w:rFonts w:ascii="Arial" w:hAnsi="Arial" w:cs="Arial"/>
                <w:szCs w:val="20"/>
              </w:rPr>
            </w:pPr>
          </w:p>
        </w:tc>
        <w:tc>
          <w:tcPr>
            <w:tcW w:w="1559" w:type="dxa"/>
            <w:tcBorders>
              <w:top w:val="single" w:sz="4" w:space="0" w:color="auto"/>
              <w:left w:val="nil"/>
              <w:right w:val="nil"/>
            </w:tcBorders>
          </w:tcPr>
          <w:p w14:paraId="6B0F7123" w14:textId="5F291718" w:rsidR="00EE5527" w:rsidRPr="00BA56F7" w:rsidRDefault="00EE5527" w:rsidP="00F15B99">
            <w:pPr>
              <w:spacing w:after="0" w:line="240" w:lineRule="auto"/>
              <w:ind w:right="369"/>
              <w:jc w:val="right"/>
              <w:rPr>
                <w:rFonts w:ascii="Arial" w:hAnsi="Arial" w:cs="Arial"/>
                <w:szCs w:val="20"/>
              </w:rPr>
            </w:pPr>
          </w:p>
        </w:tc>
        <w:tc>
          <w:tcPr>
            <w:tcW w:w="1559" w:type="dxa"/>
            <w:tcBorders>
              <w:top w:val="single" w:sz="4" w:space="0" w:color="auto"/>
              <w:left w:val="nil"/>
            </w:tcBorders>
          </w:tcPr>
          <w:p w14:paraId="7B47888B" w14:textId="0F81365E" w:rsidR="00EE5527" w:rsidRPr="00BA56F7" w:rsidRDefault="00EE5527" w:rsidP="00F15B99">
            <w:pPr>
              <w:spacing w:after="0" w:line="240" w:lineRule="auto"/>
              <w:ind w:right="369"/>
              <w:jc w:val="right"/>
              <w:rPr>
                <w:rFonts w:ascii="Arial" w:hAnsi="Arial" w:cs="Arial"/>
                <w:szCs w:val="20"/>
              </w:rPr>
            </w:pPr>
          </w:p>
        </w:tc>
        <w:tc>
          <w:tcPr>
            <w:tcW w:w="1559" w:type="dxa"/>
            <w:tcBorders>
              <w:top w:val="single" w:sz="4" w:space="0" w:color="auto"/>
              <w:left w:val="nil"/>
              <w:right w:val="nil"/>
            </w:tcBorders>
            <w:vAlign w:val="bottom"/>
          </w:tcPr>
          <w:p w14:paraId="2898E097" w14:textId="3C5746E5" w:rsidR="00EE5527" w:rsidRPr="00BA56F7" w:rsidRDefault="00EE5527" w:rsidP="00F15B99">
            <w:pPr>
              <w:spacing w:after="0" w:line="240" w:lineRule="auto"/>
              <w:ind w:right="369"/>
              <w:jc w:val="right"/>
              <w:rPr>
                <w:rFonts w:ascii="Arial" w:hAnsi="Arial" w:cs="Arial"/>
                <w:szCs w:val="20"/>
              </w:rPr>
            </w:pPr>
          </w:p>
        </w:tc>
      </w:tr>
      <w:tr w:rsidR="00EE5527" w:rsidRPr="00BA56F7" w14:paraId="4E2444DD" w14:textId="77777777" w:rsidTr="00CD2111">
        <w:tc>
          <w:tcPr>
            <w:tcW w:w="2610" w:type="dxa"/>
            <w:tcBorders>
              <w:left w:val="nil"/>
            </w:tcBorders>
            <w:vAlign w:val="bottom"/>
          </w:tcPr>
          <w:p w14:paraId="686E587E" w14:textId="1E712F68" w:rsidR="00EE5527" w:rsidRPr="00BA56F7" w:rsidRDefault="00EE5527" w:rsidP="00E5497C">
            <w:pPr>
              <w:spacing w:after="0"/>
              <w:rPr>
                <w:rFonts w:ascii="Arial" w:hAnsi="Arial" w:cs="Arial"/>
                <w:szCs w:val="20"/>
              </w:rPr>
            </w:pPr>
            <w:r w:rsidRPr="00BA56F7">
              <w:rPr>
                <w:rFonts w:ascii="Arial" w:hAnsi="Arial" w:cs="Arial"/>
                <w:szCs w:val="20"/>
              </w:rPr>
              <w:t xml:space="preserve">Balance, </w:t>
            </w:r>
            <w:r w:rsidR="00E5497C">
              <w:rPr>
                <w:rFonts w:ascii="Arial" w:hAnsi="Arial" w:cs="Arial"/>
                <w:szCs w:val="20"/>
              </w:rPr>
              <w:t>February 1, 2018</w:t>
            </w:r>
          </w:p>
        </w:tc>
        <w:tc>
          <w:tcPr>
            <w:tcW w:w="1559" w:type="dxa"/>
            <w:tcBorders>
              <w:left w:val="nil"/>
            </w:tcBorders>
          </w:tcPr>
          <w:p w14:paraId="15016502" w14:textId="22B7917F" w:rsidR="00EE5527" w:rsidRDefault="004F1F64" w:rsidP="00EE5527">
            <w:pPr>
              <w:spacing w:after="0"/>
              <w:ind w:right="173"/>
              <w:jc w:val="right"/>
              <w:rPr>
                <w:rFonts w:ascii="Arial" w:hAnsi="Arial" w:cs="Arial"/>
              </w:rPr>
            </w:pPr>
            <w:r>
              <w:rPr>
                <w:rFonts w:ascii="Arial" w:hAnsi="Arial" w:cs="Arial"/>
              </w:rPr>
              <w:t>319,174</w:t>
            </w:r>
          </w:p>
        </w:tc>
        <w:tc>
          <w:tcPr>
            <w:tcW w:w="1559" w:type="dxa"/>
            <w:tcBorders>
              <w:left w:val="nil"/>
              <w:right w:val="nil"/>
            </w:tcBorders>
          </w:tcPr>
          <w:p w14:paraId="4A09FF65" w14:textId="51274D7F" w:rsidR="00EE5527" w:rsidRDefault="004F1F64" w:rsidP="00EE5527">
            <w:pPr>
              <w:spacing w:after="0"/>
              <w:ind w:right="173"/>
              <w:jc w:val="right"/>
              <w:rPr>
                <w:rFonts w:ascii="Arial" w:hAnsi="Arial" w:cs="Arial"/>
              </w:rPr>
            </w:pPr>
            <w:r w:rsidRPr="00BA56F7">
              <w:rPr>
                <w:rFonts w:ascii="Arial" w:hAnsi="Arial" w:cs="Arial"/>
              </w:rPr>
              <w:t>–</w:t>
            </w:r>
          </w:p>
        </w:tc>
        <w:tc>
          <w:tcPr>
            <w:tcW w:w="1559" w:type="dxa"/>
            <w:tcBorders>
              <w:left w:val="nil"/>
            </w:tcBorders>
          </w:tcPr>
          <w:p w14:paraId="19180530" w14:textId="6BD4E47D" w:rsidR="00EE5527" w:rsidRDefault="004F1F64" w:rsidP="00EE5527">
            <w:pPr>
              <w:spacing w:after="0"/>
              <w:ind w:right="173"/>
              <w:jc w:val="right"/>
              <w:rPr>
                <w:rFonts w:ascii="Arial" w:hAnsi="Arial" w:cs="Arial"/>
              </w:rPr>
            </w:pPr>
            <w:r w:rsidRPr="00BA56F7">
              <w:rPr>
                <w:rFonts w:ascii="Arial" w:hAnsi="Arial" w:cs="Arial"/>
              </w:rPr>
              <w:t>–</w:t>
            </w:r>
          </w:p>
        </w:tc>
        <w:tc>
          <w:tcPr>
            <w:tcW w:w="1559" w:type="dxa"/>
            <w:tcBorders>
              <w:left w:val="nil"/>
              <w:right w:val="nil"/>
            </w:tcBorders>
            <w:vAlign w:val="bottom"/>
          </w:tcPr>
          <w:p w14:paraId="6C45D5B4" w14:textId="221535A4" w:rsidR="00EE5527" w:rsidRPr="00BA56F7" w:rsidRDefault="004F1F64" w:rsidP="00EE5527">
            <w:pPr>
              <w:spacing w:after="0"/>
              <w:ind w:right="173"/>
              <w:jc w:val="right"/>
              <w:rPr>
                <w:rFonts w:ascii="Arial" w:hAnsi="Arial" w:cs="Arial"/>
                <w:szCs w:val="20"/>
              </w:rPr>
            </w:pPr>
            <w:r>
              <w:rPr>
                <w:rFonts w:ascii="Arial" w:hAnsi="Arial" w:cs="Arial"/>
              </w:rPr>
              <w:t>319,174</w:t>
            </w:r>
          </w:p>
        </w:tc>
      </w:tr>
      <w:tr w:rsidR="00E5497C" w:rsidRPr="00BA56F7" w14:paraId="5B1BCE7E" w14:textId="77777777" w:rsidTr="00CD2111">
        <w:tc>
          <w:tcPr>
            <w:tcW w:w="2610" w:type="dxa"/>
            <w:tcBorders>
              <w:left w:val="nil"/>
            </w:tcBorders>
            <w:vAlign w:val="bottom"/>
          </w:tcPr>
          <w:p w14:paraId="027E0DD7" w14:textId="6DEB87C0" w:rsidR="00E5497C" w:rsidRPr="00BA56F7" w:rsidRDefault="00E5497C" w:rsidP="003F632A">
            <w:pPr>
              <w:spacing w:after="0"/>
              <w:rPr>
                <w:rFonts w:ascii="Arial" w:hAnsi="Arial" w:cs="Arial"/>
                <w:szCs w:val="20"/>
              </w:rPr>
            </w:pPr>
            <w:r>
              <w:rPr>
                <w:rFonts w:ascii="Arial" w:hAnsi="Arial" w:cs="Arial"/>
                <w:szCs w:val="20"/>
              </w:rPr>
              <w:t>Exchange</w:t>
            </w:r>
            <w:r w:rsidRPr="00BA56F7">
              <w:rPr>
                <w:rFonts w:ascii="Arial" w:hAnsi="Arial" w:cs="Arial"/>
                <w:szCs w:val="20"/>
              </w:rPr>
              <w:t xml:space="preserve"> agreement</w:t>
            </w:r>
            <w:r>
              <w:rPr>
                <w:rFonts w:ascii="Arial" w:hAnsi="Arial" w:cs="Arial"/>
                <w:szCs w:val="20"/>
              </w:rPr>
              <w:t xml:space="preserve">s (Notes </w:t>
            </w:r>
            <w:r w:rsidR="003F632A">
              <w:rPr>
                <w:rFonts w:ascii="Arial" w:hAnsi="Arial" w:cs="Arial"/>
                <w:szCs w:val="20"/>
              </w:rPr>
              <w:t xml:space="preserve">4(a) and </w:t>
            </w:r>
            <w:r>
              <w:rPr>
                <w:rFonts w:ascii="Arial" w:hAnsi="Arial" w:cs="Arial"/>
                <w:szCs w:val="20"/>
              </w:rPr>
              <w:t>4(b</w:t>
            </w:r>
            <w:r w:rsidRPr="00BA56F7">
              <w:rPr>
                <w:rFonts w:ascii="Arial" w:hAnsi="Arial" w:cs="Arial"/>
                <w:szCs w:val="20"/>
              </w:rPr>
              <w:t>))</w:t>
            </w:r>
          </w:p>
        </w:tc>
        <w:tc>
          <w:tcPr>
            <w:tcW w:w="1559" w:type="dxa"/>
            <w:tcBorders>
              <w:left w:val="nil"/>
            </w:tcBorders>
          </w:tcPr>
          <w:p w14:paraId="614E8A11" w14:textId="77777777" w:rsidR="00E5497C" w:rsidRDefault="00E5497C" w:rsidP="00E5497C">
            <w:pPr>
              <w:spacing w:after="0"/>
              <w:ind w:right="173"/>
              <w:jc w:val="right"/>
              <w:rPr>
                <w:rFonts w:ascii="Arial" w:hAnsi="Arial" w:cs="Arial"/>
              </w:rPr>
            </w:pPr>
          </w:p>
          <w:p w14:paraId="3FD28E68" w14:textId="1D13955B" w:rsidR="00E5497C" w:rsidRPr="00BA56F7" w:rsidRDefault="00E5497C" w:rsidP="00E5497C">
            <w:pPr>
              <w:spacing w:after="0"/>
              <w:ind w:right="173"/>
              <w:jc w:val="right"/>
              <w:rPr>
                <w:rFonts w:ascii="Arial" w:hAnsi="Arial" w:cs="Arial"/>
              </w:rPr>
            </w:pPr>
            <w:r w:rsidRPr="00BA56F7">
              <w:rPr>
                <w:rFonts w:ascii="Arial" w:hAnsi="Arial" w:cs="Arial"/>
              </w:rPr>
              <w:t>–</w:t>
            </w:r>
          </w:p>
        </w:tc>
        <w:tc>
          <w:tcPr>
            <w:tcW w:w="1559" w:type="dxa"/>
            <w:tcBorders>
              <w:left w:val="nil"/>
              <w:right w:val="nil"/>
            </w:tcBorders>
          </w:tcPr>
          <w:p w14:paraId="6E26560D" w14:textId="77777777" w:rsidR="00E5497C" w:rsidRDefault="00E5497C" w:rsidP="00E5497C">
            <w:pPr>
              <w:spacing w:after="0"/>
              <w:ind w:right="173"/>
              <w:jc w:val="right"/>
              <w:rPr>
                <w:rFonts w:ascii="Arial" w:hAnsi="Arial" w:cs="Arial"/>
              </w:rPr>
            </w:pPr>
          </w:p>
          <w:p w14:paraId="61E69E06" w14:textId="00458F4D" w:rsidR="00E5497C" w:rsidRPr="00BA56F7" w:rsidRDefault="00E5497C" w:rsidP="00E5497C">
            <w:pPr>
              <w:spacing w:after="0"/>
              <w:ind w:right="173"/>
              <w:jc w:val="right"/>
              <w:rPr>
                <w:rFonts w:ascii="Arial" w:hAnsi="Arial" w:cs="Arial"/>
              </w:rPr>
            </w:pPr>
            <w:r>
              <w:rPr>
                <w:rFonts w:ascii="Arial" w:hAnsi="Arial" w:cs="Arial"/>
              </w:rPr>
              <w:t>830,000</w:t>
            </w:r>
          </w:p>
        </w:tc>
        <w:tc>
          <w:tcPr>
            <w:tcW w:w="1559" w:type="dxa"/>
            <w:tcBorders>
              <w:left w:val="nil"/>
            </w:tcBorders>
          </w:tcPr>
          <w:p w14:paraId="42D34761" w14:textId="77777777" w:rsidR="00E5497C" w:rsidRPr="00F3617B" w:rsidRDefault="00E5497C" w:rsidP="00E5497C">
            <w:pPr>
              <w:spacing w:after="0"/>
              <w:ind w:right="173"/>
              <w:jc w:val="right"/>
              <w:rPr>
                <w:rFonts w:ascii="Arial" w:hAnsi="Arial" w:cs="Arial"/>
              </w:rPr>
            </w:pPr>
          </w:p>
          <w:p w14:paraId="1388F8BF" w14:textId="3E661D98" w:rsidR="00E5497C" w:rsidRPr="00BA56F7" w:rsidRDefault="00E5497C" w:rsidP="00E5497C">
            <w:pPr>
              <w:spacing w:after="0"/>
              <w:ind w:right="173"/>
              <w:jc w:val="right"/>
              <w:rPr>
                <w:rFonts w:ascii="Arial" w:hAnsi="Arial" w:cs="Arial"/>
              </w:rPr>
            </w:pPr>
            <w:r>
              <w:rPr>
                <w:rFonts w:ascii="Arial" w:hAnsi="Arial" w:cs="Arial"/>
              </w:rPr>
              <w:t>8,008,411</w:t>
            </w:r>
          </w:p>
        </w:tc>
        <w:tc>
          <w:tcPr>
            <w:tcW w:w="1559" w:type="dxa"/>
            <w:tcBorders>
              <w:left w:val="nil"/>
              <w:right w:val="nil"/>
            </w:tcBorders>
            <w:vAlign w:val="bottom"/>
          </w:tcPr>
          <w:p w14:paraId="38E59898" w14:textId="447C7EA2" w:rsidR="00E5497C" w:rsidRPr="00BA56F7" w:rsidRDefault="00E5497C" w:rsidP="00E5497C">
            <w:pPr>
              <w:spacing w:after="0"/>
              <w:ind w:right="173"/>
              <w:jc w:val="right"/>
              <w:rPr>
                <w:rFonts w:ascii="Arial" w:hAnsi="Arial" w:cs="Arial"/>
                <w:szCs w:val="20"/>
              </w:rPr>
            </w:pPr>
            <w:r>
              <w:rPr>
                <w:rFonts w:ascii="Arial" w:hAnsi="Arial" w:cs="Arial"/>
              </w:rPr>
              <w:t>8,838,411</w:t>
            </w:r>
          </w:p>
        </w:tc>
      </w:tr>
      <w:tr w:rsidR="00E5497C" w:rsidRPr="00BA56F7" w14:paraId="2B3CDF88" w14:textId="77777777" w:rsidTr="00CD2111">
        <w:tc>
          <w:tcPr>
            <w:tcW w:w="2610" w:type="dxa"/>
            <w:tcBorders>
              <w:left w:val="nil"/>
            </w:tcBorders>
            <w:vAlign w:val="bottom"/>
          </w:tcPr>
          <w:p w14:paraId="2FE91F4C" w14:textId="77777777" w:rsidR="00E5497C" w:rsidRPr="00BA56F7" w:rsidRDefault="00E5497C" w:rsidP="00E5497C">
            <w:pPr>
              <w:spacing w:after="0"/>
              <w:rPr>
                <w:rFonts w:ascii="Arial" w:hAnsi="Arial" w:cs="Arial"/>
                <w:szCs w:val="20"/>
              </w:rPr>
            </w:pPr>
            <w:r>
              <w:rPr>
                <w:rFonts w:ascii="Arial" w:hAnsi="Arial" w:cs="Arial"/>
                <w:szCs w:val="20"/>
              </w:rPr>
              <w:t>Effect of foreign exchange rate changes</w:t>
            </w:r>
          </w:p>
        </w:tc>
        <w:tc>
          <w:tcPr>
            <w:tcW w:w="1559" w:type="dxa"/>
            <w:tcBorders>
              <w:left w:val="nil"/>
            </w:tcBorders>
          </w:tcPr>
          <w:p w14:paraId="1D6277FC" w14:textId="77777777" w:rsidR="00E5497C" w:rsidRDefault="00E5497C" w:rsidP="00E5497C">
            <w:pPr>
              <w:spacing w:after="0"/>
              <w:ind w:right="173"/>
              <w:jc w:val="right"/>
              <w:rPr>
                <w:rFonts w:ascii="Arial" w:hAnsi="Arial" w:cs="Arial"/>
              </w:rPr>
            </w:pPr>
          </w:p>
          <w:p w14:paraId="65A1BC10" w14:textId="77777777" w:rsidR="00E5497C" w:rsidRDefault="00E5497C" w:rsidP="00E5497C">
            <w:pPr>
              <w:spacing w:after="0"/>
              <w:ind w:right="173"/>
              <w:jc w:val="right"/>
              <w:rPr>
                <w:rFonts w:ascii="Arial" w:hAnsi="Arial" w:cs="Arial"/>
              </w:rPr>
            </w:pPr>
            <w:r w:rsidRPr="00BA56F7">
              <w:rPr>
                <w:rFonts w:ascii="Arial" w:hAnsi="Arial" w:cs="Arial"/>
              </w:rPr>
              <w:t>–</w:t>
            </w:r>
          </w:p>
        </w:tc>
        <w:tc>
          <w:tcPr>
            <w:tcW w:w="1559" w:type="dxa"/>
            <w:tcBorders>
              <w:left w:val="nil"/>
              <w:right w:val="nil"/>
            </w:tcBorders>
          </w:tcPr>
          <w:p w14:paraId="08B89087" w14:textId="77777777" w:rsidR="00E5497C" w:rsidRDefault="00E5497C" w:rsidP="00E5497C">
            <w:pPr>
              <w:spacing w:after="0"/>
              <w:ind w:right="173"/>
              <w:jc w:val="right"/>
              <w:rPr>
                <w:rFonts w:ascii="Arial" w:hAnsi="Arial" w:cs="Arial"/>
              </w:rPr>
            </w:pPr>
          </w:p>
          <w:p w14:paraId="2B8D2EEF" w14:textId="77777777" w:rsidR="00E5497C" w:rsidRDefault="00E5497C" w:rsidP="00E5497C">
            <w:pPr>
              <w:spacing w:after="0"/>
              <w:ind w:right="173"/>
              <w:jc w:val="right"/>
              <w:rPr>
                <w:rFonts w:ascii="Arial" w:hAnsi="Arial" w:cs="Arial"/>
              </w:rPr>
            </w:pPr>
            <w:r w:rsidRPr="00BA56F7">
              <w:rPr>
                <w:rFonts w:ascii="Arial" w:hAnsi="Arial" w:cs="Arial"/>
              </w:rPr>
              <w:t>–</w:t>
            </w:r>
          </w:p>
        </w:tc>
        <w:tc>
          <w:tcPr>
            <w:tcW w:w="1559" w:type="dxa"/>
            <w:tcBorders>
              <w:left w:val="nil"/>
            </w:tcBorders>
          </w:tcPr>
          <w:p w14:paraId="2893C3B8" w14:textId="77777777" w:rsidR="00E5497C" w:rsidRPr="00F3617B" w:rsidRDefault="00E5497C" w:rsidP="00E5497C">
            <w:pPr>
              <w:spacing w:after="0"/>
              <w:ind w:right="173"/>
              <w:jc w:val="right"/>
              <w:rPr>
                <w:rFonts w:ascii="Arial" w:hAnsi="Arial" w:cs="Arial"/>
              </w:rPr>
            </w:pPr>
          </w:p>
          <w:p w14:paraId="73E7CB0A" w14:textId="47C837FE" w:rsidR="00E5497C" w:rsidRDefault="00E5497C" w:rsidP="00E5497C">
            <w:pPr>
              <w:spacing w:after="0"/>
              <w:ind w:right="173"/>
              <w:jc w:val="right"/>
              <w:rPr>
                <w:rFonts w:ascii="Arial" w:hAnsi="Arial" w:cs="Arial"/>
              </w:rPr>
            </w:pPr>
            <w:r>
              <w:rPr>
                <w:rFonts w:ascii="Arial" w:hAnsi="Arial" w:cs="Arial"/>
              </w:rPr>
              <w:t>128,866</w:t>
            </w:r>
          </w:p>
        </w:tc>
        <w:tc>
          <w:tcPr>
            <w:tcW w:w="1559" w:type="dxa"/>
            <w:tcBorders>
              <w:left w:val="nil"/>
              <w:right w:val="nil"/>
            </w:tcBorders>
            <w:vAlign w:val="bottom"/>
          </w:tcPr>
          <w:p w14:paraId="1E653206" w14:textId="43B25D55" w:rsidR="00E5497C" w:rsidRPr="00BA56F7" w:rsidRDefault="00E5497C" w:rsidP="00E5497C">
            <w:pPr>
              <w:spacing w:after="0"/>
              <w:ind w:right="173"/>
              <w:jc w:val="right"/>
              <w:rPr>
                <w:rFonts w:ascii="Arial" w:hAnsi="Arial" w:cs="Arial"/>
                <w:szCs w:val="20"/>
              </w:rPr>
            </w:pPr>
            <w:r>
              <w:rPr>
                <w:rFonts w:ascii="Arial" w:hAnsi="Arial" w:cs="Arial"/>
              </w:rPr>
              <w:t>128,866</w:t>
            </w:r>
          </w:p>
        </w:tc>
      </w:tr>
      <w:tr w:rsidR="002956D7" w:rsidRPr="00BA56F7" w14:paraId="2429DD1D" w14:textId="77777777" w:rsidTr="00CD2111">
        <w:trPr>
          <w:trHeight w:hRule="exact" w:val="86"/>
        </w:trPr>
        <w:tc>
          <w:tcPr>
            <w:tcW w:w="2610" w:type="dxa"/>
            <w:tcBorders>
              <w:top w:val="single" w:sz="4" w:space="0" w:color="auto"/>
              <w:left w:val="nil"/>
            </w:tcBorders>
            <w:vAlign w:val="bottom"/>
          </w:tcPr>
          <w:p w14:paraId="59582598" w14:textId="77777777" w:rsidR="002956D7" w:rsidRPr="00BA56F7" w:rsidRDefault="002956D7" w:rsidP="00C74354">
            <w:pPr>
              <w:spacing w:after="0"/>
              <w:rPr>
                <w:rFonts w:ascii="Arial" w:hAnsi="Arial" w:cs="Arial"/>
                <w:szCs w:val="20"/>
              </w:rPr>
            </w:pPr>
          </w:p>
        </w:tc>
        <w:tc>
          <w:tcPr>
            <w:tcW w:w="1559" w:type="dxa"/>
            <w:tcBorders>
              <w:top w:val="single" w:sz="4" w:space="0" w:color="auto"/>
              <w:left w:val="nil"/>
            </w:tcBorders>
          </w:tcPr>
          <w:p w14:paraId="25A7131C" w14:textId="77777777" w:rsidR="002956D7" w:rsidRPr="00BA56F7" w:rsidRDefault="002956D7" w:rsidP="00C74354">
            <w:pPr>
              <w:spacing w:after="0"/>
              <w:ind w:right="173"/>
              <w:jc w:val="right"/>
              <w:rPr>
                <w:rFonts w:ascii="Arial" w:hAnsi="Arial" w:cs="Arial"/>
                <w:szCs w:val="20"/>
              </w:rPr>
            </w:pPr>
          </w:p>
        </w:tc>
        <w:tc>
          <w:tcPr>
            <w:tcW w:w="1559" w:type="dxa"/>
            <w:tcBorders>
              <w:top w:val="single" w:sz="4" w:space="0" w:color="auto"/>
              <w:left w:val="nil"/>
              <w:right w:val="nil"/>
            </w:tcBorders>
          </w:tcPr>
          <w:p w14:paraId="1594D950" w14:textId="77777777" w:rsidR="002956D7" w:rsidRPr="00BA56F7" w:rsidRDefault="002956D7" w:rsidP="00C74354">
            <w:pPr>
              <w:spacing w:after="0"/>
              <w:ind w:right="173"/>
              <w:jc w:val="right"/>
              <w:rPr>
                <w:rFonts w:ascii="Arial" w:hAnsi="Arial" w:cs="Arial"/>
                <w:szCs w:val="20"/>
              </w:rPr>
            </w:pPr>
          </w:p>
        </w:tc>
        <w:tc>
          <w:tcPr>
            <w:tcW w:w="1559" w:type="dxa"/>
            <w:tcBorders>
              <w:top w:val="single" w:sz="4" w:space="0" w:color="auto"/>
              <w:left w:val="nil"/>
            </w:tcBorders>
          </w:tcPr>
          <w:p w14:paraId="0A619820" w14:textId="77777777" w:rsidR="002956D7" w:rsidRPr="00BA56F7" w:rsidRDefault="002956D7" w:rsidP="00C74354">
            <w:pPr>
              <w:spacing w:after="0"/>
              <w:ind w:right="173"/>
              <w:jc w:val="right"/>
              <w:rPr>
                <w:rFonts w:ascii="Arial" w:hAnsi="Arial" w:cs="Arial"/>
                <w:szCs w:val="20"/>
              </w:rPr>
            </w:pPr>
          </w:p>
        </w:tc>
        <w:tc>
          <w:tcPr>
            <w:tcW w:w="1559" w:type="dxa"/>
            <w:tcBorders>
              <w:top w:val="single" w:sz="4" w:space="0" w:color="auto"/>
              <w:left w:val="nil"/>
              <w:right w:val="nil"/>
            </w:tcBorders>
            <w:vAlign w:val="bottom"/>
          </w:tcPr>
          <w:p w14:paraId="5D15B0BB" w14:textId="77777777" w:rsidR="002956D7" w:rsidRPr="00BA56F7" w:rsidRDefault="002956D7" w:rsidP="00C74354">
            <w:pPr>
              <w:spacing w:after="0"/>
              <w:ind w:right="173"/>
              <w:jc w:val="right"/>
              <w:rPr>
                <w:rFonts w:ascii="Arial" w:hAnsi="Arial" w:cs="Arial"/>
                <w:szCs w:val="20"/>
              </w:rPr>
            </w:pPr>
          </w:p>
        </w:tc>
      </w:tr>
      <w:tr w:rsidR="00E5497C" w:rsidRPr="00BA56F7" w14:paraId="7E511E46" w14:textId="77777777" w:rsidTr="00CD2111">
        <w:tc>
          <w:tcPr>
            <w:tcW w:w="2610" w:type="dxa"/>
            <w:tcBorders>
              <w:left w:val="nil"/>
            </w:tcBorders>
            <w:vAlign w:val="bottom"/>
          </w:tcPr>
          <w:p w14:paraId="75145994" w14:textId="77777777" w:rsidR="00E5497C" w:rsidRPr="00BA56F7" w:rsidRDefault="00E5497C" w:rsidP="00E5497C">
            <w:pPr>
              <w:spacing w:after="0"/>
              <w:rPr>
                <w:rFonts w:ascii="Arial" w:hAnsi="Arial" w:cs="Arial"/>
                <w:szCs w:val="20"/>
              </w:rPr>
            </w:pPr>
            <w:r w:rsidRPr="00BA56F7">
              <w:rPr>
                <w:rFonts w:ascii="Arial" w:hAnsi="Arial" w:cs="Arial"/>
                <w:szCs w:val="20"/>
              </w:rPr>
              <w:t xml:space="preserve">Balance, </w:t>
            </w:r>
            <w:r>
              <w:rPr>
                <w:rFonts w:ascii="Arial" w:hAnsi="Arial" w:cs="Arial"/>
                <w:szCs w:val="20"/>
              </w:rPr>
              <w:t>January 31, 2019</w:t>
            </w:r>
          </w:p>
        </w:tc>
        <w:tc>
          <w:tcPr>
            <w:tcW w:w="1559" w:type="dxa"/>
            <w:tcBorders>
              <w:left w:val="nil"/>
            </w:tcBorders>
          </w:tcPr>
          <w:p w14:paraId="28BD7DE0" w14:textId="77777777" w:rsidR="00E5497C" w:rsidRDefault="00E5497C" w:rsidP="00E5497C">
            <w:pPr>
              <w:spacing w:after="0"/>
              <w:ind w:right="173"/>
              <w:jc w:val="right"/>
              <w:rPr>
                <w:rFonts w:ascii="Arial" w:hAnsi="Arial" w:cs="Arial"/>
              </w:rPr>
            </w:pPr>
            <w:r>
              <w:rPr>
                <w:rFonts w:ascii="Arial" w:hAnsi="Arial" w:cs="Arial"/>
              </w:rPr>
              <w:t>319,174</w:t>
            </w:r>
          </w:p>
        </w:tc>
        <w:tc>
          <w:tcPr>
            <w:tcW w:w="1559" w:type="dxa"/>
            <w:tcBorders>
              <w:left w:val="nil"/>
              <w:right w:val="nil"/>
            </w:tcBorders>
          </w:tcPr>
          <w:p w14:paraId="0892BEA3" w14:textId="3324D37A" w:rsidR="00E5497C" w:rsidRDefault="00E5497C" w:rsidP="00E5497C">
            <w:pPr>
              <w:spacing w:after="0"/>
              <w:ind w:right="173"/>
              <w:jc w:val="right"/>
              <w:rPr>
                <w:rFonts w:ascii="Arial" w:hAnsi="Arial" w:cs="Arial"/>
              </w:rPr>
            </w:pPr>
            <w:r>
              <w:rPr>
                <w:rFonts w:ascii="Arial" w:hAnsi="Arial" w:cs="Arial"/>
              </w:rPr>
              <w:t>830,000</w:t>
            </w:r>
          </w:p>
        </w:tc>
        <w:tc>
          <w:tcPr>
            <w:tcW w:w="1559" w:type="dxa"/>
            <w:tcBorders>
              <w:left w:val="nil"/>
            </w:tcBorders>
          </w:tcPr>
          <w:p w14:paraId="00A838E7" w14:textId="438ED621" w:rsidR="00E5497C" w:rsidRDefault="00E5497C" w:rsidP="00E5497C">
            <w:pPr>
              <w:spacing w:after="0"/>
              <w:ind w:right="173"/>
              <w:jc w:val="right"/>
              <w:rPr>
                <w:rFonts w:ascii="Arial" w:hAnsi="Arial" w:cs="Arial"/>
              </w:rPr>
            </w:pPr>
            <w:r>
              <w:rPr>
                <w:rFonts w:ascii="Arial" w:hAnsi="Arial" w:cs="Arial"/>
              </w:rPr>
              <w:t>8,137,277</w:t>
            </w:r>
          </w:p>
        </w:tc>
        <w:tc>
          <w:tcPr>
            <w:tcW w:w="1559" w:type="dxa"/>
            <w:tcBorders>
              <w:left w:val="nil"/>
              <w:right w:val="nil"/>
            </w:tcBorders>
            <w:vAlign w:val="bottom"/>
          </w:tcPr>
          <w:p w14:paraId="509BA68C" w14:textId="4072FE76" w:rsidR="00E5497C" w:rsidRPr="00BA56F7" w:rsidRDefault="00E5497C" w:rsidP="00E5497C">
            <w:pPr>
              <w:spacing w:after="0"/>
              <w:ind w:right="173"/>
              <w:jc w:val="right"/>
              <w:rPr>
                <w:rFonts w:ascii="Arial" w:hAnsi="Arial" w:cs="Arial"/>
                <w:szCs w:val="20"/>
              </w:rPr>
            </w:pPr>
            <w:r>
              <w:rPr>
                <w:rFonts w:ascii="Arial" w:hAnsi="Arial" w:cs="Arial"/>
              </w:rPr>
              <w:t>9,286,451</w:t>
            </w:r>
          </w:p>
        </w:tc>
      </w:tr>
      <w:tr w:rsidR="00EE5527" w:rsidRPr="00BA56F7" w14:paraId="681200BC" w14:textId="77777777" w:rsidTr="00CD2111">
        <w:tc>
          <w:tcPr>
            <w:tcW w:w="2610" w:type="dxa"/>
            <w:tcBorders>
              <w:left w:val="nil"/>
            </w:tcBorders>
            <w:vAlign w:val="bottom"/>
          </w:tcPr>
          <w:p w14:paraId="54CDAF5C" w14:textId="77777777" w:rsidR="00EE5527" w:rsidRPr="00BA56F7" w:rsidRDefault="00EE5527" w:rsidP="00EE5527">
            <w:pPr>
              <w:spacing w:after="0"/>
              <w:rPr>
                <w:rFonts w:ascii="Arial" w:hAnsi="Arial" w:cs="Arial"/>
                <w:szCs w:val="20"/>
              </w:rPr>
            </w:pPr>
            <w:r>
              <w:rPr>
                <w:rFonts w:ascii="Arial" w:hAnsi="Arial" w:cs="Arial"/>
                <w:szCs w:val="20"/>
              </w:rPr>
              <w:t>Effect of foreign exchange rate changes</w:t>
            </w:r>
          </w:p>
        </w:tc>
        <w:tc>
          <w:tcPr>
            <w:tcW w:w="1559" w:type="dxa"/>
            <w:tcBorders>
              <w:left w:val="nil"/>
            </w:tcBorders>
          </w:tcPr>
          <w:p w14:paraId="13557C1C" w14:textId="77777777" w:rsidR="00EE5527" w:rsidRDefault="00EE5527" w:rsidP="00EE5527">
            <w:pPr>
              <w:spacing w:after="0"/>
              <w:ind w:right="173"/>
              <w:jc w:val="right"/>
              <w:rPr>
                <w:rFonts w:ascii="Arial" w:hAnsi="Arial" w:cs="Arial"/>
              </w:rPr>
            </w:pPr>
          </w:p>
          <w:p w14:paraId="2AD31C33" w14:textId="5186EC8D" w:rsidR="004F1F64" w:rsidRDefault="004F1F64" w:rsidP="00EE5527">
            <w:pPr>
              <w:spacing w:after="0"/>
              <w:ind w:right="173"/>
              <w:jc w:val="right"/>
              <w:rPr>
                <w:rFonts w:ascii="Arial" w:hAnsi="Arial" w:cs="Arial"/>
              </w:rPr>
            </w:pPr>
            <w:r w:rsidRPr="00BA56F7">
              <w:rPr>
                <w:rFonts w:ascii="Arial" w:hAnsi="Arial" w:cs="Arial"/>
              </w:rPr>
              <w:t>–</w:t>
            </w:r>
          </w:p>
        </w:tc>
        <w:tc>
          <w:tcPr>
            <w:tcW w:w="1559" w:type="dxa"/>
            <w:tcBorders>
              <w:left w:val="nil"/>
              <w:right w:val="nil"/>
            </w:tcBorders>
          </w:tcPr>
          <w:p w14:paraId="402DC7C5" w14:textId="77777777" w:rsidR="00EE5527" w:rsidRDefault="00EE5527" w:rsidP="00EE5527">
            <w:pPr>
              <w:spacing w:after="0"/>
              <w:ind w:right="173"/>
              <w:jc w:val="right"/>
              <w:rPr>
                <w:rFonts w:ascii="Arial" w:hAnsi="Arial" w:cs="Arial"/>
              </w:rPr>
            </w:pPr>
          </w:p>
          <w:p w14:paraId="7C4FDEF8" w14:textId="3755B5A5" w:rsidR="004F1F64" w:rsidRDefault="004F1F64" w:rsidP="00EE5527">
            <w:pPr>
              <w:spacing w:after="0"/>
              <w:ind w:right="173"/>
              <w:jc w:val="right"/>
              <w:rPr>
                <w:rFonts w:ascii="Arial" w:hAnsi="Arial" w:cs="Arial"/>
              </w:rPr>
            </w:pPr>
            <w:r w:rsidRPr="00BA56F7">
              <w:rPr>
                <w:rFonts w:ascii="Arial" w:hAnsi="Arial" w:cs="Arial"/>
              </w:rPr>
              <w:t>–</w:t>
            </w:r>
          </w:p>
        </w:tc>
        <w:tc>
          <w:tcPr>
            <w:tcW w:w="1559" w:type="dxa"/>
            <w:tcBorders>
              <w:left w:val="nil"/>
            </w:tcBorders>
          </w:tcPr>
          <w:p w14:paraId="5676D8EC" w14:textId="77777777" w:rsidR="00EE5527" w:rsidRDefault="00EE5527" w:rsidP="00EE5527">
            <w:pPr>
              <w:spacing w:after="0"/>
              <w:ind w:right="173"/>
              <w:jc w:val="right"/>
              <w:rPr>
                <w:rFonts w:ascii="Arial" w:hAnsi="Arial" w:cs="Arial"/>
              </w:rPr>
            </w:pPr>
          </w:p>
          <w:p w14:paraId="1ADC9C7E" w14:textId="2AC0D7F8" w:rsidR="004F1F64" w:rsidRDefault="00642A87" w:rsidP="00EE5527">
            <w:pPr>
              <w:spacing w:after="0"/>
              <w:ind w:right="173"/>
              <w:jc w:val="right"/>
              <w:rPr>
                <w:rFonts w:ascii="Arial" w:hAnsi="Arial" w:cs="Arial"/>
              </w:rPr>
            </w:pPr>
            <w:r>
              <w:rPr>
                <w:rFonts w:ascii="Arial" w:hAnsi="Arial" w:cs="Arial"/>
              </w:rPr>
              <w:t>9,905</w:t>
            </w:r>
          </w:p>
        </w:tc>
        <w:tc>
          <w:tcPr>
            <w:tcW w:w="1559" w:type="dxa"/>
            <w:tcBorders>
              <w:left w:val="nil"/>
              <w:right w:val="nil"/>
            </w:tcBorders>
            <w:vAlign w:val="bottom"/>
          </w:tcPr>
          <w:p w14:paraId="71CD325D" w14:textId="57606629" w:rsidR="00EE5527" w:rsidRPr="00BA56F7" w:rsidRDefault="00642A87" w:rsidP="00EE5527">
            <w:pPr>
              <w:spacing w:after="0"/>
              <w:ind w:right="173"/>
              <w:jc w:val="right"/>
              <w:rPr>
                <w:rFonts w:ascii="Arial" w:hAnsi="Arial" w:cs="Arial"/>
                <w:szCs w:val="20"/>
              </w:rPr>
            </w:pPr>
            <w:r>
              <w:rPr>
                <w:rFonts w:ascii="Arial" w:hAnsi="Arial" w:cs="Arial"/>
                <w:szCs w:val="20"/>
              </w:rPr>
              <w:t>9,905</w:t>
            </w:r>
          </w:p>
        </w:tc>
      </w:tr>
      <w:tr w:rsidR="00EE5527" w:rsidRPr="00BA56F7" w14:paraId="4F73A4FD" w14:textId="77777777" w:rsidTr="00CD2111">
        <w:trPr>
          <w:trHeight w:hRule="exact" w:val="86"/>
        </w:trPr>
        <w:tc>
          <w:tcPr>
            <w:tcW w:w="2610" w:type="dxa"/>
            <w:tcBorders>
              <w:top w:val="single" w:sz="4" w:space="0" w:color="auto"/>
              <w:left w:val="nil"/>
            </w:tcBorders>
            <w:vAlign w:val="bottom"/>
          </w:tcPr>
          <w:p w14:paraId="15B31C51" w14:textId="77777777" w:rsidR="00EE5527" w:rsidRPr="00BA56F7" w:rsidRDefault="00EE5527" w:rsidP="00EE5527">
            <w:pPr>
              <w:spacing w:after="0"/>
              <w:rPr>
                <w:rFonts w:ascii="Arial" w:hAnsi="Arial" w:cs="Arial"/>
                <w:szCs w:val="20"/>
              </w:rPr>
            </w:pPr>
          </w:p>
        </w:tc>
        <w:tc>
          <w:tcPr>
            <w:tcW w:w="1559" w:type="dxa"/>
            <w:tcBorders>
              <w:top w:val="single" w:sz="4" w:space="0" w:color="auto"/>
              <w:left w:val="nil"/>
            </w:tcBorders>
          </w:tcPr>
          <w:p w14:paraId="57F9147F" w14:textId="77777777" w:rsidR="00EE5527" w:rsidRPr="00BA56F7" w:rsidRDefault="00EE5527" w:rsidP="00EE5527">
            <w:pPr>
              <w:spacing w:after="0"/>
              <w:ind w:right="173"/>
              <w:jc w:val="right"/>
              <w:rPr>
                <w:rFonts w:ascii="Arial" w:hAnsi="Arial" w:cs="Arial"/>
                <w:szCs w:val="20"/>
              </w:rPr>
            </w:pPr>
          </w:p>
        </w:tc>
        <w:tc>
          <w:tcPr>
            <w:tcW w:w="1559" w:type="dxa"/>
            <w:tcBorders>
              <w:top w:val="single" w:sz="4" w:space="0" w:color="auto"/>
              <w:left w:val="nil"/>
              <w:right w:val="nil"/>
            </w:tcBorders>
          </w:tcPr>
          <w:p w14:paraId="1F9F2296" w14:textId="7FED91A3" w:rsidR="00EE5527" w:rsidRPr="00BA56F7" w:rsidRDefault="00EE5527" w:rsidP="00EE5527">
            <w:pPr>
              <w:spacing w:after="0"/>
              <w:ind w:right="173"/>
              <w:jc w:val="right"/>
              <w:rPr>
                <w:rFonts w:ascii="Arial" w:hAnsi="Arial" w:cs="Arial"/>
                <w:szCs w:val="20"/>
              </w:rPr>
            </w:pPr>
          </w:p>
        </w:tc>
        <w:tc>
          <w:tcPr>
            <w:tcW w:w="1559" w:type="dxa"/>
            <w:tcBorders>
              <w:top w:val="single" w:sz="4" w:space="0" w:color="auto"/>
              <w:left w:val="nil"/>
            </w:tcBorders>
          </w:tcPr>
          <w:p w14:paraId="00F5FB94" w14:textId="1F29BF5D" w:rsidR="00EE5527" w:rsidRPr="00BA56F7" w:rsidRDefault="00EE5527" w:rsidP="00EE5527">
            <w:pPr>
              <w:spacing w:after="0"/>
              <w:ind w:right="173"/>
              <w:jc w:val="right"/>
              <w:rPr>
                <w:rFonts w:ascii="Arial" w:hAnsi="Arial" w:cs="Arial"/>
                <w:szCs w:val="20"/>
              </w:rPr>
            </w:pPr>
          </w:p>
        </w:tc>
        <w:tc>
          <w:tcPr>
            <w:tcW w:w="1559" w:type="dxa"/>
            <w:tcBorders>
              <w:top w:val="single" w:sz="4" w:space="0" w:color="auto"/>
              <w:left w:val="nil"/>
              <w:right w:val="nil"/>
            </w:tcBorders>
            <w:vAlign w:val="bottom"/>
          </w:tcPr>
          <w:p w14:paraId="1352181C" w14:textId="1C6C473F" w:rsidR="00EE5527" w:rsidRPr="00BA56F7" w:rsidRDefault="00EE5527" w:rsidP="00EE5527">
            <w:pPr>
              <w:spacing w:after="0"/>
              <w:ind w:right="173"/>
              <w:jc w:val="right"/>
              <w:rPr>
                <w:rFonts w:ascii="Arial" w:hAnsi="Arial" w:cs="Arial"/>
                <w:szCs w:val="20"/>
              </w:rPr>
            </w:pPr>
          </w:p>
        </w:tc>
      </w:tr>
      <w:tr w:rsidR="00EE5527" w:rsidRPr="00BA56F7" w14:paraId="31A1B3B7" w14:textId="77777777" w:rsidTr="00CD2111">
        <w:tc>
          <w:tcPr>
            <w:tcW w:w="2610" w:type="dxa"/>
            <w:tcBorders>
              <w:left w:val="nil"/>
              <w:bottom w:val="single" w:sz="12" w:space="0" w:color="auto"/>
            </w:tcBorders>
            <w:vAlign w:val="bottom"/>
          </w:tcPr>
          <w:p w14:paraId="228D6E4E" w14:textId="27E55D22" w:rsidR="00EE5527" w:rsidRPr="00BA56F7" w:rsidRDefault="00EE5527" w:rsidP="002956D7">
            <w:pPr>
              <w:spacing w:after="0"/>
              <w:rPr>
                <w:rFonts w:ascii="Arial" w:hAnsi="Arial" w:cs="Arial"/>
                <w:szCs w:val="20"/>
              </w:rPr>
            </w:pPr>
            <w:r w:rsidRPr="00BA56F7">
              <w:rPr>
                <w:rFonts w:ascii="Arial" w:hAnsi="Arial" w:cs="Arial"/>
                <w:szCs w:val="20"/>
              </w:rPr>
              <w:t xml:space="preserve">Balance, </w:t>
            </w:r>
            <w:r w:rsidR="00642A87">
              <w:rPr>
                <w:rFonts w:ascii="Arial" w:hAnsi="Arial" w:cs="Arial"/>
                <w:szCs w:val="20"/>
              </w:rPr>
              <w:t>October</w:t>
            </w:r>
            <w:r w:rsidR="004F1F64">
              <w:rPr>
                <w:rFonts w:ascii="Arial" w:hAnsi="Arial" w:cs="Arial"/>
                <w:szCs w:val="20"/>
              </w:rPr>
              <w:t xml:space="preserve"> 31, 2019</w:t>
            </w:r>
          </w:p>
        </w:tc>
        <w:tc>
          <w:tcPr>
            <w:tcW w:w="1559" w:type="dxa"/>
            <w:tcBorders>
              <w:left w:val="nil"/>
              <w:bottom w:val="single" w:sz="12" w:space="0" w:color="auto"/>
            </w:tcBorders>
          </w:tcPr>
          <w:p w14:paraId="16059C87" w14:textId="17659E50" w:rsidR="00EE5527" w:rsidRDefault="004F1F64" w:rsidP="00EE5527">
            <w:pPr>
              <w:spacing w:after="0"/>
              <w:ind w:right="173"/>
              <w:jc w:val="right"/>
              <w:rPr>
                <w:rFonts w:ascii="Arial" w:hAnsi="Arial" w:cs="Arial"/>
              </w:rPr>
            </w:pPr>
            <w:r>
              <w:rPr>
                <w:rFonts w:ascii="Arial" w:hAnsi="Arial" w:cs="Arial"/>
              </w:rPr>
              <w:t>319,174</w:t>
            </w:r>
          </w:p>
        </w:tc>
        <w:tc>
          <w:tcPr>
            <w:tcW w:w="1559" w:type="dxa"/>
            <w:tcBorders>
              <w:left w:val="nil"/>
              <w:bottom w:val="single" w:sz="12" w:space="0" w:color="auto"/>
              <w:right w:val="nil"/>
            </w:tcBorders>
          </w:tcPr>
          <w:p w14:paraId="60454926" w14:textId="38D39DED" w:rsidR="00EE5527" w:rsidRDefault="002956D7" w:rsidP="00EE5527">
            <w:pPr>
              <w:spacing w:after="0"/>
              <w:ind w:right="173"/>
              <w:jc w:val="right"/>
              <w:rPr>
                <w:rFonts w:ascii="Arial" w:hAnsi="Arial" w:cs="Arial"/>
              </w:rPr>
            </w:pPr>
            <w:r>
              <w:rPr>
                <w:rFonts w:ascii="Arial" w:hAnsi="Arial" w:cs="Arial"/>
              </w:rPr>
              <w:t>830</w:t>
            </w:r>
            <w:r w:rsidR="004F1F64">
              <w:rPr>
                <w:rFonts w:ascii="Arial" w:hAnsi="Arial" w:cs="Arial"/>
              </w:rPr>
              <w:t>,000</w:t>
            </w:r>
          </w:p>
        </w:tc>
        <w:tc>
          <w:tcPr>
            <w:tcW w:w="1559" w:type="dxa"/>
            <w:tcBorders>
              <w:left w:val="nil"/>
              <w:bottom w:val="single" w:sz="12" w:space="0" w:color="auto"/>
            </w:tcBorders>
          </w:tcPr>
          <w:p w14:paraId="46DD9213" w14:textId="32816D2A" w:rsidR="00EE5527" w:rsidRDefault="00CD2111" w:rsidP="00EE5527">
            <w:pPr>
              <w:spacing w:after="0"/>
              <w:ind w:right="173"/>
              <w:jc w:val="right"/>
              <w:rPr>
                <w:rFonts w:ascii="Arial" w:hAnsi="Arial" w:cs="Arial"/>
              </w:rPr>
            </w:pPr>
            <w:r>
              <w:rPr>
                <w:rFonts w:ascii="Arial" w:hAnsi="Arial" w:cs="Arial"/>
              </w:rPr>
              <w:t>8,</w:t>
            </w:r>
            <w:r w:rsidR="00642A87">
              <w:rPr>
                <w:rFonts w:ascii="Arial" w:hAnsi="Arial" w:cs="Arial"/>
              </w:rPr>
              <w:t>147,182</w:t>
            </w:r>
          </w:p>
        </w:tc>
        <w:tc>
          <w:tcPr>
            <w:tcW w:w="1559" w:type="dxa"/>
            <w:tcBorders>
              <w:left w:val="nil"/>
              <w:bottom w:val="single" w:sz="12" w:space="0" w:color="auto"/>
              <w:right w:val="nil"/>
            </w:tcBorders>
            <w:vAlign w:val="bottom"/>
          </w:tcPr>
          <w:p w14:paraId="26CD6B7F" w14:textId="60166161" w:rsidR="00EE5527" w:rsidRPr="00BA56F7" w:rsidRDefault="00CD2111" w:rsidP="00EE5527">
            <w:pPr>
              <w:spacing w:after="0"/>
              <w:ind w:right="173"/>
              <w:jc w:val="right"/>
              <w:rPr>
                <w:rFonts w:ascii="Arial" w:hAnsi="Arial" w:cs="Arial"/>
                <w:szCs w:val="20"/>
              </w:rPr>
            </w:pPr>
            <w:r>
              <w:rPr>
                <w:rFonts w:ascii="Arial" w:hAnsi="Arial" w:cs="Arial"/>
                <w:szCs w:val="20"/>
              </w:rPr>
              <w:t>9,</w:t>
            </w:r>
            <w:r w:rsidR="00642A87">
              <w:rPr>
                <w:rFonts w:ascii="Arial" w:hAnsi="Arial" w:cs="Arial"/>
                <w:szCs w:val="20"/>
              </w:rPr>
              <w:t>296,356</w:t>
            </w:r>
          </w:p>
        </w:tc>
      </w:tr>
    </w:tbl>
    <w:p w14:paraId="23783F63" w14:textId="77777777" w:rsidR="00BA56F7" w:rsidRDefault="00BA56F7" w:rsidP="00F15B99">
      <w:pPr>
        <w:tabs>
          <w:tab w:val="left" w:pos="450"/>
        </w:tabs>
        <w:spacing w:after="0" w:line="240" w:lineRule="auto"/>
        <w:jc w:val="both"/>
        <w:rPr>
          <w:rFonts w:ascii="Arial" w:hAnsi="Arial" w:cs="Arial"/>
          <w:b/>
          <w:szCs w:val="20"/>
        </w:rPr>
      </w:pPr>
    </w:p>
    <w:tbl>
      <w:tblPr>
        <w:tblW w:w="8913" w:type="dxa"/>
        <w:tblInd w:w="450" w:type="dxa"/>
        <w:tblLayout w:type="fixed"/>
        <w:tblCellMar>
          <w:left w:w="0" w:type="dxa"/>
          <w:right w:w="0" w:type="dxa"/>
        </w:tblCellMar>
        <w:tblLook w:val="0000" w:firstRow="0" w:lastRow="0" w:firstColumn="0" w:lastColumn="0" w:noHBand="0" w:noVBand="0"/>
      </w:tblPr>
      <w:tblGrid>
        <w:gridCol w:w="2610"/>
        <w:gridCol w:w="1559"/>
        <w:gridCol w:w="1559"/>
        <w:gridCol w:w="1562"/>
        <w:gridCol w:w="90"/>
        <w:gridCol w:w="1440"/>
        <w:gridCol w:w="93"/>
      </w:tblGrid>
      <w:tr w:rsidR="0007122C" w:rsidRPr="00BA56F7" w14:paraId="2646ACFF" w14:textId="77777777" w:rsidTr="00CD2111">
        <w:trPr>
          <w:gridAfter w:val="1"/>
          <w:wAfter w:w="93" w:type="dxa"/>
        </w:trPr>
        <w:tc>
          <w:tcPr>
            <w:tcW w:w="2610" w:type="dxa"/>
            <w:tcBorders>
              <w:left w:val="nil"/>
            </w:tcBorders>
            <w:vAlign w:val="bottom"/>
          </w:tcPr>
          <w:p w14:paraId="69D74514" w14:textId="0936A37A" w:rsidR="0007122C" w:rsidRPr="004F1F64" w:rsidRDefault="0007122C" w:rsidP="0007122C">
            <w:pPr>
              <w:spacing w:after="0"/>
              <w:rPr>
                <w:rFonts w:ascii="Arial" w:hAnsi="Arial" w:cs="Arial"/>
                <w:b/>
                <w:szCs w:val="20"/>
              </w:rPr>
            </w:pPr>
            <w:r>
              <w:rPr>
                <w:rFonts w:ascii="Arial" w:hAnsi="Arial" w:cs="Arial"/>
                <w:b/>
                <w:szCs w:val="20"/>
              </w:rPr>
              <w:t>Accumulated Amortization</w:t>
            </w:r>
          </w:p>
        </w:tc>
        <w:tc>
          <w:tcPr>
            <w:tcW w:w="1559" w:type="dxa"/>
            <w:tcBorders>
              <w:left w:val="nil"/>
            </w:tcBorders>
          </w:tcPr>
          <w:p w14:paraId="028200D0" w14:textId="308108A7" w:rsidR="0007122C" w:rsidRPr="00BA56F7" w:rsidRDefault="0007122C" w:rsidP="0007122C">
            <w:pPr>
              <w:spacing w:after="0"/>
              <w:ind w:right="173"/>
              <w:jc w:val="center"/>
              <w:rPr>
                <w:rFonts w:ascii="Arial" w:hAnsi="Arial" w:cs="Arial"/>
              </w:rPr>
            </w:pPr>
          </w:p>
        </w:tc>
        <w:tc>
          <w:tcPr>
            <w:tcW w:w="1559" w:type="dxa"/>
            <w:tcBorders>
              <w:left w:val="nil"/>
              <w:right w:val="nil"/>
            </w:tcBorders>
          </w:tcPr>
          <w:p w14:paraId="5065D84B" w14:textId="6135C941" w:rsidR="0007122C" w:rsidRPr="00BA56F7" w:rsidRDefault="0007122C" w:rsidP="0007122C">
            <w:pPr>
              <w:spacing w:after="0"/>
              <w:ind w:right="173"/>
              <w:jc w:val="center"/>
              <w:rPr>
                <w:rFonts w:ascii="Arial" w:hAnsi="Arial" w:cs="Arial"/>
              </w:rPr>
            </w:pPr>
          </w:p>
        </w:tc>
        <w:tc>
          <w:tcPr>
            <w:tcW w:w="1562" w:type="dxa"/>
            <w:tcBorders>
              <w:left w:val="nil"/>
            </w:tcBorders>
          </w:tcPr>
          <w:p w14:paraId="6E279FF2" w14:textId="6776B39A" w:rsidR="0007122C" w:rsidRPr="00BA56F7" w:rsidRDefault="0007122C" w:rsidP="0007122C">
            <w:pPr>
              <w:spacing w:after="0"/>
              <w:ind w:right="173"/>
              <w:jc w:val="center"/>
              <w:rPr>
                <w:rFonts w:ascii="Arial" w:hAnsi="Arial" w:cs="Arial"/>
              </w:rPr>
            </w:pPr>
          </w:p>
        </w:tc>
        <w:tc>
          <w:tcPr>
            <w:tcW w:w="1530" w:type="dxa"/>
            <w:gridSpan w:val="2"/>
            <w:tcBorders>
              <w:left w:val="nil"/>
              <w:right w:val="nil"/>
            </w:tcBorders>
            <w:vAlign w:val="bottom"/>
          </w:tcPr>
          <w:p w14:paraId="012FEA93" w14:textId="4FD517DA" w:rsidR="0007122C" w:rsidRPr="00BA56F7" w:rsidRDefault="0007122C" w:rsidP="0007122C">
            <w:pPr>
              <w:spacing w:after="0"/>
              <w:ind w:right="173"/>
              <w:jc w:val="center"/>
              <w:rPr>
                <w:rFonts w:ascii="Arial" w:hAnsi="Arial" w:cs="Arial"/>
                <w:szCs w:val="20"/>
              </w:rPr>
            </w:pPr>
          </w:p>
        </w:tc>
      </w:tr>
      <w:tr w:rsidR="00BA56F7" w:rsidRPr="00BA56F7" w14:paraId="77EB9885" w14:textId="77777777" w:rsidTr="00CD2111">
        <w:trPr>
          <w:trHeight w:hRule="exact" w:val="113"/>
        </w:trPr>
        <w:tc>
          <w:tcPr>
            <w:tcW w:w="7380" w:type="dxa"/>
            <w:gridSpan w:val="5"/>
            <w:tcBorders>
              <w:top w:val="single" w:sz="4" w:space="0" w:color="auto"/>
              <w:left w:val="nil"/>
            </w:tcBorders>
            <w:vAlign w:val="bottom"/>
          </w:tcPr>
          <w:p w14:paraId="2F0AF203" w14:textId="77777777" w:rsidR="00BA56F7" w:rsidRPr="00BA56F7" w:rsidRDefault="00BA56F7" w:rsidP="00F15B99">
            <w:pPr>
              <w:spacing w:after="0" w:line="240" w:lineRule="auto"/>
              <w:rPr>
                <w:rFonts w:ascii="Arial" w:hAnsi="Arial" w:cs="Arial"/>
                <w:szCs w:val="20"/>
              </w:rPr>
            </w:pPr>
          </w:p>
        </w:tc>
        <w:tc>
          <w:tcPr>
            <w:tcW w:w="1533" w:type="dxa"/>
            <w:gridSpan w:val="2"/>
            <w:tcBorders>
              <w:top w:val="single" w:sz="4" w:space="0" w:color="auto"/>
              <w:left w:val="nil"/>
              <w:right w:val="nil"/>
            </w:tcBorders>
            <w:vAlign w:val="bottom"/>
          </w:tcPr>
          <w:p w14:paraId="51F32552" w14:textId="77777777" w:rsidR="00BA56F7" w:rsidRPr="00BA56F7" w:rsidRDefault="00BA56F7" w:rsidP="00F15B99">
            <w:pPr>
              <w:spacing w:after="0" w:line="240" w:lineRule="auto"/>
              <w:ind w:right="369"/>
              <w:jc w:val="right"/>
              <w:rPr>
                <w:rFonts w:ascii="Arial" w:hAnsi="Arial" w:cs="Arial"/>
                <w:szCs w:val="20"/>
              </w:rPr>
            </w:pPr>
          </w:p>
        </w:tc>
      </w:tr>
      <w:tr w:rsidR="004F1F64" w:rsidRPr="00BA56F7" w14:paraId="6A0885A9" w14:textId="77777777" w:rsidTr="00CD2111">
        <w:trPr>
          <w:gridAfter w:val="1"/>
          <w:wAfter w:w="93" w:type="dxa"/>
        </w:trPr>
        <w:tc>
          <w:tcPr>
            <w:tcW w:w="2610" w:type="dxa"/>
            <w:tcBorders>
              <w:left w:val="nil"/>
            </w:tcBorders>
            <w:vAlign w:val="bottom"/>
          </w:tcPr>
          <w:p w14:paraId="157BCE0A" w14:textId="5553DC01" w:rsidR="004F1F64" w:rsidRPr="00BA56F7" w:rsidRDefault="004F1F64" w:rsidP="00E5497C">
            <w:pPr>
              <w:spacing w:after="0"/>
              <w:rPr>
                <w:rFonts w:ascii="Arial" w:hAnsi="Arial" w:cs="Arial"/>
                <w:szCs w:val="20"/>
              </w:rPr>
            </w:pPr>
            <w:r w:rsidRPr="00BA56F7">
              <w:rPr>
                <w:rFonts w:ascii="Arial" w:hAnsi="Arial" w:cs="Arial"/>
                <w:szCs w:val="20"/>
              </w:rPr>
              <w:t xml:space="preserve">Balance, </w:t>
            </w:r>
            <w:r w:rsidR="00E5497C">
              <w:rPr>
                <w:rFonts w:ascii="Arial" w:hAnsi="Arial" w:cs="Arial"/>
                <w:szCs w:val="20"/>
              </w:rPr>
              <w:t>February 1</w:t>
            </w:r>
            <w:r>
              <w:rPr>
                <w:rFonts w:ascii="Arial" w:hAnsi="Arial" w:cs="Arial"/>
                <w:szCs w:val="20"/>
              </w:rPr>
              <w:t>, 2018</w:t>
            </w:r>
          </w:p>
        </w:tc>
        <w:tc>
          <w:tcPr>
            <w:tcW w:w="1559" w:type="dxa"/>
            <w:tcBorders>
              <w:left w:val="nil"/>
            </w:tcBorders>
          </w:tcPr>
          <w:p w14:paraId="499C1DA3" w14:textId="70A99973" w:rsidR="004F1F64" w:rsidRDefault="004F1F64" w:rsidP="00CD70E7">
            <w:pPr>
              <w:spacing w:after="0"/>
              <w:ind w:right="173"/>
              <w:jc w:val="right"/>
              <w:rPr>
                <w:rFonts w:ascii="Arial" w:hAnsi="Arial" w:cs="Arial"/>
              </w:rPr>
            </w:pPr>
            <w:r>
              <w:rPr>
                <w:rFonts w:ascii="Arial" w:hAnsi="Arial" w:cs="Arial"/>
              </w:rPr>
              <w:t>30,825</w:t>
            </w:r>
          </w:p>
        </w:tc>
        <w:tc>
          <w:tcPr>
            <w:tcW w:w="1559" w:type="dxa"/>
            <w:tcBorders>
              <w:left w:val="nil"/>
              <w:right w:val="nil"/>
            </w:tcBorders>
          </w:tcPr>
          <w:p w14:paraId="0529E56A" w14:textId="77777777" w:rsidR="004F1F64" w:rsidRDefault="004F1F64" w:rsidP="00CD70E7">
            <w:pPr>
              <w:spacing w:after="0"/>
              <w:ind w:right="173"/>
              <w:jc w:val="right"/>
              <w:rPr>
                <w:rFonts w:ascii="Arial" w:hAnsi="Arial" w:cs="Arial"/>
              </w:rPr>
            </w:pPr>
            <w:r w:rsidRPr="00BA56F7">
              <w:rPr>
                <w:rFonts w:ascii="Arial" w:hAnsi="Arial" w:cs="Arial"/>
              </w:rPr>
              <w:t>–</w:t>
            </w:r>
          </w:p>
        </w:tc>
        <w:tc>
          <w:tcPr>
            <w:tcW w:w="1562" w:type="dxa"/>
            <w:tcBorders>
              <w:left w:val="nil"/>
            </w:tcBorders>
          </w:tcPr>
          <w:p w14:paraId="3352B5E7" w14:textId="77777777" w:rsidR="004F1F64" w:rsidRDefault="004F1F64" w:rsidP="00CD70E7">
            <w:pPr>
              <w:spacing w:after="0"/>
              <w:ind w:right="173"/>
              <w:jc w:val="right"/>
              <w:rPr>
                <w:rFonts w:ascii="Arial" w:hAnsi="Arial" w:cs="Arial"/>
              </w:rPr>
            </w:pPr>
            <w:r w:rsidRPr="00BA56F7">
              <w:rPr>
                <w:rFonts w:ascii="Arial" w:hAnsi="Arial" w:cs="Arial"/>
              </w:rPr>
              <w:t>–</w:t>
            </w:r>
          </w:p>
        </w:tc>
        <w:tc>
          <w:tcPr>
            <w:tcW w:w="1530" w:type="dxa"/>
            <w:gridSpan w:val="2"/>
            <w:tcBorders>
              <w:left w:val="nil"/>
              <w:right w:val="nil"/>
            </w:tcBorders>
            <w:vAlign w:val="bottom"/>
          </w:tcPr>
          <w:p w14:paraId="071920B5" w14:textId="428430B9" w:rsidR="004F1F64" w:rsidRPr="00BA56F7" w:rsidRDefault="004F1F64" w:rsidP="00CD70E7">
            <w:pPr>
              <w:spacing w:after="0"/>
              <w:ind w:right="173"/>
              <w:jc w:val="right"/>
              <w:rPr>
                <w:rFonts w:ascii="Arial" w:hAnsi="Arial" w:cs="Arial"/>
                <w:szCs w:val="20"/>
              </w:rPr>
            </w:pPr>
            <w:r>
              <w:rPr>
                <w:rFonts w:ascii="Arial" w:hAnsi="Arial" w:cs="Arial"/>
              </w:rPr>
              <w:t>30,825</w:t>
            </w:r>
          </w:p>
        </w:tc>
      </w:tr>
      <w:tr w:rsidR="00E5497C" w:rsidRPr="00BA56F7" w14:paraId="3F40BB91" w14:textId="77777777" w:rsidTr="00CD2111">
        <w:trPr>
          <w:gridAfter w:val="1"/>
          <w:wAfter w:w="93" w:type="dxa"/>
        </w:trPr>
        <w:tc>
          <w:tcPr>
            <w:tcW w:w="2610" w:type="dxa"/>
            <w:tcBorders>
              <w:left w:val="nil"/>
            </w:tcBorders>
            <w:vAlign w:val="bottom"/>
          </w:tcPr>
          <w:p w14:paraId="0402FD9B" w14:textId="77777777" w:rsidR="00E5497C" w:rsidRPr="00BA56F7" w:rsidRDefault="00E5497C" w:rsidP="00E5497C">
            <w:pPr>
              <w:spacing w:after="0"/>
              <w:rPr>
                <w:rFonts w:ascii="Arial" w:hAnsi="Arial" w:cs="Arial"/>
                <w:szCs w:val="20"/>
              </w:rPr>
            </w:pPr>
            <w:r>
              <w:rPr>
                <w:rFonts w:ascii="Arial" w:hAnsi="Arial" w:cs="Arial"/>
                <w:szCs w:val="20"/>
              </w:rPr>
              <w:t>Amortization</w:t>
            </w:r>
          </w:p>
        </w:tc>
        <w:tc>
          <w:tcPr>
            <w:tcW w:w="1559" w:type="dxa"/>
            <w:tcBorders>
              <w:left w:val="nil"/>
            </w:tcBorders>
          </w:tcPr>
          <w:p w14:paraId="01C7DA29" w14:textId="77777777" w:rsidR="00E5497C" w:rsidRPr="00BA56F7" w:rsidRDefault="00E5497C" w:rsidP="00E5497C">
            <w:pPr>
              <w:spacing w:after="0"/>
              <w:ind w:right="173"/>
              <w:jc w:val="right"/>
              <w:rPr>
                <w:rFonts w:ascii="Arial" w:hAnsi="Arial" w:cs="Arial"/>
              </w:rPr>
            </w:pPr>
            <w:r>
              <w:rPr>
                <w:rFonts w:ascii="Arial" w:hAnsi="Arial" w:cs="Arial"/>
              </w:rPr>
              <w:t>79,793</w:t>
            </w:r>
          </w:p>
        </w:tc>
        <w:tc>
          <w:tcPr>
            <w:tcW w:w="1559" w:type="dxa"/>
            <w:tcBorders>
              <w:left w:val="nil"/>
              <w:right w:val="nil"/>
            </w:tcBorders>
          </w:tcPr>
          <w:p w14:paraId="6B0908DF" w14:textId="77777777" w:rsidR="00E5497C" w:rsidRPr="00BA56F7" w:rsidRDefault="00E5497C" w:rsidP="00E5497C">
            <w:pPr>
              <w:spacing w:after="0"/>
              <w:ind w:right="173"/>
              <w:jc w:val="right"/>
              <w:rPr>
                <w:rFonts w:ascii="Arial" w:hAnsi="Arial" w:cs="Arial"/>
              </w:rPr>
            </w:pPr>
            <w:r>
              <w:rPr>
                <w:rFonts w:ascii="Arial" w:hAnsi="Arial" w:cs="Arial"/>
              </w:rPr>
              <w:t>74,325</w:t>
            </w:r>
          </w:p>
        </w:tc>
        <w:tc>
          <w:tcPr>
            <w:tcW w:w="1562" w:type="dxa"/>
            <w:tcBorders>
              <w:left w:val="nil"/>
            </w:tcBorders>
          </w:tcPr>
          <w:p w14:paraId="54A632C6" w14:textId="487954AC" w:rsidR="00E5497C" w:rsidRPr="00BA56F7" w:rsidRDefault="00E5497C" w:rsidP="00E5497C">
            <w:pPr>
              <w:spacing w:after="0"/>
              <w:ind w:right="173"/>
              <w:jc w:val="right"/>
              <w:rPr>
                <w:rFonts w:ascii="Arial" w:hAnsi="Arial" w:cs="Arial"/>
              </w:rPr>
            </w:pPr>
            <w:r>
              <w:rPr>
                <w:rFonts w:ascii="Arial" w:hAnsi="Arial" w:cs="Arial"/>
              </w:rPr>
              <w:t>745,398</w:t>
            </w:r>
          </w:p>
        </w:tc>
        <w:tc>
          <w:tcPr>
            <w:tcW w:w="1530" w:type="dxa"/>
            <w:gridSpan w:val="2"/>
            <w:tcBorders>
              <w:left w:val="nil"/>
              <w:right w:val="nil"/>
            </w:tcBorders>
            <w:vAlign w:val="bottom"/>
          </w:tcPr>
          <w:p w14:paraId="06F6A5BB" w14:textId="587EE8F7" w:rsidR="00E5497C" w:rsidRPr="00BA56F7" w:rsidRDefault="00E5497C" w:rsidP="00E5497C">
            <w:pPr>
              <w:spacing w:after="0"/>
              <w:ind w:right="173"/>
              <w:jc w:val="right"/>
              <w:rPr>
                <w:rFonts w:ascii="Arial" w:hAnsi="Arial" w:cs="Arial"/>
                <w:szCs w:val="20"/>
              </w:rPr>
            </w:pPr>
            <w:r>
              <w:rPr>
                <w:rFonts w:ascii="Arial" w:hAnsi="Arial" w:cs="Arial"/>
              </w:rPr>
              <w:t>899,516</w:t>
            </w:r>
          </w:p>
        </w:tc>
      </w:tr>
      <w:tr w:rsidR="00E5497C" w:rsidRPr="00BA56F7" w14:paraId="0BC0CAD1" w14:textId="77777777" w:rsidTr="00CD2111">
        <w:trPr>
          <w:gridAfter w:val="1"/>
          <w:wAfter w:w="93" w:type="dxa"/>
        </w:trPr>
        <w:tc>
          <w:tcPr>
            <w:tcW w:w="2610" w:type="dxa"/>
            <w:tcBorders>
              <w:left w:val="nil"/>
            </w:tcBorders>
            <w:vAlign w:val="bottom"/>
          </w:tcPr>
          <w:p w14:paraId="31689234" w14:textId="77777777" w:rsidR="00E5497C" w:rsidRPr="00BA56F7" w:rsidRDefault="00E5497C" w:rsidP="00E5497C">
            <w:pPr>
              <w:spacing w:after="0"/>
              <w:rPr>
                <w:rFonts w:ascii="Arial" w:hAnsi="Arial" w:cs="Arial"/>
                <w:szCs w:val="20"/>
              </w:rPr>
            </w:pPr>
            <w:r>
              <w:rPr>
                <w:rFonts w:ascii="Arial" w:hAnsi="Arial" w:cs="Arial"/>
                <w:szCs w:val="20"/>
              </w:rPr>
              <w:t>Effect of foreign exchange rate changes</w:t>
            </w:r>
          </w:p>
        </w:tc>
        <w:tc>
          <w:tcPr>
            <w:tcW w:w="1559" w:type="dxa"/>
            <w:tcBorders>
              <w:left w:val="nil"/>
            </w:tcBorders>
          </w:tcPr>
          <w:p w14:paraId="13BD9748" w14:textId="77777777" w:rsidR="00E5497C" w:rsidRDefault="00E5497C" w:rsidP="00E5497C">
            <w:pPr>
              <w:spacing w:after="0"/>
              <w:ind w:right="173"/>
              <w:jc w:val="right"/>
              <w:rPr>
                <w:rFonts w:ascii="Arial" w:hAnsi="Arial" w:cs="Arial"/>
              </w:rPr>
            </w:pPr>
          </w:p>
          <w:p w14:paraId="6B615615" w14:textId="77777777" w:rsidR="00E5497C" w:rsidRDefault="00E5497C" w:rsidP="00E5497C">
            <w:pPr>
              <w:spacing w:after="0"/>
              <w:ind w:right="173"/>
              <w:jc w:val="right"/>
              <w:rPr>
                <w:rFonts w:ascii="Arial" w:hAnsi="Arial" w:cs="Arial"/>
              </w:rPr>
            </w:pPr>
            <w:r w:rsidRPr="00BA56F7">
              <w:rPr>
                <w:rFonts w:ascii="Arial" w:hAnsi="Arial" w:cs="Arial"/>
              </w:rPr>
              <w:t>–</w:t>
            </w:r>
          </w:p>
        </w:tc>
        <w:tc>
          <w:tcPr>
            <w:tcW w:w="1559" w:type="dxa"/>
            <w:tcBorders>
              <w:left w:val="nil"/>
              <w:right w:val="nil"/>
            </w:tcBorders>
          </w:tcPr>
          <w:p w14:paraId="103054EC" w14:textId="77777777" w:rsidR="00E5497C" w:rsidRDefault="00E5497C" w:rsidP="00E5497C">
            <w:pPr>
              <w:spacing w:after="0"/>
              <w:ind w:right="173"/>
              <w:jc w:val="right"/>
              <w:rPr>
                <w:rFonts w:ascii="Arial" w:hAnsi="Arial" w:cs="Arial"/>
              </w:rPr>
            </w:pPr>
          </w:p>
          <w:p w14:paraId="2936ADCA" w14:textId="77777777" w:rsidR="00E5497C" w:rsidRDefault="00E5497C" w:rsidP="00E5497C">
            <w:pPr>
              <w:spacing w:after="0"/>
              <w:ind w:right="173"/>
              <w:jc w:val="right"/>
              <w:rPr>
                <w:rFonts w:ascii="Arial" w:hAnsi="Arial" w:cs="Arial"/>
              </w:rPr>
            </w:pPr>
            <w:r w:rsidRPr="00BA56F7">
              <w:rPr>
                <w:rFonts w:ascii="Arial" w:hAnsi="Arial" w:cs="Arial"/>
              </w:rPr>
              <w:t>–</w:t>
            </w:r>
          </w:p>
        </w:tc>
        <w:tc>
          <w:tcPr>
            <w:tcW w:w="1562" w:type="dxa"/>
            <w:tcBorders>
              <w:left w:val="nil"/>
            </w:tcBorders>
          </w:tcPr>
          <w:p w14:paraId="27592AF4" w14:textId="77777777" w:rsidR="00E5497C" w:rsidRPr="00F3617B" w:rsidRDefault="00E5497C" w:rsidP="00E5497C">
            <w:pPr>
              <w:spacing w:after="0"/>
              <w:ind w:right="173"/>
              <w:jc w:val="right"/>
              <w:rPr>
                <w:rFonts w:ascii="Arial" w:hAnsi="Arial" w:cs="Arial"/>
              </w:rPr>
            </w:pPr>
          </w:p>
          <w:p w14:paraId="295A3E69" w14:textId="22D1ACA2" w:rsidR="00E5497C" w:rsidRDefault="00E5497C" w:rsidP="00E5497C">
            <w:pPr>
              <w:spacing w:after="0"/>
              <w:ind w:right="173"/>
              <w:jc w:val="right"/>
              <w:rPr>
                <w:rFonts w:ascii="Arial" w:hAnsi="Arial" w:cs="Arial"/>
              </w:rPr>
            </w:pPr>
            <w:r>
              <w:rPr>
                <w:rFonts w:ascii="Arial" w:hAnsi="Arial" w:cs="Arial"/>
              </w:rPr>
              <w:t>6,288</w:t>
            </w:r>
          </w:p>
        </w:tc>
        <w:tc>
          <w:tcPr>
            <w:tcW w:w="1530" w:type="dxa"/>
            <w:gridSpan w:val="2"/>
            <w:tcBorders>
              <w:left w:val="nil"/>
              <w:right w:val="nil"/>
            </w:tcBorders>
            <w:vAlign w:val="bottom"/>
          </w:tcPr>
          <w:p w14:paraId="0619182B" w14:textId="6C1D9C3A" w:rsidR="00E5497C" w:rsidRPr="00BA56F7" w:rsidRDefault="00E5497C" w:rsidP="00E5497C">
            <w:pPr>
              <w:spacing w:after="0"/>
              <w:ind w:right="173"/>
              <w:jc w:val="right"/>
              <w:rPr>
                <w:rFonts w:ascii="Arial" w:hAnsi="Arial" w:cs="Arial"/>
                <w:szCs w:val="20"/>
              </w:rPr>
            </w:pPr>
            <w:r>
              <w:rPr>
                <w:rFonts w:ascii="Arial" w:hAnsi="Arial" w:cs="Arial"/>
              </w:rPr>
              <w:t>6,288</w:t>
            </w:r>
          </w:p>
        </w:tc>
      </w:tr>
      <w:tr w:rsidR="00E5497C" w:rsidRPr="00BA56F7" w14:paraId="02CF25B5" w14:textId="77777777" w:rsidTr="00CD2111">
        <w:trPr>
          <w:gridAfter w:val="1"/>
          <w:wAfter w:w="93" w:type="dxa"/>
          <w:trHeight w:hRule="exact" w:val="78"/>
        </w:trPr>
        <w:tc>
          <w:tcPr>
            <w:tcW w:w="2610" w:type="dxa"/>
            <w:tcBorders>
              <w:top w:val="single" w:sz="4" w:space="0" w:color="auto"/>
              <w:left w:val="nil"/>
            </w:tcBorders>
            <w:vAlign w:val="bottom"/>
          </w:tcPr>
          <w:p w14:paraId="7E31794E" w14:textId="77777777" w:rsidR="00E5497C" w:rsidRPr="00BA56F7" w:rsidRDefault="00E5497C" w:rsidP="00C74354">
            <w:pPr>
              <w:spacing w:after="0"/>
              <w:rPr>
                <w:rFonts w:ascii="Arial" w:hAnsi="Arial" w:cs="Arial"/>
                <w:szCs w:val="20"/>
              </w:rPr>
            </w:pPr>
          </w:p>
        </w:tc>
        <w:tc>
          <w:tcPr>
            <w:tcW w:w="1559" w:type="dxa"/>
            <w:tcBorders>
              <w:top w:val="single" w:sz="4" w:space="0" w:color="auto"/>
              <w:left w:val="nil"/>
            </w:tcBorders>
          </w:tcPr>
          <w:p w14:paraId="4B07AD2E" w14:textId="77777777" w:rsidR="00E5497C" w:rsidRPr="00BA56F7" w:rsidRDefault="00E5497C" w:rsidP="00C74354">
            <w:pPr>
              <w:spacing w:after="0"/>
              <w:ind w:right="173"/>
              <w:jc w:val="right"/>
              <w:rPr>
                <w:rFonts w:ascii="Arial" w:hAnsi="Arial" w:cs="Arial"/>
                <w:szCs w:val="20"/>
              </w:rPr>
            </w:pPr>
          </w:p>
        </w:tc>
        <w:tc>
          <w:tcPr>
            <w:tcW w:w="1559" w:type="dxa"/>
            <w:tcBorders>
              <w:top w:val="single" w:sz="4" w:space="0" w:color="auto"/>
              <w:left w:val="nil"/>
              <w:right w:val="nil"/>
            </w:tcBorders>
          </w:tcPr>
          <w:p w14:paraId="008BA3B1" w14:textId="77777777" w:rsidR="00E5497C" w:rsidRPr="00BA56F7" w:rsidRDefault="00E5497C" w:rsidP="00C74354">
            <w:pPr>
              <w:spacing w:after="0"/>
              <w:ind w:right="173"/>
              <w:jc w:val="right"/>
              <w:rPr>
                <w:rFonts w:ascii="Arial" w:hAnsi="Arial" w:cs="Arial"/>
                <w:szCs w:val="20"/>
              </w:rPr>
            </w:pPr>
          </w:p>
        </w:tc>
        <w:tc>
          <w:tcPr>
            <w:tcW w:w="1562" w:type="dxa"/>
            <w:tcBorders>
              <w:top w:val="single" w:sz="4" w:space="0" w:color="auto"/>
              <w:left w:val="nil"/>
            </w:tcBorders>
          </w:tcPr>
          <w:p w14:paraId="081378F3" w14:textId="77777777" w:rsidR="00E5497C" w:rsidRPr="00BA56F7" w:rsidRDefault="00E5497C" w:rsidP="00C74354">
            <w:pPr>
              <w:spacing w:after="0"/>
              <w:ind w:right="173"/>
              <w:jc w:val="right"/>
              <w:rPr>
                <w:rFonts w:ascii="Arial" w:hAnsi="Arial" w:cs="Arial"/>
                <w:szCs w:val="20"/>
              </w:rPr>
            </w:pPr>
          </w:p>
        </w:tc>
        <w:tc>
          <w:tcPr>
            <w:tcW w:w="1530" w:type="dxa"/>
            <w:gridSpan w:val="2"/>
            <w:tcBorders>
              <w:top w:val="single" w:sz="4" w:space="0" w:color="auto"/>
              <w:left w:val="nil"/>
              <w:right w:val="nil"/>
            </w:tcBorders>
            <w:vAlign w:val="bottom"/>
          </w:tcPr>
          <w:p w14:paraId="6E13A5DE" w14:textId="77777777" w:rsidR="00E5497C" w:rsidRPr="00BA56F7" w:rsidRDefault="00E5497C" w:rsidP="00C74354">
            <w:pPr>
              <w:spacing w:after="0"/>
              <w:ind w:right="173"/>
              <w:jc w:val="right"/>
              <w:rPr>
                <w:rFonts w:ascii="Arial" w:hAnsi="Arial" w:cs="Arial"/>
                <w:szCs w:val="20"/>
              </w:rPr>
            </w:pPr>
          </w:p>
        </w:tc>
      </w:tr>
      <w:tr w:rsidR="00E5497C" w:rsidRPr="00BA56F7" w14:paraId="7CD1F8F3" w14:textId="77777777" w:rsidTr="00CD2111">
        <w:trPr>
          <w:gridAfter w:val="1"/>
          <w:wAfter w:w="93" w:type="dxa"/>
        </w:trPr>
        <w:tc>
          <w:tcPr>
            <w:tcW w:w="2610" w:type="dxa"/>
            <w:tcBorders>
              <w:left w:val="nil"/>
            </w:tcBorders>
            <w:vAlign w:val="bottom"/>
          </w:tcPr>
          <w:p w14:paraId="5FE649C6" w14:textId="77777777" w:rsidR="00E5497C" w:rsidRPr="00BA56F7" w:rsidRDefault="00E5497C" w:rsidP="00E5497C">
            <w:pPr>
              <w:spacing w:after="0"/>
              <w:rPr>
                <w:rFonts w:ascii="Arial" w:hAnsi="Arial" w:cs="Arial"/>
                <w:szCs w:val="20"/>
              </w:rPr>
            </w:pPr>
            <w:r w:rsidRPr="00BA56F7">
              <w:rPr>
                <w:rFonts w:ascii="Arial" w:hAnsi="Arial" w:cs="Arial"/>
                <w:szCs w:val="20"/>
              </w:rPr>
              <w:t xml:space="preserve">Balance, </w:t>
            </w:r>
            <w:r>
              <w:rPr>
                <w:rFonts w:ascii="Arial" w:hAnsi="Arial" w:cs="Arial"/>
                <w:szCs w:val="20"/>
              </w:rPr>
              <w:t>January 31, 2019</w:t>
            </w:r>
          </w:p>
        </w:tc>
        <w:tc>
          <w:tcPr>
            <w:tcW w:w="1559" w:type="dxa"/>
            <w:tcBorders>
              <w:left w:val="nil"/>
            </w:tcBorders>
          </w:tcPr>
          <w:p w14:paraId="20A9138A" w14:textId="77777777" w:rsidR="00E5497C" w:rsidRDefault="00E5497C" w:rsidP="00E5497C">
            <w:pPr>
              <w:spacing w:after="0"/>
              <w:ind w:right="173"/>
              <w:jc w:val="right"/>
              <w:rPr>
                <w:rFonts w:ascii="Arial" w:hAnsi="Arial" w:cs="Arial"/>
              </w:rPr>
            </w:pPr>
            <w:r>
              <w:rPr>
                <w:rFonts w:ascii="Arial" w:hAnsi="Arial" w:cs="Arial"/>
              </w:rPr>
              <w:t>110,618</w:t>
            </w:r>
          </w:p>
        </w:tc>
        <w:tc>
          <w:tcPr>
            <w:tcW w:w="1559" w:type="dxa"/>
            <w:tcBorders>
              <w:left w:val="nil"/>
              <w:right w:val="nil"/>
            </w:tcBorders>
          </w:tcPr>
          <w:p w14:paraId="115F611D" w14:textId="77777777" w:rsidR="00E5497C" w:rsidRDefault="00E5497C" w:rsidP="00E5497C">
            <w:pPr>
              <w:spacing w:after="0"/>
              <w:ind w:right="173"/>
              <w:jc w:val="right"/>
              <w:rPr>
                <w:rFonts w:ascii="Arial" w:hAnsi="Arial" w:cs="Arial"/>
              </w:rPr>
            </w:pPr>
            <w:r>
              <w:rPr>
                <w:rFonts w:ascii="Arial" w:hAnsi="Arial" w:cs="Arial"/>
              </w:rPr>
              <w:t>74,325</w:t>
            </w:r>
          </w:p>
        </w:tc>
        <w:tc>
          <w:tcPr>
            <w:tcW w:w="1562" w:type="dxa"/>
            <w:tcBorders>
              <w:left w:val="nil"/>
            </w:tcBorders>
          </w:tcPr>
          <w:p w14:paraId="131D500F" w14:textId="6939BAB8" w:rsidR="00E5497C" w:rsidRDefault="00E5497C" w:rsidP="00E5497C">
            <w:pPr>
              <w:spacing w:after="0"/>
              <w:ind w:right="173"/>
              <w:jc w:val="right"/>
              <w:rPr>
                <w:rFonts w:ascii="Arial" w:hAnsi="Arial" w:cs="Arial"/>
              </w:rPr>
            </w:pPr>
            <w:r>
              <w:rPr>
                <w:rFonts w:ascii="Arial" w:hAnsi="Arial" w:cs="Arial"/>
              </w:rPr>
              <w:t>751,686</w:t>
            </w:r>
          </w:p>
        </w:tc>
        <w:tc>
          <w:tcPr>
            <w:tcW w:w="1530" w:type="dxa"/>
            <w:gridSpan w:val="2"/>
            <w:tcBorders>
              <w:left w:val="nil"/>
              <w:right w:val="nil"/>
            </w:tcBorders>
            <w:vAlign w:val="bottom"/>
          </w:tcPr>
          <w:p w14:paraId="6694FD9A" w14:textId="7C74C661" w:rsidR="00E5497C" w:rsidRPr="00BA56F7" w:rsidRDefault="00E5497C" w:rsidP="00E5497C">
            <w:pPr>
              <w:spacing w:after="0"/>
              <w:ind w:right="173"/>
              <w:jc w:val="right"/>
              <w:rPr>
                <w:rFonts w:ascii="Arial" w:hAnsi="Arial" w:cs="Arial"/>
                <w:szCs w:val="20"/>
              </w:rPr>
            </w:pPr>
            <w:r>
              <w:rPr>
                <w:rFonts w:ascii="Arial" w:hAnsi="Arial" w:cs="Arial"/>
              </w:rPr>
              <w:t>936,629</w:t>
            </w:r>
          </w:p>
        </w:tc>
      </w:tr>
      <w:tr w:rsidR="004F1F64" w:rsidRPr="00BA56F7" w14:paraId="4687770D" w14:textId="77777777" w:rsidTr="00CD2111">
        <w:trPr>
          <w:gridAfter w:val="1"/>
          <w:wAfter w:w="93" w:type="dxa"/>
        </w:trPr>
        <w:tc>
          <w:tcPr>
            <w:tcW w:w="2610" w:type="dxa"/>
            <w:tcBorders>
              <w:left w:val="nil"/>
            </w:tcBorders>
            <w:vAlign w:val="bottom"/>
          </w:tcPr>
          <w:p w14:paraId="63FC904A" w14:textId="56BC1169" w:rsidR="004F1F64" w:rsidRPr="00BA56F7" w:rsidRDefault="004F1F64" w:rsidP="00CD70E7">
            <w:pPr>
              <w:spacing w:after="0"/>
              <w:rPr>
                <w:rFonts w:ascii="Arial" w:hAnsi="Arial" w:cs="Arial"/>
                <w:szCs w:val="20"/>
              </w:rPr>
            </w:pPr>
            <w:r>
              <w:rPr>
                <w:rFonts w:ascii="Arial" w:hAnsi="Arial" w:cs="Arial"/>
                <w:szCs w:val="20"/>
              </w:rPr>
              <w:t>Amortization</w:t>
            </w:r>
          </w:p>
        </w:tc>
        <w:tc>
          <w:tcPr>
            <w:tcW w:w="1559" w:type="dxa"/>
            <w:tcBorders>
              <w:left w:val="nil"/>
            </w:tcBorders>
          </w:tcPr>
          <w:p w14:paraId="6B53A5A1" w14:textId="236B41C1" w:rsidR="004F1F64" w:rsidRPr="00BA56F7" w:rsidRDefault="00642A87" w:rsidP="00CD70E7">
            <w:pPr>
              <w:spacing w:after="0"/>
              <w:ind w:right="173"/>
              <w:jc w:val="right"/>
              <w:rPr>
                <w:rFonts w:ascii="Arial" w:hAnsi="Arial" w:cs="Arial"/>
              </w:rPr>
            </w:pPr>
            <w:r>
              <w:rPr>
                <w:rFonts w:ascii="Arial" w:hAnsi="Arial" w:cs="Arial"/>
              </w:rPr>
              <w:t>59,681</w:t>
            </w:r>
          </w:p>
        </w:tc>
        <w:tc>
          <w:tcPr>
            <w:tcW w:w="1559" w:type="dxa"/>
            <w:tcBorders>
              <w:left w:val="nil"/>
              <w:right w:val="nil"/>
            </w:tcBorders>
          </w:tcPr>
          <w:p w14:paraId="1B32016E" w14:textId="545E5559" w:rsidR="004F1F64" w:rsidRPr="00BA56F7" w:rsidRDefault="005A0619" w:rsidP="00CD70E7">
            <w:pPr>
              <w:spacing w:after="0"/>
              <w:ind w:right="173"/>
              <w:jc w:val="right"/>
              <w:rPr>
                <w:rFonts w:ascii="Arial" w:hAnsi="Arial" w:cs="Arial"/>
              </w:rPr>
            </w:pPr>
            <w:r>
              <w:rPr>
                <w:rFonts w:ascii="Arial" w:hAnsi="Arial" w:cs="Arial"/>
              </w:rPr>
              <w:t>62,079</w:t>
            </w:r>
          </w:p>
        </w:tc>
        <w:tc>
          <w:tcPr>
            <w:tcW w:w="1562" w:type="dxa"/>
            <w:tcBorders>
              <w:left w:val="nil"/>
            </w:tcBorders>
          </w:tcPr>
          <w:p w14:paraId="4EA022A1" w14:textId="60A18A41" w:rsidR="004F1F64" w:rsidRPr="00BA56F7" w:rsidRDefault="005A0619" w:rsidP="00073DC2">
            <w:pPr>
              <w:spacing w:after="0"/>
              <w:ind w:right="173"/>
              <w:jc w:val="right"/>
              <w:rPr>
                <w:rFonts w:ascii="Arial" w:hAnsi="Arial" w:cs="Arial"/>
              </w:rPr>
            </w:pPr>
            <w:r>
              <w:rPr>
                <w:rFonts w:ascii="Arial" w:hAnsi="Arial" w:cs="Arial"/>
              </w:rPr>
              <w:t>614,87</w:t>
            </w:r>
            <w:r w:rsidR="00007225">
              <w:rPr>
                <w:rFonts w:ascii="Arial" w:hAnsi="Arial" w:cs="Arial"/>
              </w:rPr>
              <w:t>4</w:t>
            </w:r>
          </w:p>
        </w:tc>
        <w:tc>
          <w:tcPr>
            <w:tcW w:w="1530" w:type="dxa"/>
            <w:gridSpan w:val="2"/>
            <w:tcBorders>
              <w:left w:val="nil"/>
              <w:right w:val="nil"/>
            </w:tcBorders>
            <w:vAlign w:val="bottom"/>
          </w:tcPr>
          <w:p w14:paraId="705D4E08" w14:textId="00533C8A" w:rsidR="004F1F64" w:rsidRPr="00BA56F7" w:rsidRDefault="005A0619" w:rsidP="00073DC2">
            <w:pPr>
              <w:spacing w:after="0"/>
              <w:ind w:right="173"/>
              <w:jc w:val="right"/>
              <w:rPr>
                <w:rFonts w:ascii="Arial" w:hAnsi="Arial" w:cs="Arial"/>
                <w:szCs w:val="20"/>
              </w:rPr>
            </w:pPr>
            <w:r>
              <w:rPr>
                <w:rFonts w:ascii="Arial" w:hAnsi="Arial" w:cs="Arial"/>
              </w:rPr>
              <w:t>736,63</w:t>
            </w:r>
            <w:r w:rsidR="00007225">
              <w:rPr>
                <w:rFonts w:ascii="Arial" w:hAnsi="Arial" w:cs="Arial"/>
              </w:rPr>
              <w:t>4</w:t>
            </w:r>
          </w:p>
        </w:tc>
      </w:tr>
      <w:tr w:rsidR="004F1F64" w:rsidRPr="00BA56F7" w14:paraId="7BBA143D" w14:textId="77777777" w:rsidTr="00CD2111">
        <w:trPr>
          <w:gridAfter w:val="1"/>
          <w:wAfter w:w="93" w:type="dxa"/>
        </w:trPr>
        <w:tc>
          <w:tcPr>
            <w:tcW w:w="2610" w:type="dxa"/>
            <w:tcBorders>
              <w:left w:val="nil"/>
            </w:tcBorders>
            <w:vAlign w:val="bottom"/>
          </w:tcPr>
          <w:p w14:paraId="55EF0829" w14:textId="77777777" w:rsidR="004F1F64" w:rsidRPr="00BA56F7" w:rsidRDefault="004F1F64" w:rsidP="00CD70E7">
            <w:pPr>
              <w:spacing w:after="0"/>
              <w:rPr>
                <w:rFonts w:ascii="Arial" w:hAnsi="Arial" w:cs="Arial"/>
                <w:szCs w:val="20"/>
              </w:rPr>
            </w:pPr>
            <w:r>
              <w:rPr>
                <w:rFonts w:ascii="Arial" w:hAnsi="Arial" w:cs="Arial"/>
                <w:szCs w:val="20"/>
              </w:rPr>
              <w:t>Effect of foreign exchange rate changes</w:t>
            </w:r>
          </w:p>
        </w:tc>
        <w:tc>
          <w:tcPr>
            <w:tcW w:w="1559" w:type="dxa"/>
            <w:tcBorders>
              <w:left w:val="nil"/>
            </w:tcBorders>
          </w:tcPr>
          <w:p w14:paraId="4E18EFF3" w14:textId="77777777" w:rsidR="004F1F64" w:rsidRDefault="004F1F64" w:rsidP="00CD70E7">
            <w:pPr>
              <w:spacing w:after="0"/>
              <w:ind w:right="173"/>
              <w:jc w:val="right"/>
              <w:rPr>
                <w:rFonts w:ascii="Arial" w:hAnsi="Arial" w:cs="Arial"/>
              </w:rPr>
            </w:pPr>
          </w:p>
          <w:p w14:paraId="2DBA1C10" w14:textId="77777777" w:rsidR="004F1F64" w:rsidRDefault="004F1F64" w:rsidP="00CD70E7">
            <w:pPr>
              <w:spacing w:after="0"/>
              <w:ind w:right="173"/>
              <w:jc w:val="right"/>
              <w:rPr>
                <w:rFonts w:ascii="Arial" w:hAnsi="Arial" w:cs="Arial"/>
              </w:rPr>
            </w:pPr>
            <w:r w:rsidRPr="00BA56F7">
              <w:rPr>
                <w:rFonts w:ascii="Arial" w:hAnsi="Arial" w:cs="Arial"/>
              </w:rPr>
              <w:t>–</w:t>
            </w:r>
          </w:p>
        </w:tc>
        <w:tc>
          <w:tcPr>
            <w:tcW w:w="1559" w:type="dxa"/>
            <w:tcBorders>
              <w:left w:val="nil"/>
              <w:right w:val="nil"/>
            </w:tcBorders>
          </w:tcPr>
          <w:p w14:paraId="57D36309" w14:textId="77777777" w:rsidR="004F1F64" w:rsidRDefault="004F1F64" w:rsidP="00CD70E7">
            <w:pPr>
              <w:spacing w:after="0"/>
              <w:ind w:right="173"/>
              <w:jc w:val="right"/>
              <w:rPr>
                <w:rFonts w:ascii="Arial" w:hAnsi="Arial" w:cs="Arial"/>
              </w:rPr>
            </w:pPr>
          </w:p>
          <w:p w14:paraId="638B2636" w14:textId="77777777" w:rsidR="004F1F64" w:rsidRDefault="004F1F64" w:rsidP="00CD70E7">
            <w:pPr>
              <w:spacing w:after="0"/>
              <w:ind w:right="173"/>
              <w:jc w:val="right"/>
              <w:rPr>
                <w:rFonts w:ascii="Arial" w:hAnsi="Arial" w:cs="Arial"/>
              </w:rPr>
            </w:pPr>
            <w:r w:rsidRPr="00BA56F7">
              <w:rPr>
                <w:rFonts w:ascii="Arial" w:hAnsi="Arial" w:cs="Arial"/>
              </w:rPr>
              <w:t>–</w:t>
            </w:r>
          </w:p>
        </w:tc>
        <w:tc>
          <w:tcPr>
            <w:tcW w:w="1562" w:type="dxa"/>
            <w:tcBorders>
              <w:left w:val="nil"/>
            </w:tcBorders>
          </w:tcPr>
          <w:p w14:paraId="6C45CC91" w14:textId="77777777" w:rsidR="004F1F64" w:rsidRDefault="004F1F64" w:rsidP="00CD70E7">
            <w:pPr>
              <w:spacing w:after="0"/>
              <w:ind w:right="173"/>
              <w:jc w:val="right"/>
              <w:rPr>
                <w:rFonts w:ascii="Arial" w:hAnsi="Arial" w:cs="Arial"/>
              </w:rPr>
            </w:pPr>
          </w:p>
          <w:p w14:paraId="4CC5C68B" w14:textId="2DBF35AE" w:rsidR="004F1F64" w:rsidRDefault="00CD2111" w:rsidP="00073DC2">
            <w:pPr>
              <w:spacing w:after="0"/>
              <w:ind w:right="173"/>
              <w:jc w:val="right"/>
              <w:rPr>
                <w:rFonts w:ascii="Arial" w:hAnsi="Arial" w:cs="Arial"/>
              </w:rPr>
            </w:pPr>
            <w:r>
              <w:rPr>
                <w:rFonts w:ascii="Arial" w:hAnsi="Arial" w:cs="Arial"/>
              </w:rPr>
              <w:t>(</w:t>
            </w:r>
            <w:r w:rsidR="005A0619">
              <w:rPr>
                <w:rFonts w:ascii="Arial" w:hAnsi="Arial" w:cs="Arial"/>
              </w:rPr>
              <w:t>4,</w:t>
            </w:r>
            <w:r w:rsidR="00007225">
              <w:rPr>
                <w:rFonts w:ascii="Arial" w:hAnsi="Arial" w:cs="Arial"/>
              </w:rPr>
              <w:t>596</w:t>
            </w:r>
            <w:r>
              <w:rPr>
                <w:rFonts w:ascii="Arial" w:hAnsi="Arial" w:cs="Arial"/>
              </w:rPr>
              <w:t>)</w:t>
            </w:r>
          </w:p>
        </w:tc>
        <w:tc>
          <w:tcPr>
            <w:tcW w:w="1530" w:type="dxa"/>
            <w:gridSpan w:val="2"/>
            <w:tcBorders>
              <w:left w:val="nil"/>
              <w:right w:val="nil"/>
            </w:tcBorders>
            <w:vAlign w:val="bottom"/>
          </w:tcPr>
          <w:p w14:paraId="5A5EA3AD" w14:textId="67A3ED80" w:rsidR="004F1F64" w:rsidRPr="00BA56F7" w:rsidRDefault="00CD2111" w:rsidP="00073DC2">
            <w:pPr>
              <w:spacing w:after="0"/>
              <w:ind w:right="173"/>
              <w:jc w:val="right"/>
              <w:rPr>
                <w:rFonts w:ascii="Arial" w:hAnsi="Arial" w:cs="Arial"/>
                <w:szCs w:val="20"/>
              </w:rPr>
            </w:pPr>
            <w:r>
              <w:rPr>
                <w:rFonts w:ascii="Arial" w:hAnsi="Arial" w:cs="Arial"/>
              </w:rPr>
              <w:t>(</w:t>
            </w:r>
            <w:r w:rsidR="009F77A7">
              <w:rPr>
                <w:rFonts w:ascii="Arial" w:hAnsi="Arial" w:cs="Arial"/>
              </w:rPr>
              <w:t>4,</w:t>
            </w:r>
            <w:r w:rsidR="00007225">
              <w:rPr>
                <w:rFonts w:ascii="Arial" w:hAnsi="Arial" w:cs="Arial"/>
              </w:rPr>
              <w:t>596</w:t>
            </w:r>
            <w:r>
              <w:rPr>
                <w:rFonts w:ascii="Arial" w:hAnsi="Arial" w:cs="Arial"/>
              </w:rPr>
              <w:t>)</w:t>
            </w:r>
          </w:p>
        </w:tc>
      </w:tr>
      <w:tr w:rsidR="004F1F64" w:rsidRPr="00BA56F7" w14:paraId="2992944C" w14:textId="77777777" w:rsidTr="00CD2111">
        <w:trPr>
          <w:gridAfter w:val="1"/>
          <w:wAfter w:w="93" w:type="dxa"/>
          <w:trHeight w:hRule="exact" w:val="78"/>
        </w:trPr>
        <w:tc>
          <w:tcPr>
            <w:tcW w:w="2610" w:type="dxa"/>
            <w:tcBorders>
              <w:top w:val="single" w:sz="4" w:space="0" w:color="auto"/>
              <w:left w:val="nil"/>
            </w:tcBorders>
            <w:vAlign w:val="bottom"/>
          </w:tcPr>
          <w:p w14:paraId="2CA753AF" w14:textId="77777777" w:rsidR="004F1F64" w:rsidRPr="00BA56F7" w:rsidRDefault="004F1F64" w:rsidP="00CD70E7">
            <w:pPr>
              <w:spacing w:after="0"/>
              <w:rPr>
                <w:rFonts w:ascii="Arial" w:hAnsi="Arial" w:cs="Arial"/>
                <w:szCs w:val="20"/>
              </w:rPr>
            </w:pPr>
          </w:p>
        </w:tc>
        <w:tc>
          <w:tcPr>
            <w:tcW w:w="1559" w:type="dxa"/>
            <w:tcBorders>
              <w:top w:val="single" w:sz="4" w:space="0" w:color="auto"/>
              <w:left w:val="nil"/>
            </w:tcBorders>
          </w:tcPr>
          <w:p w14:paraId="2A422D3A" w14:textId="77777777" w:rsidR="004F1F64" w:rsidRPr="00BA56F7" w:rsidRDefault="004F1F64" w:rsidP="00CD70E7">
            <w:pPr>
              <w:spacing w:after="0"/>
              <w:ind w:right="173"/>
              <w:jc w:val="right"/>
              <w:rPr>
                <w:rFonts w:ascii="Arial" w:hAnsi="Arial" w:cs="Arial"/>
                <w:szCs w:val="20"/>
              </w:rPr>
            </w:pPr>
          </w:p>
        </w:tc>
        <w:tc>
          <w:tcPr>
            <w:tcW w:w="1559" w:type="dxa"/>
            <w:tcBorders>
              <w:top w:val="single" w:sz="4" w:space="0" w:color="auto"/>
              <w:left w:val="nil"/>
              <w:right w:val="nil"/>
            </w:tcBorders>
          </w:tcPr>
          <w:p w14:paraId="47CDDCF1" w14:textId="77777777" w:rsidR="004F1F64" w:rsidRPr="00BA56F7" w:rsidRDefault="004F1F64" w:rsidP="00CD70E7">
            <w:pPr>
              <w:spacing w:after="0"/>
              <w:ind w:right="173"/>
              <w:jc w:val="right"/>
              <w:rPr>
                <w:rFonts w:ascii="Arial" w:hAnsi="Arial" w:cs="Arial"/>
                <w:szCs w:val="20"/>
              </w:rPr>
            </w:pPr>
          </w:p>
        </w:tc>
        <w:tc>
          <w:tcPr>
            <w:tcW w:w="1562" w:type="dxa"/>
            <w:tcBorders>
              <w:top w:val="single" w:sz="4" w:space="0" w:color="auto"/>
              <w:left w:val="nil"/>
            </w:tcBorders>
          </w:tcPr>
          <w:p w14:paraId="3FA1DF58" w14:textId="77777777" w:rsidR="004F1F64" w:rsidRPr="00BA56F7" w:rsidRDefault="004F1F64" w:rsidP="00CD70E7">
            <w:pPr>
              <w:spacing w:after="0"/>
              <w:ind w:right="173"/>
              <w:jc w:val="right"/>
              <w:rPr>
                <w:rFonts w:ascii="Arial" w:hAnsi="Arial" w:cs="Arial"/>
                <w:szCs w:val="20"/>
              </w:rPr>
            </w:pPr>
          </w:p>
        </w:tc>
        <w:tc>
          <w:tcPr>
            <w:tcW w:w="1530" w:type="dxa"/>
            <w:gridSpan w:val="2"/>
            <w:tcBorders>
              <w:top w:val="single" w:sz="4" w:space="0" w:color="auto"/>
              <w:left w:val="nil"/>
              <w:right w:val="nil"/>
            </w:tcBorders>
            <w:vAlign w:val="bottom"/>
          </w:tcPr>
          <w:p w14:paraId="40020BFC" w14:textId="77777777" w:rsidR="004F1F64" w:rsidRPr="00BA56F7" w:rsidRDefault="004F1F64" w:rsidP="00CD70E7">
            <w:pPr>
              <w:spacing w:after="0"/>
              <w:ind w:right="173"/>
              <w:jc w:val="right"/>
              <w:rPr>
                <w:rFonts w:ascii="Arial" w:hAnsi="Arial" w:cs="Arial"/>
                <w:szCs w:val="20"/>
              </w:rPr>
            </w:pPr>
          </w:p>
        </w:tc>
      </w:tr>
      <w:tr w:rsidR="004F1F64" w:rsidRPr="00BA56F7" w14:paraId="142EFD70" w14:textId="77777777" w:rsidTr="00CD2111">
        <w:trPr>
          <w:gridAfter w:val="1"/>
          <w:wAfter w:w="93" w:type="dxa"/>
        </w:trPr>
        <w:tc>
          <w:tcPr>
            <w:tcW w:w="2610" w:type="dxa"/>
            <w:tcBorders>
              <w:left w:val="nil"/>
              <w:bottom w:val="single" w:sz="12" w:space="0" w:color="auto"/>
            </w:tcBorders>
            <w:vAlign w:val="bottom"/>
          </w:tcPr>
          <w:p w14:paraId="774FE19A" w14:textId="655FC23F" w:rsidR="004F1F64" w:rsidRPr="00BA56F7" w:rsidRDefault="004F1F64" w:rsidP="00E5497C">
            <w:pPr>
              <w:spacing w:after="0"/>
              <w:rPr>
                <w:rFonts w:ascii="Arial" w:hAnsi="Arial" w:cs="Arial"/>
                <w:szCs w:val="20"/>
              </w:rPr>
            </w:pPr>
            <w:r w:rsidRPr="00BA56F7">
              <w:rPr>
                <w:rFonts w:ascii="Arial" w:hAnsi="Arial" w:cs="Arial"/>
                <w:szCs w:val="20"/>
              </w:rPr>
              <w:t xml:space="preserve">Balance, </w:t>
            </w:r>
            <w:r w:rsidR="00642A87">
              <w:rPr>
                <w:rFonts w:ascii="Arial" w:hAnsi="Arial" w:cs="Arial"/>
                <w:szCs w:val="20"/>
              </w:rPr>
              <w:t>October</w:t>
            </w:r>
            <w:r>
              <w:rPr>
                <w:rFonts w:ascii="Arial" w:hAnsi="Arial" w:cs="Arial"/>
                <w:szCs w:val="20"/>
              </w:rPr>
              <w:t xml:space="preserve"> 31, 2019</w:t>
            </w:r>
          </w:p>
        </w:tc>
        <w:tc>
          <w:tcPr>
            <w:tcW w:w="1559" w:type="dxa"/>
            <w:tcBorders>
              <w:left w:val="nil"/>
              <w:bottom w:val="single" w:sz="12" w:space="0" w:color="auto"/>
            </w:tcBorders>
          </w:tcPr>
          <w:p w14:paraId="4E8EC16A" w14:textId="6CC48846" w:rsidR="004F1F64" w:rsidRDefault="00642A87" w:rsidP="00CD70E7">
            <w:pPr>
              <w:spacing w:after="0"/>
              <w:ind w:right="173"/>
              <w:jc w:val="right"/>
              <w:rPr>
                <w:rFonts w:ascii="Arial" w:hAnsi="Arial" w:cs="Arial"/>
              </w:rPr>
            </w:pPr>
            <w:r>
              <w:rPr>
                <w:rFonts w:ascii="Arial" w:hAnsi="Arial" w:cs="Arial"/>
              </w:rPr>
              <w:t>170,299</w:t>
            </w:r>
          </w:p>
        </w:tc>
        <w:tc>
          <w:tcPr>
            <w:tcW w:w="1559" w:type="dxa"/>
            <w:tcBorders>
              <w:left w:val="nil"/>
              <w:bottom w:val="single" w:sz="12" w:space="0" w:color="auto"/>
              <w:right w:val="nil"/>
            </w:tcBorders>
          </w:tcPr>
          <w:p w14:paraId="559ECBB5" w14:textId="19B5C852" w:rsidR="004F1F64" w:rsidRDefault="005A0619" w:rsidP="00CD70E7">
            <w:pPr>
              <w:spacing w:after="0"/>
              <w:ind w:right="173"/>
              <w:jc w:val="right"/>
              <w:rPr>
                <w:rFonts w:ascii="Arial" w:hAnsi="Arial" w:cs="Arial"/>
              </w:rPr>
            </w:pPr>
            <w:r>
              <w:rPr>
                <w:rFonts w:ascii="Arial" w:hAnsi="Arial" w:cs="Arial"/>
              </w:rPr>
              <w:t>136,404</w:t>
            </w:r>
          </w:p>
        </w:tc>
        <w:tc>
          <w:tcPr>
            <w:tcW w:w="1562" w:type="dxa"/>
            <w:tcBorders>
              <w:left w:val="nil"/>
              <w:bottom w:val="single" w:sz="12" w:space="0" w:color="auto"/>
            </w:tcBorders>
          </w:tcPr>
          <w:p w14:paraId="47F9D48B" w14:textId="00DB202B" w:rsidR="004F1F64" w:rsidRDefault="00CD2111" w:rsidP="00073DC2">
            <w:pPr>
              <w:spacing w:after="0"/>
              <w:ind w:right="173"/>
              <w:jc w:val="right"/>
              <w:rPr>
                <w:rFonts w:ascii="Arial" w:hAnsi="Arial" w:cs="Arial"/>
              </w:rPr>
            </w:pPr>
            <w:r>
              <w:rPr>
                <w:rFonts w:ascii="Arial" w:hAnsi="Arial" w:cs="Arial"/>
              </w:rPr>
              <w:t>1,</w:t>
            </w:r>
            <w:r w:rsidR="005A0619">
              <w:rPr>
                <w:rFonts w:ascii="Arial" w:hAnsi="Arial" w:cs="Arial"/>
              </w:rPr>
              <w:t>361,</w:t>
            </w:r>
            <w:r w:rsidR="00007225">
              <w:rPr>
                <w:rFonts w:ascii="Arial" w:hAnsi="Arial" w:cs="Arial"/>
              </w:rPr>
              <w:t>964</w:t>
            </w:r>
          </w:p>
        </w:tc>
        <w:tc>
          <w:tcPr>
            <w:tcW w:w="1530" w:type="dxa"/>
            <w:gridSpan w:val="2"/>
            <w:tcBorders>
              <w:left w:val="nil"/>
              <w:bottom w:val="single" w:sz="12" w:space="0" w:color="auto"/>
              <w:right w:val="nil"/>
            </w:tcBorders>
            <w:vAlign w:val="bottom"/>
          </w:tcPr>
          <w:p w14:paraId="565BA0A7" w14:textId="4663A7E5" w:rsidR="004F1F64" w:rsidRPr="00BA56F7" w:rsidRDefault="00CD2111" w:rsidP="009F77A7">
            <w:pPr>
              <w:spacing w:after="0"/>
              <w:ind w:right="173"/>
              <w:jc w:val="right"/>
              <w:rPr>
                <w:rFonts w:ascii="Arial" w:hAnsi="Arial" w:cs="Arial"/>
                <w:szCs w:val="20"/>
              </w:rPr>
            </w:pPr>
            <w:r>
              <w:rPr>
                <w:rFonts w:ascii="Arial" w:hAnsi="Arial" w:cs="Arial"/>
              </w:rPr>
              <w:t>1,</w:t>
            </w:r>
            <w:r w:rsidR="005A0619">
              <w:rPr>
                <w:rFonts w:ascii="Arial" w:hAnsi="Arial" w:cs="Arial"/>
              </w:rPr>
              <w:t>668,</w:t>
            </w:r>
            <w:r w:rsidR="00007225">
              <w:rPr>
                <w:rFonts w:ascii="Arial" w:hAnsi="Arial" w:cs="Arial"/>
              </w:rPr>
              <w:t>667</w:t>
            </w:r>
          </w:p>
        </w:tc>
      </w:tr>
    </w:tbl>
    <w:p w14:paraId="7D523842" w14:textId="77777777" w:rsidR="00BA56F7" w:rsidRPr="00BA56F7" w:rsidRDefault="00BA56F7" w:rsidP="00F15B99">
      <w:pPr>
        <w:tabs>
          <w:tab w:val="left" w:pos="450"/>
        </w:tabs>
        <w:spacing w:after="0" w:line="240" w:lineRule="auto"/>
        <w:jc w:val="both"/>
        <w:rPr>
          <w:rFonts w:ascii="Arial" w:hAnsi="Arial" w:cs="Arial"/>
          <w:b/>
          <w:szCs w:val="20"/>
        </w:rPr>
      </w:pPr>
    </w:p>
    <w:tbl>
      <w:tblPr>
        <w:tblW w:w="8820" w:type="dxa"/>
        <w:tblInd w:w="450" w:type="dxa"/>
        <w:tblLayout w:type="fixed"/>
        <w:tblCellMar>
          <w:left w:w="0" w:type="dxa"/>
          <w:right w:w="0" w:type="dxa"/>
        </w:tblCellMar>
        <w:tblLook w:val="0000" w:firstRow="0" w:lastRow="0" w:firstColumn="0" w:lastColumn="0" w:noHBand="0" w:noVBand="0"/>
      </w:tblPr>
      <w:tblGrid>
        <w:gridCol w:w="2610"/>
        <w:gridCol w:w="1559"/>
        <w:gridCol w:w="1501"/>
        <w:gridCol w:w="1620"/>
        <w:gridCol w:w="1530"/>
      </w:tblGrid>
      <w:tr w:rsidR="00F22515" w:rsidRPr="00BA56F7" w14:paraId="786C570F" w14:textId="77777777" w:rsidTr="00073DC2">
        <w:tc>
          <w:tcPr>
            <w:tcW w:w="2610" w:type="dxa"/>
            <w:tcBorders>
              <w:left w:val="nil"/>
              <w:bottom w:val="single" w:sz="12" w:space="0" w:color="auto"/>
            </w:tcBorders>
            <w:vAlign w:val="bottom"/>
          </w:tcPr>
          <w:p w14:paraId="5C949A0C" w14:textId="77777777" w:rsidR="00F22515" w:rsidRDefault="00F22515" w:rsidP="00C74354">
            <w:pPr>
              <w:spacing w:after="0" w:line="240" w:lineRule="auto"/>
              <w:rPr>
                <w:rFonts w:ascii="Arial" w:hAnsi="Arial" w:cs="Arial"/>
                <w:szCs w:val="20"/>
              </w:rPr>
            </w:pPr>
            <w:r w:rsidRPr="00BA56F7">
              <w:rPr>
                <w:rFonts w:ascii="Arial" w:hAnsi="Arial" w:cs="Arial"/>
                <w:szCs w:val="20"/>
              </w:rPr>
              <w:t xml:space="preserve">Net book value, </w:t>
            </w:r>
          </w:p>
          <w:p w14:paraId="4BE6B040" w14:textId="5003805A" w:rsidR="00F22515" w:rsidRPr="00BA56F7" w:rsidRDefault="00642A87" w:rsidP="00C74354">
            <w:pPr>
              <w:spacing w:after="0" w:line="240" w:lineRule="auto"/>
              <w:rPr>
                <w:rFonts w:ascii="Arial" w:hAnsi="Arial" w:cs="Arial"/>
                <w:szCs w:val="20"/>
              </w:rPr>
            </w:pPr>
            <w:r>
              <w:rPr>
                <w:rFonts w:ascii="Arial" w:hAnsi="Arial" w:cs="Arial"/>
                <w:szCs w:val="20"/>
              </w:rPr>
              <w:t>October</w:t>
            </w:r>
            <w:r w:rsidR="00F22515">
              <w:rPr>
                <w:rFonts w:ascii="Arial" w:hAnsi="Arial" w:cs="Arial"/>
                <w:szCs w:val="20"/>
              </w:rPr>
              <w:t xml:space="preserve"> 31, 2019</w:t>
            </w:r>
          </w:p>
        </w:tc>
        <w:tc>
          <w:tcPr>
            <w:tcW w:w="1559" w:type="dxa"/>
            <w:tcBorders>
              <w:left w:val="nil"/>
              <w:bottom w:val="single" w:sz="12" w:space="0" w:color="auto"/>
            </w:tcBorders>
          </w:tcPr>
          <w:p w14:paraId="6C0464AF" w14:textId="77777777" w:rsidR="00F22515" w:rsidRDefault="00F22515" w:rsidP="00C74354">
            <w:pPr>
              <w:spacing w:after="0" w:line="240" w:lineRule="auto"/>
              <w:ind w:right="173"/>
              <w:jc w:val="right"/>
              <w:rPr>
                <w:rFonts w:ascii="Arial" w:hAnsi="Arial" w:cs="Arial"/>
              </w:rPr>
            </w:pPr>
          </w:p>
          <w:p w14:paraId="7F977AD1" w14:textId="1E6371BC" w:rsidR="00F22515" w:rsidRDefault="00642A87" w:rsidP="00C74354">
            <w:pPr>
              <w:spacing w:after="0" w:line="240" w:lineRule="auto"/>
              <w:ind w:right="173"/>
              <w:jc w:val="right"/>
              <w:rPr>
                <w:rFonts w:ascii="Arial" w:hAnsi="Arial" w:cs="Arial"/>
              </w:rPr>
            </w:pPr>
            <w:r>
              <w:rPr>
                <w:rFonts w:ascii="Arial" w:hAnsi="Arial" w:cs="Arial"/>
              </w:rPr>
              <w:t>148,87</w:t>
            </w:r>
            <w:r w:rsidR="00007225">
              <w:rPr>
                <w:rFonts w:ascii="Arial" w:hAnsi="Arial" w:cs="Arial"/>
              </w:rPr>
              <w:t>5</w:t>
            </w:r>
          </w:p>
        </w:tc>
        <w:tc>
          <w:tcPr>
            <w:tcW w:w="1501" w:type="dxa"/>
            <w:tcBorders>
              <w:left w:val="nil"/>
              <w:bottom w:val="single" w:sz="12" w:space="0" w:color="auto"/>
              <w:right w:val="nil"/>
            </w:tcBorders>
          </w:tcPr>
          <w:p w14:paraId="4DED3385" w14:textId="77777777" w:rsidR="00F22515" w:rsidRDefault="00F22515" w:rsidP="00C74354">
            <w:pPr>
              <w:spacing w:after="0" w:line="240" w:lineRule="auto"/>
              <w:ind w:right="173"/>
              <w:jc w:val="right"/>
              <w:rPr>
                <w:rFonts w:ascii="Arial" w:hAnsi="Arial" w:cs="Arial"/>
              </w:rPr>
            </w:pPr>
          </w:p>
          <w:p w14:paraId="1666E29A" w14:textId="1ED4537B" w:rsidR="00F22515" w:rsidRDefault="005A0619" w:rsidP="00C74354">
            <w:pPr>
              <w:spacing w:after="0" w:line="240" w:lineRule="auto"/>
              <w:ind w:right="173"/>
              <w:jc w:val="right"/>
              <w:rPr>
                <w:rFonts w:ascii="Arial" w:hAnsi="Arial" w:cs="Arial"/>
              </w:rPr>
            </w:pPr>
            <w:r>
              <w:rPr>
                <w:rFonts w:ascii="Arial" w:hAnsi="Arial" w:cs="Arial"/>
              </w:rPr>
              <w:t>693,596</w:t>
            </w:r>
          </w:p>
        </w:tc>
        <w:tc>
          <w:tcPr>
            <w:tcW w:w="1620" w:type="dxa"/>
            <w:tcBorders>
              <w:left w:val="nil"/>
              <w:bottom w:val="single" w:sz="12" w:space="0" w:color="auto"/>
            </w:tcBorders>
          </w:tcPr>
          <w:p w14:paraId="1FDE5C45" w14:textId="77777777" w:rsidR="00F22515" w:rsidRDefault="00F22515" w:rsidP="00C74354">
            <w:pPr>
              <w:spacing w:after="0" w:line="240" w:lineRule="auto"/>
              <w:ind w:right="173"/>
              <w:jc w:val="right"/>
              <w:rPr>
                <w:rFonts w:ascii="Arial" w:hAnsi="Arial" w:cs="Arial"/>
              </w:rPr>
            </w:pPr>
          </w:p>
          <w:p w14:paraId="716730F9" w14:textId="2CCF3D44" w:rsidR="00F22515" w:rsidRDefault="00F22515" w:rsidP="009F77A7">
            <w:pPr>
              <w:spacing w:after="0" w:line="240" w:lineRule="auto"/>
              <w:ind w:right="173"/>
              <w:jc w:val="right"/>
              <w:rPr>
                <w:rFonts w:ascii="Arial" w:hAnsi="Arial" w:cs="Arial"/>
              </w:rPr>
            </w:pPr>
            <w:r>
              <w:rPr>
                <w:rFonts w:ascii="Arial" w:hAnsi="Arial" w:cs="Arial"/>
              </w:rPr>
              <w:t>6,</w:t>
            </w:r>
            <w:r w:rsidR="005A0619">
              <w:rPr>
                <w:rFonts w:ascii="Arial" w:hAnsi="Arial" w:cs="Arial"/>
              </w:rPr>
              <w:t>785,</w:t>
            </w:r>
            <w:r w:rsidR="00007225">
              <w:rPr>
                <w:rFonts w:ascii="Arial" w:hAnsi="Arial" w:cs="Arial"/>
              </w:rPr>
              <w:t>218</w:t>
            </w:r>
          </w:p>
        </w:tc>
        <w:tc>
          <w:tcPr>
            <w:tcW w:w="1530" w:type="dxa"/>
            <w:tcBorders>
              <w:left w:val="nil"/>
              <w:bottom w:val="single" w:sz="12" w:space="0" w:color="auto"/>
              <w:right w:val="nil"/>
            </w:tcBorders>
            <w:vAlign w:val="bottom"/>
          </w:tcPr>
          <w:p w14:paraId="1ECEA3BD" w14:textId="41371D8E" w:rsidR="00F22515" w:rsidRPr="00BA56F7" w:rsidRDefault="00F22515" w:rsidP="009F77A7">
            <w:pPr>
              <w:spacing w:after="0" w:line="240" w:lineRule="auto"/>
              <w:ind w:right="173"/>
              <w:jc w:val="right"/>
              <w:rPr>
                <w:rFonts w:ascii="Arial" w:hAnsi="Arial" w:cs="Arial"/>
                <w:szCs w:val="20"/>
              </w:rPr>
            </w:pPr>
            <w:r>
              <w:rPr>
                <w:rFonts w:ascii="Arial" w:hAnsi="Arial" w:cs="Arial"/>
              </w:rPr>
              <w:t>7,</w:t>
            </w:r>
            <w:r w:rsidR="00007225">
              <w:rPr>
                <w:rFonts w:ascii="Arial" w:hAnsi="Arial" w:cs="Arial"/>
              </w:rPr>
              <w:t>627,689</w:t>
            </w:r>
          </w:p>
        </w:tc>
      </w:tr>
      <w:tr w:rsidR="004F1F64" w:rsidRPr="00BA56F7" w14:paraId="2965B7D4" w14:textId="77777777" w:rsidTr="00073DC2">
        <w:tc>
          <w:tcPr>
            <w:tcW w:w="2610" w:type="dxa"/>
            <w:tcBorders>
              <w:left w:val="nil"/>
              <w:bottom w:val="single" w:sz="12" w:space="0" w:color="auto"/>
            </w:tcBorders>
            <w:vAlign w:val="bottom"/>
          </w:tcPr>
          <w:p w14:paraId="62693EC3" w14:textId="77777777" w:rsidR="004F1F64" w:rsidRDefault="004F1F64" w:rsidP="00F15B99">
            <w:pPr>
              <w:spacing w:after="0" w:line="240" w:lineRule="auto"/>
              <w:rPr>
                <w:rFonts w:ascii="Arial" w:hAnsi="Arial" w:cs="Arial"/>
                <w:szCs w:val="20"/>
              </w:rPr>
            </w:pPr>
            <w:r w:rsidRPr="00BA56F7">
              <w:rPr>
                <w:rFonts w:ascii="Arial" w:hAnsi="Arial" w:cs="Arial"/>
                <w:szCs w:val="20"/>
              </w:rPr>
              <w:t xml:space="preserve">Net book value, </w:t>
            </w:r>
          </w:p>
          <w:p w14:paraId="56453609" w14:textId="7A99AC28" w:rsidR="004F1F64" w:rsidRPr="00BA56F7" w:rsidRDefault="004F1F64" w:rsidP="00F15B99">
            <w:pPr>
              <w:spacing w:after="0" w:line="240" w:lineRule="auto"/>
              <w:rPr>
                <w:rFonts w:ascii="Arial" w:hAnsi="Arial" w:cs="Arial"/>
                <w:szCs w:val="20"/>
              </w:rPr>
            </w:pPr>
            <w:r>
              <w:rPr>
                <w:rFonts w:ascii="Arial" w:hAnsi="Arial" w:cs="Arial"/>
                <w:szCs w:val="20"/>
              </w:rPr>
              <w:t>January 31, 2019</w:t>
            </w:r>
          </w:p>
        </w:tc>
        <w:tc>
          <w:tcPr>
            <w:tcW w:w="1559" w:type="dxa"/>
            <w:tcBorders>
              <w:left w:val="nil"/>
              <w:bottom w:val="single" w:sz="12" w:space="0" w:color="auto"/>
            </w:tcBorders>
          </w:tcPr>
          <w:p w14:paraId="1AAD1410" w14:textId="77777777" w:rsidR="004F1F64" w:rsidRDefault="004F1F64" w:rsidP="00F15B99">
            <w:pPr>
              <w:spacing w:after="0" w:line="240" w:lineRule="auto"/>
              <w:ind w:right="173"/>
              <w:jc w:val="right"/>
              <w:rPr>
                <w:rFonts w:ascii="Arial" w:hAnsi="Arial" w:cs="Arial"/>
              </w:rPr>
            </w:pPr>
          </w:p>
          <w:p w14:paraId="28A84E74" w14:textId="7CE77855" w:rsidR="004F1F64" w:rsidRDefault="004F1F64" w:rsidP="00F15B99">
            <w:pPr>
              <w:spacing w:after="0" w:line="240" w:lineRule="auto"/>
              <w:ind w:right="173"/>
              <w:jc w:val="right"/>
              <w:rPr>
                <w:rFonts w:ascii="Arial" w:hAnsi="Arial" w:cs="Arial"/>
              </w:rPr>
            </w:pPr>
            <w:r>
              <w:rPr>
                <w:rFonts w:ascii="Arial" w:hAnsi="Arial" w:cs="Arial"/>
              </w:rPr>
              <w:t>208,556</w:t>
            </w:r>
          </w:p>
        </w:tc>
        <w:tc>
          <w:tcPr>
            <w:tcW w:w="1501" w:type="dxa"/>
            <w:tcBorders>
              <w:left w:val="nil"/>
              <w:bottom w:val="single" w:sz="12" w:space="0" w:color="auto"/>
              <w:right w:val="nil"/>
            </w:tcBorders>
          </w:tcPr>
          <w:p w14:paraId="5D94AA4E" w14:textId="77777777" w:rsidR="004F1F64" w:rsidRDefault="004F1F64" w:rsidP="00F15B99">
            <w:pPr>
              <w:spacing w:after="0" w:line="240" w:lineRule="auto"/>
              <w:ind w:right="173"/>
              <w:jc w:val="right"/>
              <w:rPr>
                <w:rFonts w:ascii="Arial" w:hAnsi="Arial" w:cs="Arial"/>
              </w:rPr>
            </w:pPr>
          </w:p>
          <w:p w14:paraId="1ABF19E5" w14:textId="1DEF679D" w:rsidR="004F1F64" w:rsidRDefault="00F22515" w:rsidP="00F15B99">
            <w:pPr>
              <w:spacing w:after="0" w:line="240" w:lineRule="auto"/>
              <w:ind w:right="173"/>
              <w:jc w:val="right"/>
              <w:rPr>
                <w:rFonts w:ascii="Arial" w:hAnsi="Arial" w:cs="Arial"/>
              </w:rPr>
            </w:pPr>
            <w:r>
              <w:rPr>
                <w:rFonts w:ascii="Arial" w:hAnsi="Arial" w:cs="Arial"/>
              </w:rPr>
              <w:t>755,675</w:t>
            </w:r>
          </w:p>
        </w:tc>
        <w:tc>
          <w:tcPr>
            <w:tcW w:w="1620" w:type="dxa"/>
            <w:tcBorders>
              <w:left w:val="nil"/>
              <w:bottom w:val="single" w:sz="12" w:space="0" w:color="auto"/>
            </w:tcBorders>
          </w:tcPr>
          <w:p w14:paraId="2A16BC1D" w14:textId="77777777" w:rsidR="004F1F64" w:rsidRDefault="004F1F64" w:rsidP="00F15B99">
            <w:pPr>
              <w:spacing w:after="0" w:line="240" w:lineRule="auto"/>
              <w:ind w:right="173"/>
              <w:jc w:val="right"/>
              <w:rPr>
                <w:rFonts w:ascii="Arial" w:hAnsi="Arial" w:cs="Arial"/>
              </w:rPr>
            </w:pPr>
          </w:p>
          <w:p w14:paraId="1B60A5A4" w14:textId="1521696C" w:rsidR="004F1F64" w:rsidRDefault="004F1F64" w:rsidP="00F15B99">
            <w:pPr>
              <w:spacing w:after="0" w:line="240" w:lineRule="auto"/>
              <w:ind w:right="173"/>
              <w:jc w:val="right"/>
              <w:rPr>
                <w:rFonts w:ascii="Arial" w:hAnsi="Arial" w:cs="Arial"/>
              </w:rPr>
            </w:pPr>
            <w:r>
              <w:rPr>
                <w:rFonts w:ascii="Arial" w:hAnsi="Arial" w:cs="Arial"/>
              </w:rPr>
              <w:t>7,385,591</w:t>
            </w:r>
          </w:p>
        </w:tc>
        <w:tc>
          <w:tcPr>
            <w:tcW w:w="1530" w:type="dxa"/>
            <w:tcBorders>
              <w:left w:val="nil"/>
              <w:bottom w:val="single" w:sz="12" w:space="0" w:color="auto"/>
              <w:right w:val="nil"/>
            </w:tcBorders>
            <w:vAlign w:val="bottom"/>
          </w:tcPr>
          <w:p w14:paraId="3836CD10" w14:textId="3C532857" w:rsidR="004F1F64" w:rsidRPr="00BA56F7" w:rsidRDefault="00F22515" w:rsidP="00F15B99">
            <w:pPr>
              <w:spacing w:after="0" w:line="240" w:lineRule="auto"/>
              <w:ind w:right="173"/>
              <w:jc w:val="right"/>
              <w:rPr>
                <w:rFonts w:ascii="Arial" w:hAnsi="Arial" w:cs="Arial"/>
                <w:szCs w:val="20"/>
              </w:rPr>
            </w:pPr>
            <w:r>
              <w:rPr>
                <w:rFonts w:ascii="Arial" w:hAnsi="Arial" w:cs="Arial"/>
              </w:rPr>
              <w:t>8,349,822</w:t>
            </w:r>
          </w:p>
        </w:tc>
      </w:tr>
      <w:tr w:rsidR="004F1F64" w:rsidRPr="00BA56F7" w14:paraId="133A1099" w14:textId="77777777" w:rsidTr="00073DC2">
        <w:tc>
          <w:tcPr>
            <w:tcW w:w="2610" w:type="dxa"/>
            <w:tcBorders>
              <w:left w:val="nil"/>
              <w:bottom w:val="single" w:sz="12" w:space="0" w:color="auto"/>
            </w:tcBorders>
            <w:vAlign w:val="bottom"/>
          </w:tcPr>
          <w:p w14:paraId="746E7B41" w14:textId="77777777" w:rsidR="004F1F64" w:rsidRDefault="004F1F64" w:rsidP="00CD70E7">
            <w:pPr>
              <w:spacing w:after="0" w:line="240" w:lineRule="auto"/>
              <w:rPr>
                <w:rFonts w:ascii="Arial" w:hAnsi="Arial" w:cs="Arial"/>
                <w:szCs w:val="20"/>
              </w:rPr>
            </w:pPr>
            <w:r>
              <w:rPr>
                <w:rFonts w:ascii="Arial" w:hAnsi="Arial" w:cs="Arial"/>
                <w:szCs w:val="20"/>
              </w:rPr>
              <w:t xml:space="preserve">Net book value, </w:t>
            </w:r>
          </w:p>
          <w:p w14:paraId="135E76D4" w14:textId="709142D0" w:rsidR="004F1F64" w:rsidRPr="00BA56F7" w:rsidRDefault="00F22515" w:rsidP="00CD70E7">
            <w:pPr>
              <w:spacing w:after="0" w:line="240" w:lineRule="auto"/>
              <w:rPr>
                <w:rFonts w:ascii="Arial" w:hAnsi="Arial" w:cs="Arial"/>
                <w:szCs w:val="20"/>
              </w:rPr>
            </w:pPr>
            <w:r>
              <w:rPr>
                <w:rFonts w:ascii="Arial" w:hAnsi="Arial" w:cs="Arial"/>
                <w:szCs w:val="20"/>
              </w:rPr>
              <w:t>February 1</w:t>
            </w:r>
            <w:r w:rsidR="004F1F64">
              <w:rPr>
                <w:rFonts w:ascii="Arial" w:hAnsi="Arial" w:cs="Arial"/>
                <w:szCs w:val="20"/>
              </w:rPr>
              <w:t>, 2018</w:t>
            </w:r>
          </w:p>
        </w:tc>
        <w:tc>
          <w:tcPr>
            <w:tcW w:w="1559" w:type="dxa"/>
            <w:tcBorders>
              <w:left w:val="nil"/>
              <w:bottom w:val="single" w:sz="12" w:space="0" w:color="auto"/>
            </w:tcBorders>
          </w:tcPr>
          <w:p w14:paraId="608D1399" w14:textId="77777777" w:rsidR="004F1F64" w:rsidRDefault="004F1F64" w:rsidP="00CD70E7">
            <w:pPr>
              <w:spacing w:after="0" w:line="240" w:lineRule="auto"/>
              <w:ind w:right="173"/>
              <w:jc w:val="right"/>
              <w:rPr>
                <w:rFonts w:ascii="Arial" w:hAnsi="Arial" w:cs="Arial"/>
              </w:rPr>
            </w:pPr>
          </w:p>
          <w:p w14:paraId="4DFC4646" w14:textId="570062DE" w:rsidR="004F1F64" w:rsidRPr="00BA56F7" w:rsidRDefault="004F1F64" w:rsidP="00CD70E7">
            <w:pPr>
              <w:spacing w:after="0" w:line="240" w:lineRule="auto"/>
              <w:ind w:right="173"/>
              <w:jc w:val="right"/>
              <w:rPr>
                <w:rFonts w:ascii="Arial" w:hAnsi="Arial" w:cs="Arial"/>
              </w:rPr>
            </w:pPr>
            <w:r>
              <w:rPr>
                <w:rFonts w:ascii="Arial" w:hAnsi="Arial" w:cs="Arial"/>
              </w:rPr>
              <w:t>288,349</w:t>
            </w:r>
          </w:p>
        </w:tc>
        <w:tc>
          <w:tcPr>
            <w:tcW w:w="1501" w:type="dxa"/>
            <w:tcBorders>
              <w:left w:val="nil"/>
              <w:bottom w:val="single" w:sz="12" w:space="0" w:color="auto"/>
              <w:right w:val="nil"/>
            </w:tcBorders>
          </w:tcPr>
          <w:p w14:paraId="34C4E50E" w14:textId="77777777" w:rsidR="004F1F64" w:rsidRDefault="004F1F64" w:rsidP="00CD70E7">
            <w:pPr>
              <w:spacing w:after="0" w:line="240" w:lineRule="auto"/>
              <w:ind w:right="173"/>
              <w:jc w:val="right"/>
              <w:rPr>
                <w:rFonts w:ascii="Arial" w:hAnsi="Arial" w:cs="Arial"/>
              </w:rPr>
            </w:pPr>
          </w:p>
          <w:p w14:paraId="331BBDBE" w14:textId="009429C6" w:rsidR="004F1F64" w:rsidRPr="00BA56F7" w:rsidRDefault="004F1F64" w:rsidP="00CD70E7">
            <w:pPr>
              <w:spacing w:after="0" w:line="240" w:lineRule="auto"/>
              <w:ind w:right="173"/>
              <w:jc w:val="right"/>
              <w:rPr>
                <w:rFonts w:ascii="Arial" w:hAnsi="Arial" w:cs="Arial"/>
              </w:rPr>
            </w:pPr>
            <w:r w:rsidRPr="00BA56F7">
              <w:rPr>
                <w:rFonts w:ascii="Arial" w:hAnsi="Arial" w:cs="Arial"/>
              </w:rPr>
              <w:t>–</w:t>
            </w:r>
          </w:p>
        </w:tc>
        <w:tc>
          <w:tcPr>
            <w:tcW w:w="1620" w:type="dxa"/>
            <w:tcBorders>
              <w:left w:val="nil"/>
              <w:bottom w:val="single" w:sz="12" w:space="0" w:color="auto"/>
            </w:tcBorders>
          </w:tcPr>
          <w:p w14:paraId="4F1342AE" w14:textId="77777777" w:rsidR="004F1F64" w:rsidRDefault="004F1F64" w:rsidP="00CD70E7">
            <w:pPr>
              <w:spacing w:after="0" w:line="240" w:lineRule="auto"/>
              <w:ind w:right="173"/>
              <w:jc w:val="right"/>
              <w:rPr>
                <w:rFonts w:ascii="Arial" w:hAnsi="Arial" w:cs="Arial"/>
              </w:rPr>
            </w:pPr>
          </w:p>
          <w:p w14:paraId="764606B1" w14:textId="30F1FE6E" w:rsidR="004F1F64" w:rsidRPr="00BA56F7" w:rsidRDefault="004F1F64" w:rsidP="00CD70E7">
            <w:pPr>
              <w:spacing w:after="0" w:line="240" w:lineRule="auto"/>
              <w:ind w:right="173"/>
              <w:jc w:val="right"/>
              <w:rPr>
                <w:rFonts w:ascii="Arial" w:hAnsi="Arial" w:cs="Arial"/>
              </w:rPr>
            </w:pPr>
            <w:r w:rsidRPr="00BA56F7">
              <w:rPr>
                <w:rFonts w:ascii="Arial" w:hAnsi="Arial" w:cs="Arial"/>
              </w:rPr>
              <w:t>–</w:t>
            </w:r>
          </w:p>
        </w:tc>
        <w:tc>
          <w:tcPr>
            <w:tcW w:w="1530" w:type="dxa"/>
            <w:tcBorders>
              <w:left w:val="nil"/>
              <w:bottom w:val="single" w:sz="12" w:space="0" w:color="auto"/>
              <w:right w:val="nil"/>
            </w:tcBorders>
            <w:vAlign w:val="bottom"/>
          </w:tcPr>
          <w:p w14:paraId="2A016986" w14:textId="168A9577" w:rsidR="004F1F64" w:rsidRPr="00BA56F7" w:rsidRDefault="004F1F64" w:rsidP="00CD70E7">
            <w:pPr>
              <w:spacing w:after="0" w:line="240" w:lineRule="auto"/>
              <w:ind w:right="173"/>
              <w:jc w:val="right"/>
              <w:rPr>
                <w:rFonts w:ascii="Arial" w:hAnsi="Arial" w:cs="Arial"/>
                <w:szCs w:val="20"/>
              </w:rPr>
            </w:pPr>
            <w:r>
              <w:rPr>
                <w:rFonts w:ascii="Arial" w:hAnsi="Arial" w:cs="Arial"/>
              </w:rPr>
              <w:t>288,349</w:t>
            </w:r>
          </w:p>
        </w:tc>
      </w:tr>
    </w:tbl>
    <w:p w14:paraId="2121FEFB" w14:textId="77777777" w:rsidR="00790828" w:rsidRPr="00BA56F7" w:rsidRDefault="00790828" w:rsidP="00F15B99">
      <w:pPr>
        <w:spacing w:after="0" w:line="240" w:lineRule="auto"/>
        <w:ind w:left="448" w:hanging="448"/>
        <w:jc w:val="both"/>
        <w:rPr>
          <w:rFonts w:ascii="Arial" w:hAnsi="Arial" w:cs="Arial"/>
          <w:b/>
          <w:bCs/>
          <w:szCs w:val="20"/>
        </w:rPr>
      </w:pPr>
    </w:p>
    <w:p w14:paraId="58C8C079" w14:textId="77777777" w:rsidR="00C83768" w:rsidRDefault="00C83768" w:rsidP="00F15B99">
      <w:pPr>
        <w:spacing w:after="0" w:line="240" w:lineRule="auto"/>
        <w:ind w:left="450"/>
        <w:rPr>
          <w:rFonts w:ascii="Arial" w:hAnsi="Arial" w:cs="Arial"/>
          <w:bCs/>
          <w:szCs w:val="20"/>
        </w:rPr>
      </w:pPr>
    </w:p>
    <w:p w14:paraId="3AA2CC0F" w14:textId="77777777" w:rsidR="00C83768" w:rsidRDefault="00C83768" w:rsidP="00F15B99">
      <w:pPr>
        <w:spacing w:after="0" w:line="240" w:lineRule="auto"/>
        <w:ind w:left="450"/>
        <w:rPr>
          <w:rFonts w:ascii="Arial" w:hAnsi="Arial" w:cs="Arial"/>
          <w:bCs/>
          <w:szCs w:val="20"/>
        </w:rPr>
      </w:pPr>
    </w:p>
    <w:p w14:paraId="6471B885" w14:textId="77777777" w:rsidR="00036EC0" w:rsidRDefault="00036EC0">
      <w:pPr>
        <w:rPr>
          <w:rFonts w:ascii="Arial" w:hAnsi="Arial" w:cs="Arial"/>
          <w:b/>
          <w:szCs w:val="20"/>
        </w:rPr>
      </w:pPr>
      <w:r>
        <w:rPr>
          <w:rFonts w:ascii="Arial" w:hAnsi="Arial" w:cs="Arial"/>
          <w:b/>
          <w:szCs w:val="20"/>
        </w:rPr>
        <w:br w:type="page"/>
      </w:r>
    </w:p>
    <w:p w14:paraId="41E95C26" w14:textId="6F56BE7C" w:rsidR="00036EC0" w:rsidRPr="0007122C" w:rsidRDefault="00036EC0" w:rsidP="00036EC0">
      <w:pPr>
        <w:tabs>
          <w:tab w:val="left" w:pos="450"/>
        </w:tabs>
        <w:spacing w:after="0" w:line="240" w:lineRule="auto"/>
        <w:jc w:val="both"/>
        <w:rPr>
          <w:rFonts w:ascii="Arial" w:hAnsi="Arial" w:cs="Arial"/>
          <w:szCs w:val="20"/>
        </w:rPr>
      </w:pPr>
      <w:r>
        <w:rPr>
          <w:rFonts w:ascii="Arial" w:hAnsi="Arial" w:cs="Arial"/>
          <w:b/>
          <w:szCs w:val="20"/>
        </w:rPr>
        <w:lastRenderedPageBreak/>
        <w:t>8</w:t>
      </w:r>
      <w:r w:rsidRPr="00BA56F7">
        <w:rPr>
          <w:rFonts w:ascii="Arial" w:hAnsi="Arial" w:cs="Arial"/>
          <w:b/>
          <w:szCs w:val="20"/>
        </w:rPr>
        <w:t xml:space="preserve">.    </w:t>
      </w:r>
      <w:r w:rsidRPr="00BA56F7">
        <w:rPr>
          <w:rFonts w:ascii="Arial" w:hAnsi="Arial" w:cs="Arial"/>
          <w:b/>
          <w:szCs w:val="20"/>
        </w:rPr>
        <w:tab/>
        <w:t>Intangible Asset</w:t>
      </w:r>
      <w:r>
        <w:rPr>
          <w:rFonts w:ascii="Arial" w:hAnsi="Arial" w:cs="Arial"/>
          <w:szCs w:val="20"/>
        </w:rPr>
        <w:t xml:space="preserve"> (continued)</w:t>
      </w:r>
    </w:p>
    <w:p w14:paraId="59022243" w14:textId="77777777" w:rsidR="00036EC0" w:rsidRDefault="00036EC0" w:rsidP="00F15B99">
      <w:pPr>
        <w:spacing w:after="0" w:line="240" w:lineRule="auto"/>
        <w:ind w:left="450"/>
        <w:rPr>
          <w:rFonts w:ascii="Arial" w:hAnsi="Arial" w:cs="Arial"/>
          <w:bCs/>
          <w:szCs w:val="20"/>
        </w:rPr>
      </w:pPr>
    </w:p>
    <w:p w14:paraId="34894191" w14:textId="7D69A594" w:rsidR="006C69B1" w:rsidRPr="00BA56F7" w:rsidRDefault="00190BAA" w:rsidP="00F15B99">
      <w:pPr>
        <w:spacing w:after="0" w:line="240" w:lineRule="auto"/>
        <w:ind w:left="450"/>
        <w:rPr>
          <w:rFonts w:ascii="Arial" w:hAnsi="Arial" w:cs="Arial"/>
          <w:b/>
          <w:szCs w:val="20"/>
        </w:rPr>
      </w:pPr>
      <w:r w:rsidRPr="00190BAA">
        <w:rPr>
          <w:rFonts w:ascii="Arial" w:hAnsi="Arial" w:cs="Arial"/>
          <w:bCs/>
          <w:szCs w:val="20"/>
        </w:rPr>
        <w:t xml:space="preserve">Weighted </w:t>
      </w:r>
      <w:r w:rsidR="006C69B1">
        <w:rPr>
          <w:rFonts w:ascii="Arial" w:hAnsi="Arial" w:cs="Arial"/>
          <w:bCs/>
          <w:szCs w:val="20"/>
        </w:rPr>
        <w:t>average life remaining on intangible asset</w:t>
      </w:r>
      <w:r w:rsidR="005B2329">
        <w:rPr>
          <w:rFonts w:ascii="Arial" w:hAnsi="Arial" w:cs="Arial"/>
          <w:bCs/>
          <w:szCs w:val="20"/>
        </w:rPr>
        <w:t>s</w:t>
      </w:r>
      <w:r w:rsidR="006C69B1">
        <w:rPr>
          <w:rFonts w:ascii="Arial" w:hAnsi="Arial" w:cs="Arial"/>
          <w:bCs/>
          <w:szCs w:val="20"/>
        </w:rPr>
        <w:t xml:space="preserve"> is </w:t>
      </w:r>
      <w:r w:rsidR="00E504AC">
        <w:rPr>
          <w:rFonts w:ascii="Arial" w:hAnsi="Arial" w:cs="Arial"/>
          <w:bCs/>
          <w:szCs w:val="20"/>
        </w:rPr>
        <w:t>8.</w:t>
      </w:r>
      <w:r w:rsidR="005A0619">
        <w:rPr>
          <w:rFonts w:ascii="Arial" w:hAnsi="Arial" w:cs="Arial"/>
          <w:bCs/>
          <w:szCs w:val="20"/>
        </w:rPr>
        <w:t>1</w:t>
      </w:r>
      <w:r w:rsidR="006C69B1">
        <w:rPr>
          <w:rFonts w:ascii="Arial" w:hAnsi="Arial" w:cs="Arial"/>
          <w:bCs/>
          <w:szCs w:val="20"/>
        </w:rPr>
        <w:t xml:space="preserve"> years.  Future amortization for the next </w:t>
      </w:r>
      <w:r w:rsidR="005B2329">
        <w:rPr>
          <w:rFonts w:ascii="Arial" w:hAnsi="Arial" w:cs="Arial"/>
          <w:bCs/>
          <w:szCs w:val="20"/>
        </w:rPr>
        <w:t>five</w:t>
      </w:r>
      <w:r w:rsidR="006C69B1">
        <w:rPr>
          <w:rFonts w:ascii="Arial" w:hAnsi="Arial" w:cs="Arial"/>
          <w:bCs/>
          <w:szCs w:val="20"/>
        </w:rPr>
        <w:t xml:space="preserve"> years is</w:t>
      </w:r>
      <w:r w:rsidR="00517DED">
        <w:rPr>
          <w:rFonts w:ascii="Arial" w:hAnsi="Arial" w:cs="Arial"/>
          <w:bCs/>
          <w:szCs w:val="20"/>
        </w:rPr>
        <w:t xml:space="preserve"> approximately</w:t>
      </w:r>
      <w:r w:rsidR="006C69B1">
        <w:rPr>
          <w:rFonts w:ascii="Arial" w:hAnsi="Arial" w:cs="Arial"/>
          <w:bCs/>
          <w:szCs w:val="20"/>
        </w:rPr>
        <w:t>:</w:t>
      </w:r>
    </w:p>
    <w:tbl>
      <w:tblPr>
        <w:tblW w:w="0" w:type="auto"/>
        <w:tblInd w:w="261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620"/>
        <w:gridCol w:w="1350"/>
      </w:tblGrid>
      <w:tr w:rsidR="00F65E70" w:rsidRPr="00F60034" w14:paraId="48E031D0" w14:textId="77777777" w:rsidTr="00714A27">
        <w:trPr>
          <w:trHeight w:hRule="exact" w:val="396"/>
        </w:trPr>
        <w:tc>
          <w:tcPr>
            <w:tcW w:w="1620" w:type="dxa"/>
            <w:tcBorders>
              <w:top w:val="nil"/>
              <w:left w:val="nil"/>
              <w:right w:val="nil"/>
            </w:tcBorders>
            <w:tcMar>
              <w:left w:w="0" w:type="dxa"/>
              <w:right w:w="0" w:type="dxa"/>
            </w:tcMar>
            <w:vAlign w:val="bottom"/>
          </w:tcPr>
          <w:p w14:paraId="0B707899" w14:textId="77777777" w:rsidR="00F65E70" w:rsidRPr="00F60034" w:rsidRDefault="00F65E70" w:rsidP="00F15B99">
            <w:pPr>
              <w:spacing w:after="0" w:line="240" w:lineRule="auto"/>
              <w:jc w:val="center"/>
              <w:rPr>
                <w:rFonts w:ascii="Arial" w:hAnsi="Arial" w:cs="Arial"/>
                <w:szCs w:val="20"/>
              </w:rPr>
            </w:pPr>
            <w:r w:rsidRPr="00F60034">
              <w:rPr>
                <w:rFonts w:ascii="Arial" w:hAnsi="Arial" w:cs="Arial"/>
                <w:szCs w:val="20"/>
              </w:rPr>
              <w:t>Expiry Date</w:t>
            </w:r>
          </w:p>
        </w:tc>
        <w:tc>
          <w:tcPr>
            <w:tcW w:w="1350" w:type="dxa"/>
            <w:tcBorders>
              <w:top w:val="nil"/>
              <w:left w:val="nil"/>
              <w:right w:val="nil"/>
            </w:tcBorders>
            <w:tcMar>
              <w:left w:w="108" w:type="dxa"/>
              <w:right w:w="108" w:type="dxa"/>
            </w:tcMar>
            <w:vAlign w:val="bottom"/>
          </w:tcPr>
          <w:p w14:paraId="6D0A8D6B" w14:textId="77777777" w:rsidR="00F65E70" w:rsidRPr="00F60034" w:rsidRDefault="00F65E70" w:rsidP="00F15B99">
            <w:pPr>
              <w:spacing w:after="0" w:line="240" w:lineRule="auto"/>
              <w:jc w:val="center"/>
              <w:rPr>
                <w:rFonts w:ascii="Arial" w:hAnsi="Arial" w:cs="Arial"/>
                <w:szCs w:val="20"/>
              </w:rPr>
            </w:pPr>
            <w:r w:rsidRPr="00F60034">
              <w:rPr>
                <w:rFonts w:ascii="Arial" w:hAnsi="Arial" w:cs="Arial"/>
                <w:szCs w:val="20"/>
              </w:rPr>
              <w:t>$</w:t>
            </w:r>
          </w:p>
        </w:tc>
      </w:tr>
      <w:tr w:rsidR="00F65E70" w:rsidRPr="00F60034" w14:paraId="60B335C0" w14:textId="77777777" w:rsidTr="00E44DAE">
        <w:trPr>
          <w:trHeight w:hRule="exact" w:val="115"/>
        </w:trPr>
        <w:tc>
          <w:tcPr>
            <w:tcW w:w="1620" w:type="dxa"/>
            <w:tcBorders>
              <w:top w:val="single" w:sz="4" w:space="0" w:color="auto"/>
              <w:left w:val="nil"/>
              <w:bottom w:val="nil"/>
              <w:right w:val="nil"/>
            </w:tcBorders>
            <w:tcMar>
              <w:left w:w="0" w:type="dxa"/>
              <w:right w:w="0" w:type="dxa"/>
            </w:tcMar>
          </w:tcPr>
          <w:p w14:paraId="5BE3E0C9" w14:textId="77777777" w:rsidR="00F65E70" w:rsidRPr="00F60034" w:rsidRDefault="00F65E70" w:rsidP="00F15B99">
            <w:pPr>
              <w:spacing w:after="0" w:line="240" w:lineRule="auto"/>
              <w:jc w:val="both"/>
              <w:rPr>
                <w:rFonts w:ascii="Arial" w:hAnsi="Arial" w:cs="Arial"/>
                <w:szCs w:val="20"/>
              </w:rPr>
            </w:pPr>
          </w:p>
        </w:tc>
        <w:tc>
          <w:tcPr>
            <w:tcW w:w="1350" w:type="dxa"/>
            <w:tcBorders>
              <w:top w:val="single" w:sz="4" w:space="0" w:color="auto"/>
              <w:left w:val="nil"/>
              <w:bottom w:val="nil"/>
              <w:right w:val="nil"/>
            </w:tcBorders>
            <w:tcMar>
              <w:left w:w="108" w:type="dxa"/>
              <w:right w:w="108" w:type="dxa"/>
            </w:tcMar>
            <w:vAlign w:val="bottom"/>
          </w:tcPr>
          <w:p w14:paraId="50337242" w14:textId="77777777" w:rsidR="00F65E70" w:rsidRPr="00F60034" w:rsidRDefault="00F65E70" w:rsidP="00F15B99">
            <w:pPr>
              <w:spacing w:after="0" w:line="240" w:lineRule="auto"/>
              <w:jc w:val="both"/>
              <w:rPr>
                <w:rFonts w:ascii="Arial" w:hAnsi="Arial" w:cs="Arial"/>
                <w:szCs w:val="20"/>
              </w:rPr>
            </w:pPr>
          </w:p>
        </w:tc>
      </w:tr>
      <w:tr w:rsidR="005B2329" w:rsidRPr="00F60034" w14:paraId="337D9066" w14:textId="77777777" w:rsidTr="00E44DAE">
        <w:tc>
          <w:tcPr>
            <w:tcW w:w="1620" w:type="dxa"/>
            <w:tcBorders>
              <w:top w:val="nil"/>
              <w:left w:val="nil"/>
              <w:bottom w:val="nil"/>
              <w:right w:val="nil"/>
            </w:tcBorders>
            <w:tcMar>
              <w:left w:w="0" w:type="dxa"/>
              <w:right w:w="0" w:type="dxa"/>
            </w:tcMar>
          </w:tcPr>
          <w:p w14:paraId="5621F68B" w14:textId="5F672848" w:rsidR="005B2329" w:rsidRPr="00F60034" w:rsidRDefault="005B2329" w:rsidP="005B2329">
            <w:pPr>
              <w:tabs>
                <w:tab w:val="left" w:pos="702"/>
              </w:tabs>
              <w:spacing w:after="0" w:line="240" w:lineRule="auto"/>
              <w:ind w:right="-111"/>
              <w:jc w:val="center"/>
              <w:rPr>
                <w:rFonts w:ascii="Arial" w:hAnsi="Arial" w:cs="Arial"/>
                <w:szCs w:val="20"/>
              </w:rPr>
            </w:pPr>
            <w:r>
              <w:rPr>
                <w:rFonts w:ascii="Arial" w:hAnsi="Arial" w:cs="Arial"/>
                <w:szCs w:val="20"/>
              </w:rPr>
              <w:t>2020</w:t>
            </w:r>
          </w:p>
        </w:tc>
        <w:tc>
          <w:tcPr>
            <w:tcW w:w="1350" w:type="dxa"/>
            <w:tcBorders>
              <w:top w:val="nil"/>
              <w:left w:val="nil"/>
              <w:bottom w:val="nil"/>
              <w:right w:val="nil"/>
            </w:tcBorders>
            <w:tcMar>
              <w:left w:w="108" w:type="dxa"/>
              <w:right w:w="108" w:type="dxa"/>
            </w:tcMar>
            <w:vAlign w:val="bottom"/>
          </w:tcPr>
          <w:p w14:paraId="6FFC0CA2" w14:textId="7DE3967E" w:rsidR="005B2329" w:rsidRPr="00F60034" w:rsidRDefault="005A0619" w:rsidP="009E6C52">
            <w:pPr>
              <w:spacing w:after="0" w:line="240" w:lineRule="auto"/>
              <w:ind w:right="162"/>
              <w:jc w:val="right"/>
              <w:rPr>
                <w:rFonts w:ascii="Arial" w:hAnsi="Arial" w:cs="Arial"/>
                <w:szCs w:val="20"/>
              </w:rPr>
            </w:pPr>
            <w:r>
              <w:rPr>
                <w:rFonts w:ascii="Arial" w:hAnsi="Arial" w:cs="Arial"/>
                <w:szCs w:val="20"/>
              </w:rPr>
              <w:t>246,400</w:t>
            </w:r>
          </w:p>
        </w:tc>
      </w:tr>
      <w:tr w:rsidR="005B2329" w:rsidRPr="00F60034" w14:paraId="6E769A82" w14:textId="77777777" w:rsidTr="00E44DAE">
        <w:tc>
          <w:tcPr>
            <w:tcW w:w="1620" w:type="dxa"/>
            <w:tcBorders>
              <w:top w:val="nil"/>
              <w:left w:val="nil"/>
              <w:bottom w:val="nil"/>
              <w:right w:val="nil"/>
            </w:tcBorders>
            <w:tcMar>
              <w:left w:w="0" w:type="dxa"/>
              <w:right w:w="0" w:type="dxa"/>
            </w:tcMar>
          </w:tcPr>
          <w:p w14:paraId="6454F1D5" w14:textId="5E509DFF" w:rsidR="005B2329" w:rsidRPr="00F60034" w:rsidRDefault="005B2329" w:rsidP="005B2329">
            <w:pPr>
              <w:tabs>
                <w:tab w:val="left" w:pos="702"/>
              </w:tabs>
              <w:spacing w:after="0" w:line="240" w:lineRule="auto"/>
              <w:ind w:right="-111"/>
              <w:jc w:val="center"/>
              <w:rPr>
                <w:rFonts w:ascii="Arial" w:hAnsi="Arial" w:cs="Arial"/>
                <w:szCs w:val="20"/>
              </w:rPr>
            </w:pPr>
            <w:r>
              <w:rPr>
                <w:rFonts w:ascii="Arial" w:hAnsi="Arial" w:cs="Arial"/>
                <w:szCs w:val="20"/>
              </w:rPr>
              <w:t>2021</w:t>
            </w:r>
          </w:p>
        </w:tc>
        <w:tc>
          <w:tcPr>
            <w:tcW w:w="1350" w:type="dxa"/>
            <w:tcBorders>
              <w:top w:val="nil"/>
              <w:left w:val="nil"/>
              <w:bottom w:val="nil"/>
              <w:right w:val="nil"/>
            </w:tcBorders>
            <w:tcMar>
              <w:left w:w="108" w:type="dxa"/>
              <w:right w:w="108" w:type="dxa"/>
            </w:tcMar>
            <w:vAlign w:val="bottom"/>
          </w:tcPr>
          <w:p w14:paraId="29CE67F3" w14:textId="073BF508" w:rsidR="005B2329" w:rsidRPr="00F60034" w:rsidRDefault="005A0619" w:rsidP="009E6C52">
            <w:pPr>
              <w:spacing w:after="0" w:line="240" w:lineRule="auto"/>
              <w:ind w:right="162"/>
              <w:jc w:val="right"/>
              <w:rPr>
                <w:rFonts w:ascii="Arial" w:hAnsi="Arial" w:cs="Arial"/>
                <w:szCs w:val="20"/>
              </w:rPr>
            </w:pPr>
            <w:r>
              <w:rPr>
                <w:rFonts w:ascii="Arial" w:hAnsi="Arial" w:cs="Arial"/>
                <w:szCs w:val="20"/>
              </w:rPr>
              <w:t>977,500</w:t>
            </w:r>
          </w:p>
        </w:tc>
      </w:tr>
      <w:tr w:rsidR="005B2329" w:rsidRPr="00F60034" w14:paraId="6A10CF4B" w14:textId="77777777" w:rsidTr="00E44DAE">
        <w:tc>
          <w:tcPr>
            <w:tcW w:w="1620" w:type="dxa"/>
            <w:tcBorders>
              <w:top w:val="nil"/>
              <w:left w:val="nil"/>
              <w:bottom w:val="nil"/>
              <w:right w:val="nil"/>
            </w:tcBorders>
            <w:tcMar>
              <w:left w:w="0" w:type="dxa"/>
              <w:right w:w="0" w:type="dxa"/>
            </w:tcMar>
          </w:tcPr>
          <w:p w14:paraId="57126722" w14:textId="46B5DE2E" w:rsidR="005B2329" w:rsidRPr="00F60034" w:rsidRDefault="005B2329" w:rsidP="005B2329">
            <w:pPr>
              <w:tabs>
                <w:tab w:val="left" w:pos="702"/>
              </w:tabs>
              <w:spacing w:after="0" w:line="240" w:lineRule="auto"/>
              <w:ind w:right="-111"/>
              <w:jc w:val="center"/>
              <w:rPr>
                <w:rFonts w:ascii="Arial" w:hAnsi="Arial" w:cs="Arial"/>
                <w:szCs w:val="20"/>
              </w:rPr>
            </w:pPr>
            <w:r>
              <w:rPr>
                <w:rFonts w:ascii="Arial" w:hAnsi="Arial" w:cs="Arial"/>
                <w:szCs w:val="20"/>
              </w:rPr>
              <w:t>2022</w:t>
            </w:r>
          </w:p>
        </w:tc>
        <w:tc>
          <w:tcPr>
            <w:tcW w:w="1350" w:type="dxa"/>
            <w:tcBorders>
              <w:top w:val="nil"/>
              <w:left w:val="nil"/>
              <w:bottom w:val="nil"/>
              <w:right w:val="nil"/>
            </w:tcBorders>
            <w:tcMar>
              <w:left w:w="108" w:type="dxa"/>
              <w:right w:w="108" w:type="dxa"/>
            </w:tcMar>
            <w:vAlign w:val="bottom"/>
          </w:tcPr>
          <w:p w14:paraId="780B7191" w14:textId="49940A0F" w:rsidR="005B2329" w:rsidRPr="00F60034" w:rsidRDefault="005A0619" w:rsidP="009E6C52">
            <w:pPr>
              <w:spacing w:after="0" w:line="240" w:lineRule="auto"/>
              <w:ind w:right="162"/>
              <w:jc w:val="right"/>
              <w:rPr>
                <w:rFonts w:ascii="Arial" w:hAnsi="Arial" w:cs="Arial"/>
                <w:szCs w:val="20"/>
              </w:rPr>
            </w:pPr>
            <w:r>
              <w:rPr>
                <w:rFonts w:ascii="Arial" w:hAnsi="Arial" w:cs="Arial"/>
                <w:szCs w:val="20"/>
              </w:rPr>
              <w:t>946,700</w:t>
            </w:r>
          </w:p>
        </w:tc>
      </w:tr>
      <w:tr w:rsidR="00F65E70" w:rsidRPr="00F60034" w14:paraId="32E12C51" w14:textId="77777777" w:rsidTr="00E44DAE">
        <w:tc>
          <w:tcPr>
            <w:tcW w:w="1620" w:type="dxa"/>
            <w:tcBorders>
              <w:top w:val="nil"/>
              <w:left w:val="nil"/>
              <w:bottom w:val="nil"/>
              <w:right w:val="nil"/>
            </w:tcBorders>
            <w:tcMar>
              <w:left w:w="0" w:type="dxa"/>
              <w:right w:w="0" w:type="dxa"/>
            </w:tcMar>
          </w:tcPr>
          <w:p w14:paraId="7319621B" w14:textId="4B55C558" w:rsidR="00F65E70" w:rsidRPr="00F60034" w:rsidRDefault="00F65E70" w:rsidP="00F15B99">
            <w:pPr>
              <w:tabs>
                <w:tab w:val="left" w:pos="702"/>
              </w:tabs>
              <w:spacing w:after="0" w:line="240" w:lineRule="auto"/>
              <w:ind w:right="-111"/>
              <w:jc w:val="center"/>
              <w:rPr>
                <w:rFonts w:ascii="Arial" w:hAnsi="Arial" w:cs="Arial"/>
                <w:szCs w:val="20"/>
              </w:rPr>
            </w:pPr>
            <w:r>
              <w:rPr>
                <w:rFonts w:ascii="Arial" w:hAnsi="Arial" w:cs="Arial"/>
                <w:szCs w:val="20"/>
              </w:rPr>
              <w:t>2</w:t>
            </w:r>
            <w:r w:rsidR="005B2329">
              <w:rPr>
                <w:rFonts w:ascii="Arial" w:hAnsi="Arial" w:cs="Arial"/>
                <w:szCs w:val="20"/>
              </w:rPr>
              <w:t>023</w:t>
            </w:r>
          </w:p>
        </w:tc>
        <w:tc>
          <w:tcPr>
            <w:tcW w:w="1350" w:type="dxa"/>
            <w:tcBorders>
              <w:top w:val="nil"/>
              <w:left w:val="nil"/>
              <w:bottom w:val="nil"/>
              <w:right w:val="nil"/>
            </w:tcBorders>
            <w:tcMar>
              <w:left w:w="108" w:type="dxa"/>
              <w:right w:w="108" w:type="dxa"/>
            </w:tcMar>
            <w:vAlign w:val="bottom"/>
          </w:tcPr>
          <w:p w14:paraId="2FD5A9D5" w14:textId="32B44565" w:rsidR="00F65E70" w:rsidRPr="00F60034" w:rsidRDefault="006D51E4" w:rsidP="009E6C52">
            <w:pPr>
              <w:spacing w:after="0" w:line="240" w:lineRule="auto"/>
              <w:ind w:right="162"/>
              <w:jc w:val="right"/>
              <w:rPr>
                <w:rFonts w:ascii="Arial" w:hAnsi="Arial" w:cs="Arial"/>
                <w:szCs w:val="20"/>
              </w:rPr>
            </w:pPr>
            <w:r>
              <w:rPr>
                <w:rFonts w:ascii="Arial" w:hAnsi="Arial" w:cs="Arial"/>
                <w:szCs w:val="20"/>
              </w:rPr>
              <w:t>89</w:t>
            </w:r>
            <w:r w:rsidR="009E6C52">
              <w:rPr>
                <w:rFonts w:ascii="Arial" w:hAnsi="Arial" w:cs="Arial"/>
                <w:szCs w:val="20"/>
              </w:rPr>
              <w:t>7</w:t>
            </w:r>
            <w:r>
              <w:rPr>
                <w:rFonts w:ascii="Arial" w:hAnsi="Arial" w:cs="Arial"/>
                <w:szCs w:val="20"/>
              </w:rPr>
              <w:t>,</w:t>
            </w:r>
            <w:r w:rsidR="005A0619">
              <w:rPr>
                <w:rFonts w:ascii="Arial" w:hAnsi="Arial" w:cs="Arial"/>
                <w:szCs w:val="20"/>
              </w:rPr>
              <w:t>7</w:t>
            </w:r>
            <w:r w:rsidR="009E6C52">
              <w:rPr>
                <w:rFonts w:ascii="Arial" w:hAnsi="Arial" w:cs="Arial"/>
                <w:szCs w:val="20"/>
              </w:rPr>
              <w:t>00</w:t>
            </w:r>
          </w:p>
        </w:tc>
      </w:tr>
      <w:tr w:rsidR="005B2329" w:rsidRPr="00F60034" w14:paraId="366703C9" w14:textId="77777777" w:rsidTr="00E44DAE">
        <w:tc>
          <w:tcPr>
            <w:tcW w:w="1620" w:type="dxa"/>
            <w:tcBorders>
              <w:top w:val="nil"/>
              <w:left w:val="nil"/>
              <w:bottom w:val="nil"/>
              <w:right w:val="nil"/>
            </w:tcBorders>
            <w:tcMar>
              <w:left w:w="0" w:type="dxa"/>
              <w:right w:w="0" w:type="dxa"/>
            </w:tcMar>
          </w:tcPr>
          <w:p w14:paraId="160262BC" w14:textId="34808F45" w:rsidR="005B2329" w:rsidRDefault="005B2329" w:rsidP="00F15B99">
            <w:pPr>
              <w:tabs>
                <w:tab w:val="left" w:pos="702"/>
              </w:tabs>
              <w:spacing w:after="0" w:line="240" w:lineRule="auto"/>
              <w:ind w:right="-111"/>
              <w:jc w:val="center"/>
              <w:rPr>
                <w:rFonts w:ascii="Arial" w:hAnsi="Arial" w:cs="Arial"/>
                <w:szCs w:val="20"/>
              </w:rPr>
            </w:pPr>
            <w:r>
              <w:rPr>
                <w:rFonts w:ascii="Arial" w:hAnsi="Arial" w:cs="Arial"/>
                <w:szCs w:val="20"/>
              </w:rPr>
              <w:t>2024</w:t>
            </w:r>
          </w:p>
        </w:tc>
        <w:tc>
          <w:tcPr>
            <w:tcW w:w="1350" w:type="dxa"/>
            <w:tcBorders>
              <w:top w:val="nil"/>
              <w:left w:val="nil"/>
              <w:bottom w:val="nil"/>
              <w:right w:val="nil"/>
            </w:tcBorders>
            <w:tcMar>
              <w:left w:w="108" w:type="dxa"/>
              <w:right w:w="108" w:type="dxa"/>
            </w:tcMar>
            <w:vAlign w:val="bottom"/>
          </w:tcPr>
          <w:p w14:paraId="749294E5" w14:textId="7A352E59" w:rsidR="005B2329" w:rsidRDefault="006D51E4" w:rsidP="009E6C52">
            <w:pPr>
              <w:spacing w:after="0" w:line="240" w:lineRule="auto"/>
              <w:ind w:right="162"/>
              <w:jc w:val="right"/>
              <w:rPr>
                <w:rFonts w:ascii="Arial" w:hAnsi="Arial" w:cs="Arial"/>
                <w:szCs w:val="20"/>
              </w:rPr>
            </w:pPr>
            <w:r>
              <w:rPr>
                <w:rFonts w:ascii="Arial" w:hAnsi="Arial" w:cs="Arial"/>
                <w:szCs w:val="20"/>
              </w:rPr>
              <w:t>89</w:t>
            </w:r>
            <w:r w:rsidR="009E6C52">
              <w:rPr>
                <w:rFonts w:ascii="Arial" w:hAnsi="Arial" w:cs="Arial"/>
                <w:szCs w:val="20"/>
              </w:rPr>
              <w:t>7</w:t>
            </w:r>
            <w:r>
              <w:rPr>
                <w:rFonts w:ascii="Arial" w:hAnsi="Arial" w:cs="Arial"/>
                <w:szCs w:val="20"/>
              </w:rPr>
              <w:t>,</w:t>
            </w:r>
            <w:r w:rsidR="005A0619">
              <w:rPr>
                <w:rFonts w:ascii="Arial" w:hAnsi="Arial" w:cs="Arial"/>
                <w:szCs w:val="20"/>
              </w:rPr>
              <w:t>7</w:t>
            </w:r>
            <w:r w:rsidR="009E6C52">
              <w:rPr>
                <w:rFonts w:ascii="Arial" w:hAnsi="Arial" w:cs="Arial"/>
                <w:szCs w:val="20"/>
              </w:rPr>
              <w:t>00</w:t>
            </w:r>
          </w:p>
        </w:tc>
      </w:tr>
    </w:tbl>
    <w:p w14:paraId="303FABA4" w14:textId="2B2FF3EA" w:rsidR="00BA56F7" w:rsidRDefault="00BA56F7" w:rsidP="00F15B99">
      <w:pPr>
        <w:spacing w:after="0" w:line="240" w:lineRule="auto"/>
        <w:ind w:left="450"/>
        <w:rPr>
          <w:rFonts w:ascii="Arial" w:hAnsi="Arial" w:cs="Arial"/>
          <w:bCs/>
          <w:szCs w:val="20"/>
        </w:rPr>
      </w:pPr>
    </w:p>
    <w:p w14:paraId="7AE08E53" w14:textId="76A6360B" w:rsidR="00E504AC" w:rsidRPr="009727AD" w:rsidRDefault="00E504AC" w:rsidP="00E504AC">
      <w:pPr>
        <w:tabs>
          <w:tab w:val="left" w:pos="450"/>
        </w:tabs>
        <w:spacing w:after="0" w:line="240" w:lineRule="auto"/>
        <w:ind w:left="450"/>
        <w:jc w:val="both"/>
        <w:rPr>
          <w:rFonts w:ascii="Arial" w:eastAsia="Times New Roman" w:hAnsi="Arial" w:cs="Arial"/>
          <w:bCs/>
          <w:szCs w:val="20"/>
          <w:u w:val="single"/>
        </w:rPr>
      </w:pPr>
      <w:r w:rsidRPr="009727AD">
        <w:rPr>
          <w:rFonts w:ascii="Arial" w:eastAsia="Times New Roman" w:hAnsi="Arial" w:cs="Arial"/>
          <w:bCs/>
          <w:szCs w:val="20"/>
          <w:u w:val="single"/>
        </w:rPr>
        <w:t>BiPhasix License</w:t>
      </w:r>
    </w:p>
    <w:p w14:paraId="13C109F4" w14:textId="77777777" w:rsidR="00E504AC" w:rsidRDefault="00E504AC" w:rsidP="00E504AC">
      <w:pPr>
        <w:spacing w:after="0" w:line="240" w:lineRule="auto"/>
        <w:ind w:left="720"/>
        <w:jc w:val="both"/>
        <w:rPr>
          <w:rFonts w:ascii="Arial" w:eastAsia="Times New Roman" w:hAnsi="Arial" w:cs="Arial"/>
          <w:bCs/>
          <w:szCs w:val="20"/>
        </w:rPr>
      </w:pPr>
    </w:p>
    <w:p w14:paraId="6FA79C98" w14:textId="408EFB44" w:rsidR="00E504AC" w:rsidRDefault="00E504AC" w:rsidP="009727AD">
      <w:pPr>
        <w:spacing w:after="0" w:line="240" w:lineRule="auto"/>
        <w:ind w:left="450"/>
        <w:jc w:val="both"/>
        <w:rPr>
          <w:rFonts w:ascii="Arial" w:eastAsia="Times New Roman" w:hAnsi="Arial" w:cs="Arial"/>
          <w:bCs/>
          <w:szCs w:val="20"/>
        </w:rPr>
      </w:pPr>
      <w:r w:rsidRPr="00BA56F7">
        <w:rPr>
          <w:rFonts w:ascii="Arial" w:eastAsia="Times New Roman" w:hAnsi="Arial" w:cs="Arial"/>
          <w:bCs/>
          <w:szCs w:val="20"/>
        </w:rPr>
        <w:t>On September 12, 2017, the Company entered into a licensing agreement with Altum Pharmaceuticals Inc. (“Altum”)</w:t>
      </w:r>
      <w:r>
        <w:rPr>
          <w:rFonts w:ascii="Arial" w:eastAsia="Times New Roman" w:hAnsi="Arial" w:cs="Arial"/>
          <w:bCs/>
          <w:szCs w:val="20"/>
        </w:rPr>
        <w:t xml:space="preserve">, </w:t>
      </w:r>
      <w:r w:rsidRPr="00BA56F7">
        <w:rPr>
          <w:rFonts w:ascii="Arial" w:eastAsia="Times New Roman" w:hAnsi="Arial" w:cs="Arial"/>
          <w:bCs/>
          <w:szCs w:val="20"/>
        </w:rPr>
        <w:t xml:space="preserve">whereby the Company acquired worldwide rights to the BiPhasix™ transdermal drug delivery technology for the development and commercialization of </w:t>
      </w:r>
      <w:r w:rsidR="00690095">
        <w:rPr>
          <w:rFonts w:ascii="Arial" w:eastAsia="Times New Roman" w:hAnsi="Arial" w:cs="Arial"/>
          <w:bCs/>
          <w:szCs w:val="20"/>
        </w:rPr>
        <w:t>c</w:t>
      </w:r>
      <w:r w:rsidRPr="00BA56F7">
        <w:rPr>
          <w:rFonts w:ascii="Arial" w:eastAsia="Times New Roman" w:hAnsi="Arial" w:cs="Arial"/>
          <w:bCs/>
          <w:szCs w:val="20"/>
        </w:rPr>
        <w:t xml:space="preserve">annabinoids, </w:t>
      </w:r>
      <w:r w:rsidR="00690095">
        <w:rPr>
          <w:rFonts w:ascii="Arial" w:eastAsia="Times New Roman" w:hAnsi="Arial" w:cs="Arial"/>
          <w:bCs/>
          <w:szCs w:val="20"/>
        </w:rPr>
        <w:t>c</w:t>
      </w:r>
      <w:r w:rsidRPr="00BA56F7">
        <w:rPr>
          <w:rFonts w:ascii="Arial" w:eastAsia="Times New Roman" w:hAnsi="Arial" w:cs="Arial"/>
          <w:bCs/>
          <w:szCs w:val="20"/>
        </w:rPr>
        <w:t xml:space="preserve">annabidiol and </w:t>
      </w:r>
      <w:r w:rsidR="00690095">
        <w:rPr>
          <w:rFonts w:ascii="Arial" w:eastAsia="Times New Roman" w:hAnsi="Arial" w:cs="Arial"/>
          <w:bCs/>
          <w:szCs w:val="20"/>
        </w:rPr>
        <w:t>t</w:t>
      </w:r>
      <w:r w:rsidRPr="00BA56F7">
        <w:rPr>
          <w:rFonts w:ascii="Arial" w:eastAsia="Times New Roman" w:hAnsi="Arial" w:cs="Arial"/>
          <w:bCs/>
          <w:szCs w:val="20"/>
        </w:rPr>
        <w:t>etrahydrocannabinol products.  Consideration included:</w:t>
      </w:r>
    </w:p>
    <w:p w14:paraId="32016731" w14:textId="77777777" w:rsidR="00E504AC" w:rsidRDefault="00E504AC" w:rsidP="00F15B99">
      <w:pPr>
        <w:spacing w:after="0" w:line="240" w:lineRule="auto"/>
        <w:ind w:left="450"/>
        <w:rPr>
          <w:rFonts w:ascii="Arial" w:hAnsi="Arial" w:cs="Arial"/>
          <w:bCs/>
          <w:szCs w:val="20"/>
        </w:rPr>
      </w:pPr>
    </w:p>
    <w:p w14:paraId="0EE10C8C" w14:textId="46477CE7" w:rsidR="00E504AC" w:rsidRDefault="00E504AC" w:rsidP="00E504AC">
      <w:pPr>
        <w:pStyle w:val="ListParagraph"/>
        <w:numPr>
          <w:ilvl w:val="0"/>
          <w:numId w:val="31"/>
        </w:numPr>
        <w:spacing w:after="0" w:line="240" w:lineRule="auto"/>
        <w:jc w:val="both"/>
        <w:rPr>
          <w:rFonts w:ascii="Arial" w:eastAsia="Times New Roman" w:hAnsi="Arial" w:cs="Arial"/>
          <w:bCs/>
          <w:szCs w:val="20"/>
        </w:rPr>
      </w:pPr>
      <w:r w:rsidRPr="00E54C87">
        <w:rPr>
          <w:rFonts w:ascii="Arial" w:eastAsia="Times New Roman" w:hAnsi="Arial" w:cs="Arial"/>
          <w:bCs/>
          <w:szCs w:val="20"/>
        </w:rPr>
        <w:t xml:space="preserve">Issuance of 2,500,000 </w:t>
      </w:r>
      <w:r w:rsidR="00F07391">
        <w:rPr>
          <w:rFonts w:ascii="Arial" w:eastAsia="Times New Roman" w:hAnsi="Arial" w:cs="Arial"/>
          <w:bCs/>
          <w:szCs w:val="20"/>
        </w:rPr>
        <w:t>common shares</w:t>
      </w:r>
      <w:r w:rsidRPr="00E54C87">
        <w:rPr>
          <w:rFonts w:ascii="Arial" w:eastAsia="Times New Roman" w:hAnsi="Arial" w:cs="Arial"/>
          <w:bCs/>
          <w:szCs w:val="20"/>
        </w:rPr>
        <w:t xml:space="preserve"> on September 12, 2017 valued at $</w:t>
      </w:r>
      <w:r>
        <w:rPr>
          <w:rFonts w:ascii="Arial" w:eastAsia="Times New Roman" w:hAnsi="Arial" w:cs="Arial"/>
          <w:bCs/>
          <w:szCs w:val="20"/>
        </w:rPr>
        <w:t xml:space="preserve">319,174, which was recorded as an intangible asset with a corresponding credit to common </w:t>
      </w:r>
      <w:r w:rsidR="00F07391">
        <w:rPr>
          <w:rFonts w:ascii="Arial" w:eastAsia="Times New Roman" w:hAnsi="Arial" w:cs="Arial"/>
          <w:bCs/>
          <w:szCs w:val="20"/>
        </w:rPr>
        <w:t>shares</w:t>
      </w:r>
      <w:r w:rsidRPr="00E54C87">
        <w:rPr>
          <w:rFonts w:ascii="Arial" w:eastAsia="Times New Roman" w:hAnsi="Arial" w:cs="Arial"/>
          <w:bCs/>
          <w:szCs w:val="20"/>
        </w:rPr>
        <w:t>;</w:t>
      </w:r>
    </w:p>
    <w:p w14:paraId="6AAB217C" w14:textId="77777777" w:rsidR="00E504AC" w:rsidRPr="00E54C87" w:rsidRDefault="00E504AC" w:rsidP="00E504AC">
      <w:pPr>
        <w:pStyle w:val="ListParagraph"/>
        <w:spacing w:after="0" w:line="240" w:lineRule="auto"/>
        <w:ind w:left="1080"/>
        <w:jc w:val="both"/>
        <w:rPr>
          <w:rFonts w:ascii="Arial" w:eastAsia="Times New Roman" w:hAnsi="Arial" w:cs="Arial"/>
          <w:bCs/>
          <w:szCs w:val="20"/>
        </w:rPr>
      </w:pPr>
    </w:p>
    <w:p w14:paraId="42308EF4" w14:textId="0F597DC7" w:rsidR="00E504AC" w:rsidRPr="00E54C87" w:rsidRDefault="00E504AC" w:rsidP="00E504AC">
      <w:pPr>
        <w:pStyle w:val="ListParagraph"/>
        <w:numPr>
          <w:ilvl w:val="0"/>
          <w:numId w:val="31"/>
        </w:numPr>
        <w:spacing w:after="0" w:line="240" w:lineRule="auto"/>
        <w:jc w:val="both"/>
        <w:rPr>
          <w:rFonts w:ascii="Arial" w:eastAsia="Times New Roman" w:hAnsi="Arial" w:cs="Arial"/>
          <w:bCs/>
          <w:szCs w:val="20"/>
        </w:rPr>
      </w:pPr>
      <w:r w:rsidRPr="00E54C87">
        <w:rPr>
          <w:rFonts w:ascii="Arial" w:eastAsia="Times New Roman" w:hAnsi="Arial" w:cs="Arial"/>
          <w:bCs/>
          <w:szCs w:val="20"/>
        </w:rPr>
        <w:t xml:space="preserve">Issuance of 2,500,000 </w:t>
      </w:r>
      <w:r w:rsidR="00F07391">
        <w:rPr>
          <w:rFonts w:ascii="Arial" w:eastAsia="Times New Roman" w:hAnsi="Arial" w:cs="Arial"/>
          <w:bCs/>
          <w:szCs w:val="20"/>
        </w:rPr>
        <w:t>common shares</w:t>
      </w:r>
      <w:r w:rsidRPr="00E54C87">
        <w:rPr>
          <w:rFonts w:ascii="Arial" w:eastAsia="Times New Roman" w:hAnsi="Arial" w:cs="Arial"/>
          <w:bCs/>
          <w:szCs w:val="20"/>
        </w:rPr>
        <w:t xml:space="preserve"> of </w:t>
      </w:r>
      <w:r w:rsidR="00517DED">
        <w:rPr>
          <w:rFonts w:ascii="Arial" w:eastAsia="Times New Roman" w:hAnsi="Arial" w:cs="Arial"/>
          <w:bCs/>
          <w:szCs w:val="20"/>
        </w:rPr>
        <w:t>the Company</w:t>
      </w:r>
      <w:r w:rsidRPr="00E54C87">
        <w:rPr>
          <w:rFonts w:ascii="Arial" w:eastAsia="Times New Roman" w:hAnsi="Arial" w:cs="Arial"/>
          <w:bCs/>
          <w:szCs w:val="20"/>
        </w:rPr>
        <w:t xml:space="preserve"> upon Health Canada Natural Product Number approval (not yet issued as of the date of this report); </w:t>
      </w:r>
    </w:p>
    <w:p w14:paraId="05428879" w14:textId="77777777" w:rsidR="0007122C" w:rsidRPr="00F90149" w:rsidRDefault="0007122C" w:rsidP="00E504AC">
      <w:pPr>
        <w:tabs>
          <w:tab w:val="left" w:pos="450"/>
        </w:tabs>
        <w:spacing w:after="0"/>
        <w:rPr>
          <w:rFonts w:ascii="Arial" w:hAnsi="Arial" w:cs="Arial"/>
          <w:szCs w:val="20"/>
        </w:rPr>
      </w:pPr>
    </w:p>
    <w:p w14:paraId="13966DF0" w14:textId="77777777" w:rsidR="00E504AC" w:rsidRPr="00E54C87" w:rsidRDefault="00E504AC" w:rsidP="00E504AC">
      <w:pPr>
        <w:pStyle w:val="ListParagraph"/>
        <w:numPr>
          <w:ilvl w:val="0"/>
          <w:numId w:val="31"/>
        </w:numPr>
        <w:spacing w:after="0" w:line="240" w:lineRule="auto"/>
        <w:jc w:val="both"/>
        <w:rPr>
          <w:rFonts w:ascii="Arial" w:eastAsia="Times New Roman" w:hAnsi="Arial" w:cs="Arial"/>
          <w:bCs/>
          <w:szCs w:val="20"/>
        </w:rPr>
      </w:pPr>
      <w:r w:rsidRPr="00E54C87">
        <w:rPr>
          <w:rFonts w:ascii="Arial" w:eastAsia="Times New Roman" w:hAnsi="Arial" w:cs="Arial"/>
          <w:bCs/>
          <w:szCs w:val="20"/>
        </w:rPr>
        <w:t>Royalties on annual gross sales; and</w:t>
      </w:r>
    </w:p>
    <w:p w14:paraId="0D044DEF" w14:textId="77777777" w:rsidR="00E504AC" w:rsidRPr="00E54C87" w:rsidRDefault="00E504AC" w:rsidP="00E504AC">
      <w:pPr>
        <w:spacing w:after="0" w:line="240" w:lineRule="auto"/>
        <w:jc w:val="both"/>
        <w:rPr>
          <w:rFonts w:ascii="Arial" w:eastAsia="Times New Roman" w:hAnsi="Arial" w:cs="Arial"/>
          <w:bCs/>
          <w:szCs w:val="20"/>
        </w:rPr>
      </w:pPr>
    </w:p>
    <w:p w14:paraId="792E70B5" w14:textId="7C14272D" w:rsidR="00E504AC" w:rsidRPr="00E54C87" w:rsidRDefault="00E504AC" w:rsidP="00E504AC">
      <w:pPr>
        <w:pStyle w:val="ListParagraph"/>
        <w:numPr>
          <w:ilvl w:val="0"/>
          <w:numId w:val="31"/>
        </w:numPr>
        <w:spacing w:after="0" w:line="240" w:lineRule="auto"/>
        <w:jc w:val="both"/>
        <w:rPr>
          <w:rFonts w:ascii="Arial" w:eastAsia="Times New Roman" w:hAnsi="Arial" w:cs="Arial"/>
          <w:bCs/>
          <w:szCs w:val="20"/>
        </w:rPr>
      </w:pPr>
      <w:r w:rsidRPr="00E54C87">
        <w:rPr>
          <w:rFonts w:ascii="Arial" w:eastAsia="Times New Roman" w:hAnsi="Arial" w:cs="Arial"/>
          <w:bCs/>
          <w:szCs w:val="20"/>
        </w:rPr>
        <w:t xml:space="preserve">For pharmaceutical products, milestone payments payable upon first Investigative New Drug Approval, upon positive outcome of Phase II trial in first indication, and upon New Drug Application approval.  As of </w:t>
      </w:r>
      <w:r w:rsidR="009727AD">
        <w:rPr>
          <w:rFonts w:ascii="Arial" w:eastAsia="Times New Roman" w:hAnsi="Arial" w:cs="Arial"/>
          <w:bCs/>
          <w:szCs w:val="20"/>
        </w:rPr>
        <w:t>October</w:t>
      </w:r>
      <w:r w:rsidRPr="00E54C87">
        <w:rPr>
          <w:rFonts w:ascii="Arial" w:eastAsia="Times New Roman" w:hAnsi="Arial" w:cs="Arial"/>
          <w:bCs/>
          <w:szCs w:val="20"/>
        </w:rPr>
        <w:t xml:space="preserve"> 31, 2019, no milestones have been achieved.</w:t>
      </w:r>
    </w:p>
    <w:p w14:paraId="05A6DA60" w14:textId="77777777" w:rsidR="00E504AC" w:rsidRDefault="00E504AC" w:rsidP="00E504AC">
      <w:pPr>
        <w:tabs>
          <w:tab w:val="left" w:pos="450"/>
        </w:tabs>
        <w:spacing w:after="0" w:line="240" w:lineRule="auto"/>
        <w:ind w:left="450"/>
        <w:jc w:val="both"/>
        <w:rPr>
          <w:rFonts w:ascii="Arial" w:eastAsia="Times New Roman" w:hAnsi="Arial" w:cs="Arial"/>
          <w:bCs/>
          <w:szCs w:val="20"/>
        </w:rPr>
      </w:pPr>
    </w:p>
    <w:p w14:paraId="7F835882" w14:textId="5A63B2BE" w:rsidR="00E504AC" w:rsidRDefault="00036EC0" w:rsidP="00E504AC">
      <w:pPr>
        <w:tabs>
          <w:tab w:val="left" w:pos="450"/>
        </w:tabs>
        <w:spacing w:after="0" w:line="240" w:lineRule="auto"/>
        <w:jc w:val="both"/>
        <w:rPr>
          <w:rFonts w:ascii="Arial" w:hAnsi="Arial" w:cs="Arial"/>
          <w:b/>
          <w:bCs/>
          <w:szCs w:val="20"/>
        </w:rPr>
      </w:pPr>
      <w:r w:rsidRPr="007975AC">
        <w:rPr>
          <w:rFonts w:ascii="Arial" w:hAnsi="Arial" w:cs="Arial"/>
          <w:b/>
          <w:bCs/>
          <w:szCs w:val="20"/>
        </w:rPr>
        <w:t>9</w:t>
      </w:r>
      <w:r w:rsidR="00E504AC" w:rsidRPr="007975AC">
        <w:rPr>
          <w:rFonts w:ascii="Arial" w:hAnsi="Arial" w:cs="Arial"/>
          <w:b/>
          <w:bCs/>
          <w:szCs w:val="20"/>
        </w:rPr>
        <w:t>.</w:t>
      </w:r>
      <w:r w:rsidR="00E504AC" w:rsidRPr="007975AC">
        <w:rPr>
          <w:rFonts w:ascii="Arial" w:hAnsi="Arial" w:cs="Arial"/>
          <w:b/>
          <w:bCs/>
          <w:szCs w:val="20"/>
        </w:rPr>
        <w:tab/>
        <w:t>Operating Leases</w:t>
      </w:r>
    </w:p>
    <w:tbl>
      <w:tblPr>
        <w:tblW w:w="8791" w:type="dxa"/>
        <w:tblInd w:w="450" w:type="dxa"/>
        <w:tblLayout w:type="fixed"/>
        <w:tblCellMar>
          <w:left w:w="0" w:type="dxa"/>
          <w:right w:w="0" w:type="dxa"/>
        </w:tblCellMar>
        <w:tblLook w:val="0000" w:firstRow="0" w:lastRow="0" w:firstColumn="0" w:lastColumn="0" w:noHBand="0" w:noVBand="0"/>
      </w:tblPr>
      <w:tblGrid>
        <w:gridCol w:w="5850"/>
        <w:gridCol w:w="1559"/>
        <w:gridCol w:w="1382"/>
      </w:tblGrid>
      <w:tr w:rsidR="00E504AC" w:rsidRPr="00E504AC" w14:paraId="4B96DE07" w14:textId="77777777" w:rsidTr="00C74354">
        <w:tc>
          <w:tcPr>
            <w:tcW w:w="5850" w:type="dxa"/>
            <w:tcBorders>
              <w:top w:val="nil"/>
              <w:left w:val="nil"/>
              <w:bottom w:val="single" w:sz="4" w:space="0" w:color="auto"/>
            </w:tcBorders>
            <w:vAlign w:val="bottom"/>
          </w:tcPr>
          <w:p w14:paraId="551CD4D4" w14:textId="6E011813" w:rsidR="00E504AC" w:rsidRPr="00CF1F57" w:rsidRDefault="00E504AC" w:rsidP="00C74354">
            <w:pPr>
              <w:spacing w:after="0"/>
              <w:rPr>
                <w:rFonts w:ascii="Arial" w:hAnsi="Arial" w:cs="Arial"/>
                <w:b/>
                <w:szCs w:val="20"/>
              </w:rPr>
            </w:pPr>
            <w:r w:rsidRPr="00CF1F57">
              <w:rPr>
                <w:rFonts w:ascii="Arial" w:hAnsi="Arial" w:cs="Arial"/>
                <w:b/>
                <w:bCs/>
                <w:szCs w:val="20"/>
              </w:rPr>
              <w:tab/>
            </w:r>
          </w:p>
        </w:tc>
        <w:tc>
          <w:tcPr>
            <w:tcW w:w="1559" w:type="dxa"/>
            <w:tcBorders>
              <w:top w:val="nil"/>
              <w:left w:val="nil"/>
              <w:bottom w:val="single" w:sz="4" w:space="0" w:color="auto"/>
              <w:right w:val="nil"/>
            </w:tcBorders>
          </w:tcPr>
          <w:p w14:paraId="4E1DA2EE" w14:textId="77777777" w:rsidR="00E504AC" w:rsidRPr="00E504AC" w:rsidRDefault="00E504AC" w:rsidP="00C74354">
            <w:pPr>
              <w:spacing w:after="0"/>
              <w:ind w:left="90"/>
              <w:jc w:val="center"/>
              <w:rPr>
                <w:rFonts w:ascii="Arial" w:hAnsi="Arial" w:cs="Arial"/>
                <w:szCs w:val="20"/>
              </w:rPr>
            </w:pPr>
          </w:p>
          <w:p w14:paraId="05C9D216" w14:textId="4A1F49BD" w:rsidR="00E504AC" w:rsidRPr="00E504AC" w:rsidRDefault="00E504AC" w:rsidP="00C74354">
            <w:pPr>
              <w:spacing w:after="0"/>
              <w:ind w:left="90"/>
              <w:jc w:val="center"/>
              <w:rPr>
                <w:rFonts w:ascii="Arial" w:hAnsi="Arial" w:cs="Arial"/>
                <w:szCs w:val="20"/>
              </w:rPr>
            </w:pPr>
          </w:p>
        </w:tc>
        <w:tc>
          <w:tcPr>
            <w:tcW w:w="1382" w:type="dxa"/>
            <w:tcBorders>
              <w:top w:val="nil"/>
              <w:left w:val="nil"/>
              <w:bottom w:val="single" w:sz="4" w:space="0" w:color="auto"/>
              <w:right w:val="nil"/>
            </w:tcBorders>
          </w:tcPr>
          <w:p w14:paraId="0CBB19D4" w14:textId="77777777" w:rsidR="00CF1F57" w:rsidRPr="00E504AC" w:rsidRDefault="00CF1F57" w:rsidP="00CF1F57">
            <w:pPr>
              <w:spacing w:after="0"/>
              <w:ind w:left="90"/>
              <w:jc w:val="center"/>
              <w:rPr>
                <w:rFonts w:ascii="Arial" w:hAnsi="Arial" w:cs="Arial"/>
                <w:szCs w:val="20"/>
              </w:rPr>
            </w:pPr>
            <w:r w:rsidRPr="00E504AC">
              <w:rPr>
                <w:rFonts w:ascii="Arial" w:hAnsi="Arial" w:cs="Arial"/>
                <w:szCs w:val="20"/>
              </w:rPr>
              <w:t>Right-of-use</w:t>
            </w:r>
          </w:p>
          <w:p w14:paraId="266F1AEF" w14:textId="77777777" w:rsidR="00CF1F57" w:rsidRDefault="00CF1F57" w:rsidP="00CF1F57">
            <w:pPr>
              <w:spacing w:after="0"/>
              <w:ind w:left="90"/>
              <w:jc w:val="center"/>
              <w:rPr>
                <w:rFonts w:ascii="Arial" w:hAnsi="Arial" w:cs="Arial"/>
                <w:szCs w:val="20"/>
              </w:rPr>
            </w:pPr>
            <w:r w:rsidRPr="00E504AC">
              <w:rPr>
                <w:rFonts w:ascii="Arial" w:hAnsi="Arial" w:cs="Arial"/>
                <w:szCs w:val="20"/>
              </w:rPr>
              <w:t>Asset</w:t>
            </w:r>
          </w:p>
          <w:p w14:paraId="332FCB4B" w14:textId="0F68FF85" w:rsidR="00E504AC" w:rsidRPr="00E504AC" w:rsidRDefault="00E504AC" w:rsidP="00CF1F57">
            <w:pPr>
              <w:spacing w:after="0"/>
              <w:ind w:left="90"/>
              <w:jc w:val="center"/>
              <w:rPr>
                <w:rFonts w:ascii="Arial" w:hAnsi="Arial" w:cs="Arial"/>
                <w:szCs w:val="20"/>
              </w:rPr>
            </w:pPr>
            <w:r w:rsidRPr="00E504AC">
              <w:rPr>
                <w:rFonts w:ascii="Arial" w:hAnsi="Arial" w:cs="Arial"/>
                <w:szCs w:val="20"/>
              </w:rPr>
              <w:t>$</w:t>
            </w:r>
          </w:p>
        </w:tc>
      </w:tr>
      <w:tr w:rsidR="00E504AC" w:rsidRPr="00E504AC" w14:paraId="22F7FDA5" w14:textId="77777777" w:rsidTr="00C74354">
        <w:trPr>
          <w:trHeight w:hRule="exact" w:val="113"/>
        </w:trPr>
        <w:tc>
          <w:tcPr>
            <w:tcW w:w="5850" w:type="dxa"/>
            <w:tcBorders>
              <w:left w:val="nil"/>
            </w:tcBorders>
            <w:vAlign w:val="bottom"/>
          </w:tcPr>
          <w:p w14:paraId="75D08DF4" w14:textId="77777777" w:rsidR="00E504AC" w:rsidRPr="00E504AC" w:rsidRDefault="00E504AC" w:rsidP="00C74354">
            <w:pPr>
              <w:spacing w:after="0"/>
              <w:rPr>
                <w:rFonts w:ascii="Arial" w:hAnsi="Arial" w:cs="Arial"/>
                <w:szCs w:val="20"/>
              </w:rPr>
            </w:pPr>
          </w:p>
        </w:tc>
        <w:tc>
          <w:tcPr>
            <w:tcW w:w="1559" w:type="dxa"/>
            <w:tcBorders>
              <w:left w:val="nil"/>
              <w:right w:val="nil"/>
            </w:tcBorders>
          </w:tcPr>
          <w:p w14:paraId="5CE2BA8E" w14:textId="77777777" w:rsidR="00E504AC" w:rsidRPr="00E504AC" w:rsidRDefault="00E504AC" w:rsidP="00C74354">
            <w:pPr>
              <w:spacing w:after="0"/>
              <w:ind w:right="369"/>
              <w:jc w:val="right"/>
              <w:rPr>
                <w:rFonts w:ascii="Arial" w:hAnsi="Arial" w:cs="Arial"/>
                <w:szCs w:val="20"/>
              </w:rPr>
            </w:pPr>
          </w:p>
        </w:tc>
        <w:tc>
          <w:tcPr>
            <w:tcW w:w="1382" w:type="dxa"/>
            <w:tcBorders>
              <w:left w:val="nil"/>
              <w:right w:val="nil"/>
            </w:tcBorders>
          </w:tcPr>
          <w:p w14:paraId="011BCF9A" w14:textId="77777777" w:rsidR="00E504AC" w:rsidRPr="00E504AC" w:rsidRDefault="00E504AC" w:rsidP="00C74354">
            <w:pPr>
              <w:spacing w:after="0"/>
              <w:ind w:right="369"/>
              <w:jc w:val="right"/>
              <w:rPr>
                <w:rFonts w:ascii="Arial" w:hAnsi="Arial" w:cs="Arial"/>
                <w:szCs w:val="20"/>
              </w:rPr>
            </w:pPr>
          </w:p>
        </w:tc>
      </w:tr>
      <w:tr w:rsidR="00E504AC" w:rsidRPr="00E504AC" w14:paraId="5245DFFD" w14:textId="77777777" w:rsidTr="00C74354">
        <w:tc>
          <w:tcPr>
            <w:tcW w:w="5850" w:type="dxa"/>
            <w:tcBorders>
              <w:left w:val="nil"/>
            </w:tcBorders>
            <w:vAlign w:val="bottom"/>
          </w:tcPr>
          <w:p w14:paraId="1ECA6D59" w14:textId="4B39D306" w:rsidR="00E504AC" w:rsidRPr="00E504AC" w:rsidRDefault="00E504AC" w:rsidP="00CF1F57">
            <w:pPr>
              <w:spacing w:after="0"/>
              <w:rPr>
                <w:rFonts w:ascii="Arial" w:hAnsi="Arial" w:cs="Arial"/>
                <w:szCs w:val="20"/>
              </w:rPr>
            </w:pPr>
            <w:r w:rsidRPr="00E504AC">
              <w:rPr>
                <w:rFonts w:ascii="Arial" w:hAnsi="Arial" w:cs="Arial"/>
                <w:szCs w:val="20"/>
              </w:rPr>
              <w:t xml:space="preserve">Balance, </w:t>
            </w:r>
            <w:r>
              <w:rPr>
                <w:rFonts w:ascii="Arial" w:hAnsi="Arial" w:cs="Arial"/>
                <w:szCs w:val="20"/>
              </w:rPr>
              <w:t>February 1, 2018</w:t>
            </w:r>
          </w:p>
        </w:tc>
        <w:tc>
          <w:tcPr>
            <w:tcW w:w="1559" w:type="dxa"/>
            <w:tcBorders>
              <w:left w:val="nil"/>
              <w:right w:val="nil"/>
            </w:tcBorders>
          </w:tcPr>
          <w:p w14:paraId="56D1BC78" w14:textId="2D5CA8E2" w:rsidR="00E504AC" w:rsidRPr="00E504AC" w:rsidRDefault="00E504AC" w:rsidP="00C74354">
            <w:pPr>
              <w:spacing w:after="0"/>
              <w:ind w:right="173"/>
              <w:jc w:val="right"/>
              <w:rPr>
                <w:rFonts w:ascii="Arial" w:hAnsi="Arial" w:cs="Arial"/>
                <w:szCs w:val="20"/>
              </w:rPr>
            </w:pPr>
          </w:p>
        </w:tc>
        <w:tc>
          <w:tcPr>
            <w:tcW w:w="1382" w:type="dxa"/>
            <w:tcBorders>
              <w:left w:val="nil"/>
              <w:right w:val="nil"/>
            </w:tcBorders>
          </w:tcPr>
          <w:p w14:paraId="47383494" w14:textId="77777777" w:rsidR="00E504AC" w:rsidRPr="00E504AC" w:rsidRDefault="00E504AC" w:rsidP="00C74354">
            <w:pPr>
              <w:spacing w:after="0"/>
              <w:ind w:right="173"/>
              <w:jc w:val="right"/>
              <w:rPr>
                <w:rFonts w:ascii="Arial" w:hAnsi="Arial" w:cs="Arial"/>
                <w:szCs w:val="20"/>
              </w:rPr>
            </w:pPr>
            <w:r w:rsidRPr="00E504AC">
              <w:rPr>
                <w:rFonts w:ascii="Arial" w:hAnsi="Arial" w:cs="Arial"/>
                <w:szCs w:val="20"/>
              </w:rPr>
              <w:t>–</w:t>
            </w:r>
          </w:p>
        </w:tc>
      </w:tr>
      <w:tr w:rsidR="00E504AC" w:rsidRPr="00E504AC" w14:paraId="32B29F0C" w14:textId="77777777" w:rsidTr="00C74354">
        <w:tc>
          <w:tcPr>
            <w:tcW w:w="5850" w:type="dxa"/>
            <w:tcBorders>
              <w:left w:val="nil"/>
            </w:tcBorders>
            <w:vAlign w:val="bottom"/>
          </w:tcPr>
          <w:p w14:paraId="5DAEDF06" w14:textId="1D8DC2A4" w:rsidR="00E504AC" w:rsidRPr="00E504AC" w:rsidRDefault="00E504AC" w:rsidP="00E504AC">
            <w:pPr>
              <w:spacing w:after="0"/>
              <w:rPr>
                <w:rFonts w:ascii="Arial" w:hAnsi="Arial" w:cs="Arial"/>
                <w:szCs w:val="20"/>
              </w:rPr>
            </w:pPr>
            <w:r w:rsidRPr="00E504AC">
              <w:rPr>
                <w:rFonts w:ascii="Arial" w:hAnsi="Arial" w:cs="Arial"/>
                <w:szCs w:val="20"/>
              </w:rPr>
              <w:t xml:space="preserve">Adoption of </w:t>
            </w:r>
            <w:r>
              <w:rPr>
                <w:rFonts w:ascii="Arial" w:hAnsi="Arial" w:cs="Arial"/>
                <w:szCs w:val="20"/>
              </w:rPr>
              <w:t>IFRS 16</w:t>
            </w:r>
            <w:r w:rsidRPr="00E504AC">
              <w:rPr>
                <w:rFonts w:ascii="Arial" w:hAnsi="Arial" w:cs="Arial"/>
                <w:szCs w:val="20"/>
              </w:rPr>
              <w:t xml:space="preserve"> (Note 3</w:t>
            </w:r>
            <w:r w:rsidR="00FB4135">
              <w:rPr>
                <w:rFonts w:ascii="Arial" w:hAnsi="Arial" w:cs="Arial"/>
                <w:szCs w:val="20"/>
              </w:rPr>
              <w:t>(c)</w:t>
            </w:r>
            <w:r w:rsidRPr="00E504AC">
              <w:rPr>
                <w:rFonts w:ascii="Arial" w:hAnsi="Arial" w:cs="Arial"/>
                <w:szCs w:val="20"/>
              </w:rPr>
              <w:t>)</w:t>
            </w:r>
          </w:p>
        </w:tc>
        <w:tc>
          <w:tcPr>
            <w:tcW w:w="1559" w:type="dxa"/>
            <w:tcBorders>
              <w:left w:val="nil"/>
              <w:right w:val="nil"/>
            </w:tcBorders>
          </w:tcPr>
          <w:p w14:paraId="18AEDB86" w14:textId="56C7BC0B" w:rsidR="00E504AC" w:rsidRPr="00E504AC" w:rsidRDefault="00E504AC" w:rsidP="00C74354">
            <w:pPr>
              <w:spacing w:after="0"/>
              <w:ind w:right="173"/>
              <w:jc w:val="right"/>
              <w:rPr>
                <w:rFonts w:ascii="Arial" w:hAnsi="Arial" w:cs="Arial"/>
                <w:szCs w:val="20"/>
              </w:rPr>
            </w:pPr>
          </w:p>
        </w:tc>
        <w:tc>
          <w:tcPr>
            <w:tcW w:w="1382" w:type="dxa"/>
            <w:tcBorders>
              <w:left w:val="nil"/>
              <w:right w:val="nil"/>
            </w:tcBorders>
          </w:tcPr>
          <w:p w14:paraId="07285E34" w14:textId="3C139CB5" w:rsidR="00E504AC" w:rsidRPr="00E504AC" w:rsidRDefault="00E504AC" w:rsidP="00CF1F57">
            <w:pPr>
              <w:spacing w:after="0"/>
              <w:ind w:right="173"/>
              <w:jc w:val="right"/>
              <w:rPr>
                <w:rFonts w:ascii="Arial" w:hAnsi="Arial" w:cs="Arial"/>
                <w:szCs w:val="20"/>
              </w:rPr>
            </w:pPr>
            <w:r w:rsidRPr="00E504AC">
              <w:rPr>
                <w:rFonts w:ascii="Arial" w:hAnsi="Arial" w:cs="Arial"/>
                <w:szCs w:val="20"/>
              </w:rPr>
              <w:t>1,</w:t>
            </w:r>
            <w:r w:rsidR="00CF1F57">
              <w:rPr>
                <w:rFonts w:ascii="Arial" w:hAnsi="Arial" w:cs="Arial"/>
                <w:szCs w:val="20"/>
              </w:rPr>
              <w:t>367,287</w:t>
            </w:r>
          </w:p>
        </w:tc>
      </w:tr>
      <w:tr w:rsidR="00E504AC" w:rsidRPr="00E504AC" w14:paraId="1872963E" w14:textId="77777777" w:rsidTr="00C74354">
        <w:tc>
          <w:tcPr>
            <w:tcW w:w="5850" w:type="dxa"/>
            <w:tcBorders>
              <w:left w:val="nil"/>
            </w:tcBorders>
            <w:vAlign w:val="bottom"/>
          </w:tcPr>
          <w:p w14:paraId="098C6502" w14:textId="77777777" w:rsidR="00E504AC" w:rsidRPr="00E504AC" w:rsidRDefault="00E504AC" w:rsidP="00C74354">
            <w:pPr>
              <w:spacing w:after="0"/>
              <w:rPr>
                <w:rFonts w:ascii="Arial" w:hAnsi="Arial" w:cs="Arial"/>
                <w:szCs w:val="20"/>
              </w:rPr>
            </w:pPr>
            <w:r w:rsidRPr="00E504AC">
              <w:rPr>
                <w:rFonts w:ascii="Arial" w:hAnsi="Arial" w:cs="Arial"/>
                <w:szCs w:val="20"/>
              </w:rPr>
              <w:t>Lease expense</w:t>
            </w:r>
          </w:p>
        </w:tc>
        <w:tc>
          <w:tcPr>
            <w:tcW w:w="1559" w:type="dxa"/>
            <w:tcBorders>
              <w:left w:val="nil"/>
              <w:right w:val="nil"/>
            </w:tcBorders>
          </w:tcPr>
          <w:p w14:paraId="6A0BA270" w14:textId="4785D8F3" w:rsidR="00E504AC" w:rsidRPr="00E504AC" w:rsidRDefault="00E504AC" w:rsidP="000B086F">
            <w:pPr>
              <w:spacing w:after="0"/>
              <w:ind w:right="173"/>
              <w:jc w:val="right"/>
              <w:rPr>
                <w:rFonts w:ascii="Arial" w:hAnsi="Arial" w:cs="Arial"/>
                <w:szCs w:val="20"/>
              </w:rPr>
            </w:pPr>
          </w:p>
        </w:tc>
        <w:tc>
          <w:tcPr>
            <w:tcW w:w="1382" w:type="dxa"/>
            <w:tcBorders>
              <w:left w:val="nil"/>
              <w:right w:val="nil"/>
            </w:tcBorders>
          </w:tcPr>
          <w:p w14:paraId="5B63A30A" w14:textId="3FDFC23F" w:rsidR="00E504AC" w:rsidRPr="00E504AC" w:rsidRDefault="00CF1F57" w:rsidP="00C74354">
            <w:pPr>
              <w:spacing w:after="0"/>
              <w:ind w:right="173"/>
              <w:jc w:val="right"/>
              <w:rPr>
                <w:rFonts w:ascii="Arial" w:hAnsi="Arial" w:cs="Arial"/>
                <w:szCs w:val="20"/>
              </w:rPr>
            </w:pPr>
            <w:r>
              <w:rPr>
                <w:rFonts w:ascii="Arial" w:hAnsi="Arial" w:cs="Arial"/>
                <w:szCs w:val="20"/>
              </w:rPr>
              <w:t>(242,234)</w:t>
            </w:r>
          </w:p>
        </w:tc>
      </w:tr>
      <w:tr w:rsidR="00E504AC" w:rsidRPr="00E504AC" w14:paraId="0B4057F2" w14:textId="77777777" w:rsidTr="00C74354">
        <w:tc>
          <w:tcPr>
            <w:tcW w:w="5850" w:type="dxa"/>
            <w:tcBorders>
              <w:left w:val="nil"/>
            </w:tcBorders>
            <w:vAlign w:val="bottom"/>
          </w:tcPr>
          <w:p w14:paraId="2C75FBA8" w14:textId="77777777" w:rsidR="00E504AC" w:rsidRPr="00E504AC" w:rsidRDefault="00E504AC" w:rsidP="00C74354">
            <w:pPr>
              <w:spacing w:after="0"/>
              <w:rPr>
                <w:rFonts w:ascii="Arial" w:hAnsi="Arial" w:cs="Arial"/>
                <w:szCs w:val="20"/>
              </w:rPr>
            </w:pPr>
            <w:r w:rsidRPr="00E504AC">
              <w:rPr>
                <w:rFonts w:ascii="Arial" w:hAnsi="Arial" w:cs="Arial"/>
                <w:szCs w:val="20"/>
              </w:rPr>
              <w:t>Effect of foreign exchange rate changes</w:t>
            </w:r>
          </w:p>
        </w:tc>
        <w:tc>
          <w:tcPr>
            <w:tcW w:w="1559" w:type="dxa"/>
            <w:tcBorders>
              <w:left w:val="nil"/>
              <w:right w:val="nil"/>
            </w:tcBorders>
          </w:tcPr>
          <w:p w14:paraId="454426CF" w14:textId="74E0ABC7" w:rsidR="00E504AC" w:rsidRPr="00E504AC" w:rsidRDefault="00E504AC" w:rsidP="00C74354">
            <w:pPr>
              <w:spacing w:after="0"/>
              <w:ind w:right="173"/>
              <w:jc w:val="right"/>
              <w:rPr>
                <w:rFonts w:ascii="Arial" w:hAnsi="Arial" w:cs="Arial"/>
                <w:szCs w:val="20"/>
              </w:rPr>
            </w:pPr>
          </w:p>
        </w:tc>
        <w:tc>
          <w:tcPr>
            <w:tcW w:w="1382" w:type="dxa"/>
            <w:tcBorders>
              <w:left w:val="nil"/>
              <w:right w:val="nil"/>
            </w:tcBorders>
          </w:tcPr>
          <w:p w14:paraId="6291B7AD" w14:textId="1193ECA0" w:rsidR="00E504AC" w:rsidRPr="00E504AC" w:rsidRDefault="00E26400" w:rsidP="00C74354">
            <w:pPr>
              <w:spacing w:after="0"/>
              <w:ind w:right="173"/>
              <w:jc w:val="right"/>
              <w:rPr>
                <w:rFonts w:ascii="Arial" w:hAnsi="Arial" w:cs="Arial"/>
                <w:szCs w:val="20"/>
              </w:rPr>
            </w:pPr>
            <w:r>
              <w:rPr>
                <w:rFonts w:ascii="Arial" w:hAnsi="Arial" w:cs="Arial"/>
                <w:szCs w:val="20"/>
              </w:rPr>
              <w:t>(2,878</w:t>
            </w:r>
            <w:r w:rsidR="00CF1F57">
              <w:rPr>
                <w:rFonts w:ascii="Arial" w:hAnsi="Arial" w:cs="Arial"/>
                <w:szCs w:val="20"/>
              </w:rPr>
              <w:t>)</w:t>
            </w:r>
          </w:p>
        </w:tc>
      </w:tr>
      <w:tr w:rsidR="00E504AC" w:rsidRPr="00E504AC" w14:paraId="68D19C0D" w14:textId="77777777" w:rsidTr="00C74354">
        <w:trPr>
          <w:trHeight w:hRule="exact" w:val="86"/>
        </w:trPr>
        <w:tc>
          <w:tcPr>
            <w:tcW w:w="5850" w:type="dxa"/>
            <w:tcBorders>
              <w:top w:val="single" w:sz="4" w:space="0" w:color="auto"/>
              <w:left w:val="nil"/>
            </w:tcBorders>
            <w:vAlign w:val="bottom"/>
          </w:tcPr>
          <w:p w14:paraId="3E7A8833" w14:textId="77777777" w:rsidR="00E504AC" w:rsidRPr="00E504AC" w:rsidRDefault="00E504AC" w:rsidP="00C74354">
            <w:pPr>
              <w:spacing w:after="0"/>
              <w:rPr>
                <w:rFonts w:ascii="Arial" w:hAnsi="Arial" w:cs="Arial"/>
                <w:szCs w:val="20"/>
              </w:rPr>
            </w:pPr>
          </w:p>
        </w:tc>
        <w:tc>
          <w:tcPr>
            <w:tcW w:w="1559" w:type="dxa"/>
            <w:tcBorders>
              <w:top w:val="single" w:sz="4" w:space="0" w:color="auto"/>
              <w:left w:val="nil"/>
              <w:right w:val="nil"/>
            </w:tcBorders>
          </w:tcPr>
          <w:p w14:paraId="7DC7E996" w14:textId="77777777" w:rsidR="00E504AC" w:rsidRPr="00E504AC" w:rsidRDefault="00E504AC" w:rsidP="00C74354">
            <w:pPr>
              <w:spacing w:after="0"/>
              <w:ind w:right="173"/>
              <w:jc w:val="right"/>
              <w:rPr>
                <w:rFonts w:ascii="Arial" w:hAnsi="Arial" w:cs="Arial"/>
                <w:szCs w:val="20"/>
              </w:rPr>
            </w:pPr>
          </w:p>
        </w:tc>
        <w:tc>
          <w:tcPr>
            <w:tcW w:w="1382" w:type="dxa"/>
            <w:tcBorders>
              <w:top w:val="single" w:sz="4" w:space="0" w:color="auto"/>
              <w:left w:val="nil"/>
              <w:right w:val="nil"/>
            </w:tcBorders>
          </w:tcPr>
          <w:p w14:paraId="79591042" w14:textId="77777777" w:rsidR="00E504AC" w:rsidRPr="00E504AC" w:rsidRDefault="00E504AC" w:rsidP="00C74354">
            <w:pPr>
              <w:spacing w:after="0"/>
              <w:ind w:right="173"/>
              <w:jc w:val="right"/>
              <w:rPr>
                <w:rFonts w:ascii="Arial" w:hAnsi="Arial" w:cs="Arial"/>
                <w:szCs w:val="20"/>
              </w:rPr>
            </w:pPr>
          </w:p>
        </w:tc>
      </w:tr>
      <w:tr w:rsidR="00E504AC" w:rsidRPr="00E504AC" w14:paraId="2CC455A4" w14:textId="77777777" w:rsidTr="00C74354">
        <w:tc>
          <w:tcPr>
            <w:tcW w:w="5850" w:type="dxa"/>
            <w:tcBorders>
              <w:left w:val="nil"/>
            </w:tcBorders>
            <w:vAlign w:val="bottom"/>
          </w:tcPr>
          <w:p w14:paraId="4C5C841A" w14:textId="1E6E9AD8" w:rsidR="00E504AC" w:rsidRPr="00E504AC" w:rsidRDefault="00CF1F57" w:rsidP="00C74354">
            <w:pPr>
              <w:spacing w:after="0"/>
              <w:rPr>
                <w:rFonts w:ascii="Arial" w:hAnsi="Arial" w:cs="Arial"/>
                <w:szCs w:val="20"/>
              </w:rPr>
            </w:pPr>
            <w:r>
              <w:rPr>
                <w:rFonts w:ascii="Arial" w:hAnsi="Arial" w:cs="Arial"/>
                <w:szCs w:val="20"/>
              </w:rPr>
              <w:t>Balance, January 31, 2019</w:t>
            </w:r>
          </w:p>
        </w:tc>
        <w:tc>
          <w:tcPr>
            <w:tcW w:w="1559" w:type="dxa"/>
            <w:tcBorders>
              <w:left w:val="nil"/>
              <w:right w:val="nil"/>
            </w:tcBorders>
          </w:tcPr>
          <w:p w14:paraId="1444AA12" w14:textId="6A2AF8C3" w:rsidR="00E504AC" w:rsidRPr="00E504AC" w:rsidRDefault="00E504AC" w:rsidP="00C74354">
            <w:pPr>
              <w:spacing w:after="0"/>
              <w:ind w:right="173"/>
              <w:jc w:val="right"/>
              <w:rPr>
                <w:rFonts w:ascii="Arial" w:hAnsi="Arial" w:cs="Arial"/>
                <w:szCs w:val="20"/>
              </w:rPr>
            </w:pPr>
          </w:p>
        </w:tc>
        <w:tc>
          <w:tcPr>
            <w:tcW w:w="1382" w:type="dxa"/>
            <w:tcBorders>
              <w:left w:val="nil"/>
              <w:right w:val="nil"/>
            </w:tcBorders>
          </w:tcPr>
          <w:p w14:paraId="293D391A" w14:textId="49883EAC" w:rsidR="00E504AC" w:rsidRPr="00E504AC" w:rsidRDefault="00E504AC" w:rsidP="00CF1F57">
            <w:pPr>
              <w:spacing w:after="0"/>
              <w:ind w:right="173"/>
              <w:jc w:val="right"/>
              <w:rPr>
                <w:rFonts w:ascii="Arial" w:hAnsi="Arial" w:cs="Arial"/>
                <w:szCs w:val="20"/>
              </w:rPr>
            </w:pPr>
            <w:r w:rsidRPr="00E504AC">
              <w:rPr>
                <w:rFonts w:ascii="Arial" w:hAnsi="Arial" w:cs="Arial"/>
                <w:szCs w:val="20"/>
              </w:rPr>
              <w:t>1,</w:t>
            </w:r>
            <w:r w:rsidR="00CF1F57">
              <w:rPr>
                <w:rFonts w:ascii="Arial" w:hAnsi="Arial" w:cs="Arial"/>
                <w:szCs w:val="20"/>
              </w:rPr>
              <w:t>122,175</w:t>
            </w:r>
          </w:p>
        </w:tc>
      </w:tr>
      <w:tr w:rsidR="00CF1F57" w:rsidRPr="00E504AC" w14:paraId="1BEE5A7A" w14:textId="77777777" w:rsidTr="00DB7415">
        <w:tc>
          <w:tcPr>
            <w:tcW w:w="5850" w:type="dxa"/>
            <w:tcBorders>
              <w:left w:val="nil"/>
            </w:tcBorders>
            <w:vAlign w:val="bottom"/>
          </w:tcPr>
          <w:p w14:paraId="1CA65330" w14:textId="77777777" w:rsidR="00CF1F57" w:rsidRPr="00E504AC" w:rsidRDefault="00CF1F57" w:rsidP="00DB7415">
            <w:pPr>
              <w:spacing w:after="0"/>
              <w:rPr>
                <w:rFonts w:ascii="Arial" w:hAnsi="Arial" w:cs="Arial"/>
                <w:szCs w:val="20"/>
              </w:rPr>
            </w:pPr>
            <w:r w:rsidRPr="00E504AC">
              <w:rPr>
                <w:rFonts w:ascii="Arial" w:hAnsi="Arial" w:cs="Arial"/>
                <w:szCs w:val="20"/>
              </w:rPr>
              <w:t>Lease expense</w:t>
            </w:r>
          </w:p>
        </w:tc>
        <w:tc>
          <w:tcPr>
            <w:tcW w:w="1559" w:type="dxa"/>
            <w:tcBorders>
              <w:left w:val="nil"/>
              <w:right w:val="nil"/>
            </w:tcBorders>
          </w:tcPr>
          <w:p w14:paraId="33D20B51" w14:textId="0D963A44"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1C08E2B7" w14:textId="1EAE6489" w:rsidR="00CF1F57" w:rsidRPr="00E504AC" w:rsidRDefault="00CF1F57" w:rsidP="00DB7415">
            <w:pPr>
              <w:spacing w:after="0"/>
              <w:ind w:right="173"/>
              <w:jc w:val="right"/>
              <w:rPr>
                <w:rFonts w:ascii="Arial" w:hAnsi="Arial" w:cs="Arial"/>
                <w:szCs w:val="20"/>
              </w:rPr>
            </w:pPr>
            <w:r>
              <w:rPr>
                <w:rFonts w:ascii="Arial" w:hAnsi="Arial" w:cs="Arial"/>
                <w:szCs w:val="20"/>
              </w:rPr>
              <w:t>(</w:t>
            </w:r>
            <w:r w:rsidR="007975AC">
              <w:rPr>
                <w:rFonts w:ascii="Arial" w:hAnsi="Arial" w:cs="Arial"/>
                <w:szCs w:val="20"/>
              </w:rPr>
              <w:t>314,098</w:t>
            </w:r>
            <w:r>
              <w:rPr>
                <w:rFonts w:ascii="Arial" w:hAnsi="Arial" w:cs="Arial"/>
                <w:szCs w:val="20"/>
              </w:rPr>
              <w:t>)</w:t>
            </w:r>
          </w:p>
        </w:tc>
      </w:tr>
      <w:tr w:rsidR="00CF1F57" w:rsidRPr="00E504AC" w14:paraId="34F050DD" w14:textId="77777777" w:rsidTr="00DB7415">
        <w:tc>
          <w:tcPr>
            <w:tcW w:w="5850" w:type="dxa"/>
            <w:tcBorders>
              <w:left w:val="nil"/>
            </w:tcBorders>
            <w:vAlign w:val="bottom"/>
          </w:tcPr>
          <w:p w14:paraId="2211C58D" w14:textId="77777777" w:rsidR="00CF1F57" w:rsidRPr="00E504AC" w:rsidRDefault="00CF1F57" w:rsidP="00DB7415">
            <w:pPr>
              <w:spacing w:after="0"/>
              <w:rPr>
                <w:rFonts w:ascii="Arial" w:hAnsi="Arial" w:cs="Arial"/>
                <w:szCs w:val="20"/>
              </w:rPr>
            </w:pPr>
            <w:r w:rsidRPr="00E504AC">
              <w:rPr>
                <w:rFonts w:ascii="Arial" w:hAnsi="Arial" w:cs="Arial"/>
                <w:szCs w:val="20"/>
              </w:rPr>
              <w:t>Effect of foreign exchange rate changes</w:t>
            </w:r>
          </w:p>
        </w:tc>
        <w:tc>
          <w:tcPr>
            <w:tcW w:w="1559" w:type="dxa"/>
            <w:tcBorders>
              <w:left w:val="nil"/>
              <w:right w:val="nil"/>
            </w:tcBorders>
          </w:tcPr>
          <w:p w14:paraId="1ED473CA" w14:textId="57460BFB"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576ABD63" w14:textId="3632EA09" w:rsidR="00CF1F57" w:rsidRPr="00E504AC" w:rsidRDefault="007975AC" w:rsidP="00DB7415">
            <w:pPr>
              <w:spacing w:after="0"/>
              <w:ind w:right="173"/>
              <w:jc w:val="right"/>
              <w:rPr>
                <w:rFonts w:ascii="Arial" w:hAnsi="Arial" w:cs="Arial"/>
                <w:szCs w:val="20"/>
              </w:rPr>
            </w:pPr>
            <w:r>
              <w:rPr>
                <w:rFonts w:ascii="Arial" w:hAnsi="Arial" w:cs="Arial"/>
                <w:szCs w:val="20"/>
              </w:rPr>
              <w:t>2,307</w:t>
            </w:r>
          </w:p>
        </w:tc>
      </w:tr>
      <w:tr w:rsidR="00CF1F57" w:rsidRPr="00E504AC" w14:paraId="54EAD7D0" w14:textId="77777777" w:rsidTr="00CF1F57">
        <w:trPr>
          <w:trHeight w:hRule="exact" w:val="86"/>
        </w:trPr>
        <w:tc>
          <w:tcPr>
            <w:tcW w:w="5850" w:type="dxa"/>
            <w:tcBorders>
              <w:top w:val="single" w:sz="4" w:space="0" w:color="auto"/>
              <w:left w:val="nil"/>
            </w:tcBorders>
            <w:vAlign w:val="bottom"/>
          </w:tcPr>
          <w:p w14:paraId="452AC1A7" w14:textId="77777777" w:rsidR="00CF1F57" w:rsidRPr="00E504AC" w:rsidRDefault="00CF1F57" w:rsidP="00DB7415">
            <w:pPr>
              <w:spacing w:after="0"/>
              <w:rPr>
                <w:rFonts w:ascii="Arial" w:hAnsi="Arial" w:cs="Arial"/>
                <w:szCs w:val="20"/>
              </w:rPr>
            </w:pPr>
          </w:p>
        </w:tc>
        <w:tc>
          <w:tcPr>
            <w:tcW w:w="1559" w:type="dxa"/>
            <w:tcBorders>
              <w:top w:val="single" w:sz="4" w:space="0" w:color="auto"/>
              <w:left w:val="nil"/>
              <w:right w:val="nil"/>
            </w:tcBorders>
          </w:tcPr>
          <w:p w14:paraId="1453EE86" w14:textId="77777777" w:rsidR="00CF1F57" w:rsidRPr="00E504AC" w:rsidRDefault="00CF1F57" w:rsidP="00DB7415">
            <w:pPr>
              <w:spacing w:after="0"/>
              <w:ind w:right="173"/>
              <w:jc w:val="right"/>
              <w:rPr>
                <w:rFonts w:ascii="Arial" w:hAnsi="Arial" w:cs="Arial"/>
                <w:szCs w:val="20"/>
              </w:rPr>
            </w:pPr>
          </w:p>
        </w:tc>
        <w:tc>
          <w:tcPr>
            <w:tcW w:w="1382" w:type="dxa"/>
            <w:tcBorders>
              <w:top w:val="single" w:sz="4" w:space="0" w:color="auto"/>
              <w:left w:val="nil"/>
              <w:right w:val="nil"/>
            </w:tcBorders>
          </w:tcPr>
          <w:p w14:paraId="72F24FC3" w14:textId="77777777" w:rsidR="00CF1F57" w:rsidRPr="00E504AC" w:rsidRDefault="00CF1F57" w:rsidP="00DB7415">
            <w:pPr>
              <w:spacing w:after="0"/>
              <w:ind w:right="173"/>
              <w:jc w:val="right"/>
              <w:rPr>
                <w:rFonts w:ascii="Arial" w:hAnsi="Arial" w:cs="Arial"/>
                <w:szCs w:val="20"/>
              </w:rPr>
            </w:pPr>
          </w:p>
        </w:tc>
      </w:tr>
      <w:tr w:rsidR="00E504AC" w:rsidRPr="00E504AC" w14:paraId="12248059" w14:textId="77777777" w:rsidTr="00CF1F57">
        <w:tc>
          <w:tcPr>
            <w:tcW w:w="5850" w:type="dxa"/>
            <w:tcBorders>
              <w:left w:val="nil"/>
              <w:bottom w:val="single" w:sz="12" w:space="0" w:color="auto"/>
            </w:tcBorders>
            <w:vAlign w:val="bottom"/>
          </w:tcPr>
          <w:p w14:paraId="7F50702C" w14:textId="3DCF9883" w:rsidR="00E504AC" w:rsidRPr="00E504AC" w:rsidRDefault="00CF1F57" w:rsidP="00CF1F57">
            <w:pPr>
              <w:spacing w:after="0"/>
              <w:rPr>
                <w:rFonts w:ascii="Arial" w:hAnsi="Arial" w:cs="Arial"/>
                <w:szCs w:val="20"/>
              </w:rPr>
            </w:pPr>
            <w:r>
              <w:rPr>
                <w:rFonts w:ascii="Arial" w:hAnsi="Arial" w:cs="Arial"/>
                <w:szCs w:val="20"/>
              </w:rPr>
              <w:t xml:space="preserve">Balance, </w:t>
            </w:r>
            <w:r w:rsidR="004E594E">
              <w:rPr>
                <w:rFonts w:ascii="Arial" w:hAnsi="Arial" w:cs="Arial"/>
                <w:szCs w:val="20"/>
              </w:rPr>
              <w:t>October</w:t>
            </w:r>
            <w:r>
              <w:rPr>
                <w:rFonts w:ascii="Arial" w:hAnsi="Arial" w:cs="Arial"/>
                <w:szCs w:val="20"/>
              </w:rPr>
              <w:t xml:space="preserve"> 31, 2019</w:t>
            </w:r>
          </w:p>
        </w:tc>
        <w:tc>
          <w:tcPr>
            <w:tcW w:w="1559" w:type="dxa"/>
            <w:tcBorders>
              <w:left w:val="nil"/>
              <w:bottom w:val="single" w:sz="12" w:space="0" w:color="auto"/>
              <w:right w:val="nil"/>
            </w:tcBorders>
          </w:tcPr>
          <w:p w14:paraId="4BEC3F62" w14:textId="35468EC0" w:rsidR="00E504AC" w:rsidRPr="00E504AC" w:rsidRDefault="00E504AC" w:rsidP="00CF1F57">
            <w:pPr>
              <w:spacing w:after="0"/>
              <w:ind w:right="173"/>
              <w:jc w:val="right"/>
              <w:rPr>
                <w:rFonts w:ascii="Arial" w:hAnsi="Arial" w:cs="Arial"/>
                <w:szCs w:val="20"/>
              </w:rPr>
            </w:pPr>
          </w:p>
        </w:tc>
        <w:tc>
          <w:tcPr>
            <w:tcW w:w="1382" w:type="dxa"/>
            <w:tcBorders>
              <w:left w:val="nil"/>
              <w:bottom w:val="single" w:sz="12" w:space="0" w:color="auto"/>
              <w:right w:val="nil"/>
            </w:tcBorders>
          </w:tcPr>
          <w:p w14:paraId="41486A58" w14:textId="5EC2368A" w:rsidR="00E504AC" w:rsidRPr="00E504AC" w:rsidRDefault="007975AC" w:rsidP="00CF1F57">
            <w:pPr>
              <w:spacing w:after="0"/>
              <w:ind w:right="173"/>
              <w:jc w:val="right"/>
              <w:rPr>
                <w:rFonts w:ascii="Arial" w:hAnsi="Arial" w:cs="Arial"/>
                <w:szCs w:val="20"/>
              </w:rPr>
            </w:pPr>
            <w:r>
              <w:rPr>
                <w:rFonts w:ascii="Arial" w:hAnsi="Arial" w:cs="Arial"/>
                <w:szCs w:val="20"/>
              </w:rPr>
              <w:t>810,384</w:t>
            </w:r>
          </w:p>
        </w:tc>
      </w:tr>
    </w:tbl>
    <w:p w14:paraId="25559634" w14:textId="77777777" w:rsidR="00E504AC" w:rsidRDefault="00E504AC" w:rsidP="00E504AC">
      <w:pPr>
        <w:tabs>
          <w:tab w:val="left" w:pos="450"/>
        </w:tabs>
        <w:spacing w:after="0"/>
        <w:ind w:left="446"/>
        <w:jc w:val="both"/>
        <w:rPr>
          <w:rFonts w:ascii="Arial" w:hAnsi="Arial" w:cs="Arial"/>
          <w:szCs w:val="20"/>
        </w:rPr>
      </w:pPr>
    </w:p>
    <w:p w14:paraId="5FDD94CB" w14:textId="77777777" w:rsidR="00036EC0" w:rsidRDefault="00036EC0">
      <w:pPr>
        <w:rPr>
          <w:rFonts w:ascii="Arial" w:hAnsi="Arial" w:cs="Arial"/>
          <w:b/>
          <w:bCs/>
          <w:szCs w:val="20"/>
        </w:rPr>
      </w:pPr>
      <w:r>
        <w:rPr>
          <w:rFonts w:ascii="Arial" w:hAnsi="Arial" w:cs="Arial"/>
          <w:b/>
          <w:bCs/>
          <w:szCs w:val="20"/>
        </w:rPr>
        <w:br w:type="page"/>
      </w:r>
    </w:p>
    <w:p w14:paraId="41E09DA1" w14:textId="2D66E7F6" w:rsidR="00036EC0" w:rsidRPr="0082773C" w:rsidRDefault="00036EC0" w:rsidP="00036EC0">
      <w:pPr>
        <w:tabs>
          <w:tab w:val="left" w:pos="450"/>
        </w:tabs>
        <w:spacing w:after="0" w:line="240" w:lineRule="auto"/>
        <w:jc w:val="both"/>
        <w:rPr>
          <w:rFonts w:ascii="Arial" w:hAnsi="Arial" w:cs="Arial"/>
          <w:bCs/>
          <w:szCs w:val="20"/>
        </w:rPr>
      </w:pPr>
      <w:r>
        <w:rPr>
          <w:rFonts w:ascii="Arial" w:hAnsi="Arial" w:cs="Arial"/>
          <w:b/>
          <w:bCs/>
          <w:szCs w:val="20"/>
        </w:rPr>
        <w:lastRenderedPageBreak/>
        <w:t>9</w:t>
      </w:r>
      <w:r w:rsidRPr="0082773C">
        <w:rPr>
          <w:rFonts w:ascii="Arial" w:hAnsi="Arial" w:cs="Arial"/>
          <w:b/>
          <w:bCs/>
          <w:szCs w:val="20"/>
        </w:rPr>
        <w:t>.</w:t>
      </w:r>
      <w:r w:rsidRPr="0082773C">
        <w:rPr>
          <w:rFonts w:ascii="Arial" w:hAnsi="Arial" w:cs="Arial"/>
          <w:b/>
          <w:bCs/>
          <w:szCs w:val="20"/>
        </w:rPr>
        <w:tab/>
        <w:t xml:space="preserve">Operating Leases </w:t>
      </w:r>
      <w:r w:rsidRPr="0082773C">
        <w:rPr>
          <w:rFonts w:ascii="Arial" w:hAnsi="Arial" w:cs="Arial"/>
          <w:bCs/>
          <w:szCs w:val="20"/>
        </w:rPr>
        <w:t>(continued)</w:t>
      </w:r>
    </w:p>
    <w:p w14:paraId="3FF6CA89" w14:textId="77777777" w:rsidR="0082773C" w:rsidRDefault="0082773C" w:rsidP="00E504AC">
      <w:pPr>
        <w:tabs>
          <w:tab w:val="left" w:pos="450"/>
        </w:tabs>
        <w:spacing w:after="0"/>
        <w:ind w:left="446"/>
        <w:jc w:val="both"/>
        <w:rPr>
          <w:rFonts w:ascii="Arial" w:hAnsi="Arial" w:cs="Arial"/>
          <w:szCs w:val="20"/>
        </w:rPr>
      </w:pPr>
    </w:p>
    <w:tbl>
      <w:tblPr>
        <w:tblW w:w="8823" w:type="dxa"/>
        <w:tblInd w:w="450" w:type="dxa"/>
        <w:tblLayout w:type="fixed"/>
        <w:tblCellMar>
          <w:left w:w="0" w:type="dxa"/>
          <w:right w:w="0" w:type="dxa"/>
        </w:tblCellMar>
        <w:tblLook w:val="0000" w:firstRow="0" w:lastRow="0" w:firstColumn="0" w:lastColumn="0" w:noHBand="0" w:noVBand="0"/>
      </w:tblPr>
      <w:tblGrid>
        <w:gridCol w:w="4500"/>
        <w:gridCol w:w="1559"/>
        <w:gridCol w:w="1382"/>
        <w:gridCol w:w="1382"/>
      </w:tblGrid>
      <w:tr w:rsidR="00CF1F57" w:rsidRPr="00E504AC" w14:paraId="57A03A05" w14:textId="3FE7C462" w:rsidTr="00CF1F57">
        <w:tc>
          <w:tcPr>
            <w:tcW w:w="4500" w:type="dxa"/>
            <w:tcBorders>
              <w:top w:val="nil"/>
              <w:left w:val="nil"/>
              <w:bottom w:val="single" w:sz="4" w:space="0" w:color="auto"/>
            </w:tcBorders>
            <w:vAlign w:val="bottom"/>
          </w:tcPr>
          <w:p w14:paraId="3EC5A556" w14:textId="77777777" w:rsidR="00CF1F57" w:rsidRPr="00E504AC" w:rsidRDefault="00CF1F57" w:rsidP="00DB7415">
            <w:pPr>
              <w:spacing w:after="0"/>
              <w:rPr>
                <w:rFonts w:ascii="Arial" w:hAnsi="Arial" w:cs="Arial"/>
                <w:szCs w:val="20"/>
              </w:rPr>
            </w:pPr>
            <w:r w:rsidRPr="00E504AC">
              <w:rPr>
                <w:rFonts w:ascii="Arial" w:hAnsi="Arial" w:cs="Arial"/>
                <w:b/>
                <w:bCs/>
                <w:szCs w:val="20"/>
              </w:rPr>
              <w:tab/>
            </w:r>
          </w:p>
        </w:tc>
        <w:tc>
          <w:tcPr>
            <w:tcW w:w="1559" w:type="dxa"/>
            <w:tcBorders>
              <w:top w:val="nil"/>
              <w:left w:val="nil"/>
              <w:bottom w:val="single" w:sz="4" w:space="0" w:color="auto"/>
              <w:right w:val="nil"/>
            </w:tcBorders>
          </w:tcPr>
          <w:p w14:paraId="58D03C63" w14:textId="07F3B636" w:rsidR="00CF1F57" w:rsidRDefault="00CF1F57" w:rsidP="00DB7415">
            <w:pPr>
              <w:spacing w:after="0"/>
              <w:ind w:left="90"/>
              <w:jc w:val="center"/>
              <w:rPr>
                <w:rFonts w:ascii="Arial" w:hAnsi="Arial" w:cs="Arial"/>
                <w:szCs w:val="20"/>
              </w:rPr>
            </w:pPr>
            <w:r>
              <w:rPr>
                <w:rFonts w:ascii="Arial" w:hAnsi="Arial" w:cs="Arial"/>
                <w:szCs w:val="20"/>
              </w:rPr>
              <w:t>Lease</w:t>
            </w:r>
          </w:p>
          <w:p w14:paraId="2BA1DB75" w14:textId="14F8843E" w:rsidR="00CF1F57" w:rsidRPr="00E504AC" w:rsidRDefault="00CF1F57" w:rsidP="00DB7415">
            <w:pPr>
              <w:spacing w:after="0"/>
              <w:ind w:left="90"/>
              <w:jc w:val="center"/>
              <w:rPr>
                <w:rFonts w:ascii="Arial" w:hAnsi="Arial" w:cs="Arial"/>
                <w:szCs w:val="20"/>
              </w:rPr>
            </w:pPr>
            <w:r>
              <w:rPr>
                <w:rFonts w:ascii="Arial" w:hAnsi="Arial" w:cs="Arial"/>
                <w:szCs w:val="20"/>
              </w:rPr>
              <w:t>Liability</w:t>
            </w:r>
          </w:p>
          <w:p w14:paraId="47A993B5" w14:textId="77777777" w:rsidR="00CF1F57" w:rsidRPr="00E504AC" w:rsidRDefault="00CF1F57" w:rsidP="00DB7415">
            <w:pPr>
              <w:spacing w:after="0"/>
              <w:ind w:left="90"/>
              <w:jc w:val="center"/>
              <w:rPr>
                <w:rFonts w:ascii="Arial" w:hAnsi="Arial" w:cs="Arial"/>
                <w:szCs w:val="20"/>
              </w:rPr>
            </w:pPr>
            <w:r w:rsidRPr="00E504AC">
              <w:rPr>
                <w:rFonts w:ascii="Arial" w:hAnsi="Arial" w:cs="Arial"/>
                <w:szCs w:val="20"/>
              </w:rPr>
              <w:t>$</w:t>
            </w:r>
          </w:p>
        </w:tc>
        <w:tc>
          <w:tcPr>
            <w:tcW w:w="1382" w:type="dxa"/>
            <w:tcBorders>
              <w:top w:val="nil"/>
              <w:left w:val="nil"/>
              <w:bottom w:val="single" w:sz="4" w:space="0" w:color="auto"/>
              <w:right w:val="nil"/>
            </w:tcBorders>
          </w:tcPr>
          <w:p w14:paraId="3A6442ED" w14:textId="77777777" w:rsidR="00CF1F57" w:rsidRDefault="00CF1F57" w:rsidP="00CF1F57">
            <w:pPr>
              <w:spacing w:after="0"/>
              <w:ind w:left="90"/>
              <w:jc w:val="center"/>
              <w:rPr>
                <w:rFonts w:ascii="Arial" w:hAnsi="Arial" w:cs="Arial"/>
                <w:szCs w:val="20"/>
              </w:rPr>
            </w:pPr>
          </w:p>
          <w:p w14:paraId="3809FFAF" w14:textId="45B135A8" w:rsidR="00CF1F57" w:rsidRPr="00E504AC" w:rsidRDefault="00CF1F57" w:rsidP="00CF1F57">
            <w:pPr>
              <w:spacing w:after="0"/>
              <w:ind w:left="90"/>
              <w:jc w:val="center"/>
              <w:rPr>
                <w:rFonts w:ascii="Arial" w:hAnsi="Arial" w:cs="Arial"/>
                <w:szCs w:val="20"/>
              </w:rPr>
            </w:pPr>
            <w:r>
              <w:rPr>
                <w:rFonts w:ascii="Arial" w:hAnsi="Arial" w:cs="Arial"/>
                <w:szCs w:val="20"/>
              </w:rPr>
              <w:t>Current</w:t>
            </w:r>
          </w:p>
          <w:p w14:paraId="45AEA296" w14:textId="77777777" w:rsidR="00CF1F57" w:rsidRPr="00E504AC" w:rsidRDefault="00CF1F57" w:rsidP="00DB7415">
            <w:pPr>
              <w:spacing w:after="0"/>
              <w:ind w:left="90"/>
              <w:jc w:val="center"/>
              <w:rPr>
                <w:rFonts w:ascii="Arial" w:hAnsi="Arial" w:cs="Arial"/>
                <w:szCs w:val="20"/>
              </w:rPr>
            </w:pPr>
            <w:r w:rsidRPr="00E504AC">
              <w:rPr>
                <w:rFonts w:ascii="Arial" w:hAnsi="Arial" w:cs="Arial"/>
                <w:szCs w:val="20"/>
              </w:rPr>
              <w:t>$</w:t>
            </w:r>
          </w:p>
        </w:tc>
        <w:tc>
          <w:tcPr>
            <w:tcW w:w="1382" w:type="dxa"/>
            <w:tcBorders>
              <w:top w:val="nil"/>
              <w:left w:val="nil"/>
              <w:bottom w:val="single" w:sz="4" w:space="0" w:color="auto"/>
              <w:right w:val="nil"/>
            </w:tcBorders>
          </w:tcPr>
          <w:p w14:paraId="33685038" w14:textId="77777777" w:rsidR="00CF1F57" w:rsidRDefault="00CF1F57" w:rsidP="00DB7415">
            <w:pPr>
              <w:spacing w:after="0"/>
              <w:ind w:left="90"/>
              <w:jc w:val="center"/>
              <w:rPr>
                <w:rFonts w:ascii="Arial" w:hAnsi="Arial" w:cs="Arial"/>
                <w:szCs w:val="20"/>
              </w:rPr>
            </w:pPr>
          </w:p>
          <w:p w14:paraId="5F2F02A1" w14:textId="77777777" w:rsidR="00CF1F57" w:rsidRDefault="00CF1F57" w:rsidP="00DB7415">
            <w:pPr>
              <w:spacing w:after="0"/>
              <w:ind w:left="90"/>
              <w:jc w:val="center"/>
              <w:rPr>
                <w:rFonts w:ascii="Arial" w:hAnsi="Arial" w:cs="Arial"/>
                <w:szCs w:val="20"/>
              </w:rPr>
            </w:pPr>
            <w:r>
              <w:rPr>
                <w:rFonts w:ascii="Arial" w:hAnsi="Arial" w:cs="Arial"/>
                <w:szCs w:val="20"/>
              </w:rPr>
              <w:t>Long-term</w:t>
            </w:r>
          </w:p>
          <w:p w14:paraId="3965B367" w14:textId="62CD4EC6" w:rsidR="00CF1F57" w:rsidRPr="00E504AC" w:rsidRDefault="00CF1F57" w:rsidP="00DB7415">
            <w:pPr>
              <w:spacing w:after="0"/>
              <w:ind w:left="90"/>
              <w:jc w:val="center"/>
              <w:rPr>
                <w:rFonts w:ascii="Arial" w:hAnsi="Arial" w:cs="Arial"/>
                <w:szCs w:val="20"/>
              </w:rPr>
            </w:pPr>
            <w:r>
              <w:rPr>
                <w:rFonts w:ascii="Arial" w:hAnsi="Arial" w:cs="Arial"/>
                <w:szCs w:val="20"/>
              </w:rPr>
              <w:t>$</w:t>
            </w:r>
          </w:p>
        </w:tc>
      </w:tr>
      <w:tr w:rsidR="00CF1F57" w:rsidRPr="00E504AC" w14:paraId="13E192A9" w14:textId="0DA03B0E" w:rsidTr="00CF1F57">
        <w:trPr>
          <w:trHeight w:hRule="exact" w:val="113"/>
        </w:trPr>
        <w:tc>
          <w:tcPr>
            <w:tcW w:w="4500" w:type="dxa"/>
            <w:tcBorders>
              <w:left w:val="nil"/>
            </w:tcBorders>
            <w:vAlign w:val="bottom"/>
          </w:tcPr>
          <w:p w14:paraId="38DEB060" w14:textId="2984B2D5" w:rsidR="00CF1F57" w:rsidRPr="00E504AC" w:rsidRDefault="00CF1F57" w:rsidP="00DB7415">
            <w:pPr>
              <w:spacing w:after="0"/>
              <w:rPr>
                <w:rFonts w:ascii="Arial" w:hAnsi="Arial" w:cs="Arial"/>
                <w:szCs w:val="20"/>
              </w:rPr>
            </w:pPr>
          </w:p>
        </w:tc>
        <w:tc>
          <w:tcPr>
            <w:tcW w:w="1559" w:type="dxa"/>
            <w:tcBorders>
              <w:left w:val="nil"/>
              <w:right w:val="nil"/>
            </w:tcBorders>
          </w:tcPr>
          <w:p w14:paraId="5221358E" w14:textId="77777777" w:rsidR="00CF1F57" w:rsidRPr="00E504AC" w:rsidRDefault="00CF1F57" w:rsidP="00DB7415">
            <w:pPr>
              <w:spacing w:after="0"/>
              <w:ind w:right="369"/>
              <w:jc w:val="right"/>
              <w:rPr>
                <w:rFonts w:ascii="Arial" w:hAnsi="Arial" w:cs="Arial"/>
                <w:szCs w:val="20"/>
              </w:rPr>
            </w:pPr>
          </w:p>
        </w:tc>
        <w:tc>
          <w:tcPr>
            <w:tcW w:w="1382" w:type="dxa"/>
            <w:tcBorders>
              <w:left w:val="nil"/>
              <w:right w:val="nil"/>
            </w:tcBorders>
          </w:tcPr>
          <w:p w14:paraId="5F106AE4" w14:textId="77777777" w:rsidR="00CF1F57" w:rsidRPr="00E504AC" w:rsidRDefault="00CF1F57" w:rsidP="00DB7415">
            <w:pPr>
              <w:spacing w:after="0"/>
              <w:ind w:right="369"/>
              <w:jc w:val="right"/>
              <w:rPr>
                <w:rFonts w:ascii="Arial" w:hAnsi="Arial" w:cs="Arial"/>
                <w:szCs w:val="20"/>
              </w:rPr>
            </w:pPr>
          </w:p>
        </w:tc>
        <w:tc>
          <w:tcPr>
            <w:tcW w:w="1382" w:type="dxa"/>
            <w:tcBorders>
              <w:left w:val="nil"/>
              <w:right w:val="nil"/>
            </w:tcBorders>
          </w:tcPr>
          <w:p w14:paraId="57064A3F" w14:textId="77777777" w:rsidR="00CF1F57" w:rsidRPr="00E504AC" w:rsidRDefault="00CF1F57" w:rsidP="00DB7415">
            <w:pPr>
              <w:spacing w:after="0"/>
              <w:ind w:right="369"/>
              <w:jc w:val="right"/>
              <w:rPr>
                <w:rFonts w:ascii="Arial" w:hAnsi="Arial" w:cs="Arial"/>
                <w:szCs w:val="20"/>
              </w:rPr>
            </w:pPr>
          </w:p>
        </w:tc>
      </w:tr>
      <w:tr w:rsidR="00CF1F57" w:rsidRPr="00E504AC" w14:paraId="7008A857" w14:textId="275B3BA3" w:rsidTr="00CF1F57">
        <w:tc>
          <w:tcPr>
            <w:tcW w:w="4500" w:type="dxa"/>
            <w:tcBorders>
              <w:left w:val="nil"/>
            </w:tcBorders>
            <w:vAlign w:val="bottom"/>
          </w:tcPr>
          <w:p w14:paraId="4FC40B1A" w14:textId="67D192FE" w:rsidR="00CF1F57" w:rsidRPr="00E504AC" w:rsidRDefault="00CF1F57" w:rsidP="00CF1F57">
            <w:pPr>
              <w:spacing w:after="0"/>
              <w:rPr>
                <w:rFonts w:ascii="Arial" w:hAnsi="Arial" w:cs="Arial"/>
                <w:szCs w:val="20"/>
              </w:rPr>
            </w:pPr>
            <w:r w:rsidRPr="00E504AC">
              <w:rPr>
                <w:rFonts w:ascii="Arial" w:hAnsi="Arial" w:cs="Arial"/>
                <w:szCs w:val="20"/>
              </w:rPr>
              <w:t xml:space="preserve">Balance, </w:t>
            </w:r>
            <w:r>
              <w:rPr>
                <w:rFonts w:ascii="Arial" w:hAnsi="Arial" w:cs="Arial"/>
                <w:szCs w:val="20"/>
              </w:rPr>
              <w:t>February 1, 2018</w:t>
            </w:r>
          </w:p>
        </w:tc>
        <w:tc>
          <w:tcPr>
            <w:tcW w:w="1559" w:type="dxa"/>
            <w:tcBorders>
              <w:left w:val="nil"/>
              <w:right w:val="nil"/>
            </w:tcBorders>
          </w:tcPr>
          <w:p w14:paraId="2EEAB6A5" w14:textId="77777777" w:rsidR="00CF1F57" w:rsidRPr="00E504AC" w:rsidRDefault="00CF1F57" w:rsidP="00DB7415">
            <w:pPr>
              <w:spacing w:after="0"/>
              <w:ind w:right="173"/>
              <w:jc w:val="right"/>
              <w:rPr>
                <w:rFonts w:ascii="Arial" w:hAnsi="Arial" w:cs="Arial"/>
                <w:szCs w:val="20"/>
              </w:rPr>
            </w:pPr>
            <w:r w:rsidRPr="00E504AC">
              <w:rPr>
                <w:rFonts w:ascii="Arial" w:hAnsi="Arial" w:cs="Arial"/>
                <w:szCs w:val="20"/>
              </w:rPr>
              <w:t>–</w:t>
            </w:r>
          </w:p>
        </w:tc>
        <w:tc>
          <w:tcPr>
            <w:tcW w:w="1382" w:type="dxa"/>
            <w:tcBorders>
              <w:left w:val="nil"/>
              <w:right w:val="nil"/>
            </w:tcBorders>
          </w:tcPr>
          <w:p w14:paraId="7D6D9561" w14:textId="7953E103"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720BB381" w14:textId="77777777" w:rsidR="00CF1F57" w:rsidRPr="00E504AC" w:rsidRDefault="00CF1F57" w:rsidP="00DB7415">
            <w:pPr>
              <w:spacing w:after="0"/>
              <w:ind w:right="173"/>
              <w:jc w:val="right"/>
              <w:rPr>
                <w:rFonts w:ascii="Arial" w:hAnsi="Arial" w:cs="Arial"/>
                <w:szCs w:val="20"/>
              </w:rPr>
            </w:pPr>
          </w:p>
        </w:tc>
      </w:tr>
      <w:tr w:rsidR="00CF1F57" w:rsidRPr="00E504AC" w14:paraId="6A9617B7" w14:textId="45F24D28" w:rsidTr="00CF1F57">
        <w:tc>
          <w:tcPr>
            <w:tcW w:w="4500" w:type="dxa"/>
            <w:tcBorders>
              <w:left w:val="nil"/>
            </w:tcBorders>
            <w:vAlign w:val="bottom"/>
          </w:tcPr>
          <w:p w14:paraId="172F066C" w14:textId="2FF158E4" w:rsidR="00CF1F57" w:rsidRPr="00E504AC" w:rsidRDefault="00CF1F57" w:rsidP="00DB7415">
            <w:pPr>
              <w:spacing w:after="0"/>
              <w:rPr>
                <w:rFonts w:ascii="Arial" w:hAnsi="Arial" w:cs="Arial"/>
                <w:szCs w:val="20"/>
              </w:rPr>
            </w:pPr>
            <w:r w:rsidRPr="00E504AC">
              <w:rPr>
                <w:rFonts w:ascii="Arial" w:hAnsi="Arial" w:cs="Arial"/>
                <w:szCs w:val="20"/>
              </w:rPr>
              <w:t xml:space="preserve">Adoption of </w:t>
            </w:r>
            <w:r>
              <w:rPr>
                <w:rFonts w:ascii="Arial" w:hAnsi="Arial" w:cs="Arial"/>
                <w:szCs w:val="20"/>
              </w:rPr>
              <w:t>IFRS 16</w:t>
            </w:r>
            <w:r w:rsidRPr="00E504AC">
              <w:rPr>
                <w:rFonts w:ascii="Arial" w:hAnsi="Arial" w:cs="Arial"/>
                <w:szCs w:val="20"/>
              </w:rPr>
              <w:t xml:space="preserve"> (Note 3</w:t>
            </w:r>
            <w:r w:rsidR="00FB4135">
              <w:rPr>
                <w:rFonts w:ascii="Arial" w:hAnsi="Arial" w:cs="Arial"/>
                <w:szCs w:val="20"/>
              </w:rPr>
              <w:t>(c)</w:t>
            </w:r>
            <w:r w:rsidRPr="00E504AC">
              <w:rPr>
                <w:rFonts w:ascii="Arial" w:hAnsi="Arial" w:cs="Arial"/>
                <w:szCs w:val="20"/>
              </w:rPr>
              <w:t>)</w:t>
            </w:r>
          </w:p>
        </w:tc>
        <w:tc>
          <w:tcPr>
            <w:tcW w:w="1559" w:type="dxa"/>
            <w:tcBorders>
              <w:left w:val="nil"/>
              <w:right w:val="nil"/>
            </w:tcBorders>
          </w:tcPr>
          <w:p w14:paraId="0216179C" w14:textId="04BAE2CC" w:rsidR="00CF1F57" w:rsidRPr="00E504AC" w:rsidRDefault="00CF1F57" w:rsidP="00DB7415">
            <w:pPr>
              <w:spacing w:after="0"/>
              <w:ind w:right="173"/>
              <w:jc w:val="right"/>
              <w:rPr>
                <w:rFonts w:ascii="Arial" w:hAnsi="Arial" w:cs="Arial"/>
                <w:szCs w:val="20"/>
              </w:rPr>
            </w:pPr>
            <w:r>
              <w:rPr>
                <w:rFonts w:ascii="Arial" w:hAnsi="Arial" w:cs="Arial"/>
                <w:szCs w:val="20"/>
              </w:rPr>
              <w:t>1,367,287</w:t>
            </w:r>
          </w:p>
        </w:tc>
        <w:tc>
          <w:tcPr>
            <w:tcW w:w="1382" w:type="dxa"/>
            <w:tcBorders>
              <w:left w:val="nil"/>
              <w:right w:val="nil"/>
            </w:tcBorders>
          </w:tcPr>
          <w:p w14:paraId="24945BE5" w14:textId="21EC1D30"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7B86C395" w14:textId="77777777" w:rsidR="00CF1F57" w:rsidRPr="00E504AC" w:rsidRDefault="00CF1F57" w:rsidP="00DB7415">
            <w:pPr>
              <w:spacing w:after="0"/>
              <w:ind w:right="173"/>
              <w:jc w:val="right"/>
              <w:rPr>
                <w:rFonts w:ascii="Arial" w:hAnsi="Arial" w:cs="Arial"/>
                <w:szCs w:val="20"/>
              </w:rPr>
            </w:pPr>
          </w:p>
        </w:tc>
      </w:tr>
      <w:tr w:rsidR="00CF1F57" w:rsidRPr="00E504AC" w14:paraId="49DD4371" w14:textId="39DAA4F7" w:rsidTr="00CF1F57">
        <w:tc>
          <w:tcPr>
            <w:tcW w:w="4500" w:type="dxa"/>
            <w:tcBorders>
              <w:left w:val="nil"/>
            </w:tcBorders>
            <w:vAlign w:val="bottom"/>
          </w:tcPr>
          <w:p w14:paraId="426C218B" w14:textId="77777777" w:rsidR="00CF1F57" w:rsidRPr="00E504AC" w:rsidRDefault="00CF1F57" w:rsidP="00DB7415">
            <w:pPr>
              <w:spacing w:after="0"/>
              <w:rPr>
                <w:rFonts w:ascii="Arial" w:hAnsi="Arial" w:cs="Arial"/>
                <w:szCs w:val="20"/>
              </w:rPr>
            </w:pPr>
            <w:r w:rsidRPr="00E504AC">
              <w:rPr>
                <w:rFonts w:ascii="Arial" w:hAnsi="Arial" w:cs="Arial"/>
                <w:szCs w:val="20"/>
              </w:rPr>
              <w:t>Lease liability expense</w:t>
            </w:r>
          </w:p>
        </w:tc>
        <w:tc>
          <w:tcPr>
            <w:tcW w:w="1559" w:type="dxa"/>
            <w:tcBorders>
              <w:left w:val="nil"/>
              <w:right w:val="nil"/>
            </w:tcBorders>
          </w:tcPr>
          <w:p w14:paraId="494FA890" w14:textId="645F43E8" w:rsidR="00CF1F57" w:rsidRPr="00E504AC" w:rsidRDefault="00CF1F57" w:rsidP="00DB7415">
            <w:pPr>
              <w:spacing w:after="0"/>
              <w:ind w:right="173"/>
              <w:jc w:val="right"/>
              <w:rPr>
                <w:rFonts w:ascii="Arial" w:hAnsi="Arial" w:cs="Arial"/>
                <w:szCs w:val="20"/>
              </w:rPr>
            </w:pPr>
            <w:r>
              <w:rPr>
                <w:rFonts w:ascii="Arial" w:hAnsi="Arial" w:cs="Arial"/>
                <w:szCs w:val="20"/>
              </w:rPr>
              <w:t>122,921</w:t>
            </w:r>
          </w:p>
        </w:tc>
        <w:tc>
          <w:tcPr>
            <w:tcW w:w="1382" w:type="dxa"/>
            <w:tcBorders>
              <w:left w:val="nil"/>
              <w:right w:val="nil"/>
            </w:tcBorders>
          </w:tcPr>
          <w:p w14:paraId="100278B4" w14:textId="7EBF5CA3"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13F75E04" w14:textId="77777777" w:rsidR="00CF1F57" w:rsidRDefault="00CF1F57" w:rsidP="00DB7415">
            <w:pPr>
              <w:spacing w:after="0"/>
              <w:ind w:right="173"/>
              <w:jc w:val="right"/>
              <w:rPr>
                <w:rFonts w:ascii="Arial" w:hAnsi="Arial" w:cs="Arial"/>
                <w:szCs w:val="20"/>
              </w:rPr>
            </w:pPr>
          </w:p>
        </w:tc>
      </w:tr>
      <w:tr w:rsidR="00CF1F57" w:rsidRPr="00E504AC" w14:paraId="517EDDEE" w14:textId="13DE8178" w:rsidTr="00CF1F57">
        <w:tc>
          <w:tcPr>
            <w:tcW w:w="4500" w:type="dxa"/>
            <w:tcBorders>
              <w:left w:val="nil"/>
            </w:tcBorders>
            <w:vAlign w:val="bottom"/>
          </w:tcPr>
          <w:p w14:paraId="48712CC7" w14:textId="77777777" w:rsidR="00CF1F57" w:rsidRPr="00E504AC" w:rsidRDefault="00CF1F57" w:rsidP="00DB7415">
            <w:pPr>
              <w:spacing w:after="0"/>
              <w:rPr>
                <w:rFonts w:ascii="Arial" w:hAnsi="Arial" w:cs="Arial"/>
                <w:szCs w:val="20"/>
              </w:rPr>
            </w:pPr>
            <w:r w:rsidRPr="00E504AC">
              <w:rPr>
                <w:rFonts w:ascii="Arial" w:hAnsi="Arial" w:cs="Arial"/>
                <w:szCs w:val="20"/>
              </w:rPr>
              <w:t>Lease payments</w:t>
            </w:r>
          </w:p>
        </w:tc>
        <w:tc>
          <w:tcPr>
            <w:tcW w:w="1559" w:type="dxa"/>
            <w:tcBorders>
              <w:left w:val="nil"/>
              <w:right w:val="nil"/>
            </w:tcBorders>
          </w:tcPr>
          <w:p w14:paraId="38CFA942" w14:textId="6F0DE419" w:rsidR="00CF1F57" w:rsidRPr="00E504AC" w:rsidRDefault="00CF1F57" w:rsidP="00DB7415">
            <w:pPr>
              <w:spacing w:after="0"/>
              <w:ind w:right="173"/>
              <w:jc w:val="right"/>
              <w:rPr>
                <w:rFonts w:ascii="Arial" w:hAnsi="Arial" w:cs="Arial"/>
                <w:szCs w:val="20"/>
              </w:rPr>
            </w:pPr>
            <w:r>
              <w:rPr>
                <w:rFonts w:ascii="Arial" w:hAnsi="Arial" w:cs="Arial"/>
                <w:szCs w:val="20"/>
              </w:rPr>
              <w:t>(304,375)</w:t>
            </w:r>
          </w:p>
        </w:tc>
        <w:tc>
          <w:tcPr>
            <w:tcW w:w="1382" w:type="dxa"/>
            <w:tcBorders>
              <w:left w:val="nil"/>
              <w:right w:val="nil"/>
            </w:tcBorders>
          </w:tcPr>
          <w:p w14:paraId="119D1016" w14:textId="0E51E183"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5A198D0B" w14:textId="77777777" w:rsidR="00CF1F57" w:rsidRPr="00E504AC" w:rsidRDefault="00CF1F57" w:rsidP="00DB7415">
            <w:pPr>
              <w:spacing w:after="0"/>
              <w:ind w:right="173"/>
              <w:jc w:val="right"/>
              <w:rPr>
                <w:rFonts w:ascii="Arial" w:hAnsi="Arial" w:cs="Arial"/>
                <w:szCs w:val="20"/>
              </w:rPr>
            </w:pPr>
          </w:p>
        </w:tc>
      </w:tr>
      <w:tr w:rsidR="00CF1F57" w:rsidRPr="00E504AC" w14:paraId="189755E3" w14:textId="2144BE88" w:rsidTr="00CF1F57">
        <w:tc>
          <w:tcPr>
            <w:tcW w:w="4500" w:type="dxa"/>
            <w:tcBorders>
              <w:left w:val="nil"/>
            </w:tcBorders>
            <w:vAlign w:val="bottom"/>
          </w:tcPr>
          <w:p w14:paraId="0B14C74F" w14:textId="77777777" w:rsidR="00CF1F57" w:rsidRPr="00E504AC" w:rsidRDefault="00CF1F57" w:rsidP="00DB7415">
            <w:pPr>
              <w:spacing w:after="0"/>
              <w:rPr>
                <w:rFonts w:ascii="Arial" w:hAnsi="Arial" w:cs="Arial"/>
                <w:szCs w:val="20"/>
              </w:rPr>
            </w:pPr>
            <w:r w:rsidRPr="00E504AC">
              <w:rPr>
                <w:rFonts w:ascii="Arial" w:hAnsi="Arial" w:cs="Arial"/>
                <w:szCs w:val="20"/>
              </w:rPr>
              <w:t>Effect of foreign exchange rate changes</w:t>
            </w:r>
          </w:p>
        </w:tc>
        <w:tc>
          <w:tcPr>
            <w:tcW w:w="1559" w:type="dxa"/>
            <w:tcBorders>
              <w:left w:val="nil"/>
              <w:right w:val="nil"/>
            </w:tcBorders>
          </w:tcPr>
          <w:p w14:paraId="372EDEFE" w14:textId="00512170" w:rsidR="00CF1F57" w:rsidRPr="00E504AC" w:rsidRDefault="00CF1F57" w:rsidP="00E26400">
            <w:pPr>
              <w:spacing w:after="0"/>
              <w:ind w:right="173"/>
              <w:jc w:val="right"/>
              <w:rPr>
                <w:rFonts w:ascii="Arial" w:hAnsi="Arial" w:cs="Arial"/>
                <w:szCs w:val="20"/>
              </w:rPr>
            </w:pPr>
            <w:r>
              <w:rPr>
                <w:rFonts w:ascii="Arial" w:hAnsi="Arial" w:cs="Arial"/>
                <w:szCs w:val="20"/>
              </w:rPr>
              <w:t>(2,53</w:t>
            </w:r>
            <w:r w:rsidR="00E26400">
              <w:rPr>
                <w:rFonts w:ascii="Arial" w:hAnsi="Arial" w:cs="Arial"/>
                <w:szCs w:val="20"/>
              </w:rPr>
              <w:t>6</w:t>
            </w:r>
            <w:r>
              <w:rPr>
                <w:rFonts w:ascii="Arial" w:hAnsi="Arial" w:cs="Arial"/>
                <w:szCs w:val="20"/>
              </w:rPr>
              <w:t>)</w:t>
            </w:r>
          </w:p>
        </w:tc>
        <w:tc>
          <w:tcPr>
            <w:tcW w:w="1382" w:type="dxa"/>
            <w:tcBorders>
              <w:left w:val="nil"/>
              <w:right w:val="nil"/>
            </w:tcBorders>
          </w:tcPr>
          <w:p w14:paraId="1C2D8015" w14:textId="764521A6"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654E3195" w14:textId="77777777" w:rsidR="00CF1F57" w:rsidRDefault="00CF1F57" w:rsidP="00DB7415">
            <w:pPr>
              <w:spacing w:after="0"/>
              <w:ind w:right="173"/>
              <w:jc w:val="right"/>
              <w:rPr>
                <w:rFonts w:ascii="Arial" w:hAnsi="Arial" w:cs="Arial"/>
                <w:szCs w:val="20"/>
              </w:rPr>
            </w:pPr>
          </w:p>
        </w:tc>
      </w:tr>
      <w:tr w:rsidR="00CF1F57" w:rsidRPr="00E504AC" w14:paraId="3499C957" w14:textId="03D11A97" w:rsidTr="00CF1F57">
        <w:trPr>
          <w:trHeight w:hRule="exact" w:val="86"/>
        </w:trPr>
        <w:tc>
          <w:tcPr>
            <w:tcW w:w="4500" w:type="dxa"/>
            <w:tcBorders>
              <w:top w:val="single" w:sz="4" w:space="0" w:color="auto"/>
              <w:left w:val="nil"/>
            </w:tcBorders>
            <w:vAlign w:val="bottom"/>
          </w:tcPr>
          <w:p w14:paraId="00C6980C" w14:textId="77777777" w:rsidR="00CF1F57" w:rsidRPr="00E504AC" w:rsidRDefault="00CF1F57" w:rsidP="00DB7415">
            <w:pPr>
              <w:spacing w:after="0"/>
              <w:rPr>
                <w:rFonts w:ascii="Arial" w:hAnsi="Arial" w:cs="Arial"/>
                <w:szCs w:val="20"/>
              </w:rPr>
            </w:pPr>
          </w:p>
        </w:tc>
        <w:tc>
          <w:tcPr>
            <w:tcW w:w="1559" w:type="dxa"/>
            <w:tcBorders>
              <w:top w:val="single" w:sz="4" w:space="0" w:color="auto"/>
              <w:left w:val="nil"/>
              <w:right w:val="nil"/>
            </w:tcBorders>
          </w:tcPr>
          <w:p w14:paraId="5DC3A8C6" w14:textId="77777777" w:rsidR="00CF1F57" w:rsidRPr="00E504AC" w:rsidRDefault="00CF1F57" w:rsidP="00DB7415">
            <w:pPr>
              <w:spacing w:after="0"/>
              <w:ind w:right="173"/>
              <w:jc w:val="right"/>
              <w:rPr>
                <w:rFonts w:ascii="Arial" w:hAnsi="Arial" w:cs="Arial"/>
                <w:szCs w:val="20"/>
              </w:rPr>
            </w:pPr>
          </w:p>
        </w:tc>
        <w:tc>
          <w:tcPr>
            <w:tcW w:w="1382" w:type="dxa"/>
            <w:tcBorders>
              <w:top w:val="single" w:sz="4" w:space="0" w:color="auto"/>
              <w:left w:val="nil"/>
              <w:right w:val="nil"/>
            </w:tcBorders>
          </w:tcPr>
          <w:p w14:paraId="362E9869" w14:textId="77777777" w:rsidR="00CF1F57" w:rsidRPr="00E504AC" w:rsidRDefault="00CF1F57" w:rsidP="00DB7415">
            <w:pPr>
              <w:spacing w:after="0"/>
              <w:ind w:right="173"/>
              <w:jc w:val="right"/>
              <w:rPr>
                <w:rFonts w:ascii="Arial" w:hAnsi="Arial" w:cs="Arial"/>
                <w:szCs w:val="20"/>
              </w:rPr>
            </w:pPr>
          </w:p>
        </w:tc>
        <w:tc>
          <w:tcPr>
            <w:tcW w:w="1382" w:type="dxa"/>
            <w:tcBorders>
              <w:top w:val="single" w:sz="4" w:space="0" w:color="auto"/>
              <w:left w:val="nil"/>
              <w:right w:val="nil"/>
            </w:tcBorders>
          </w:tcPr>
          <w:p w14:paraId="07F5D732" w14:textId="77777777" w:rsidR="00CF1F57" w:rsidRPr="00E504AC" w:rsidRDefault="00CF1F57" w:rsidP="00DB7415">
            <w:pPr>
              <w:spacing w:after="0"/>
              <w:ind w:right="173"/>
              <w:jc w:val="right"/>
              <w:rPr>
                <w:rFonts w:ascii="Arial" w:hAnsi="Arial" w:cs="Arial"/>
                <w:szCs w:val="20"/>
              </w:rPr>
            </w:pPr>
          </w:p>
        </w:tc>
      </w:tr>
      <w:tr w:rsidR="00CF1F57" w:rsidRPr="00E504AC" w14:paraId="3651B48E" w14:textId="7D4D3F73" w:rsidTr="00CF1F57">
        <w:tc>
          <w:tcPr>
            <w:tcW w:w="4500" w:type="dxa"/>
            <w:tcBorders>
              <w:left w:val="nil"/>
            </w:tcBorders>
            <w:vAlign w:val="bottom"/>
          </w:tcPr>
          <w:p w14:paraId="0ACDD63E" w14:textId="2CE2CF68" w:rsidR="00CF1F57" w:rsidRPr="00E504AC" w:rsidRDefault="00CF1F57" w:rsidP="00DB7415">
            <w:pPr>
              <w:spacing w:after="0"/>
              <w:rPr>
                <w:rFonts w:ascii="Arial" w:hAnsi="Arial" w:cs="Arial"/>
                <w:szCs w:val="20"/>
              </w:rPr>
            </w:pPr>
            <w:r>
              <w:rPr>
                <w:rFonts w:ascii="Arial" w:hAnsi="Arial" w:cs="Arial"/>
                <w:szCs w:val="20"/>
              </w:rPr>
              <w:t>Balance, January 31, 2019</w:t>
            </w:r>
          </w:p>
        </w:tc>
        <w:tc>
          <w:tcPr>
            <w:tcW w:w="1559" w:type="dxa"/>
            <w:tcBorders>
              <w:left w:val="nil"/>
              <w:right w:val="nil"/>
            </w:tcBorders>
          </w:tcPr>
          <w:p w14:paraId="15A0AE84" w14:textId="6C4694DC" w:rsidR="00CF1F57" w:rsidRPr="00E504AC" w:rsidRDefault="00CF1F57" w:rsidP="00DB7415">
            <w:pPr>
              <w:spacing w:after="0"/>
              <w:ind w:right="173"/>
              <w:jc w:val="right"/>
              <w:rPr>
                <w:rFonts w:ascii="Arial" w:hAnsi="Arial" w:cs="Arial"/>
                <w:szCs w:val="20"/>
              </w:rPr>
            </w:pPr>
            <w:r>
              <w:rPr>
                <w:rFonts w:ascii="Arial" w:hAnsi="Arial" w:cs="Arial"/>
                <w:szCs w:val="20"/>
              </w:rPr>
              <w:t>1,183,297</w:t>
            </w:r>
          </w:p>
        </w:tc>
        <w:tc>
          <w:tcPr>
            <w:tcW w:w="1382" w:type="dxa"/>
            <w:tcBorders>
              <w:left w:val="nil"/>
              <w:right w:val="nil"/>
            </w:tcBorders>
          </w:tcPr>
          <w:p w14:paraId="5053B4F3" w14:textId="06C2BB9D" w:rsidR="00CF1F57" w:rsidRPr="00E504AC" w:rsidRDefault="00CF1F57" w:rsidP="00DB7415">
            <w:pPr>
              <w:spacing w:after="0"/>
              <w:ind w:right="173"/>
              <w:jc w:val="right"/>
              <w:rPr>
                <w:rFonts w:ascii="Arial" w:hAnsi="Arial" w:cs="Arial"/>
                <w:szCs w:val="20"/>
              </w:rPr>
            </w:pPr>
            <w:r>
              <w:rPr>
                <w:rFonts w:ascii="Arial" w:hAnsi="Arial" w:cs="Arial"/>
                <w:szCs w:val="20"/>
              </w:rPr>
              <w:t>(304,304)</w:t>
            </w:r>
          </w:p>
        </w:tc>
        <w:tc>
          <w:tcPr>
            <w:tcW w:w="1382" w:type="dxa"/>
            <w:tcBorders>
              <w:left w:val="nil"/>
              <w:right w:val="nil"/>
            </w:tcBorders>
          </w:tcPr>
          <w:p w14:paraId="17881804" w14:textId="77A41BB9" w:rsidR="00CF1F57" w:rsidRPr="00E504AC" w:rsidRDefault="00CF1F57" w:rsidP="00DB7415">
            <w:pPr>
              <w:spacing w:after="0"/>
              <w:ind w:right="173"/>
              <w:jc w:val="right"/>
              <w:rPr>
                <w:rFonts w:ascii="Arial" w:hAnsi="Arial" w:cs="Arial"/>
                <w:szCs w:val="20"/>
              </w:rPr>
            </w:pPr>
            <w:r>
              <w:rPr>
                <w:rFonts w:ascii="Arial" w:hAnsi="Arial" w:cs="Arial"/>
                <w:szCs w:val="20"/>
              </w:rPr>
              <w:t>878,993</w:t>
            </w:r>
          </w:p>
        </w:tc>
      </w:tr>
      <w:tr w:rsidR="00CF1F57" w:rsidRPr="00E504AC" w14:paraId="48A4BDBD" w14:textId="77777777" w:rsidTr="00DB7415">
        <w:tc>
          <w:tcPr>
            <w:tcW w:w="4500" w:type="dxa"/>
            <w:tcBorders>
              <w:left w:val="nil"/>
            </w:tcBorders>
            <w:vAlign w:val="bottom"/>
          </w:tcPr>
          <w:p w14:paraId="3CA58E89" w14:textId="77777777" w:rsidR="00CF1F57" w:rsidRPr="00E504AC" w:rsidRDefault="00CF1F57" w:rsidP="00DB7415">
            <w:pPr>
              <w:spacing w:after="0"/>
              <w:rPr>
                <w:rFonts w:ascii="Arial" w:hAnsi="Arial" w:cs="Arial"/>
                <w:szCs w:val="20"/>
              </w:rPr>
            </w:pPr>
            <w:r w:rsidRPr="00E504AC">
              <w:rPr>
                <w:rFonts w:ascii="Arial" w:hAnsi="Arial" w:cs="Arial"/>
                <w:szCs w:val="20"/>
              </w:rPr>
              <w:t>Lease liability expense</w:t>
            </w:r>
          </w:p>
        </w:tc>
        <w:tc>
          <w:tcPr>
            <w:tcW w:w="1559" w:type="dxa"/>
            <w:tcBorders>
              <w:left w:val="nil"/>
              <w:right w:val="nil"/>
            </w:tcBorders>
          </w:tcPr>
          <w:p w14:paraId="3659E46E" w14:textId="3533309B" w:rsidR="00CF1F57" w:rsidRPr="00E504AC" w:rsidRDefault="007975AC" w:rsidP="00E26400">
            <w:pPr>
              <w:spacing w:after="0"/>
              <w:ind w:right="173"/>
              <w:jc w:val="right"/>
              <w:rPr>
                <w:rFonts w:ascii="Arial" w:hAnsi="Arial" w:cs="Arial"/>
                <w:szCs w:val="20"/>
              </w:rPr>
            </w:pPr>
            <w:r>
              <w:rPr>
                <w:rFonts w:ascii="Arial" w:hAnsi="Arial" w:cs="Arial"/>
                <w:szCs w:val="20"/>
              </w:rPr>
              <w:t>135,209</w:t>
            </w:r>
          </w:p>
        </w:tc>
        <w:tc>
          <w:tcPr>
            <w:tcW w:w="1382" w:type="dxa"/>
            <w:tcBorders>
              <w:left w:val="nil"/>
              <w:right w:val="nil"/>
            </w:tcBorders>
          </w:tcPr>
          <w:p w14:paraId="319D0E74" w14:textId="77777777"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71403E59" w14:textId="77777777" w:rsidR="00CF1F57" w:rsidRDefault="00CF1F57" w:rsidP="00DB7415">
            <w:pPr>
              <w:spacing w:after="0"/>
              <w:ind w:right="173"/>
              <w:jc w:val="right"/>
              <w:rPr>
                <w:rFonts w:ascii="Arial" w:hAnsi="Arial" w:cs="Arial"/>
                <w:szCs w:val="20"/>
              </w:rPr>
            </w:pPr>
          </w:p>
        </w:tc>
      </w:tr>
      <w:tr w:rsidR="00CF1F57" w:rsidRPr="00E504AC" w14:paraId="7E6E2538" w14:textId="77777777" w:rsidTr="00DB7415">
        <w:tc>
          <w:tcPr>
            <w:tcW w:w="4500" w:type="dxa"/>
            <w:tcBorders>
              <w:left w:val="nil"/>
            </w:tcBorders>
            <w:vAlign w:val="bottom"/>
          </w:tcPr>
          <w:p w14:paraId="730FDA97" w14:textId="77777777" w:rsidR="00CF1F57" w:rsidRPr="00E504AC" w:rsidRDefault="00CF1F57" w:rsidP="00DB7415">
            <w:pPr>
              <w:spacing w:after="0"/>
              <w:rPr>
                <w:rFonts w:ascii="Arial" w:hAnsi="Arial" w:cs="Arial"/>
                <w:szCs w:val="20"/>
              </w:rPr>
            </w:pPr>
            <w:r w:rsidRPr="00E504AC">
              <w:rPr>
                <w:rFonts w:ascii="Arial" w:hAnsi="Arial" w:cs="Arial"/>
                <w:szCs w:val="20"/>
              </w:rPr>
              <w:t>Lease payments</w:t>
            </w:r>
          </w:p>
        </w:tc>
        <w:tc>
          <w:tcPr>
            <w:tcW w:w="1559" w:type="dxa"/>
            <w:tcBorders>
              <w:left w:val="nil"/>
              <w:right w:val="nil"/>
            </w:tcBorders>
          </w:tcPr>
          <w:p w14:paraId="4241D861" w14:textId="5756570C" w:rsidR="00CF1F57" w:rsidRPr="00E504AC" w:rsidRDefault="0082773C" w:rsidP="00DB7415">
            <w:pPr>
              <w:spacing w:after="0"/>
              <w:ind w:right="173"/>
              <w:jc w:val="right"/>
              <w:rPr>
                <w:rFonts w:ascii="Arial" w:hAnsi="Arial" w:cs="Arial"/>
                <w:szCs w:val="20"/>
              </w:rPr>
            </w:pPr>
            <w:r>
              <w:rPr>
                <w:rFonts w:ascii="Arial" w:hAnsi="Arial" w:cs="Arial"/>
                <w:szCs w:val="20"/>
              </w:rPr>
              <w:t>(</w:t>
            </w:r>
            <w:r w:rsidR="007975AC">
              <w:rPr>
                <w:rFonts w:ascii="Arial" w:hAnsi="Arial" w:cs="Arial"/>
                <w:szCs w:val="20"/>
              </w:rPr>
              <w:t>414,610</w:t>
            </w:r>
            <w:r>
              <w:rPr>
                <w:rFonts w:ascii="Arial" w:hAnsi="Arial" w:cs="Arial"/>
                <w:szCs w:val="20"/>
              </w:rPr>
              <w:t>)</w:t>
            </w:r>
          </w:p>
        </w:tc>
        <w:tc>
          <w:tcPr>
            <w:tcW w:w="1382" w:type="dxa"/>
            <w:tcBorders>
              <w:left w:val="nil"/>
              <w:right w:val="nil"/>
            </w:tcBorders>
          </w:tcPr>
          <w:p w14:paraId="7316CF16" w14:textId="77777777"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4D1374A1" w14:textId="77777777" w:rsidR="00CF1F57" w:rsidRPr="00E504AC" w:rsidRDefault="00CF1F57" w:rsidP="00DB7415">
            <w:pPr>
              <w:spacing w:after="0"/>
              <w:ind w:right="173"/>
              <w:jc w:val="right"/>
              <w:rPr>
                <w:rFonts w:ascii="Arial" w:hAnsi="Arial" w:cs="Arial"/>
                <w:szCs w:val="20"/>
              </w:rPr>
            </w:pPr>
          </w:p>
        </w:tc>
      </w:tr>
      <w:tr w:rsidR="00CF1F57" w:rsidRPr="00E504AC" w14:paraId="440464A5" w14:textId="77777777" w:rsidTr="00DB7415">
        <w:tc>
          <w:tcPr>
            <w:tcW w:w="4500" w:type="dxa"/>
            <w:tcBorders>
              <w:left w:val="nil"/>
            </w:tcBorders>
            <w:vAlign w:val="bottom"/>
          </w:tcPr>
          <w:p w14:paraId="6296C24A" w14:textId="77777777" w:rsidR="00CF1F57" w:rsidRPr="00E504AC" w:rsidRDefault="00CF1F57" w:rsidP="00DB7415">
            <w:pPr>
              <w:spacing w:after="0"/>
              <w:rPr>
                <w:rFonts w:ascii="Arial" w:hAnsi="Arial" w:cs="Arial"/>
                <w:szCs w:val="20"/>
              </w:rPr>
            </w:pPr>
            <w:r w:rsidRPr="00E504AC">
              <w:rPr>
                <w:rFonts w:ascii="Arial" w:hAnsi="Arial" w:cs="Arial"/>
                <w:szCs w:val="20"/>
              </w:rPr>
              <w:t>Effect of foreign exchange rate changes</w:t>
            </w:r>
          </w:p>
        </w:tc>
        <w:tc>
          <w:tcPr>
            <w:tcW w:w="1559" w:type="dxa"/>
            <w:tcBorders>
              <w:left w:val="nil"/>
              <w:right w:val="nil"/>
            </w:tcBorders>
          </w:tcPr>
          <w:p w14:paraId="4CA86EEB" w14:textId="7C4372F0" w:rsidR="00CF1F57" w:rsidRPr="00E504AC" w:rsidRDefault="007975AC" w:rsidP="00E26400">
            <w:pPr>
              <w:spacing w:after="0"/>
              <w:ind w:right="173"/>
              <w:jc w:val="right"/>
              <w:rPr>
                <w:rFonts w:ascii="Arial" w:hAnsi="Arial" w:cs="Arial"/>
                <w:szCs w:val="20"/>
              </w:rPr>
            </w:pPr>
            <w:r>
              <w:rPr>
                <w:rFonts w:ascii="Arial" w:hAnsi="Arial" w:cs="Arial"/>
                <w:szCs w:val="20"/>
              </w:rPr>
              <w:t>2,003</w:t>
            </w:r>
          </w:p>
        </w:tc>
        <w:tc>
          <w:tcPr>
            <w:tcW w:w="1382" w:type="dxa"/>
            <w:tcBorders>
              <w:left w:val="nil"/>
              <w:right w:val="nil"/>
            </w:tcBorders>
          </w:tcPr>
          <w:p w14:paraId="74B405A2" w14:textId="77777777"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39491701" w14:textId="77777777" w:rsidR="00CF1F57" w:rsidRDefault="00CF1F57" w:rsidP="00DB7415">
            <w:pPr>
              <w:spacing w:after="0"/>
              <w:ind w:right="173"/>
              <w:jc w:val="right"/>
              <w:rPr>
                <w:rFonts w:ascii="Arial" w:hAnsi="Arial" w:cs="Arial"/>
                <w:szCs w:val="20"/>
              </w:rPr>
            </w:pPr>
          </w:p>
        </w:tc>
      </w:tr>
      <w:tr w:rsidR="00CF1F57" w:rsidRPr="00E504AC" w14:paraId="3349D2DE" w14:textId="77777777" w:rsidTr="00CF1F57">
        <w:trPr>
          <w:trHeight w:hRule="exact" w:val="86"/>
        </w:trPr>
        <w:tc>
          <w:tcPr>
            <w:tcW w:w="4500" w:type="dxa"/>
            <w:tcBorders>
              <w:top w:val="single" w:sz="4" w:space="0" w:color="auto"/>
              <w:left w:val="nil"/>
            </w:tcBorders>
            <w:vAlign w:val="bottom"/>
          </w:tcPr>
          <w:p w14:paraId="75A187AB" w14:textId="77777777" w:rsidR="00CF1F57" w:rsidRPr="00E504AC" w:rsidRDefault="00CF1F57" w:rsidP="00DB7415">
            <w:pPr>
              <w:spacing w:after="0"/>
              <w:rPr>
                <w:rFonts w:ascii="Arial" w:hAnsi="Arial" w:cs="Arial"/>
                <w:szCs w:val="20"/>
              </w:rPr>
            </w:pPr>
          </w:p>
        </w:tc>
        <w:tc>
          <w:tcPr>
            <w:tcW w:w="1559" w:type="dxa"/>
            <w:tcBorders>
              <w:top w:val="single" w:sz="4" w:space="0" w:color="auto"/>
              <w:left w:val="nil"/>
              <w:right w:val="nil"/>
            </w:tcBorders>
          </w:tcPr>
          <w:p w14:paraId="50DEAA20" w14:textId="77777777" w:rsidR="00CF1F57" w:rsidRPr="00E504AC" w:rsidRDefault="00CF1F57" w:rsidP="00DB7415">
            <w:pPr>
              <w:spacing w:after="0"/>
              <w:ind w:right="173"/>
              <w:jc w:val="right"/>
              <w:rPr>
                <w:rFonts w:ascii="Arial" w:hAnsi="Arial" w:cs="Arial"/>
                <w:szCs w:val="20"/>
              </w:rPr>
            </w:pPr>
          </w:p>
        </w:tc>
        <w:tc>
          <w:tcPr>
            <w:tcW w:w="1382" w:type="dxa"/>
            <w:tcBorders>
              <w:top w:val="single" w:sz="4" w:space="0" w:color="auto"/>
              <w:left w:val="nil"/>
              <w:right w:val="nil"/>
            </w:tcBorders>
          </w:tcPr>
          <w:p w14:paraId="093162F9" w14:textId="77777777" w:rsidR="00CF1F57" w:rsidRPr="00E504AC" w:rsidRDefault="00CF1F57" w:rsidP="00DB7415">
            <w:pPr>
              <w:spacing w:after="0"/>
              <w:ind w:right="173"/>
              <w:jc w:val="right"/>
              <w:rPr>
                <w:rFonts w:ascii="Arial" w:hAnsi="Arial" w:cs="Arial"/>
                <w:szCs w:val="20"/>
              </w:rPr>
            </w:pPr>
          </w:p>
        </w:tc>
        <w:tc>
          <w:tcPr>
            <w:tcW w:w="1382" w:type="dxa"/>
            <w:tcBorders>
              <w:top w:val="single" w:sz="4" w:space="0" w:color="auto"/>
              <w:left w:val="nil"/>
              <w:right w:val="nil"/>
            </w:tcBorders>
          </w:tcPr>
          <w:p w14:paraId="46AE99A9" w14:textId="77777777" w:rsidR="00CF1F57" w:rsidRPr="00E504AC" w:rsidRDefault="00CF1F57" w:rsidP="00DB7415">
            <w:pPr>
              <w:spacing w:after="0"/>
              <w:ind w:right="173"/>
              <w:jc w:val="right"/>
              <w:rPr>
                <w:rFonts w:ascii="Arial" w:hAnsi="Arial" w:cs="Arial"/>
                <w:szCs w:val="20"/>
              </w:rPr>
            </w:pPr>
          </w:p>
        </w:tc>
      </w:tr>
      <w:tr w:rsidR="00CF1F57" w:rsidRPr="00E504AC" w14:paraId="29C28CF0" w14:textId="1ABE9F6E" w:rsidTr="00CF1F57">
        <w:tc>
          <w:tcPr>
            <w:tcW w:w="4500" w:type="dxa"/>
            <w:tcBorders>
              <w:left w:val="nil"/>
              <w:bottom w:val="single" w:sz="12" w:space="0" w:color="auto"/>
            </w:tcBorders>
            <w:vAlign w:val="bottom"/>
          </w:tcPr>
          <w:p w14:paraId="61646D23" w14:textId="1D9CA407" w:rsidR="00CF1F57" w:rsidRPr="00E504AC" w:rsidRDefault="00CF1F57" w:rsidP="00DB7415">
            <w:pPr>
              <w:spacing w:after="0"/>
              <w:rPr>
                <w:rFonts w:ascii="Arial" w:hAnsi="Arial" w:cs="Arial"/>
                <w:szCs w:val="20"/>
              </w:rPr>
            </w:pPr>
            <w:r>
              <w:rPr>
                <w:rFonts w:ascii="Arial" w:hAnsi="Arial" w:cs="Arial"/>
                <w:szCs w:val="20"/>
              </w:rPr>
              <w:t xml:space="preserve">Balance, </w:t>
            </w:r>
            <w:r w:rsidR="0069275D">
              <w:rPr>
                <w:rFonts w:ascii="Arial" w:hAnsi="Arial" w:cs="Arial"/>
                <w:szCs w:val="20"/>
              </w:rPr>
              <w:t>October</w:t>
            </w:r>
            <w:r>
              <w:rPr>
                <w:rFonts w:ascii="Arial" w:hAnsi="Arial" w:cs="Arial"/>
                <w:szCs w:val="20"/>
              </w:rPr>
              <w:t xml:space="preserve"> 31, 2019</w:t>
            </w:r>
          </w:p>
        </w:tc>
        <w:tc>
          <w:tcPr>
            <w:tcW w:w="1559" w:type="dxa"/>
            <w:tcBorders>
              <w:left w:val="nil"/>
              <w:bottom w:val="single" w:sz="12" w:space="0" w:color="auto"/>
              <w:right w:val="nil"/>
            </w:tcBorders>
          </w:tcPr>
          <w:p w14:paraId="64BBBD05" w14:textId="455E3983" w:rsidR="00CF1F57" w:rsidRPr="00E504AC" w:rsidRDefault="007975AC" w:rsidP="0082773C">
            <w:pPr>
              <w:spacing w:after="0"/>
              <w:ind w:right="173"/>
              <w:jc w:val="right"/>
              <w:rPr>
                <w:rFonts w:ascii="Arial" w:hAnsi="Arial" w:cs="Arial"/>
                <w:szCs w:val="20"/>
              </w:rPr>
            </w:pPr>
            <w:r>
              <w:rPr>
                <w:rFonts w:ascii="Arial" w:hAnsi="Arial" w:cs="Arial"/>
                <w:szCs w:val="20"/>
              </w:rPr>
              <w:t>905,899</w:t>
            </w:r>
          </w:p>
        </w:tc>
        <w:tc>
          <w:tcPr>
            <w:tcW w:w="1382" w:type="dxa"/>
            <w:tcBorders>
              <w:left w:val="nil"/>
              <w:bottom w:val="single" w:sz="12" w:space="0" w:color="auto"/>
              <w:right w:val="nil"/>
            </w:tcBorders>
          </w:tcPr>
          <w:p w14:paraId="114F497A" w14:textId="0E77BF51" w:rsidR="00CF1F57" w:rsidRPr="00E504AC" w:rsidRDefault="0082773C" w:rsidP="00DB7415">
            <w:pPr>
              <w:spacing w:after="0"/>
              <w:ind w:right="173"/>
              <w:jc w:val="right"/>
              <w:rPr>
                <w:rFonts w:ascii="Arial" w:hAnsi="Arial" w:cs="Arial"/>
                <w:szCs w:val="20"/>
              </w:rPr>
            </w:pPr>
            <w:r>
              <w:rPr>
                <w:rFonts w:ascii="Arial" w:hAnsi="Arial" w:cs="Arial"/>
                <w:szCs w:val="20"/>
              </w:rPr>
              <w:t>(</w:t>
            </w:r>
            <w:r w:rsidR="007975AC">
              <w:rPr>
                <w:rFonts w:ascii="Arial" w:hAnsi="Arial" w:cs="Arial"/>
                <w:szCs w:val="20"/>
              </w:rPr>
              <w:t>129,147</w:t>
            </w:r>
            <w:r>
              <w:rPr>
                <w:rFonts w:ascii="Arial" w:hAnsi="Arial" w:cs="Arial"/>
                <w:szCs w:val="20"/>
              </w:rPr>
              <w:t>)</w:t>
            </w:r>
          </w:p>
        </w:tc>
        <w:tc>
          <w:tcPr>
            <w:tcW w:w="1382" w:type="dxa"/>
            <w:tcBorders>
              <w:left w:val="nil"/>
              <w:bottom w:val="single" w:sz="12" w:space="0" w:color="auto"/>
              <w:right w:val="nil"/>
            </w:tcBorders>
          </w:tcPr>
          <w:p w14:paraId="1DF6F9B5" w14:textId="0546E3E4" w:rsidR="00CF1F57" w:rsidRDefault="007975AC" w:rsidP="00DB7415">
            <w:pPr>
              <w:spacing w:after="0"/>
              <w:ind w:right="173"/>
              <w:jc w:val="right"/>
              <w:rPr>
                <w:rFonts w:ascii="Arial" w:hAnsi="Arial" w:cs="Arial"/>
                <w:szCs w:val="20"/>
              </w:rPr>
            </w:pPr>
            <w:r>
              <w:rPr>
                <w:rFonts w:ascii="Arial" w:hAnsi="Arial" w:cs="Arial"/>
                <w:szCs w:val="20"/>
              </w:rPr>
              <w:t>776,752</w:t>
            </w:r>
          </w:p>
        </w:tc>
      </w:tr>
    </w:tbl>
    <w:p w14:paraId="27A58ED5" w14:textId="77777777" w:rsidR="00CF1F57" w:rsidRDefault="00CF1F57" w:rsidP="00CF1F57">
      <w:pPr>
        <w:tabs>
          <w:tab w:val="left" w:pos="450"/>
        </w:tabs>
        <w:spacing w:after="0"/>
        <w:ind w:left="446"/>
        <w:jc w:val="both"/>
        <w:rPr>
          <w:rFonts w:ascii="Arial" w:hAnsi="Arial" w:cs="Arial"/>
          <w:szCs w:val="20"/>
        </w:rPr>
      </w:pPr>
    </w:p>
    <w:p w14:paraId="5D200717" w14:textId="61CDC3D5" w:rsidR="00036EC0" w:rsidRDefault="00036EC0" w:rsidP="00E504AC">
      <w:pPr>
        <w:tabs>
          <w:tab w:val="left" w:pos="450"/>
        </w:tabs>
        <w:spacing w:after="0"/>
        <w:ind w:left="446"/>
        <w:jc w:val="both"/>
        <w:rPr>
          <w:rFonts w:ascii="Arial" w:hAnsi="Arial" w:cs="Arial"/>
          <w:szCs w:val="20"/>
        </w:rPr>
      </w:pPr>
      <w:r>
        <w:rPr>
          <w:rFonts w:ascii="Arial" w:hAnsi="Arial" w:cs="Arial"/>
          <w:szCs w:val="20"/>
        </w:rPr>
        <w:t>As of October 31, 2019, t</w:t>
      </w:r>
      <w:r w:rsidRPr="00E504AC">
        <w:rPr>
          <w:rFonts w:ascii="Arial" w:hAnsi="Arial" w:cs="Arial"/>
          <w:szCs w:val="20"/>
        </w:rPr>
        <w:t xml:space="preserve">he Company is a </w:t>
      </w:r>
      <w:r w:rsidR="007975AC">
        <w:rPr>
          <w:rFonts w:ascii="Arial" w:hAnsi="Arial" w:cs="Arial"/>
          <w:szCs w:val="20"/>
        </w:rPr>
        <w:t xml:space="preserve">sub-lessee in a lease at </w:t>
      </w:r>
      <w:r w:rsidR="00027448">
        <w:rPr>
          <w:rFonts w:ascii="Arial" w:hAnsi="Arial" w:cs="Arial"/>
          <w:szCs w:val="20"/>
        </w:rPr>
        <w:t xml:space="preserve">295 </w:t>
      </w:r>
      <w:r>
        <w:rPr>
          <w:rFonts w:ascii="Arial" w:hAnsi="Arial" w:cs="Arial"/>
          <w:szCs w:val="20"/>
        </w:rPr>
        <w:t>Kesmark Street</w:t>
      </w:r>
      <w:r w:rsidR="00027448">
        <w:rPr>
          <w:rFonts w:ascii="Arial" w:hAnsi="Arial" w:cs="Arial"/>
          <w:szCs w:val="20"/>
        </w:rPr>
        <w:t xml:space="preserve"> in Quebec, </w:t>
      </w:r>
      <w:r>
        <w:rPr>
          <w:rFonts w:ascii="Arial" w:hAnsi="Arial" w:cs="Arial"/>
          <w:szCs w:val="20"/>
        </w:rPr>
        <w:t xml:space="preserve">Canada and </w:t>
      </w:r>
      <w:r w:rsidR="007975AC">
        <w:rPr>
          <w:rFonts w:ascii="Arial" w:hAnsi="Arial" w:cs="Arial"/>
          <w:szCs w:val="20"/>
        </w:rPr>
        <w:t xml:space="preserve">a lessee in a lease at </w:t>
      </w:r>
      <w:r w:rsidR="00027448">
        <w:rPr>
          <w:rFonts w:ascii="Arial" w:hAnsi="Arial" w:cs="Arial"/>
          <w:szCs w:val="20"/>
        </w:rPr>
        <w:t xml:space="preserve">3595 </w:t>
      </w:r>
      <w:r>
        <w:rPr>
          <w:rFonts w:ascii="Arial" w:hAnsi="Arial" w:cs="Arial"/>
          <w:szCs w:val="20"/>
        </w:rPr>
        <w:t>Cadillac Avenue</w:t>
      </w:r>
      <w:r w:rsidR="00027448">
        <w:rPr>
          <w:rFonts w:ascii="Arial" w:hAnsi="Arial" w:cs="Arial"/>
          <w:szCs w:val="20"/>
        </w:rPr>
        <w:t xml:space="preserve"> in California, </w:t>
      </w:r>
      <w:r>
        <w:rPr>
          <w:rFonts w:ascii="Arial" w:hAnsi="Arial" w:cs="Arial"/>
          <w:szCs w:val="20"/>
        </w:rPr>
        <w:t>U.S.A.</w:t>
      </w:r>
      <w:r w:rsidR="007975AC">
        <w:rPr>
          <w:rFonts w:ascii="Arial" w:hAnsi="Arial" w:cs="Arial"/>
          <w:szCs w:val="20"/>
        </w:rPr>
        <w:t xml:space="preserve">  These leases </w:t>
      </w:r>
      <w:r w:rsidRPr="00E504AC">
        <w:rPr>
          <w:rFonts w:ascii="Arial" w:hAnsi="Arial" w:cs="Arial"/>
          <w:szCs w:val="20"/>
        </w:rPr>
        <w:t xml:space="preserve">have expiry dates ranging between </w:t>
      </w:r>
      <w:r w:rsidR="007975AC">
        <w:rPr>
          <w:rFonts w:ascii="Arial" w:hAnsi="Arial" w:cs="Arial"/>
          <w:szCs w:val="20"/>
        </w:rPr>
        <w:t xml:space="preserve">six (6) </w:t>
      </w:r>
      <w:r>
        <w:rPr>
          <w:rFonts w:ascii="Arial" w:hAnsi="Arial" w:cs="Arial"/>
          <w:szCs w:val="20"/>
        </w:rPr>
        <w:t>months</w:t>
      </w:r>
      <w:r w:rsidRPr="00E504AC">
        <w:rPr>
          <w:rFonts w:ascii="Arial" w:hAnsi="Arial" w:cs="Arial"/>
          <w:szCs w:val="20"/>
        </w:rPr>
        <w:t xml:space="preserve"> and </w:t>
      </w:r>
      <w:r>
        <w:rPr>
          <w:rFonts w:ascii="Arial" w:hAnsi="Arial" w:cs="Arial"/>
          <w:szCs w:val="20"/>
        </w:rPr>
        <w:t>four (4</w:t>
      </w:r>
      <w:r w:rsidRPr="00E504AC">
        <w:rPr>
          <w:rFonts w:ascii="Arial" w:hAnsi="Arial" w:cs="Arial"/>
          <w:szCs w:val="20"/>
        </w:rPr>
        <w:t>) years</w:t>
      </w:r>
      <w:r>
        <w:rPr>
          <w:rFonts w:ascii="Arial" w:hAnsi="Arial" w:cs="Arial"/>
          <w:szCs w:val="20"/>
        </w:rPr>
        <w:t>, respectively.</w:t>
      </w:r>
      <w:r w:rsidRPr="00E504AC">
        <w:rPr>
          <w:rFonts w:ascii="Arial" w:hAnsi="Arial" w:cs="Arial"/>
          <w:szCs w:val="20"/>
        </w:rPr>
        <w:t xml:space="preserve">  </w:t>
      </w:r>
      <w:r>
        <w:rPr>
          <w:rFonts w:ascii="Arial" w:hAnsi="Arial" w:cs="Arial"/>
          <w:szCs w:val="20"/>
        </w:rPr>
        <w:t>On October 31, 2019, the Company entered into</w:t>
      </w:r>
      <w:r w:rsidR="00027448">
        <w:rPr>
          <w:rFonts w:ascii="Arial" w:hAnsi="Arial" w:cs="Arial"/>
          <w:szCs w:val="20"/>
        </w:rPr>
        <w:t xml:space="preserve"> a lease agreement, effective November 1, 2019, for 285-295 Kesmark Street in Quebec, Canada and a sub-lease agreement, effective November 1, 2019, as </w:t>
      </w:r>
      <w:r w:rsidR="007975AC">
        <w:rPr>
          <w:rFonts w:ascii="Arial" w:hAnsi="Arial" w:cs="Arial"/>
          <w:szCs w:val="20"/>
        </w:rPr>
        <w:t>sub-</w:t>
      </w:r>
      <w:r w:rsidR="00027448">
        <w:rPr>
          <w:rFonts w:ascii="Arial" w:hAnsi="Arial" w:cs="Arial"/>
          <w:szCs w:val="20"/>
        </w:rPr>
        <w:t xml:space="preserve">lessor </w:t>
      </w:r>
      <w:r w:rsidR="007975AC">
        <w:rPr>
          <w:rFonts w:ascii="Arial" w:hAnsi="Arial" w:cs="Arial"/>
          <w:szCs w:val="20"/>
        </w:rPr>
        <w:t>of</w:t>
      </w:r>
      <w:r w:rsidR="00027448">
        <w:rPr>
          <w:rFonts w:ascii="Arial" w:hAnsi="Arial" w:cs="Arial"/>
          <w:szCs w:val="20"/>
        </w:rPr>
        <w:t xml:space="preserve"> 285 Kesmark Street.  The Company’s original </w:t>
      </w:r>
      <w:r w:rsidR="007975AC">
        <w:rPr>
          <w:rFonts w:ascii="Arial" w:hAnsi="Arial" w:cs="Arial"/>
          <w:szCs w:val="20"/>
        </w:rPr>
        <w:t>sub-</w:t>
      </w:r>
      <w:r w:rsidR="00027448">
        <w:rPr>
          <w:rFonts w:ascii="Arial" w:hAnsi="Arial" w:cs="Arial"/>
          <w:szCs w:val="20"/>
        </w:rPr>
        <w:t xml:space="preserve">lease agreement for 295 Kesmark Street terminated effective November 1, 2019.  During the nine months ended October 31, 2019, the Company </w:t>
      </w:r>
      <w:r w:rsidR="00027448" w:rsidRPr="002956D7">
        <w:rPr>
          <w:rFonts w:ascii="Arial" w:hAnsi="Arial" w:cs="Arial"/>
          <w:szCs w:val="20"/>
        </w:rPr>
        <w:t xml:space="preserve">wrote-off its </w:t>
      </w:r>
      <w:r w:rsidR="00027448">
        <w:rPr>
          <w:rFonts w:ascii="Arial" w:hAnsi="Arial" w:cs="Arial"/>
          <w:szCs w:val="20"/>
        </w:rPr>
        <w:t xml:space="preserve">security deposit under the original </w:t>
      </w:r>
      <w:r w:rsidR="007975AC">
        <w:rPr>
          <w:rFonts w:ascii="Arial" w:hAnsi="Arial" w:cs="Arial"/>
          <w:szCs w:val="20"/>
        </w:rPr>
        <w:t>sub-</w:t>
      </w:r>
      <w:r w:rsidR="00027448">
        <w:rPr>
          <w:rFonts w:ascii="Arial" w:hAnsi="Arial" w:cs="Arial"/>
          <w:szCs w:val="20"/>
        </w:rPr>
        <w:t>lease agreement</w:t>
      </w:r>
      <w:r w:rsidR="00027448" w:rsidRPr="002956D7">
        <w:rPr>
          <w:rFonts w:ascii="Arial" w:hAnsi="Arial" w:cs="Arial"/>
          <w:szCs w:val="20"/>
        </w:rPr>
        <w:t xml:space="preserve"> and recorded a loss on write-off of $</w:t>
      </w:r>
      <w:r w:rsidR="00027448">
        <w:rPr>
          <w:rFonts w:ascii="Arial" w:hAnsi="Arial" w:cs="Arial"/>
          <w:szCs w:val="20"/>
        </w:rPr>
        <w:t>24,454</w:t>
      </w:r>
      <w:r w:rsidR="00027448" w:rsidRPr="002956D7">
        <w:rPr>
          <w:rFonts w:ascii="Arial" w:hAnsi="Arial" w:cs="Arial"/>
          <w:szCs w:val="20"/>
        </w:rPr>
        <w:t xml:space="preserve"> (2018 - $nil)</w:t>
      </w:r>
      <w:r w:rsidR="00027448">
        <w:rPr>
          <w:rFonts w:ascii="Arial" w:hAnsi="Arial" w:cs="Arial"/>
          <w:szCs w:val="20"/>
        </w:rPr>
        <w:t>.</w:t>
      </w:r>
    </w:p>
    <w:p w14:paraId="0E73A28F" w14:textId="77777777" w:rsidR="00036EC0" w:rsidRDefault="00036EC0" w:rsidP="00E504AC">
      <w:pPr>
        <w:tabs>
          <w:tab w:val="left" w:pos="450"/>
        </w:tabs>
        <w:spacing w:after="0"/>
        <w:ind w:left="446"/>
        <w:jc w:val="both"/>
        <w:rPr>
          <w:rFonts w:ascii="Arial" w:hAnsi="Arial" w:cs="Arial"/>
          <w:szCs w:val="20"/>
        </w:rPr>
      </w:pPr>
    </w:p>
    <w:p w14:paraId="1D5C89A9" w14:textId="37048AE6" w:rsidR="00E504AC" w:rsidRDefault="00E504AC" w:rsidP="00E504AC">
      <w:pPr>
        <w:tabs>
          <w:tab w:val="left" w:pos="450"/>
        </w:tabs>
        <w:spacing w:after="0"/>
        <w:ind w:left="446"/>
        <w:jc w:val="both"/>
        <w:rPr>
          <w:rFonts w:ascii="Arial" w:hAnsi="Arial" w:cs="Arial"/>
          <w:szCs w:val="20"/>
        </w:rPr>
      </w:pPr>
      <w:r w:rsidRPr="00E504AC">
        <w:rPr>
          <w:rFonts w:ascii="Arial" w:hAnsi="Arial" w:cs="Arial"/>
          <w:szCs w:val="20"/>
        </w:rPr>
        <w:t xml:space="preserve">The table below summarizes the remaining expected lease payments under operating leases as of </w:t>
      </w:r>
      <w:r w:rsidR="0069275D">
        <w:rPr>
          <w:rFonts w:ascii="Arial" w:hAnsi="Arial" w:cs="Arial"/>
          <w:szCs w:val="20"/>
        </w:rPr>
        <w:t>October</w:t>
      </w:r>
      <w:r>
        <w:rPr>
          <w:rFonts w:ascii="Arial" w:hAnsi="Arial" w:cs="Arial"/>
          <w:szCs w:val="20"/>
        </w:rPr>
        <w:t xml:space="preserve"> 31</w:t>
      </w:r>
      <w:r w:rsidRPr="00E504AC">
        <w:rPr>
          <w:rFonts w:ascii="Arial" w:hAnsi="Arial" w:cs="Arial"/>
          <w:szCs w:val="20"/>
        </w:rPr>
        <w:t>, 2019</w:t>
      </w:r>
      <w:r w:rsidR="005B01B3">
        <w:rPr>
          <w:rFonts w:ascii="Arial" w:hAnsi="Arial" w:cs="Arial"/>
          <w:szCs w:val="20"/>
        </w:rPr>
        <w:t>:</w:t>
      </w:r>
    </w:p>
    <w:p w14:paraId="0C2C9061" w14:textId="764D4640" w:rsidR="00E504AC" w:rsidRDefault="00E504AC" w:rsidP="00E504AC">
      <w:pPr>
        <w:tabs>
          <w:tab w:val="left" w:pos="450"/>
        </w:tabs>
        <w:spacing w:after="0"/>
        <w:ind w:left="446"/>
        <w:jc w:val="both"/>
        <w:rPr>
          <w:rFonts w:ascii="Arial" w:hAnsi="Arial" w:cs="Arial"/>
          <w:szCs w:val="20"/>
        </w:rPr>
      </w:pPr>
    </w:p>
    <w:tbl>
      <w:tblPr>
        <w:tblW w:w="5699" w:type="dxa"/>
        <w:tblInd w:w="1080" w:type="dxa"/>
        <w:tblLayout w:type="fixed"/>
        <w:tblCellMar>
          <w:left w:w="0" w:type="dxa"/>
          <w:right w:w="0" w:type="dxa"/>
        </w:tblCellMar>
        <w:tblLook w:val="0000" w:firstRow="0" w:lastRow="0" w:firstColumn="0" w:lastColumn="0" w:noHBand="0" w:noVBand="0"/>
      </w:tblPr>
      <w:tblGrid>
        <w:gridCol w:w="4140"/>
        <w:gridCol w:w="1559"/>
      </w:tblGrid>
      <w:tr w:rsidR="00E504AC" w:rsidRPr="00E504AC" w14:paraId="77AA043D" w14:textId="77777777" w:rsidTr="00C74354">
        <w:tc>
          <w:tcPr>
            <w:tcW w:w="4140" w:type="dxa"/>
            <w:tcBorders>
              <w:top w:val="nil"/>
              <w:left w:val="nil"/>
              <w:bottom w:val="single" w:sz="4" w:space="0" w:color="auto"/>
            </w:tcBorders>
            <w:vAlign w:val="bottom"/>
          </w:tcPr>
          <w:p w14:paraId="0219DC22" w14:textId="77777777" w:rsidR="00E504AC" w:rsidRPr="00E504AC" w:rsidRDefault="00E504AC" w:rsidP="00E504AC">
            <w:pPr>
              <w:spacing w:after="0"/>
              <w:rPr>
                <w:rFonts w:ascii="Arial" w:hAnsi="Arial" w:cs="Arial"/>
                <w:szCs w:val="20"/>
              </w:rPr>
            </w:pPr>
            <w:r w:rsidRPr="00E504AC">
              <w:rPr>
                <w:rFonts w:ascii="Arial" w:hAnsi="Arial" w:cs="Arial"/>
                <w:b/>
                <w:bCs/>
                <w:szCs w:val="20"/>
              </w:rPr>
              <w:t>Fiscal Years</w:t>
            </w:r>
          </w:p>
        </w:tc>
        <w:tc>
          <w:tcPr>
            <w:tcW w:w="1559" w:type="dxa"/>
            <w:tcBorders>
              <w:top w:val="nil"/>
              <w:left w:val="nil"/>
              <w:bottom w:val="single" w:sz="4" w:space="0" w:color="auto"/>
              <w:right w:val="nil"/>
            </w:tcBorders>
            <w:vAlign w:val="bottom"/>
          </w:tcPr>
          <w:p w14:paraId="351EBF9F" w14:textId="77777777" w:rsidR="00E504AC" w:rsidRPr="00E504AC" w:rsidRDefault="00E504AC" w:rsidP="00C74354">
            <w:pPr>
              <w:spacing w:after="0"/>
              <w:jc w:val="center"/>
              <w:rPr>
                <w:rFonts w:ascii="Arial" w:hAnsi="Arial" w:cs="Arial"/>
                <w:szCs w:val="20"/>
              </w:rPr>
            </w:pPr>
            <w:r w:rsidRPr="00E504AC">
              <w:rPr>
                <w:rFonts w:ascii="Arial" w:hAnsi="Arial" w:cs="Arial"/>
                <w:szCs w:val="20"/>
              </w:rPr>
              <w:t>$</w:t>
            </w:r>
          </w:p>
        </w:tc>
      </w:tr>
      <w:tr w:rsidR="00E504AC" w:rsidRPr="00E504AC" w14:paraId="0EA72997" w14:textId="77777777" w:rsidTr="00C74354">
        <w:trPr>
          <w:trHeight w:hRule="exact" w:val="113"/>
        </w:trPr>
        <w:tc>
          <w:tcPr>
            <w:tcW w:w="4140" w:type="dxa"/>
            <w:tcBorders>
              <w:top w:val="single" w:sz="4" w:space="0" w:color="auto"/>
              <w:left w:val="nil"/>
            </w:tcBorders>
            <w:vAlign w:val="bottom"/>
          </w:tcPr>
          <w:p w14:paraId="507181F5" w14:textId="77777777" w:rsidR="00E504AC" w:rsidRPr="00E504AC" w:rsidRDefault="00E504AC" w:rsidP="00C74354">
            <w:pPr>
              <w:spacing w:after="0"/>
              <w:rPr>
                <w:rFonts w:ascii="Arial" w:hAnsi="Arial" w:cs="Arial"/>
                <w:szCs w:val="20"/>
              </w:rPr>
            </w:pPr>
          </w:p>
        </w:tc>
        <w:tc>
          <w:tcPr>
            <w:tcW w:w="1559" w:type="dxa"/>
            <w:tcBorders>
              <w:top w:val="single" w:sz="4" w:space="0" w:color="auto"/>
              <w:left w:val="nil"/>
              <w:right w:val="nil"/>
            </w:tcBorders>
            <w:vAlign w:val="bottom"/>
          </w:tcPr>
          <w:p w14:paraId="2D938020" w14:textId="77777777" w:rsidR="00E504AC" w:rsidRPr="00E504AC" w:rsidRDefault="00E504AC" w:rsidP="00C74354">
            <w:pPr>
              <w:spacing w:after="0"/>
              <w:ind w:right="369"/>
              <w:jc w:val="right"/>
              <w:rPr>
                <w:rFonts w:ascii="Arial" w:hAnsi="Arial" w:cs="Arial"/>
                <w:szCs w:val="20"/>
              </w:rPr>
            </w:pPr>
          </w:p>
        </w:tc>
      </w:tr>
      <w:tr w:rsidR="00E504AC" w:rsidRPr="00E504AC" w14:paraId="5F302A13" w14:textId="77777777" w:rsidTr="00C74354">
        <w:tc>
          <w:tcPr>
            <w:tcW w:w="4140" w:type="dxa"/>
            <w:tcBorders>
              <w:left w:val="nil"/>
            </w:tcBorders>
            <w:vAlign w:val="bottom"/>
          </w:tcPr>
          <w:p w14:paraId="3DF330CA" w14:textId="77777777" w:rsidR="00E504AC" w:rsidRPr="00E504AC" w:rsidRDefault="00E504AC" w:rsidP="00C74354">
            <w:pPr>
              <w:spacing w:after="0"/>
              <w:rPr>
                <w:rFonts w:ascii="Arial" w:hAnsi="Arial" w:cs="Arial"/>
                <w:szCs w:val="20"/>
              </w:rPr>
            </w:pPr>
            <w:r w:rsidRPr="00E504AC">
              <w:rPr>
                <w:rFonts w:ascii="Arial" w:hAnsi="Arial" w:cs="Arial"/>
                <w:szCs w:val="20"/>
              </w:rPr>
              <w:t>2020</w:t>
            </w:r>
          </w:p>
        </w:tc>
        <w:tc>
          <w:tcPr>
            <w:tcW w:w="1559" w:type="dxa"/>
            <w:tcBorders>
              <w:left w:val="nil"/>
              <w:right w:val="nil"/>
            </w:tcBorders>
          </w:tcPr>
          <w:p w14:paraId="35A3924B" w14:textId="0249F114" w:rsidR="00E504AC" w:rsidRPr="00E504AC" w:rsidRDefault="005B01B3" w:rsidP="00C74354">
            <w:pPr>
              <w:spacing w:after="0"/>
              <w:ind w:right="173"/>
              <w:jc w:val="right"/>
              <w:rPr>
                <w:rFonts w:ascii="Arial" w:hAnsi="Arial" w:cs="Arial"/>
                <w:szCs w:val="20"/>
              </w:rPr>
            </w:pPr>
            <w:r>
              <w:rPr>
                <w:rFonts w:ascii="Arial" w:hAnsi="Arial" w:cs="Arial"/>
                <w:szCs w:val="20"/>
              </w:rPr>
              <w:t>132,689</w:t>
            </w:r>
          </w:p>
        </w:tc>
      </w:tr>
      <w:tr w:rsidR="00E504AC" w:rsidRPr="00E504AC" w14:paraId="24DEA95D" w14:textId="77777777" w:rsidTr="00C74354">
        <w:tc>
          <w:tcPr>
            <w:tcW w:w="4140" w:type="dxa"/>
            <w:tcBorders>
              <w:left w:val="nil"/>
            </w:tcBorders>
            <w:vAlign w:val="bottom"/>
          </w:tcPr>
          <w:p w14:paraId="55CB0B25" w14:textId="77777777" w:rsidR="00E504AC" w:rsidRPr="00E504AC" w:rsidRDefault="00E504AC" w:rsidP="00C74354">
            <w:pPr>
              <w:spacing w:after="0"/>
              <w:rPr>
                <w:rFonts w:ascii="Arial" w:hAnsi="Arial" w:cs="Arial"/>
                <w:szCs w:val="20"/>
              </w:rPr>
            </w:pPr>
            <w:r w:rsidRPr="00E504AC">
              <w:rPr>
                <w:rFonts w:ascii="Arial" w:hAnsi="Arial" w:cs="Arial"/>
                <w:szCs w:val="20"/>
              </w:rPr>
              <w:t>2021</w:t>
            </w:r>
          </w:p>
        </w:tc>
        <w:tc>
          <w:tcPr>
            <w:tcW w:w="1559" w:type="dxa"/>
            <w:tcBorders>
              <w:left w:val="nil"/>
              <w:right w:val="nil"/>
            </w:tcBorders>
          </w:tcPr>
          <w:p w14:paraId="69776806" w14:textId="790EB7C9" w:rsidR="00E504AC" w:rsidRPr="00E504AC" w:rsidRDefault="006743C8" w:rsidP="00C74354">
            <w:pPr>
              <w:spacing w:after="0"/>
              <w:ind w:right="173"/>
              <w:jc w:val="right"/>
              <w:rPr>
                <w:rFonts w:ascii="Arial" w:hAnsi="Arial" w:cs="Arial"/>
                <w:szCs w:val="20"/>
              </w:rPr>
            </w:pPr>
            <w:r>
              <w:rPr>
                <w:rFonts w:ascii="Arial" w:hAnsi="Arial" w:cs="Arial"/>
                <w:szCs w:val="20"/>
              </w:rPr>
              <w:t>333,</w:t>
            </w:r>
            <w:r w:rsidR="005B01B3">
              <w:rPr>
                <w:rFonts w:ascii="Arial" w:hAnsi="Arial" w:cs="Arial"/>
                <w:szCs w:val="20"/>
              </w:rPr>
              <w:t>677</w:t>
            </w:r>
          </w:p>
        </w:tc>
      </w:tr>
      <w:tr w:rsidR="00E504AC" w:rsidRPr="00E504AC" w14:paraId="7C9035ED" w14:textId="77777777" w:rsidTr="00C74354">
        <w:tc>
          <w:tcPr>
            <w:tcW w:w="4140" w:type="dxa"/>
            <w:tcBorders>
              <w:left w:val="nil"/>
            </w:tcBorders>
            <w:vAlign w:val="bottom"/>
          </w:tcPr>
          <w:p w14:paraId="0D141FF1" w14:textId="77777777" w:rsidR="00E504AC" w:rsidRPr="00E504AC" w:rsidRDefault="00E504AC" w:rsidP="00C74354">
            <w:pPr>
              <w:spacing w:after="0"/>
              <w:rPr>
                <w:rFonts w:ascii="Arial" w:hAnsi="Arial" w:cs="Arial"/>
                <w:szCs w:val="20"/>
              </w:rPr>
            </w:pPr>
            <w:r w:rsidRPr="00E504AC">
              <w:rPr>
                <w:rFonts w:ascii="Arial" w:hAnsi="Arial" w:cs="Arial"/>
                <w:szCs w:val="20"/>
              </w:rPr>
              <w:t>2022</w:t>
            </w:r>
          </w:p>
        </w:tc>
        <w:tc>
          <w:tcPr>
            <w:tcW w:w="1559" w:type="dxa"/>
            <w:tcBorders>
              <w:left w:val="nil"/>
              <w:right w:val="nil"/>
            </w:tcBorders>
          </w:tcPr>
          <w:p w14:paraId="581A1B25" w14:textId="323F8E59" w:rsidR="00E504AC" w:rsidRPr="00E504AC" w:rsidRDefault="006743C8" w:rsidP="00C74354">
            <w:pPr>
              <w:spacing w:after="0"/>
              <w:ind w:right="173"/>
              <w:jc w:val="right"/>
              <w:rPr>
                <w:rFonts w:ascii="Arial" w:hAnsi="Arial" w:cs="Arial"/>
                <w:szCs w:val="20"/>
              </w:rPr>
            </w:pPr>
            <w:r>
              <w:rPr>
                <w:rFonts w:ascii="Arial" w:hAnsi="Arial" w:cs="Arial"/>
                <w:szCs w:val="20"/>
              </w:rPr>
              <w:t>274,</w:t>
            </w:r>
            <w:r w:rsidR="005B01B3">
              <w:rPr>
                <w:rFonts w:ascii="Arial" w:hAnsi="Arial" w:cs="Arial"/>
                <w:szCs w:val="20"/>
              </w:rPr>
              <w:t>453</w:t>
            </w:r>
          </w:p>
        </w:tc>
      </w:tr>
      <w:tr w:rsidR="00E504AC" w:rsidRPr="00E504AC" w14:paraId="2DBD6578" w14:textId="77777777" w:rsidTr="00C74354">
        <w:tc>
          <w:tcPr>
            <w:tcW w:w="4140" w:type="dxa"/>
            <w:tcBorders>
              <w:left w:val="nil"/>
            </w:tcBorders>
            <w:vAlign w:val="bottom"/>
          </w:tcPr>
          <w:p w14:paraId="4371BCFC" w14:textId="77777777" w:rsidR="00E504AC" w:rsidRPr="00E504AC" w:rsidRDefault="00E504AC" w:rsidP="00C74354">
            <w:pPr>
              <w:spacing w:after="0"/>
              <w:rPr>
                <w:rFonts w:ascii="Arial" w:hAnsi="Arial" w:cs="Arial"/>
                <w:szCs w:val="20"/>
              </w:rPr>
            </w:pPr>
            <w:r w:rsidRPr="00E504AC">
              <w:rPr>
                <w:rFonts w:ascii="Arial" w:hAnsi="Arial" w:cs="Arial"/>
                <w:szCs w:val="20"/>
              </w:rPr>
              <w:t>2023</w:t>
            </w:r>
          </w:p>
        </w:tc>
        <w:tc>
          <w:tcPr>
            <w:tcW w:w="1559" w:type="dxa"/>
            <w:tcBorders>
              <w:left w:val="nil"/>
              <w:right w:val="nil"/>
            </w:tcBorders>
          </w:tcPr>
          <w:p w14:paraId="7D6BDAFF" w14:textId="5498C0EE" w:rsidR="00E504AC" w:rsidRPr="00E504AC" w:rsidRDefault="006743C8" w:rsidP="00C74354">
            <w:pPr>
              <w:spacing w:after="0"/>
              <w:ind w:right="173"/>
              <w:jc w:val="right"/>
              <w:rPr>
                <w:rFonts w:ascii="Arial" w:hAnsi="Arial" w:cs="Arial"/>
                <w:szCs w:val="20"/>
              </w:rPr>
            </w:pPr>
            <w:r>
              <w:rPr>
                <w:rFonts w:ascii="Arial" w:hAnsi="Arial" w:cs="Arial"/>
                <w:szCs w:val="20"/>
              </w:rPr>
              <w:t>282,</w:t>
            </w:r>
            <w:r w:rsidR="005B01B3">
              <w:rPr>
                <w:rFonts w:ascii="Arial" w:hAnsi="Arial" w:cs="Arial"/>
                <w:szCs w:val="20"/>
              </w:rPr>
              <w:t>683</w:t>
            </w:r>
          </w:p>
        </w:tc>
      </w:tr>
      <w:tr w:rsidR="00E504AC" w:rsidRPr="00E504AC" w14:paraId="7A1FFA74" w14:textId="77777777" w:rsidTr="00C74354">
        <w:tc>
          <w:tcPr>
            <w:tcW w:w="4140" w:type="dxa"/>
            <w:tcBorders>
              <w:left w:val="nil"/>
            </w:tcBorders>
            <w:vAlign w:val="bottom"/>
          </w:tcPr>
          <w:p w14:paraId="55EA77BF" w14:textId="77777777" w:rsidR="00E504AC" w:rsidRPr="00E504AC" w:rsidRDefault="00E504AC" w:rsidP="00C74354">
            <w:pPr>
              <w:spacing w:after="0"/>
              <w:rPr>
                <w:rFonts w:ascii="Arial" w:hAnsi="Arial" w:cs="Arial"/>
                <w:szCs w:val="20"/>
              </w:rPr>
            </w:pPr>
            <w:r w:rsidRPr="00E504AC">
              <w:rPr>
                <w:rFonts w:ascii="Arial" w:hAnsi="Arial" w:cs="Arial"/>
                <w:szCs w:val="20"/>
              </w:rPr>
              <w:t>Thereafter</w:t>
            </w:r>
          </w:p>
        </w:tc>
        <w:tc>
          <w:tcPr>
            <w:tcW w:w="1559" w:type="dxa"/>
            <w:tcBorders>
              <w:left w:val="nil"/>
              <w:right w:val="nil"/>
            </w:tcBorders>
          </w:tcPr>
          <w:p w14:paraId="1F00BB59" w14:textId="19DB5AA3" w:rsidR="00E504AC" w:rsidRPr="00E504AC" w:rsidRDefault="006743C8" w:rsidP="00C74354">
            <w:pPr>
              <w:spacing w:after="0"/>
              <w:ind w:right="173"/>
              <w:jc w:val="right"/>
              <w:rPr>
                <w:rFonts w:ascii="Arial" w:hAnsi="Arial" w:cs="Arial"/>
                <w:szCs w:val="20"/>
              </w:rPr>
            </w:pPr>
            <w:r>
              <w:rPr>
                <w:rFonts w:ascii="Arial" w:hAnsi="Arial" w:cs="Arial"/>
                <w:szCs w:val="20"/>
              </w:rPr>
              <w:t>119,</w:t>
            </w:r>
            <w:r w:rsidR="005B01B3">
              <w:rPr>
                <w:rFonts w:ascii="Arial" w:hAnsi="Arial" w:cs="Arial"/>
                <w:szCs w:val="20"/>
              </w:rPr>
              <w:t>230</w:t>
            </w:r>
          </w:p>
        </w:tc>
      </w:tr>
      <w:tr w:rsidR="00E504AC" w:rsidRPr="00E504AC" w14:paraId="425AB41B" w14:textId="77777777" w:rsidTr="00C74354">
        <w:tc>
          <w:tcPr>
            <w:tcW w:w="4140" w:type="dxa"/>
            <w:tcBorders>
              <w:left w:val="nil"/>
            </w:tcBorders>
            <w:vAlign w:val="bottom"/>
          </w:tcPr>
          <w:p w14:paraId="37D82C07" w14:textId="77777777" w:rsidR="00E504AC" w:rsidRPr="00E504AC" w:rsidRDefault="00E504AC" w:rsidP="00C74354">
            <w:pPr>
              <w:spacing w:after="0"/>
              <w:rPr>
                <w:rFonts w:ascii="Arial" w:hAnsi="Arial" w:cs="Arial"/>
                <w:szCs w:val="20"/>
              </w:rPr>
            </w:pPr>
            <w:r w:rsidRPr="00E504AC">
              <w:rPr>
                <w:rFonts w:ascii="Arial" w:hAnsi="Arial" w:cs="Arial"/>
                <w:szCs w:val="20"/>
              </w:rPr>
              <w:t xml:space="preserve">Less: imputed interest </w:t>
            </w:r>
          </w:p>
        </w:tc>
        <w:tc>
          <w:tcPr>
            <w:tcW w:w="1559" w:type="dxa"/>
            <w:tcBorders>
              <w:left w:val="nil"/>
              <w:right w:val="nil"/>
            </w:tcBorders>
          </w:tcPr>
          <w:p w14:paraId="7B1DD3FE" w14:textId="56492689" w:rsidR="00E504AC" w:rsidRPr="00E504AC" w:rsidRDefault="00E504AC" w:rsidP="00E26400">
            <w:pPr>
              <w:spacing w:after="0"/>
              <w:ind w:right="173"/>
              <w:jc w:val="right"/>
              <w:rPr>
                <w:rFonts w:ascii="Arial" w:hAnsi="Arial" w:cs="Arial"/>
                <w:szCs w:val="20"/>
              </w:rPr>
            </w:pPr>
            <w:r w:rsidRPr="00E504AC">
              <w:rPr>
                <w:rFonts w:ascii="Arial" w:hAnsi="Arial" w:cs="Arial"/>
                <w:szCs w:val="20"/>
              </w:rPr>
              <w:t>(</w:t>
            </w:r>
            <w:r w:rsidR="005B01B3">
              <w:rPr>
                <w:rFonts w:ascii="Arial" w:hAnsi="Arial" w:cs="Arial"/>
                <w:szCs w:val="20"/>
              </w:rPr>
              <w:t>236,833</w:t>
            </w:r>
            <w:r w:rsidRPr="00E504AC">
              <w:rPr>
                <w:rFonts w:ascii="Arial" w:hAnsi="Arial" w:cs="Arial"/>
                <w:szCs w:val="20"/>
              </w:rPr>
              <w:t>)</w:t>
            </w:r>
          </w:p>
        </w:tc>
      </w:tr>
      <w:tr w:rsidR="00E504AC" w:rsidRPr="00E504AC" w14:paraId="3AFADBA4" w14:textId="77777777" w:rsidTr="00C74354">
        <w:trPr>
          <w:trHeight w:hRule="exact" w:val="86"/>
        </w:trPr>
        <w:tc>
          <w:tcPr>
            <w:tcW w:w="4140" w:type="dxa"/>
            <w:tcBorders>
              <w:top w:val="single" w:sz="4" w:space="0" w:color="auto"/>
              <w:left w:val="nil"/>
            </w:tcBorders>
            <w:vAlign w:val="bottom"/>
          </w:tcPr>
          <w:p w14:paraId="2CBC3AF7" w14:textId="77777777" w:rsidR="00E504AC" w:rsidRPr="00E504AC" w:rsidRDefault="00E504AC" w:rsidP="00C74354">
            <w:pPr>
              <w:spacing w:after="0"/>
              <w:rPr>
                <w:rFonts w:ascii="Arial" w:hAnsi="Arial" w:cs="Arial"/>
                <w:szCs w:val="20"/>
              </w:rPr>
            </w:pPr>
          </w:p>
        </w:tc>
        <w:tc>
          <w:tcPr>
            <w:tcW w:w="1559" w:type="dxa"/>
            <w:tcBorders>
              <w:top w:val="single" w:sz="4" w:space="0" w:color="auto"/>
              <w:left w:val="nil"/>
              <w:right w:val="nil"/>
            </w:tcBorders>
          </w:tcPr>
          <w:p w14:paraId="4C2ED053" w14:textId="77777777" w:rsidR="00E504AC" w:rsidRPr="00E504AC" w:rsidRDefault="00E504AC" w:rsidP="00C74354">
            <w:pPr>
              <w:spacing w:after="0"/>
              <w:ind w:right="173"/>
              <w:jc w:val="right"/>
              <w:rPr>
                <w:rFonts w:ascii="Arial" w:hAnsi="Arial" w:cs="Arial"/>
                <w:szCs w:val="20"/>
              </w:rPr>
            </w:pPr>
          </w:p>
        </w:tc>
      </w:tr>
      <w:tr w:rsidR="00E504AC" w:rsidRPr="00E504AC" w14:paraId="544AD205" w14:textId="77777777" w:rsidTr="00C74354">
        <w:tc>
          <w:tcPr>
            <w:tcW w:w="4140" w:type="dxa"/>
            <w:tcBorders>
              <w:left w:val="nil"/>
              <w:bottom w:val="single" w:sz="12" w:space="0" w:color="auto"/>
            </w:tcBorders>
            <w:vAlign w:val="bottom"/>
          </w:tcPr>
          <w:p w14:paraId="44C8F41A" w14:textId="77777777" w:rsidR="00E504AC" w:rsidRPr="00E504AC" w:rsidRDefault="00E504AC" w:rsidP="00C74354">
            <w:pPr>
              <w:spacing w:after="0"/>
              <w:rPr>
                <w:rFonts w:ascii="Arial" w:hAnsi="Arial" w:cs="Arial"/>
                <w:szCs w:val="20"/>
              </w:rPr>
            </w:pPr>
            <w:r w:rsidRPr="00E504AC">
              <w:rPr>
                <w:rFonts w:ascii="Arial" w:hAnsi="Arial" w:cs="Arial"/>
                <w:szCs w:val="20"/>
              </w:rPr>
              <w:t>Present value of operating lease liabilities</w:t>
            </w:r>
          </w:p>
        </w:tc>
        <w:tc>
          <w:tcPr>
            <w:tcW w:w="1559" w:type="dxa"/>
            <w:tcBorders>
              <w:left w:val="nil"/>
              <w:bottom w:val="single" w:sz="12" w:space="0" w:color="auto"/>
              <w:right w:val="nil"/>
            </w:tcBorders>
          </w:tcPr>
          <w:p w14:paraId="6C4954E5" w14:textId="4F5F776B" w:rsidR="00E504AC" w:rsidRPr="00E504AC" w:rsidRDefault="005B01B3" w:rsidP="006743C8">
            <w:pPr>
              <w:spacing w:after="0"/>
              <w:ind w:right="173"/>
              <w:jc w:val="right"/>
              <w:rPr>
                <w:rFonts w:ascii="Arial" w:hAnsi="Arial" w:cs="Arial"/>
                <w:szCs w:val="20"/>
              </w:rPr>
            </w:pPr>
            <w:r>
              <w:rPr>
                <w:rFonts w:ascii="Arial" w:hAnsi="Arial" w:cs="Arial"/>
                <w:szCs w:val="20"/>
              </w:rPr>
              <w:t>905,899</w:t>
            </w:r>
          </w:p>
        </w:tc>
      </w:tr>
      <w:tr w:rsidR="00E504AC" w:rsidRPr="00E504AC" w14:paraId="58BC093A" w14:textId="77777777" w:rsidTr="00C74354">
        <w:trPr>
          <w:trHeight w:hRule="exact" w:val="113"/>
        </w:trPr>
        <w:tc>
          <w:tcPr>
            <w:tcW w:w="4140" w:type="dxa"/>
            <w:tcBorders>
              <w:top w:val="single" w:sz="4" w:space="0" w:color="auto"/>
              <w:left w:val="nil"/>
            </w:tcBorders>
            <w:vAlign w:val="bottom"/>
          </w:tcPr>
          <w:p w14:paraId="5567FB55" w14:textId="77777777" w:rsidR="00E504AC" w:rsidRPr="00E504AC" w:rsidRDefault="00E504AC" w:rsidP="00C74354">
            <w:pPr>
              <w:spacing w:after="0"/>
              <w:rPr>
                <w:rFonts w:ascii="Arial" w:hAnsi="Arial" w:cs="Arial"/>
                <w:szCs w:val="20"/>
              </w:rPr>
            </w:pPr>
          </w:p>
        </w:tc>
        <w:tc>
          <w:tcPr>
            <w:tcW w:w="1559" w:type="dxa"/>
            <w:tcBorders>
              <w:top w:val="single" w:sz="4" w:space="0" w:color="auto"/>
              <w:left w:val="nil"/>
              <w:right w:val="nil"/>
            </w:tcBorders>
            <w:vAlign w:val="bottom"/>
          </w:tcPr>
          <w:p w14:paraId="1121CCD7" w14:textId="77777777" w:rsidR="00E504AC" w:rsidRPr="00E504AC" w:rsidRDefault="00E504AC" w:rsidP="00C74354">
            <w:pPr>
              <w:spacing w:after="0"/>
              <w:ind w:right="369"/>
              <w:jc w:val="right"/>
              <w:rPr>
                <w:rFonts w:ascii="Arial" w:hAnsi="Arial" w:cs="Arial"/>
                <w:szCs w:val="20"/>
              </w:rPr>
            </w:pPr>
          </w:p>
        </w:tc>
      </w:tr>
    </w:tbl>
    <w:p w14:paraId="1AB55881" w14:textId="52A21413" w:rsidR="00E504AC" w:rsidRDefault="00E504AC" w:rsidP="00E504AC">
      <w:pPr>
        <w:tabs>
          <w:tab w:val="left" w:pos="450"/>
        </w:tabs>
        <w:spacing w:after="0" w:line="240" w:lineRule="auto"/>
        <w:jc w:val="both"/>
        <w:rPr>
          <w:rFonts w:ascii="Arial" w:hAnsi="Arial" w:cs="Arial"/>
          <w:b/>
          <w:bCs/>
          <w:szCs w:val="20"/>
        </w:rPr>
      </w:pPr>
    </w:p>
    <w:p w14:paraId="26F8EF64" w14:textId="77777777" w:rsidR="005B01B3" w:rsidRDefault="005B01B3">
      <w:pPr>
        <w:rPr>
          <w:rFonts w:ascii="Arial" w:hAnsi="Arial" w:cs="Arial"/>
          <w:b/>
          <w:bCs/>
          <w:szCs w:val="20"/>
        </w:rPr>
      </w:pPr>
      <w:r>
        <w:rPr>
          <w:rFonts w:ascii="Arial" w:hAnsi="Arial" w:cs="Arial"/>
          <w:b/>
          <w:bCs/>
          <w:szCs w:val="20"/>
        </w:rPr>
        <w:br w:type="page"/>
      </w:r>
    </w:p>
    <w:p w14:paraId="15A87EDC" w14:textId="5A23B58E" w:rsidR="00790828" w:rsidRPr="00F60034" w:rsidRDefault="007975AC"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
          <w:bCs/>
          <w:szCs w:val="20"/>
        </w:rPr>
      </w:pPr>
      <w:r>
        <w:rPr>
          <w:rFonts w:ascii="Arial" w:hAnsi="Arial" w:cs="Arial"/>
          <w:b/>
          <w:bCs/>
          <w:szCs w:val="20"/>
        </w:rPr>
        <w:lastRenderedPageBreak/>
        <w:t>10</w:t>
      </w:r>
      <w:r w:rsidR="00790828" w:rsidRPr="00235786">
        <w:rPr>
          <w:rFonts w:ascii="Arial" w:hAnsi="Arial" w:cs="Arial"/>
          <w:b/>
          <w:bCs/>
          <w:szCs w:val="20"/>
        </w:rPr>
        <w:t>.</w:t>
      </w:r>
      <w:r w:rsidR="00790828" w:rsidRPr="00235786">
        <w:rPr>
          <w:rFonts w:ascii="Arial" w:hAnsi="Arial" w:cs="Arial"/>
          <w:b/>
          <w:bCs/>
          <w:szCs w:val="20"/>
        </w:rPr>
        <w:tab/>
      </w:r>
      <w:r w:rsidR="004B1F41" w:rsidRPr="00235786">
        <w:rPr>
          <w:rFonts w:ascii="Arial" w:hAnsi="Arial" w:cs="Arial"/>
          <w:b/>
          <w:bCs/>
          <w:szCs w:val="20"/>
        </w:rPr>
        <w:t>Convertible Debenture</w:t>
      </w:r>
    </w:p>
    <w:tbl>
      <w:tblPr>
        <w:tblW w:w="9011" w:type="dxa"/>
        <w:tblInd w:w="450" w:type="dxa"/>
        <w:tblLayout w:type="fixed"/>
        <w:tblCellMar>
          <w:left w:w="0" w:type="dxa"/>
          <w:right w:w="0" w:type="dxa"/>
        </w:tblCellMar>
        <w:tblLook w:val="0000" w:firstRow="0" w:lastRow="0" w:firstColumn="0" w:lastColumn="0" w:noHBand="0" w:noVBand="0"/>
      </w:tblPr>
      <w:tblGrid>
        <w:gridCol w:w="2610"/>
        <w:gridCol w:w="1440"/>
        <w:gridCol w:w="119"/>
        <w:gridCol w:w="1559"/>
        <w:gridCol w:w="23"/>
        <w:gridCol w:w="1701"/>
        <w:gridCol w:w="105"/>
        <w:gridCol w:w="1289"/>
        <w:gridCol w:w="165"/>
      </w:tblGrid>
      <w:tr w:rsidR="000E4AC4" w:rsidRPr="009858B0" w14:paraId="58920F49" w14:textId="77777777" w:rsidTr="000E4AC4">
        <w:tc>
          <w:tcPr>
            <w:tcW w:w="4050" w:type="dxa"/>
            <w:gridSpan w:val="2"/>
            <w:tcBorders>
              <w:top w:val="nil"/>
              <w:left w:val="nil"/>
              <w:bottom w:val="single" w:sz="4" w:space="0" w:color="auto"/>
            </w:tcBorders>
            <w:vAlign w:val="bottom"/>
          </w:tcPr>
          <w:p w14:paraId="0F562BD5" w14:textId="77777777" w:rsidR="000E4AC4" w:rsidRPr="009858B0" w:rsidRDefault="000E4AC4" w:rsidP="00CD70E7">
            <w:pPr>
              <w:spacing w:after="0" w:line="240" w:lineRule="auto"/>
              <w:rPr>
                <w:rFonts w:ascii="Arial" w:hAnsi="Arial" w:cs="Arial"/>
                <w:szCs w:val="20"/>
              </w:rPr>
            </w:pPr>
            <w:r w:rsidRPr="009858B0">
              <w:rPr>
                <w:rFonts w:ascii="Arial" w:hAnsi="Arial" w:cs="Arial"/>
                <w:b/>
                <w:bCs/>
                <w:szCs w:val="20"/>
              </w:rPr>
              <w:tab/>
            </w:r>
          </w:p>
        </w:tc>
        <w:tc>
          <w:tcPr>
            <w:tcW w:w="1701" w:type="dxa"/>
            <w:gridSpan w:val="3"/>
            <w:tcBorders>
              <w:top w:val="nil"/>
              <w:left w:val="nil"/>
              <w:bottom w:val="single" w:sz="4" w:space="0" w:color="auto"/>
            </w:tcBorders>
            <w:vAlign w:val="bottom"/>
          </w:tcPr>
          <w:p w14:paraId="77DC30E4" w14:textId="3D8444B0" w:rsidR="000E4AC4" w:rsidRPr="009858B0" w:rsidRDefault="0069275D" w:rsidP="00CD70E7">
            <w:pPr>
              <w:spacing w:after="0" w:line="240" w:lineRule="auto"/>
              <w:jc w:val="center"/>
              <w:rPr>
                <w:rFonts w:ascii="Arial" w:hAnsi="Arial" w:cs="Arial"/>
                <w:szCs w:val="20"/>
              </w:rPr>
            </w:pPr>
            <w:r>
              <w:rPr>
                <w:rFonts w:ascii="Arial" w:hAnsi="Arial" w:cs="Arial"/>
                <w:szCs w:val="20"/>
              </w:rPr>
              <w:t>October</w:t>
            </w:r>
            <w:r w:rsidR="000E4AC4" w:rsidRPr="009858B0">
              <w:rPr>
                <w:rFonts w:ascii="Arial" w:hAnsi="Arial" w:cs="Arial"/>
                <w:szCs w:val="20"/>
              </w:rPr>
              <w:t xml:space="preserve"> 31,</w:t>
            </w:r>
          </w:p>
          <w:p w14:paraId="554C829A" w14:textId="77777777" w:rsidR="000E4AC4" w:rsidRPr="009858B0" w:rsidRDefault="000E4AC4" w:rsidP="00CD70E7">
            <w:pPr>
              <w:spacing w:after="0" w:line="240" w:lineRule="auto"/>
              <w:jc w:val="center"/>
              <w:rPr>
                <w:rFonts w:ascii="Arial" w:hAnsi="Arial" w:cs="Arial"/>
                <w:szCs w:val="20"/>
              </w:rPr>
            </w:pPr>
            <w:r>
              <w:rPr>
                <w:rFonts w:ascii="Arial" w:hAnsi="Arial" w:cs="Arial"/>
                <w:szCs w:val="20"/>
              </w:rPr>
              <w:t>2019</w:t>
            </w:r>
          </w:p>
          <w:p w14:paraId="733B3DCF" w14:textId="77777777" w:rsidR="000E4AC4" w:rsidRDefault="000E4AC4" w:rsidP="00CD70E7">
            <w:pPr>
              <w:spacing w:after="0" w:line="240" w:lineRule="auto"/>
              <w:jc w:val="center"/>
              <w:rPr>
                <w:rFonts w:ascii="Arial" w:hAnsi="Arial" w:cs="Arial"/>
                <w:szCs w:val="20"/>
              </w:rPr>
            </w:pPr>
            <w:r w:rsidRPr="009858B0">
              <w:rPr>
                <w:rFonts w:ascii="Arial" w:hAnsi="Arial" w:cs="Arial"/>
                <w:szCs w:val="20"/>
              </w:rPr>
              <w:t>$</w:t>
            </w:r>
          </w:p>
        </w:tc>
        <w:tc>
          <w:tcPr>
            <w:tcW w:w="1701" w:type="dxa"/>
            <w:tcBorders>
              <w:top w:val="nil"/>
              <w:left w:val="nil"/>
              <w:bottom w:val="single" w:sz="4" w:space="0" w:color="auto"/>
              <w:right w:val="nil"/>
            </w:tcBorders>
            <w:vAlign w:val="bottom"/>
          </w:tcPr>
          <w:p w14:paraId="42BF35AB" w14:textId="77777777" w:rsidR="000E4AC4" w:rsidRPr="009858B0" w:rsidRDefault="000E4AC4" w:rsidP="00CD70E7">
            <w:pPr>
              <w:spacing w:after="0" w:line="240" w:lineRule="auto"/>
              <w:jc w:val="center"/>
              <w:rPr>
                <w:rFonts w:ascii="Arial" w:hAnsi="Arial" w:cs="Arial"/>
                <w:szCs w:val="20"/>
              </w:rPr>
            </w:pPr>
            <w:r>
              <w:rPr>
                <w:rFonts w:ascii="Arial" w:hAnsi="Arial" w:cs="Arial"/>
                <w:szCs w:val="20"/>
              </w:rPr>
              <w:t>January</w:t>
            </w:r>
            <w:r w:rsidRPr="009858B0">
              <w:rPr>
                <w:rFonts w:ascii="Arial" w:hAnsi="Arial" w:cs="Arial"/>
                <w:szCs w:val="20"/>
              </w:rPr>
              <w:t xml:space="preserve"> 31,</w:t>
            </w:r>
          </w:p>
          <w:p w14:paraId="3C7ACA8C" w14:textId="25221799" w:rsidR="000E4AC4" w:rsidRPr="009858B0" w:rsidRDefault="00E504AC" w:rsidP="00CD70E7">
            <w:pPr>
              <w:spacing w:after="0" w:line="240" w:lineRule="auto"/>
              <w:jc w:val="center"/>
              <w:rPr>
                <w:rFonts w:ascii="Arial" w:hAnsi="Arial" w:cs="Arial"/>
                <w:szCs w:val="20"/>
              </w:rPr>
            </w:pPr>
            <w:r>
              <w:rPr>
                <w:rFonts w:ascii="Arial" w:hAnsi="Arial" w:cs="Arial"/>
                <w:szCs w:val="20"/>
              </w:rPr>
              <w:t>2019</w:t>
            </w:r>
          </w:p>
          <w:p w14:paraId="4DB92624" w14:textId="77777777" w:rsidR="000E4AC4" w:rsidRPr="009858B0" w:rsidRDefault="000E4AC4" w:rsidP="00CD70E7">
            <w:pPr>
              <w:spacing w:after="0" w:line="240" w:lineRule="auto"/>
              <w:jc w:val="center"/>
              <w:rPr>
                <w:rFonts w:ascii="Arial" w:hAnsi="Arial" w:cs="Arial"/>
                <w:szCs w:val="20"/>
              </w:rPr>
            </w:pPr>
            <w:r w:rsidRPr="009858B0">
              <w:rPr>
                <w:rFonts w:ascii="Arial" w:hAnsi="Arial" w:cs="Arial"/>
                <w:szCs w:val="20"/>
              </w:rPr>
              <w:t>$</w:t>
            </w:r>
          </w:p>
        </w:tc>
        <w:tc>
          <w:tcPr>
            <w:tcW w:w="1559" w:type="dxa"/>
            <w:gridSpan w:val="3"/>
            <w:tcBorders>
              <w:top w:val="nil"/>
              <w:left w:val="nil"/>
              <w:bottom w:val="single" w:sz="4" w:space="0" w:color="auto"/>
              <w:right w:val="nil"/>
            </w:tcBorders>
            <w:vAlign w:val="bottom"/>
          </w:tcPr>
          <w:p w14:paraId="52F8FF48" w14:textId="77777777" w:rsidR="000E4AC4" w:rsidRPr="009858B0" w:rsidRDefault="000E4AC4" w:rsidP="00CD70E7">
            <w:pPr>
              <w:spacing w:after="0" w:line="240" w:lineRule="auto"/>
              <w:jc w:val="center"/>
              <w:rPr>
                <w:rFonts w:ascii="Arial" w:hAnsi="Arial" w:cs="Arial"/>
                <w:szCs w:val="20"/>
              </w:rPr>
            </w:pPr>
            <w:r>
              <w:rPr>
                <w:rFonts w:ascii="Arial" w:hAnsi="Arial" w:cs="Arial"/>
                <w:szCs w:val="20"/>
              </w:rPr>
              <w:t>February 1</w:t>
            </w:r>
            <w:r w:rsidRPr="009858B0">
              <w:rPr>
                <w:rFonts w:ascii="Arial" w:hAnsi="Arial" w:cs="Arial"/>
                <w:szCs w:val="20"/>
              </w:rPr>
              <w:t>,</w:t>
            </w:r>
          </w:p>
          <w:p w14:paraId="35663C95" w14:textId="26D2FB3A" w:rsidR="000E4AC4" w:rsidRPr="009858B0" w:rsidRDefault="00E504AC" w:rsidP="00CD70E7">
            <w:pPr>
              <w:spacing w:after="0" w:line="240" w:lineRule="auto"/>
              <w:jc w:val="center"/>
              <w:rPr>
                <w:rFonts w:ascii="Arial" w:hAnsi="Arial" w:cs="Arial"/>
                <w:szCs w:val="20"/>
              </w:rPr>
            </w:pPr>
            <w:r>
              <w:rPr>
                <w:rFonts w:ascii="Arial" w:hAnsi="Arial" w:cs="Arial"/>
                <w:szCs w:val="20"/>
              </w:rPr>
              <w:t>2018</w:t>
            </w:r>
          </w:p>
          <w:p w14:paraId="2E2EE849" w14:textId="77777777" w:rsidR="000E4AC4" w:rsidRPr="009858B0" w:rsidRDefault="000E4AC4" w:rsidP="00CD70E7">
            <w:pPr>
              <w:spacing w:after="0" w:line="240" w:lineRule="auto"/>
              <w:jc w:val="center"/>
              <w:rPr>
                <w:rFonts w:ascii="Arial" w:hAnsi="Arial" w:cs="Arial"/>
                <w:szCs w:val="20"/>
              </w:rPr>
            </w:pPr>
            <w:r w:rsidRPr="009858B0">
              <w:rPr>
                <w:rFonts w:ascii="Arial" w:hAnsi="Arial" w:cs="Arial"/>
                <w:szCs w:val="20"/>
              </w:rPr>
              <w:t>$</w:t>
            </w:r>
          </w:p>
        </w:tc>
      </w:tr>
      <w:tr w:rsidR="000E4AC4" w:rsidRPr="009858B0" w14:paraId="6039CD03" w14:textId="77777777" w:rsidTr="000E4AC4">
        <w:trPr>
          <w:trHeight w:hRule="exact" w:val="113"/>
        </w:trPr>
        <w:tc>
          <w:tcPr>
            <w:tcW w:w="4050" w:type="dxa"/>
            <w:gridSpan w:val="2"/>
            <w:tcBorders>
              <w:top w:val="single" w:sz="4" w:space="0" w:color="auto"/>
              <w:left w:val="nil"/>
            </w:tcBorders>
            <w:vAlign w:val="bottom"/>
          </w:tcPr>
          <w:p w14:paraId="76614A65" w14:textId="77777777" w:rsidR="000E4AC4" w:rsidRPr="009858B0" w:rsidRDefault="000E4AC4" w:rsidP="00CD70E7">
            <w:pPr>
              <w:spacing w:after="0" w:line="240" w:lineRule="auto"/>
              <w:rPr>
                <w:rFonts w:ascii="Arial" w:hAnsi="Arial" w:cs="Arial"/>
                <w:szCs w:val="20"/>
              </w:rPr>
            </w:pPr>
          </w:p>
        </w:tc>
        <w:tc>
          <w:tcPr>
            <w:tcW w:w="1701" w:type="dxa"/>
            <w:gridSpan w:val="3"/>
            <w:tcBorders>
              <w:top w:val="single" w:sz="4" w:space="0" w:color="auto"/>
              <w:left w:val="nil"/>
            </w:tcBorders>
            <w:vAlign w:val="bottom"/>
          </w:tcPr>
          <w:p w14:paraId="0D6FED98" w14:textId="77777777" w:rsidR="000E4AC4" w:rsidRPr="009858B0" w:rsidRDefault="000E4AC4" w:rsidP="00CD70E7">
            <w:pPr>
              <w:spacing w:after="0" w:line="240" w:lineRule="auto"/>
              <w:ind w:right="369"/>
              <w:jc w:val="right"/>
              <w:rPr>
                <w:rFonts w:ascii="Arial" w:hAnsi="Arial" w:cs="Arial"/>
                <w:szCs w:val="20"/>
              </w:rPr>
            </w:pPr>
          </w:p>
        </w:tc>
        <w:tc>
          <w:tcPr>
            <w:tcW w:w="1701" w:type="dxa"/>
            <w:tcBorders>
              <w:top w:val="single" w:sz="4" w:space="0" w:color="auto"/>
              <w:left w:val="nil"/>
              <w:right w:val="nil"/>
            </w:tcBorders>
            <w:vAlign w:val="bottom"/>
          </w:tcPr>
          <w:p w14:paraId="19FA9F16" w14:textId="77777777" w:rsidR="000E4AC4" w:rsidRPr="009858B0" w:rsidRDefault="000E4AC4" w:rsidP="00CD70E7">
            <w:pPr>
              <w:spacing w:after="0" w:line="240" w:lineRule="auto"/>
              <w:ind w:right="369"/>
              <w:jc w:val="right"/>
              <w:rPr>
                <w:rFonts w:ascii="Arial" w:hAnsi="Arial" w:cs="Arial"/>
                <w:szCs w:val="20"/>
              </w:rPr>
            </w:pPr>
          </w:p>
        </w:tc>
        <w:tc>
          <w:tcPr>
            <w:tcW w:w="1559" w:type="dxa"/>
            <w:gridSpan w:val="3"/>
            <w:tcBorders>
              <w:top w:val="single" w:sz="4" w:space="0" w:color="auto"/>
              <w:left w:val="nil"/>
              <w:right w:val="nil"/>
            </w:tcBorders>
            <w:vAlign w:val="bottom"/>
          </w:tcPr>
          <w:p w14:paraId="3EB5D1AE" w14:textId="77777777" w:rsidR="000E4AC4" w:rsidRPr="009858B0" w:rsidRDefault="000E4AC4" w:rsidP="00CD70E7">
            <w:pPr>
              <w:spacing w:after="0" w:line="240" w:lineRule="auto"/>
              <w:ind w:right="369"/>
              <w:jc w:val="right"/>
              <w:rPr>
                <w:rFonts w:ascii="Arial" w:hAnsi="Arial" w:cs="Arial"/>
                <w:szCs w:val="20"/>
              </w:rPr>
            </w:pPr>
          </w:p>
        </w:tc>
      </w:tr>
      <w:tr w:rsidR="000E4AC4" w:rsidRPr="009858B0" w14:paraId="2DBA4D50" w14:textId="77777777" w:rsidTr="000E4AC4">
        <w:tc>
          <w:tcPr>
            <w:tcW w:w="4050" w:type="dxa"/>
            <w:gridSpan w:val="2"/>
            <w:tcBorders>
              <w:left w:val="nil"/>
              <w:bottom w:val="single" w:sz="4" w:space="0" w:color="auto"/>
            </w:tcBorders>
            <w:vAlign w:val="bottom"/>
          </w:tcPr>
          <w:p w14:paraId="09FFA814" w14:textId="1E377BE5" w:rsidR="000E4AC4" w:rsidRPr="009858B0" w:rsidRDefault="000E4AC4" w:rsidP="00E26400">
            <w:pPr>
              <w:spacing w:after="0"/>
              <w:rPr>
                <w:rFonts w:ascii="Arial" w:hAnsi="Arial" w:cs="Arial"/>
                <w:szCs w:val="20"/>
              </w:rPr>
            </w:pPr>
            <w:r>
              <w:rPr>
                <w:rFonts w:ascii="Arial" w:hAnsi="Arial" w:cs="Arial"/>
                <w:szCs w:val="20"/>
              </w:rPr>
              <w:t>Marc</w:t>
            </w:r>
            <w:r w:rsidR="00E26400">
              <w:rPr>
                <w:rFonts w:ascii="Arial" w:hAnsi="Arial" w:cs="Arial"/>
                <w:szCs w:val="20"/>
              </w:rPr>
              <w:t xml:space="preserve">h 2, 2018 note </w:t>
            </w:r>
          </w:p>
        </w:tc>
        <w:tc>
          <w:tcPr>
            <w:tcW w:w="1701" w:type="dxa"/>
            <w:gridSpan w:val="3"/>
            <w:tcBorders>
              <w:left w:val="nil"/>
              <w:bottom w:val="single" w:sz="4" w:space="0" w:color="auto"/>
            </w:tcBorders>
            <w:vAlign w:val="bottom"/>
          </w:tcPr>
          <w:p w14:paraId="2FDFCB01" w14:textId="271365F7" w:rsidR="000E4AC4" w:rsidRPr="009858B0" w:rsidRDefault="006743C8" w:rsidP="000E4AC4">
            <w:pPr>
              <w:spacing w:after="0"/>
              <w:ind w:right="173"/>
              <w:jc w:val="right"/>
              <w:rPr>
                <w:rFonts w:ascii="Arial" w:hAnsi="Arial" w:cs="Arial"/>
                <w:szCs w:val="20"/>
              </w:rPr>
            </w:pPr>
            <w:r w:rsidRPr="009858B0">
              <w:rPr>
                <w:rFonts w:ascii="Arial" w:hAnsi="Arial" w:cs="Arial"/>
                <w:szCs w:val="20"/>
              </w:rPr>
              <w:t>–</w:t>
            </w:r>
          </w:p>
        </w:tc>
        <w:tc>
          <w:tcPr>
            <w:tcW w:w="1701" w:type="dxa"/>
            <w:tcBorders>
              <w:left w:val="nil"/>
              <w:bottom w:val="single" w:sz="4" w:space="0" w:color="auto"/>
              <w:right w:val="nil"/>
            </w:tcBorders>
            <w:vAlign w:val="bottom"/>
          </w:tcPr>
          <w:p w14:paraId="377BA0A2" w14:textId="7C67C6C1" w:rsidR="000E4AC4" w:rsidRPr="009858B0" w:rsidRDefault="003B5BAA" w:rsidP="000E4AC4">
            <w:pPr>
              <w:spacing w:after="0"/>
              <w:ind w:right="173"/>
              <w:jc w:val="right"/>
              <w:rPr>
                <w:rFonts w:ascii="Arial" w:hAnsi="Arial" w:cs="Arial"/>
                <w:szCs w:val="20"/>
              </w:rPr>
            </w:pPr>
            <w:r w:rsidRPr="003B5BAA">
              <w:rPr>
                <w:rFonts w:ascii="Arial" w:hAnsi="Arial" w:cs="Arial"/>
              </w:rPr>
              <w:t>3,476,690</w:t>
            </w:r>
          </w:p>
        </w:tc>
        <w:tc>
          <w:tcPr>
            <w:tcW w:w="1559" w:type="dxa"/>
            <w:gridSpan w:val="3"/>
            <w:tcBorders>
              <w:left w:val="nil"/>
              <w:bottom w:val="single" w:sz="4" w:space="0" w:color="auto"/>
              <w:right w:val="nil"/>
            </w:tcBorders>
            <w:vAlign w:val="bottom"/>
          </w:tcPr>
          <w:p w14:paraId="1CCE3454" w14:textId="77777777" w:rsidR="000E4AC4" w:rsidRPr="009858B0" w:rsidRDefault="000E4AC4" w:rsidP="000E4AC4">
            <w:pPr>
              <w:spacing w:after="0"/>
              <w:ind w:right="173"/>
              <w:jc w:val="right"/>
              <w:rPr>
                <w:rFonts w:ascii="Arial" w:hAnsi="Arial" w:cs="Arial"/>
                <w:szCs w:val="20"/>
              </w:rPr>
            </w:pPr>
            <w:r w:rsidRPr="009858B0">
              <w:rPr>
                <w:rFonts w:ascii="Arial" w:hAnsi="Arial" w:cs="Arial"/>
                <w:szCs w:val="20"/>
              </w:rPr>
              <w:t>–</w:t>
            </w:r>
          </w:p>
        </w:tc>
      </w:tr>
      <w:tr w:rsidR="000E4AC4" w:rsidRPr="00BA56F7" w14:paraId="2564B7C6" w14:textId="77777777" w:rsidTr="000E4AC4">
        <w:trPr>
          <w:gridAfter w:val="1"/>
          <w:wAfter w:w="165" w:type="dxa"/>
          <w:trHeight w:hRule="exact" w:val="86"/>
        </w:trPr>
        <w:tc>
          <w:tcPr>
            <w:tcW w:w="2610" w:type="dxa"/>
            <w:tcBorders>
              <w:left w:val="nil"/>
            </w:tcBorders>
            <w:vAlign w:val="bottom"/>
          </w:tcPr>
          <w:p w14:paraId="095B70B2" w14:textId="77777777" w:rsidR="000E4AC4" w:rsidRPr="00BA56F7" w:rsidRDefault="000E4AC4" w:rsidP="00CD70E7">
            <w:pPr>
              <w:spacing w:after="0"/>
              <w:rPr>
                <w:rFonts w:ascii="Arial" w:hAnsi="Arial" w:cs="Arial"/>
                <w:szCs w:val="20"/>
              </w:rPr>
            </w:pPr>
          </w:p>
        </w:tc>
        <w:tc>
          <w:tcPr>
            <w:tcW w:w="1559" w:type="dxa"/>
            <w:gridSpan w:val="2"/>
            <w:tcBorders>
              <w:left w:val="nil"/>
            </w:tcBorders>
          </w:tcPr>
          <w:p w14:paraId="13FF1D7B" w14:textId="77777777" w:rsidR="000E4AC4" w:rsidRPr="00BA56F7" w:rsidRDefault="000E4AC4" w:rsidP="00CD70E7">
            <w:pPr>
              <w:spacing w:after="0"/>
              <w:ind w:right="173"/>
              <w:jc w:val="right"/>
              <w:rPr>
                <w:rFonts w:ascii="Arial" w:hAnsi="Arial" w:cs="Arial"/>
                <w:szCs w:val="20"/>
              </w:rPr>
            </w:pPr>
          </w:p>
        </w:tc>
        <w:tc>
          <w:tcPr>
            <w:tcW w:w="1559" w:type="dxa"/>
            <w:tcBorders>
              <w:left w:val="nil"/>
              <w:right w:val="nil"/>
            </w:tcBorders>
          </w:tcPr>
          <w:p w14:paraId="3D1AAFBB" w14:textId="77777777" w:rsidR="000E4AC4" w:rsidRPr="00BA56F7" w:rsidRDefault="000E4AC4" w:rsidP="00CD70E7">
            <w:pPr>
              <w:spacing w:after="0"/>
              <w:ind w:right="173"/>
              <w:jc w:val="right"/>
              <w:rPr>
                <w:rFonts w:ascii="Arial" w:hAnsi="Arial" w:cs="Arial"/>
                <w:szCs w:val="20"/>
              </w:rPr>
            </w:pPr>
          </w:p>
        </w:tc>
        <w:tc>
          <w:tcPr>
            <w:tcW w:w="1829" w:type="dxa"/>
            <w:gridSpan w:val="3"/>
            <w:tcBorders>
              <w:left w:val="nil"/>
            </w:tcBorders>
          </w:tcPr>
          <w:p w14:paraId="43D46DAD" w14:textId="77777777" w:rsidR="000E4AC4" w:rsidRPr="00BA56F7" w:rsidRDefault="000E4AC4" w:rsidP="00CD70E7">
            <w:pPr>
              <w:spacing w:after="0"/>
              <w:ind w:right="173"/>
              <w:jc w:val="right"/>
              <w:rPr>
                <w:rFonts w:ascii="Arial" w:hAnsi="Arial" w:cs="Arial"/>
                <w:szCs w:val="20"/>
              </w:rPr>
            </w:pPr>
          </w:p>
        </w:tc>
        <w:tc>
          <w:tcPr>
            <w:tcW w:w="1289" w:type="dxa"/>
            <w:tcBorders>
              <w:left w:val="nil"/>
              <w:right w:val="nil"/>
            </w:tcBorders>
            <w:vAlign w:val="bottom"/>
          </w:tcPr>
          <w:p w14:paraId="47807065" w14:textId="77777777" w:rsidR="000E4AC4" w:rsidRPr="00BA56F7" w:rsidRDefault="000E4AC4" w:rsidP="00CD70E7">
            <w:pPr>
              <w:spacing w:after="0"/>
              <w:ind w:right="173"/>
              <w:jc w:val="right"/>
              <w:rPr>
                <w:rFonts w:ascii="Arial" w:hAnsi="Arial" w:cs="Arial"/>
                <w:szCs w:val="20"/>
              </w:rPr>
            </w:pPr>
          </w:p>
        </w:tc>
      </w:tr>
      <w:tr w:rsidR="000E4AC4" w:rsidRPr="009858B0" w14:paraId="3B60E552" w14:textId="77777777" w:rsidTr="000E4AC4">
        <w:tc>
          <w:tcPr>
            <w:tcW w:w="4050" w:type="dxa"/>
            <w:gridSpan w:val="2"/>
            <w:tcBorders>
              <w:left w:val="nil"/>
              <w:bottom w:val="single" w:sz="12" w:space="0" w:color="auto"/>
            </w:tcBorders>
            <w:vAlign w:val="bottom"/>
          </w:tcPr>
          <w:p w14:paraId="247ACCE6" w14:textId="4214384A" w:rsidR="000E4AC4" w:rsidRPr="009858B0" w:rsidRDefault="000E4AC4" w:rsidP="000E4AC4">
            <w:pPr>
              <w:spacing w:after="0"/>
              <w:rPr>
                <w:rFonts w:ascii="Arial" w:hAnsi="Arial" w:cs="Arial"/>
                <w:szCs w:val="20"/>
              </w:rPr>
            </w:pPr>
          </w:p>
        </w:tc>
        <w:tc>
          <w:tcPr>
            <w:tcW w:w="1701" w:type="dxa"/>
            <w:gridSpan w:val="3"/>
            <w:tcBorders>
              <w:left w:val="nil"/>
              <w:bottom w:val="single" w:sz="12" w:space="0" w:color="auto"/>
            </w:tcBorders>
            <w:vAlign w:val="bottom"/>
          </w:tcPr>
          <w:p w14:paraId="1613611C" w14:textId="3A165409" w:rsidR="000E4AC4" w:rsidRPr="009858B0" w:rsidRDefault="006743C8" w:rsidP="000E4AC4">
            <w:pPr>
              <w:spacing w:after="0"/>
              <w:ind w:right="173"/>
              <w:jc w:val="right"/>
              <w:rPr>
                <w:rFonts w:ascii="Arial" w:hAnsi="Arial" w:cs="Arial"/>
                <w:szCs w:val="20"/>
              </w:rPr>
            </w:pPr>
            <w:r w:rsidRPr="009858B0">
              <w:rPr>
                <w:rFonts w:ascii="Arial" w:hAnsi="Arial" w:cs="Arial"/>
                <w:szCs w:val="20"/>
              </w:rPr>
              <w:t>–</w:t>
            </w:r>
          </w:p>
        </w:tc>
        <w:tc>
          <w:tcPr>
            <w:tcW w:w="1701" w:type="dxa"/>
            <w:tcBorders>
              <w:left w:val="nil"/>
              <w:bottom w:val="single" w:sz="12" w:space="0" w:color="auto"/>
              <w:right w:val="nil"/>
            </w:tcBorders>
            <w:vAlign w:val="bottom"/>
          </w:tcPr>
          <w:p w14:paraId="00812294" w14:textId="2A88CFAF" w:rsidR="000E4AC4" w:rsidRPr="009858B0" w:rsidRDefault="003B5BAA" w:rsidP="000E4AC4">
            <w:pPr>
              <w:spacing w:after="0"/>
              <w:ind w:right="173"/>
              <w:jc w:val="right"/>
              <w:rPr>
                <w:rFonts w:ascii="Arial" w:hAnsi="Arial" w:cs="Arial"/>
                <w:szCs w:val="20"/>
              </w:rPr>
            </w:pPr>
            <w:r w:rsidRPr="003B5BAA">
              <w:rPr>
                <w:rFonts w:ascii="Arial" w:hAnsi="Arial" w:cs="Arial"/>
              </w:rPr>
              <w:t>3,476,690</w:t>
            </w:r>
          </w:p>
        </w:tc>
        <w:tc>
          <w:tcPr>
            <w:tcW w:w="1559" w:type="dxa"/>
            <w:gridSpan w:val="3"/>
            <w:tcBorders>
              <w:left w:val="nil"/>
              <w:bottom w:val="single" w:sz="12" w:space="0" w:color="auto"/>
              <w:right w:val="nil"/>
            </w:tcBorders>
            <w:vAlign w:val="bottom"/>
          </w:tcPr>
          <w:p w14:paraId="75182C1A" w14:textId="7B0267CC" w:rsidR="000E4AC4" w:rsidRPr="009858B0" w:rsidRDefault="006743C8" w:rsidP="000E4AC4">
            <w:pPr>
              <w:spacing w:after="0"/>
              <w:ind w:right="173"/>
              <w:jc w:val="right"/>
              <w:rPr>
                <w:rFonts w:ascii="Arial" w:hAnsi="Arial" w:cs="Arial"/>
                <w:szCs w:val="20"/>
              </w:rPr>
            </w:pPr>
            <w:r w:rsidRPr="009858B0">
              <w:rPr>
                <w:rFonts w:ascii="Arial" w:hAnsi="Arial" w:cs="Arial"/>
                <w:szCs w:val="20"/>
              </w:rPr>
              <w:t>–</w:t>
            </w:r>
          </w:p>
        </w:tc>
      </w:tr>
      <w:tr w:rsidR="000E4AC4" w:rsidRPr="009858B0" w14:paraId="58EB2113" w14:textId="77777777" w:rsidTr="000E4AC4">
        <w:trPr>
          <w:trHeight w:hRule="exact" w:val="86"/>
        </w:trPr>
        <w:tc>
          <w:tcPr>
            <w:tcW w:w="4050" w:type="dxa"/>
            <w:gridSpan w:val="2"/>
            <w:tcBorders>
              <w:top w:val="single" w:sz="12" w:space="0" w:color="auto"/>
              <w:left w:val="nil"/>
            </w:tcBorders>
            <w:vAlign w:val="bottom"/>
          </w:tcPr>
          <w:p w14:paraId="0F4A542F" w14:textId="77777777" w:rsidR="000E4AC4" w:rsidRPr="009858B0" w:rsidRDefault="000E4AC4" w:rsidP="000E4AC4">
            <w:pPr>
              <w:spacing w:after="0"/>
              <w:rPr>
                <w:rFonts w:ascii="Arial" w:hAnsi="Arial" w:cs="Arial"/>
                <w:szCs w:val="20"/>
              </w:rPr>
            </w:pPr>
          </w:p>
        </w:tc>
        <w:tc>
          <w:tcPr>
            <w:tcW w:w="1701" w:type="dxa"/>
            <w:gridSpan w:val="3"/>
            <w:tcBorders>
              <w:top w:val="single" w:sz="12" w:space="0" w:color="auto"/>
              <w:left w:val="nil"/>
            </w:tcBorders>
            <w:vAlign w:val="bottom"/>
          </w:tcPr>
          <w:p w14:paraId="318C36F0" w14:textId="77777777" w:rsidR="000E4AC4" w:rsidRPr="009858B0" w:rsidRDefault="000E4AC4" w:rsidP="000E4AC4">
            <w:pPr>
              <w:spacing w:after="0"/>
              <w:ind w:right="173"/>
              <w:jc w:val="right"/>
              <w:rPr>
                <w:rFonts w:ascii="Arial" w:hAnsi="Arial" w:cs="Arial"/>
                <w:szCs w:val="20"/>
              </w:rPr>
            </w:pPr>
          </w:p>
        </w:tc>
        <w:tc>
          <w:tcPr>
            <w:tcW w:w="1701" w:type="dxa"/>
            <w:tcBorders>
              <w:top w:val="single" w:sz="12" w:space="0" w:color="auto"/>
              <w:left w:val="nil"/>
              <w:right w:val="nil"/>
            </w:tcBorders>
            <w:vAlign w:val="bottom"/>
          </w:tcPr>
          <w:p w14:paraId="6B2460F0" w14:textId="77777777" w:rsidR="000E4AC4" w:rsidRPr="009858B0" w:rsidRDefault="000E4AC4" w:rsidP="000E4AC4">
            <w:pPr>
              <w:spacing w:after="0"/>
              <w:ind w:right="173"/>
              <w:jc w:val="right"/>
              <w:rPr>
                <w:rFonts w:ascii="Arial" w:hAnsi="Arial" w:cs="Arial"/>
                <w:szCs w:val="20"/>
              </w:rPr>
            </w:pPr>
          </w:p>
        </w:tc>
        <w:tc>
          <w:tcPr>
            <w:tcW w:w="1559" w:type="dxa"/>
            <w:gridSpan w:val="3"/>
            <w:tcBorders>
              <w:top w:val="single" w:sz="12" w:space="0" w:color="auto"/>
              <w:left w:val="nil"/>
              <w:right w:val="nil"/>
            </w:tcBorders>
            <w:vAlign w:val="bottom"/>
          </w:tcPr>
          <w:p w14:paraId="6DA7C987" w14:textId="77777777" w:rsidR="000E4AC4" w:rsidRPr="009858B0" w:rsidRDefault="000E4AC4" w:rsidP="000E4AC4">
            <w:pPr>
              <w:spacing w:after="0"/>
              <w:ind w:right="173"/>
              <w:jc w:val="right"/>
              <w:rPr>
                <w:rFonts w:ascii="Arial" w:hAnsi="Arial" w:cs="Arial"/>
                <w:szCs w:val="20"/>
              </w:rPr>
            </w:pPr>
          </w:p>
        </w:tc>
      </w:tr>
    </w:tbl>
    <w:p w14:paraId="46951F04" w14:textId="77777777" w:rsidR="000E4AC4" w:rsidRDefault="000E4AC4" w:rsidP="00F15B99">
      <w:pPr>
        <w:pStyle w:val="BodyTextIndent"/>
        <w:spacing w:after="0" w:line="240" w:lineRule="auto"/>
        <w:ind w:left="450"/>
        <w:jc w:val="both"/>
        <w:rPr>
          <w:rFonts w:ascii="Arial" w:hAnsi="Arial" w:cs="Arial"/>
          <w:bCs/>
          <w:szCs w:val="20"/>
        </w:rPr>
      </w:pPr>
    </w:p>
    <w:p w14:paraId="1340786F" w14:textId="52739E9C" w:rsidR="001A3B5B" w:rsidRPr="00EC59D2" w:rsidRDefault="00EC59D2" w:rsidP="00EC59D2">
      <w:pPr>
        <w:spacing w:after="0" w:line="240" w:lineRule="auto"/>
        <w:ind w:left="450"/>
        <w:jc w:val="both"/>
        <w:rPr>
          <w:rFonts w:ascii="Arial" w:hAnsi="Arial" w:cs="Arial"/>
          <w:bCs/>
          <w:szCs w:val="20"/>
          <w:lang w:val="en-CA"/>
        </w:rPr>
      </w:pPr>
      <w:r w:rsidRPr="00EC59D2">
        <w:rPr>
          <w:rFonts w:ascii="Arial" w:hAnsi="Arial" w:cs="Arial"/>
          <w:bCs/>
          <w:szCs w:val="20"/>
          <w:lang w:val="en-CA"/>
        </w:rPr>
        <w:t xml:space="preserve">On March 2, 2018, the Company issued convertible debentures with two non-related parties totaling $5,000,000. The debentures </w:t>
      </w:r>
      <w:r w:rsidR="00690095">
        <w:rPr>
          <w:rFonts w:ascii="Arial" w:hAnsi="Arial" w:cs="Arial"/>
          <w:bCs/>
          <w:szCs w:val="20"/>
          <w:lang w:val="en-CA"/>
        </w:rPr>
        <w:t>were</w:t>
      </w:r>
      <w:r w:rsidRPr="00EC59D2">
        <w:rPr>
          <w:rFonts w:ascii="Arial" w:hAnsi="Arial" w:cs="Arial"/>
          <w:bCs/>
          <w:szCs w:val="20"/>
          <w:lang w:val="en-CA"/>
        </w:rPr>
        <w:t xml:space="preserve"> secured under a General Security Agreement, </w:t>
      </w:r>
      <w:r w:rsidR="00690095">
        <w:rPr>
          <w:rFonts w:ascii="Arial" w:hAnsi="Arial" w:cs="Arial"/>
          <w:bCs/>
          <w:szCs w:val="20"/>
          <w:lang w:val="en-CA"/>
        </w:rPr>
        <w:t>bore</w:t>
      </w:r>
      <w:r w:rsidRPr="00EC59D2">
        <w:rPr>
          <w:rFonts w:ascii="Arial" w:hAnsi="Arial" w:cs="Arial"/>
          <w:bCs/>
          <w:szCs w:val="20"/>
          <w:lang w:val="en-CA"/>
        </w:rPr>
        <w:t xml:space="preserve"> interest at 10% per annum payable quarterly and mature</w:t>
      </w:r>
      <w:r w:rsidR="00690095">
        <w:rPr>
          <w:rFonts w:ascii="Arial" w:hAnsi="Arial" w:cs="Arial"/>
          <w:bCs/>
          <w:szCs w:val="20"/>
          <w:lang w:val="en-CA"/>
        </w:rPr>
        <w:t>d</w:t>
      </w:r>
      <w:r w:rsidRPr="00EC59D2">
        <w:rPr>
          <w:rFonts w:ascii="Arial" w:hAnsi="Arial" w:cs="Arial"/>
          <w:bCs/>
          <w:szCs w:val="20"/>
          <w:lang w:val="en-CA"/>
        </w:rPr>
        <w:t xml:space="preserve"> on March 2, 2019. The notes </w:t>
      </w:r>
      <w:r w:rsidR="00690095">
        <w:rPr>
          <w:rFonts w:ascii="Arial" w:hAnsi="Arial" w:cs="Arial"/>
          <w:bCs/>
          <w:szCs w:val="20"/>
          <w:lang w:val="en-CA"/>
        </w:rPr>
        <w:t>were</w:t>
      </w:r>
      <w:r w:rsidRPr="00EC59D2">
        <w:rPr>
          <w:rFonts w:ascii="Arial" w:hAnsi="Arial" w:cs="Arial"/>
          <w:bCs/>
          <w:szCs w:val="20"/>
          <w:lang w:val="en-CA"/>
        </w:rPr>
        <w:t xml:space="preserve"> convertible into common shares at a conversion price equal to $1.74 per common share. The Company issued 172,413 share purchase warrants with an exercise price of $1.74 and</w:t>
      </w:r>
      <w:r w:rsidR="00EE54DD">
        <w:rPr>
          <w:rFonts w:ascii="Arial" w:hAnsi="Arial" w:cs="Arial"/>
          <w:bCs/>
          <w:szCs w:val="20"/>
          <w:lang w:val="en-CA"/>
        </w:rPr>
        <w:t xml:space="preserve"> </w:t>
      </w:r>
      <w:r w:rsidRPr="00EC59D2">
        <w:rPr>
          <w:rFonts w:ascii="Arial" w:hAnsi="Arial" w:cs="Arial"/>
          <w:bCs/>
          <w:szCs w:val="20"/>
          <w:lang w:val="en-CA"/>
        </w:rPr>
        <w:t>three year expiry as finder’s fee for the convertible debentures. The effective interes</w:t>
      </w:r>
      <w:r w:rsidR="00E26400">
        <w:rPr>
          <w:rFonts w:ascii="Arial" w:hAnsi="Arial" w:cs="Arial"/>
          <w:bCs/>
          <w:szCs w:val="20"/>
          <w:lang w:val="en-CA"/>
        </w:rPr>
        <w:t>t rate ha</w:t>
      </w:r>
      <w:r w:rsidR="00690095">
        <w:rPr>
          <w:rFonts w:ascii="Arial" w:hAnsi="Arial" w:cs="Arial"/>
          <w:bCs/>
          <w:szCs w:val="20"/>
          <w:lang w:val="en-CA"/>
        </w:rPr>
        <w:t>d</w:t>
      </w:r>
      <w:r w:rsidR="00E26400">
        <w:rPr>
          <w:rFonts w:ascii="Arial" w:hAnsi="Arial" w:cs="Arial"/>
          <w:bCs/>
          <w:szCs w:val="20"/>
          <w:lang w:val="en-CA"/>
        </w:rPr>
        <w:t xml:space="preserve"> been determined as 29</w:t>
      </w:r>
      <w:r w:rsidRPr="00EC59D2">
        <w:rPr>
          <w:rFonts w:ascii="Arial" w:hAnsi="Arial" w:cs="Arial"/>
          <w:bCs/>
          <w:szCs w:val="20"/>
          <w:lang w:val="en-CA"/>
        </w:rPr>
        <w:t>% per annum after deducting all the loan discounts</w:t>
      </w:r>
      <w:r w:rsidR="001A3B5B" w:rsidRPr="00EC59D2">
        <w:rPr>
          <w:rFonts w:ascii="Arial" w:hAnsi="Arial" w:cs="Arial"/>
          <w:bCs/>
          <w:szCs w:val="20"/>
          <w:lang w:val="en-CA"/>
        </w:rPr>
        <w:t>.</w:t>
      </w:r>
    </w:p>
    <w:p w14:paraId="1804A02D" w14:textId="77777777" w:rsidR="001A3B5B" w:rsidRDefault="001A3B5B" w:rsidP="001A3B5B">
      <w:pPr>
        <w:pStyle w:val="ListParagraph"/>
        <w:spacing w:after="0" w:line="240" w:lineRule="auto"/>
        <w:ind w:left="810"/>
        <w:jc w:val="both"/>
        <w:rPr>
          <w:rFonts w:ascii="Arial" w:hAnsi="Arial" w:cs="Arial"/>
          <w:bCs/>
          <w:szCs w:val="20"/>
          <w:lang w:val="en-CA"/>
        </w:rPr>
      </w:pPr>
    </w:p>
    <w:p w14:paraId="7D0B778F" w14:textId="2880E7FE" w:rsidR="001A3B5B" w:rsidRDefault="00EC59D2" w:rsidP="00EC59D2">
      <w:pPr>
        <w:pStyle w:val="ListParagraph"/>
        <w:spacing w:after="0" w:line="240" w:lineRule="auto"/>
        <w:ind w:left="450"/>
        <w:jc w:val="both"/>
        <w:rPr>
          <w:rFonts w:ascii="Arial" w:hAnsi="Arial" w:cs="Arial"/>
          <w:bCs/>
          <w:szCs w:val="20"/>
          <w:lang w:val="en-CA"/>
        </w:rPr>
      </w:pPr>
      <w:r w:rsidRPr="00EC59D2">
        <w:rPr>
          <w:rFonts w:ascii="Arial" w:hAnsi="Arial" w:cs="Arial"/>
          <w:bCs/>
          <w:szCs w:val="20"/>
          <w:lang w:val="en-CA"/>
        </w:rPr>
        <w:t xml:space="preserve">On October 22, 2018, $1,500,000 of the convertible debentures were settled through the issuance of 3,750,000 units of the Company with each unit consisting of one common </w:t>
      </w:r>
      <w:r w:rsidR="00F07391">
        <w:rPr>
          <w:rFonts w:ascii="Arial" w:hAnsi="Arial" w:cs="Arial"/>
          <w:bCs/>
          <w:szCs w:val="20"/>
          <w:lang w:val="en-CA"/>
        </w:rPr>
        <w:t>share</w:t>
      </w:r>
      <w:r w:rsidRPr="00EC59D2">
        <w:rPr>
          <w:rFonts w:ascii="Arial" w:hAnsi="Arial" w:cs="Arial"/>
          <w:bCs/>
          <w:szCs w:val="20"/>
          <w:lang w:val="en-CA"/>
        </w:rPr>
        <w:t xml:space="preserve"> and one share purchase warrant with an exercise price of $0.60 and three year expiry. The </w:t>
      </w:r>
      <w:r w:rsidR="00690095">
        <w:rPr>
          <w:rFonts w:ascii="Arial" w:hAnsi="Arial" w:cs="Arial"/>
          <w:bCs/>
          <w:szCs w:val="20"/>
          <w:lang w:val="en-CA"/>
        </w:rPr>
        <w:t xml:space="preserve">common </w:t>
      </w:r>
      <w:r w:rsidRPr="00EC59D2">
        <w:rPr>
          <w:rFonts w:ascii="Arial" w:hAnsi="Arial" w:cs="Arial"/>
          <w:bCs/>
          <w:szCs w:val="20"/>
          <w:lang w:val="en-CA"/>
        </w:rPr>
        <w:t xml:space="preserve">shares issued were valued at $0.43 per share and warrants issued were valued at $0.26 per warrant for total value of $2,600,856. The fair value of warrants </w:t>
      </w:r>
      <w:r w:rsidR="00EE54DD">
        <w:rPr>
          <w:rFonts w:ascii="Arial" w:hAnsi="Arial" w:cs="Arial"/>
          <w:bCs/>
          <w:szCs w:val="20"/>
          <w:lang w:val="en-CA"/>
        </w:rPr>
        <w:t>was</w:t>
      </w:r>
      <w:r w:rsidRPr="00EC59D2">
        <w:rPr>
          <w:rFonts w:ascii="Arial" w:hAnsi="Arial" w:cs="Arial"/>
          <w:bCs/>
          <w:szCs w:val="20"/>
          <w:lang w:val="en-CA"/>
        </w:rPr>
        <w:t xml:space="preserve"> calculated using volatility of 110%, interest-free rate of 2.30%, nil expected dividend yield and expected life of 3 years. The Company considered the settlement to be an extinguishment of the $1,500,000 of the convertible debentures</w:t>
      </w:r>
      <w:r w:rsidR="00F53473">
        <w:rPr>
          <w:rFonts w:ascii="Arial" w:hAnsi="Arial" w:cs="Arial"/>
          <w:bCs/>
          <w:szCs w:val="20"/>
          <w:lang w:val="en-CA"/>
        </w:rPr>
        <w:t xml:space="preserve"> and recorded a </w:t>
      </w:r>
      <w:bookmarkStart w:id="3" w:name="_Hlk27341693"/>
      <w:r w:rsidR="00F53473">
        <w:rPr>
          <w:rFonts w:ascii="Arial" w:hAnsi="Arial" w:cs="Arial"/>
          <w:bCs/>
          <w:szCs w:val="20"/>
          <w:lang w:val="en-CA"/>
        </w:rPr>
        <w:t>loss on extinguishment of debenture</w:t>
      </w:r>
      <w:r w:rsidR="00611DA0">
        <w:rPr>
          <w:rFonts w:ascii="Arial" w:hAnsi="Arial" w:cs="Arial"/>
          <w:bCs/>
          <w:szCs w:val="20"/>
          <w:lang w:val="en-CA"/>
        </w:rPr>
        <w:t>s</w:t>
      </w:r>
      <w:r w:rsidR="00F53473">
        <w:rPr>
          <w:rFonts w:ascii="Arial" w:hAnsi="Arial" w:cs="Arial"/>
          <w:bCs/>
          <w:szCs w:val="20"/>
          <w:lang w:val="en-CA"/>
        </w:rPr>
        <w:t xml:space="preserve"> of $</w:t>
      </w:r>
      <w:r w:rsidR="00F53473" w:rsidRPr="00F53473">
        <w:rPr>
          <w:rFonts w:ascii="Arial" w:hAnsi="Arial" w:cs="Arial"/>
          <w:bCs/>
          <w:szCs w:val="20"/>
          <w:lang w:val="en-CA"/>
        </w:rPr>
        <w:t>1,240,773</w:t>
      </w:r>
      <w:r w:rsidR="00690095">
        <w:rPr>
          <w:rFonts w:ascii="Arial" w:hAnsi="Arial" w:cs="Arial"/>
          <w:bCs/>
          <w:szCs w:val="20"/>
          <w:lang w:val="en-CA"/>
        </w:rPr>
        <w:t xml:space="preserve"> </w:t>
      </w:r>
      <w:bookmarkEnd w:id="3"/>
      <w:r w:rsidR="00690095">
        <w:rPr>
          <w:rFonts w:ascii="Arial" w:hAnsi="Arial" w:cs="Arial"/>
          <w:bCs/>
          <w:szCs w:val="20"/>
          <w:lang w:val="en-CA"/>
        </w:rPr>
        <w:t>during the nine months ended October 31, 2018</w:t>
      </w:r>
      <w:r w:rsidR="00F53473">
        <w:rPr>
          <w:rFonts w:ascii="Arial" w:hAnsi="Arial" w:cs="Arial"/>
          <w:bCs/>
          <w:szCs w:val="20"/>
          <w:lang w:val="en-CA"/>
        </w:rPr>
        <w:t>.</w:t>
      </w:r>
    </w:p>
    <w:p w14:paraId="525F46DD" w14:textId="77777777" w:rsidR="001A3B5B" w:rsidRDefault="001A3B5B" w:rsidP="00EC59D2">
      <w:pPr>
        <w:pStyle w:val="ListParagraph"/>
        <w:spacing w:after="0" w:line="240" w:lineRule="auto"/>
        <w:ind w:left="450"/>
        <w:jc w:val="both"/>
        <w:rPr>
          <w:rFonts w:ascii="Arial" w:hAnsi="Arial" w:cs="Arial"/>
          <w:bCs/>
          <w:szCs w:val="20"/>
          <w:lang w:val="en-CA"/>
        </w:rPr>
      </w:pPr>
    </w:p>
    <w:p w14:paraId="2C2E6BD2" w14:textId="77A733F0" w:rsidR="001A3B5B" w:rsidRDefault="00EC59D2" w:rsidP="00EC59D2">
      <w:pPr>
        <w:pStyle w:val="ListParagraph"/>
        <w:spacing w:after="0" w:line="240" w:lineRule="auto"/>
        <w:ind w:left="450"/>
        <w:jc w:val="both"/>
        <w:rPr>
          <w:rFonts w:ascii="Arial" w:hAnsi="Arial" w:cs="Arial"/>
          <w:bCs/>
          <w:szCs w:val="20"/>
          <w:lang w:val="en-CA"/>
        </w:rPr>
      </w:pPr>
      <w:r w:rsidRPr="00EC59D2">
        <w:rPr>
          <w:rFonts w:ascii="Arial" w:hAnsi="Arial" w:cs="Arial"/>
          <w:bCs/>
          <w:szCs w:val="20"/>
          <w:lang w:val="en-CA"/>
        </w:rPr>
        <w:t xml:space="preserve">On October 22, 2018, the Company modified the conversion price on the remainder of the convertible debentures, totaling $3,500,000, to $0.42 per common share. The Company </w:t>
      </w:r>
      <w:r w:rsidR="00CB346C">
        <w:rPr>
          <w:rFonts w:ascii="Arial" w:hAnsi="Arial" w:cs="Arial"/>
          <w:bCs/>
          <w:szCs w:val="20"/>
          <w:lang w:val="en-CA"/>
        </w:rPr>
        <w:t>did not consider</w:t>
      </w:r>
      <w:r w:rsidRPr="00EC59D2">
        <w:rPr>
          <w:rFonts w:ascii="Arial" w:hAnsi="Arial" w:cs="Arial"/>
          <w:bCs/>
          <w:szCs w:val="20"/>
          <w:lang w:val="en-CA"/>
        </w:rPr>
        <w:t xml:space="preserve"> the modification to be an extinguishment of the $3,500,000 of the convertible debentures.</w:t>
      </w:r>
    </w:p>
    <w:p w14:paraId="38FD143F" w14:textId="77777777" w:rsidR="001A3B5B" w:rsidRDefault="001A3B5B" w:rsidP="00EC59D2">
      <w:pPr>
        <w:pStyle w:val="ListParagraph"/>
        <w:spacing w:after="0" w:line="240" w:lineRule="auto"/>
        <w:ind w:left="450"/>
        <w:jc w:val="both"/>
        <w:rPr>
          <w:rFonts w:ascii="Arial" w:hAnsi="Arial" w:cs="Arial"/>
          <w:bCs/>
          <w:szCs w:val="20"/>
          <w:lang w:val="en-CA"/>
        </w:rPr>
      </w:pPr>
    </w:p>
    <w:p w14:paraId="4223D959" w14:textId="0A83E522" w:rsidR="001A3B5B" w:rsidRDefault="001741C2" w:rsidP="00EC59D2">
      <w:pPr>
        <w:pStyle w:val="ListParagraph"/>
        <w:spacing w:after="0" w:line="240" w:lineRule="auto"/>
        <w:ind w:left="450"/>
        <w:jc w:val="both"/>
        <w:rPr>
          <w:rFonts w:ascii="Arial" w:hAnsi="Arial" w:cs="Arial"/>
          <w:bCs/>
          <w:szCs w:val="20"/>
          <w:lang w:val="en-CA"/>
        </w:rPr>
      </w:pPr>
      <w:r w:rsidRPr="001741C2">
        <w:rPr>
          <w:rFonts w:ascii="Arial" w:hAnsi="Arial" w:cs="Arial"/>
          <w:bCs/>
          <w:szCs w:val="20"/>
          <w:lang w:val="en-CA"/>
        </w:rPr>
        <w:t>On March 2, 2019, the Company repaid $750,000 of the convertible debentures and extended the maturity of the remainder of the convertible debentures to June 2, 2019 for an extension fee of $250,000. The Company considered the extension to be a modification of the convertible debentures. The effective interest rate for the remaining terms of the convertible debe</w:t>
      </w:r>
      <w:r w:rsidR="00CB346C">
        <w:rPr>
          <w:rFonts w:ascii="Arial" w:hAnsi="Arial" w:cs="Arial"/>
          <w:bCs/>
          <w:szCs w:val="20"/>
          <w:lang w:val="en-CA"/>
        </w:rPr>
        <w:t>ntures ha</w:t>
      </w:r>
      <w:r w:rsidR="00690095">
        <w:rPr>
          <w:rFonts w:ascii="Arial" w:hAnsi="Arial" w:cs="Arial"/>
          <w:bCs/>
          <w:szCs w:val="20"/>
          <w:lang w:val="en-CA"/>
        </w:rPr>
        <w:t>d</w:t>
      </w:r>
      <w:r w:rsidR="00CB346C">
        <w:rPr>
          <w:rFonts w:ascii="Arial" w:hAnsi="Arial" w:cs="Arial"/>
          <w:bCs/>
          <w:szCs w:val="20"/>
          <w:lang w:val="en-CA"/>
        </w:rPr>
        <w:t xml:space="preserve"> been determined as 38</w:t>
      </w:r>
      <w:r w:rsidRPr="001741C2">
        <w:rPr>
          <w:rFonts w:ascii="Arial" w:hAnsi="Arial" w:cs="Arial"/>
          <w:bCs/>
          <w:szCs w:val="20"/>
          <w:lang w:val="en-CA"/>
        </w:rPr>
        <w:t>% per annum</w:t>
      </w:r>
      <w:r w:rsidR="001A3B5B" w:rsidRPr="001A3B5B">
        <w:rPr>
          <w:rFonts w:ascii="Arial" w:hAnsi="Arial" w:cs="Arial"/>
          <w:bCs/>
          <w:szCs w:val="20"/>
          <w:lang w:val="en-CA"/>
        </w:rPr>
        <w:t>.</w:t>
      </w:r>
    </w:p>
    <w:p w14:paraId="3BDB97D7" w14:textId="77777777" w:rsidR="00FC7923" w:rsidRDefault="00FC7923" w:rsidP="00EC59D2">
      <w:pPr>
        <w:pStyle w:val="ListParagraph"/>
        <w:spacing w:after="0" w:line="240" w:lineRule="auto"/>
        <w:ind w:left="450"/>
        <w:jc w:val="both"/>
        <w:rPr>
          <w:rFonts w:ascii="Arial" w:hAnsi="Arial" w:cs="Arial"/>
          <w:bCs/>
          <w:szCs w:val="20"/>
          <w:lang w:val="en-CA"/>
        </w:rPr>
      </w:pPr>
    </w:p>
    <w:p w14:paraId="5B142267" w14:textId="038125D6" w:rsidR="001741C2" w:rsidRDefault="00FC7923" w:rsidP="001741C2">
      <w:pPr>
        <w:pStyle w:val="ListParagraph"/>
        <w:spacing w:after="0" w:line="240" w:lineRule="auto"/>
        <w:ind w:left="450"/>
        <w:jc w:val="both"/>
        <w:rPr>
          <w:rFonts w:ascii="Arial" w:hAnsi="Arial" w:cs="Arial"/>
          <w:bCs/>
          <w:szCs w:val="20"/>
          <w:lang w:val="en-CA"/>
        </w:rPr>
      </w:pPr>
      <w:r>
        <w:rPr>
          <w:rFonts w:ascii="Arial" w:hAnsi="Arial" w:cs="Arial"/>
          <w:szCs w:val="20"/>
        </w:rPr>
        <w:t>On May 16, 2019, the Company issued 595,238 common shares pursuant to the conversion of $250,000 of the Company convertible debentures (Note 1</w:t>
      </w:r>
      <w:r w:rsidR="00A06F01">
        <w:rPr>
          <w:rFonts w:ascii="Arial" w:hAnsi="Arial" w:cs="Arial"/>
          <w:szCs w:val="20"/>
        </w:rPr>
        <w:t>2</w:t>
      </w:r>
      <w:r>
        <w:rPr>
          <w:rFonts w:ascii="Arial" w:hAnsi="Arial" w:cs="Arial"/>
          <w:szCs w:val="20"/>
        </w:rPr>
        <w:t xml:space="preserve">(f)).  On the same date, the Company repaid the remaining principal amount of the convertible debentures of </w:t>
      </w:r>
      <w:r w:rsidR="00991E5D">
        <w:rPr>
          <w:rFonts w:ascii="Arial" w:hAnsi="Arial" w:cs="Arial"/>
          <w:szCs w:val="20"/>
        </w:rPr>
        <w:t>$2,</w:t>
      </w:r>
      <w:r w:rsidR="00CB346C">
        <w:rPr>
          <w:rFonts w:ascii="Arial" w:hAnsi="Arial" w:cs="Arial"/>
          <w:szCs w:val="20"/>
        </w:rPr>
        <w:t>500</w:t>
      </w:r>
      <w:r w:rsidR="00991E5D">
        <w:rPr>
          <w:rFonts w:ascii="Arial" w:hAnsi="Arial" w:cs="Arial"/>
          <w:szCs w:val="20"/>
        </w:rPr>
        <w:t xml:space="preserve">,000.  </w:t>
      </w:r>
      <w:r w:rsidR="00CB346C" w:rsidRPr="00CB346C">
        <w:rPr>
          <w:rFonts w:ascii="Arial" w:hAnsi="Arial" w:cs="Arial"/>
          <w:bCs/>
          <w:szCs w:val="20"/>
          <w:lang w:val="en-CA"/>
        </w:rPr>
        <w:t xml:space="preserve">Amortization of discount on convertible debentures </w:t>
      </w:r>
      <w:r w:rsidR="001741C2" w:rsidRPr="001741C2">
        <w:rPr>
          <w:rFonts w:ascii="Arial" w:hAnsi="Arial" w:cs="Arial"/>
          <w:bCs/>
          <w:szCs w:val="20"/>
          <w:lang w:val="en-CA"/>
        </w:rPr>
        <w:t>for the</w:t>
      </w:r>
      <w:r w:rsidR="00D23D47">
        <w:rPr>
          <w:rFonts w:ascii="Arial" w:hAnsi="Arial" w:cs="Arial"/>
          <w:bCs/>
          <w:szCs w:val="20"/>
          <w:lang w:val="en-CA"/>
        </w:rPr>
        <w:t xml:space="preserve"> three and</w:t>
      </w:r>
      <w:r w:rsidR="001741C2" w:rsidRPr="001741C2">
        <w:rPr>
          <w:rFonts w:ascii="Arial" w:hAnsi="Arial" w:cs="Arial"/>
          <w:bCs/>
          <w:szCs w:val="20"/>
          <w:lang w:val="en-CA"/>
        </w:rPr>
        <w:t xml:space="preserve"> </w:t>
      </w:r>
      <w:r w:rsidR="00A06F01">
        <w:rPr>
          <w:rFonts w:ascii="Arial" w:hAnsi="Arial" w:cs="Arial"/>
          <w:bCs/>
          <w:szCs w:val="20"/>
          <w:lang w:val="en-CA"/>
        </w:rPr>
        <w:t>nine</w:t>
      </w:r>
      <w:r w:rsidR="001741C2" w:rsidRPr="001741C2">
        <w:rPr>
          <w:rFonts w:ascii="Arial" w:hAnsi="Arial" w:cs="Arial"/>
          <w:bCs/>
          <w:szCs w:val="20"/>
          <w:lang w:val="en-CA"/>
        </w:rPr>
        <w:t xml:space="preserve"> months ended </w:t>
      </w:r>
      <w:r w:rsidR="00A06F01">
        <w:rPr>
          <w:rFonts w:ascii="Arial" w:hAnsi="Arial" w:cs="Arial"/>
          <w:bCs/>
          <w:szCs w:val="20"/>
          <w:lang w:val="en-CA"/>
        </w:rPr>
        <w:t>October</w:t>
      </w:r>
      <w:r w:rsidR="001741C2">
        <w:rPr>
          <w:rFonts w:ascii="Arial" w:hAnsi="Arial" w:cs="Arial"/>
          <w:bCs/>
          <w:szCs w:val="20"/>
          <w:lang w:val="en-CA"/>
        </w:rPr>
        <w:t xml:space="preserve"> 31</w:t>
      </w:r>
      <w:r w:rsidR="001741C2" w:rsidRPr="001741C2">
        <w:rPr>
          <w:rFonts w:ascii="Arial" w:hAnsi="Arial" w:cs="Arial"/>
          <w:bCs/>
          <w:szCs w:val="20"/>
          <w:lang w:val="en-CA"/>
        </w:rPr>
        <w:t>, 2019 was $</w:t>
      </w:r>
      <w:r w:rsidR="00CB18AA">
        <w:rPr>
          <w:rFonts w:ascii="Arial" w:hAnsi="Arial" w:cs="Arial"/>
          <w:bCs/>
          <w:szCs w:val="20"/>
          <w:lang w:val="en-CA"/>
        </w:rPr>
        <w:t>nil</w:t>
      </w:r>
      <w:r w:rsidR="00D23D47">
        <w:rPr>
          <w:rFonts w:ascii="Arial" w:hAnsi="Arial" w:cs="Arial"/>
          <w:bCs/>
          <w:szCs w:val="20"/>
          <w:lang w:val="en-CA"/>
        </w:rPr>
        <w:t xml:space="preserve"> and $</w:t>
      </w:r>
      <w:r w:rsidR="00A81BEF">
        <w:rPr>
          <w:rFonts w:ascii="Arial" w:hAnsi="Arial" w:cs="Arial"/>
          <w:bCs/>
          <w:szCs w:val="20"/>
          <w:lang w:val="en-CA"/>
        </w:rPr>
        <w:t>294,000</w:t>
      </w:r>
      <w:r w:rsidR="00D23D47">
        <w:rPr>
          <w:rFonts w:ascii="Arial" w:hAnsi="Arial" w:cs="Arial"/>
          <w:bCs/>
          <w:szCs w:val="20"/>
          <w:lang w:val="en-CA"/>
        </w:rPr>
        <w:t>, respectively</w:t>
      </w:r>
      <w:r w:rsidR="004934F9">
        <w:rPr>
          <w:rFonts w:ascii="Arial" w:hAnsi="Arial" w:cs="Arial"/>
          <w:bCs/>
          <w:szCs w:val="20"/>
          <w:lang w:val="en-CA"/>
        </w:rPr>
        <w:t>.</w:t>
      </w:r>
      <w:r w:rsidR="001741C2">
        <w:rPr>
          <w:rFonts w:ascii="Arial" w:hAnsi="Arial" w:cs="Arial"/>
          <w:bCs/>
          <w:szCs w:val="20"/>
          <w:lang w:val="en-CA"/>
        </w:rPr>
        <w:t xml:space="preserve">  </w:t>
      </w:r>
    </w:p>
    <w:p w14:paraId="186D3A1D" w14:textId="77777777" w:rsidR="00A06F01" w:rsidRPr="001741C2" w:rsidRDefault="00A06F01" w:rsidP="001741C2">
      <w:pPr>
        <w:pStyle w:val="ListParagraph"/>
        <w:spacing w:after="0" w:line="240" w:lineRule="auto"/>
        <w:ind w:left="450"/>
        <w:jc w:val="both"/>
        <w:rPr>
          <w:rFonts w:ascii="Arial" w:hAnsi="Arial" w:cs="Arial"/>
          <w:bCs/>
          <w:szCs w:val="20"/>
          <w:lang w:val="en-CA"/>
        </w:rPr>
      </w:pPr>
    </w:p>
    <w:p w14:paraId="704EF9A9" w14:textId="0BD2D743" w:rsidR="009858B0" w:rsidRPr="009858B0" w:rsidRDefault="001741C2" w:rsidP="00C71250">
      <w:pPr>
        <w:pStyle w:val="ListParagraph"/>
        <w:tabs>
          <w:tab w:val="left" w:pos="450"/>
        </w:tabs>
        <w:spacing w:after="0" w:line="240" w:lineRule="auto"/>
        <w:ind w:left="0"/>
        <w:jc w:val="both"/>
        <w:rPr>
          <w:rFonts w:ascii="Arial" w:hAnsi="Arial" w:cs="Arial"/>
          <w:b/>
          <w:szCs w:val="20"/>
        </w:rPr>
      </w:pPr>
      <w:r w:rsidRPr="001741C2">
        <w:rPr>
          <w:rFonts w:ascii="Arial" w:hAnsi="Arial" w:cs="Arial"/>
          <w:bCs/>
          <w:szCs w:val="20"/>
          <w:lang w:val="en-CA"/>
        </w:rPr>
        <w:t xml:space="preserve"> </w:t>
      </w:r>
      <w:r w:rsidR="00E65D25">
        <w:rPr>
          <w:rFonts w:ascii="Arial" w:hAnsi="Arial" w:cs="Arial"/>
          <w:b/>
          <w:szCs w:val="20"/>
        </w:rPr>
        <w:t>1</w:t>
      </w:r>
      <w:r w:rsidR="00CB18AA">
        <w:rPr>
          <w:rFonts w:ascii="Arial" w:hAnsi="Arial" w:cs="Arial"/>
          <w:b/>
          <w:szCs w:val="20"/>
        </w:rPr>
        <w:t>1</w:t>
      </w:r>
      <w:r w:rsidR="009858B0" w:rsidRPr="00E65D25">
        <w:rPr>
          <w:rFonts w:ascii="Arial" w:hAnsi="Arial" w:cs="Arial"/>
          <w:b/>
          <w:szCs w:val="20"/>
        </w:rPr>
        <w:t>.</w:t>
      </w:r>
      <w:r w:rsidR="009858B0" w:rsidRPr="00E65D25">
        <w:rPr>
          <w:rFonts w:ascii="Arial" w:hAnsi="Arial" w:cs="Arial"/>
          <w:b/>
          <w:szCs w:val="20"/>
        </w:rPr>
        <w:tab/>
        <w:t>Promissory Note</w:t>
      </w:r>
    </w:p>
    <w:tbl>
      <w:tblPr>
        <w:tblW w:w="9011" w:type="dxa"/>
        <w:tblInd w:w="450" w:type="dxa"/>
        <w:tblLayout w:type="fixed"/>
        <w:tblCellMar>
          <w:left w:w="0" w:type="dxa"/>
          <w:right w:w="0" w:type="dxa"/>
        </w:tblCellMar>
        <w:tblLook w:val="0000" w:firstRow="0" w:lastRow="0" w:firstColumn="0" w:lastColumn="0" w:noHBand="0" w:noVBand="0"/>
      </w:tblPr>
      <w:tblGrid>
        <w:gridCol w:w="4050"/>
        <w:gridCol w:w="1701"/>
        <w:gridCol w:w="1701"/>
        <w:gridCol w:w="1559"/>
      </w:tblGrid>
      <w:tr w:rsidR="00385FE5" w:rsidRPr="009858B0" w14:paraId="2A26CF3D" w14:textId="77777777" w:rsidTr="00385FE5">
        <w:tc>
          <w:tcPr>
            <w:tcW w:w="4050" w:type="dxa"/>
            <w:tcBorders>
              <w:top w:val="nil"/>
              <w:left w:val="nil"/>
              <w:bottom w:val="single" w:sz="4" w:space="0" w:color="auto"/>
            </w:tcBorders>
            <w:vAlign w:val="bottom"/>
          </w:tcPr>
          <w:p w14:paraId="20CCCD18" w14:textId="77777777" w:rsidR="00385FE5" w:rsidRPr="009858B0" w:rsidRDefault="00385FE5" w:rsidP="00385FE5">
            <w:pPr>
              <w:spacing w:after="0" w:line="240" w:lineRule="auto"/>
              <w:rPr>
                <w:rFonts w:ascii="Arial" w:hAnsi="Arial" w:cs="Arial"/>
                <w:szCs w:val="20"/>
              </w:rPr>
            </w:pPr>
            <w:r w:rsidRPr="009858B0">
              <w:rPr>
                <w:rFonts w:ascii="Arial" w:hAnsi="Arial" w:cs="Arial"/>
                <w:b/>
                <w:bCs/>
                <w:szCs w:val="20"/>
              </w:rPr>
              <w:tab/>
            </w:r>
          </w:p>
        </w:tc>
        <w:tc>
          <w:tcPr>
            <w:tcW w:w="1701" w:type="dxa"/>
            <w:tcBorders>
              <w:top w:val="nil"/>
              <w:left w:val="nil"/>
              <w:bottom w:val="single" w:sz="4" w:space="0" w:color="auto"/>
            </w:tcBorders>
            <w:vAlign w:val="bottom"/>
          </w:tcPr>
          <w:p w14:paraId="271B3E6F" w14:textId="27103ECA" w:rsidR="00385FE5" w:rsidRPr="009858B0" w:rsidRDefault="00C71250" w:rsidP="00385FE5">
            <w:pPr>
              <w:spacing w:after="0" w:line="240" w:lineRule="auto"/>
              <w:jc w:val="center"/>
              <w:rPr>
                <w:rFonts w:ascii="Arial" w:hAnsi="Arial" w:cs="Arial"/>
                <w:szCs w:val="20"/>
              </w:rPr>
            </w:pPr>
            <w:r>
              <w:rPr>
                <w:rFonts w:ascii="Arial" w:hAnsi="Arial" w:cs="Arial"/>
                <w:szCs w:val="20"/>
              </w:rPr>
              <w:t>October</w:t>
            </w:r>
            <w:r w:rsidR="00385FE5" w:rsidRPr="009858B0">
              <w:rPr>
                <w:rFonts w:ascii="Arial" w:hAnsi="Arial" w:cs="Arial"/>
                <w:szCs w:val="20"/>
              </w:rPr>
              <w:t xml:space="preserve"> 31,</w:t>
            </w:r>
          </w:p>
          <w:p w14:paraId="5B36FAD2" w14:textId="4A8901B7" w:rsidR="00385FE5" w:rsidRPr="009858B0" w:rsidRDefault="00385FE5" w:rsidP="00385FE5">
            <w:pPr>
              <w:spacing w:after="0" w:line="240" w:lineRule="auto"/>
              <w:jc w:val="center"/>
              <w:rPr>
                <w:rFonts w:ascii="Arial" w:hAnsi="Arial" w:cs="Arial"/>
                <w:szCs w:val="20"/>
              </w:rPr>
            </w:pPr>
            <w:r>
              <w:rPr>
                <w:rFonts w:ascii="Arial" w:hAnsi="Arial" w:cs="Arial"/>
                <w:szCs w:val="20"/>
              </w:rPr>
              <w:t>2019</w:t>
            </w:r>
          </w:p>
          <w:p w14:paraId="69532D40" w14:textId="6741239A" w:rsidR="00385FE5" w:rsidRDefault="00385FE5" w:rsidP="00385FE5">
            <w:pPr>
              <w:spacing w:after="0" w:line="240" w:lineRule="auto"/>
              <w:jc w:val="center"/>
              <w:rPr>
                <w:rFonts w:ascii="Arial" w:hAnsi="Arial" w:cs="Arial"/>
                <w:szCs w:val="20"/>
              </w:rPr>
            </w:pPr>
            <w:r w:rsidRPr="009858B0">
              <w:rPr>
                <w:rFonts w:ascii="Arial" w:hAnsi="Arial" w:cs="Arial"/>
                <w:szCs w:val="20"/>
              </w:rPr>
              <w:t>$</w:t>
            </w:r>
          </w:p>
        </w:tc>
        <w:tc>
          <w:tcPr>
            <w:tcW w:w="1701" w:type="dxa"/>
            <w:tcBorders>
              <w:top w:val="nil"/>
              <w:left w:val="nil"/>
              <w:bottom w:val="single" w:sz="4" w:space="0" w:color="auto"/>
              <w:right w:val="nil"/>
            </w:tcBorders>
            <w:vAlign w:val="bottom"/>
          </w:tcPr>
          <w:p w14:paraId="6BE4DF91" w14:textId="27830B3F" w:rsidR="00385FE5" w:rsidRPr="009858B0" w:rsidRDefault="00385FE5" w:rsidP="00385FE5">
            <w:pPr>
              <w:spacing w:after="0" w:line="240" w:lineRule="auto"/>
              <w:jc w:val="center"/>
              <w:rPr>
                <w:rFonts w:ascii="Arial" w:hAnsi="Arial" w:cs="Arial"/>
                <w:szCs w:val="20"/>
              </w:rPr>
            </w:pPr>
            <w:r>
              <w:rPr>
                <w:rFonts w:ascii="Arial" w:hAnsi="Arial" w:cs="Arial"/>
                <w:szCs w:val="20"/>
              </w:rPr>
              <w:t>January</w:t>
            </w:r>
            <w:r w:rsidRPr="009858B0">
              <w:rPr>
                <w:rFonts w:ascii="Arial" w:hAnsi="Arial" w:cs="Arial"/>
                <w:szCs w:val="20"/>
              </w:rPr>
              <w:t xml:space="preserve"> 31,</w:t>
            </w:r>
          </w:p>
          <w:p w14:paraId="4661B350" w14:textId="4856DF90" w:rsidR="00385FE5" w:rsidRPr="009858B0" w:rsidRDefault="006C2D6B" w:rsidP="00385FE5">
            <w:pPr>
              <w:spacing w:after="0" w:line="240" w:lineRule="auto"/>
              <w:jc w:val="center"/>
              <w:rPr>
                <w:rFonts w:ascii="Arial" w:hAnsi="Arial" w:cs="Arial"/>
                <w:szCs w:val="20"/>
              </w:rPr>
            </w:pPr>
            <w:r>
              <w:rPr>
                <w:rFonts w:ascii="Arial" w:hAnsi="Arial" w:cs="Arial"/>
                <w:szCs w:val="20"/>
              </w:rPr>
              <w:t>2019</w:t>
            </w:r>
          </w:p>
          <w:p w14:paraId="2D28E4CC" w14:textId="77777777" w:rsidR="00385FE5" w:rsidRPr="009858B0" w:rsidRDefault="00385FE5" w:rsidP="00385FE5">
            <w:pPr>
              <w:spacing w:after="0" w:line="240" w:lineRule="auto"/>
              <w:jc w:val="center"/>
              <w:rPr>
                <w:rFonts w:ascii="Arial" w:hAnsi="Arial" w:cs="Arial"/>
                <w:szCs w:val="20"/>
              </w:rPr>
            </w:pPr>
            <w:r w:rsidRPr="009858B0">
              <w:rPr>
                <w:rFonts w:ascii="Arial" w:hAnsi="Arial" w:cs="Arial"/>
                <w:szCs w:val="20"/>
              </w:rPr>
              <w:t>$</w:t>
            </w:r>
          </w:p>
        </w:tc>
        <w:tc>
          <w:tcPr>
            <w:tcW w:w="1559" w:type="dxa"/>
            <w:tcBorders>
              <w:top w:val="nil"/>
              <w:left w:val="nil"/>
              <w:bottom w:val="single" w:sz="4" w:space="0" w:color="auto"/>
              <w:right w:val="nil"/>
            </w:tcBorders>
            <w:vAlign w:val="bottom"/>
          </w:tcPr>
          <w:p w14:paraId="14DE2CB2" w14:textId="29EB7C15" w:rsidR="00385FE5" w:rsidRPr="009858B0" w:rsidRDefault="00385FE5" w:rsidP="00385FE5">
            <w:pPr>
              <w:spacing w:after="0" w:line="240" w:lineRule="auto"/>
              <w:jc w:val="center"/>
              <w:rPr>
                <w:rFonts w:ascii="Arial" w:hAnsi="Arial" w:cs="Arial"/>
                <w:szCs w:val="20"/>
              </w:rPr>
            </w:pPr>
            <w:r>
              <w:rPr>
                <w:rFonts w:ascii="Arial" w:hAnsi="Arial" w:cs="Arial"/>
                <w:szCs w:val="20"/>
              </w:rPr>
              <w:t>February 1</w:t>
            </w:r>
            <w:r w:rsidRPr="009858B0">
              <w:rPr>
                <w:rFonts w:ascii="Arial" w:hAnsi="Arial" w:cs="Arial"/>
                <w:szCs w:val="20"/>
              </w:rPr>
              <w:t>,</w:t>
            </w:r>
          </w:p>
          <w:p w14:paraId="2A656030" w14:textId="21389B40" w:rsidR="00385FE5" w:rsidRPr="009858B0" w:rsidRDefault="0018207D" w:rsidP="00385FE5">
            <w:pPr>
              <w:spacing w:after="0" w:line="240" w:lineRule="auto"/>
              <w:jc w:val="center"/>
              <w:rPr>
                <w:rFonts w:ascii="Arial" w:hAnsi="Arial" w:cs="Arial"/>
                <w:szCs w:val="20"/>
              </w:rPr>
            </w:pPr>
            <w:r>
              <w:rPr>
                <w:rFonts w:ascii="Arial" w:hAnsi="Arial" w:cs="Arial"/>
                <w:szCs w:val="20"/>
              </w:rPr>
              <w:t>2018</w:t>
            </w:r>
          </w:p>
          <w:p w14:paraId="0E27DBC5" w14:textId="77777777" w:rsidR="00385FE5" w:rsidRPr="009858B0" w:rsidRDefault="00385FE5" w:rsidP="00385FE5">
            <w:pPr>
              <w:spacing w:after="0" w:line="240" w:lineRule="auto"/>
              <w:jc w:val="center"/>
              <w:rPr>
                <w:rFonts w:ascii="Arial" w:hAnsi="Arial" w:cs="Arial"/>
                <w:szCs w:val="20"/>
              </w:rPr>
            </w:pPr>
            <w:r w:rsidRPr="009858B0">
              <w:rPr>
                <w:rFonts w:ascii="Arial" w:hAnsi="Arial" w:cs="Arial"/>
                <w:szCs w:val="20"/>
              </w:rPr>
              <w:t>$</w:t>
            </w:r>
          </w:p>
        </w:tc>
      </w:tr>
      <w:tr w:rsidR="00385FE5" w:rsidRPr="009858B0" w14:paraId="2FAAD01A" w14:textId="77777777" w:rsidTr="00385FE5">
        <w:trPr>
          <w:trHeight w:hRule="exact" w:val="113"/>
        </w:trPr>
        <w:tc>
          <w:tcPr>
            <w:tcW w:w="4050" w:type="dxa"/>
            <w:tcBorders>
              <w:top w:val="single" w:sz="4" w:space="0" w:color="auto"/>
              <w:left w:val="nil"/>
            </w:tcBorders>
            <w:vAlign w:val="bottom"/>
          </w:tcPr>
          <w:p w14:paraId="2DE91341" w14:textId="77777777" w:rsidR="00385FE5" w:rsidRPr="009858B0" w:rsidRDefault="00385FE5" w:rsidP="00385FE5">
            <w:pPr>
              <w:spacing w:after="0" w:line="240" w:lineRule="auto"/>
              <w:rPr>
                <w:rFonts w:ascii="Arial" w:hAnsi="Arial" w:cs="Arial"/>
                <w:szCs w:val="20"/>
              </w:rPr>
            </w:pPr>
          </w:p>
        </w:tc>
        <w:tc>
          <w:tcPr>
            <w:tcW w:w="1701" w:type="dxa"/>
            <w:tcBorders>
              <w:top w:val="single" w:sz="4" w:space="0" w:color="auto"/>
              <w:left w:val="nil"/>
            </w:tcBorders>
            <w:vAlign w:val="bottom"/>
          </w:tcPr>
          <w:p w14:paraId="78E89375" w14:textId="77777777" w:rsidR="00385FE5" w:rsidRPr="009858B0" w:rsidRDefault="00385FE5" w:rsidP="00385FE5">
            <w:pPr>
              <w:spacing w:after="0" w:line="240" w:lineRule="auto"/>
              <w:ind w:right="369"/>
              <w:jc w:val="right"/>
              <w:rPr>
                <w:rFonts w:ascii="Arial" w:hAnsi="Arial" w:cs="Arial"/>
                <w:szCs w:val="20"/>
              </w:rPr>
            </w:pPr>
          </w:p>
        </w:tc>
        <w:tc>
          <w:tcPr>
            <w:tcW w:w="1701" w:type="dxa"/>
            <w:tcBorders>
              <w:top w:val="single" w:sz="4" w:space="0" w:color="auto"/>
              <w:left w:val="nil"/>
              <w:right w:val="nil"/>
            </w:tcBorders>
            <w:vAlign w:val="bottom"/>
          </w:tcPr>
          <w:p w14:paraId="61947203" w14:textId="36FBE763" w:rsidR="00385FE5" w:rsidRPr="009858B0" w:rsidRDefault="00385FE5" w:rsidP="00385FE5">
            <w:pPr>
              <w:spacing w:after="0" w:line="240" w:lineRule="auto"/>
              <w:ind w:right="369"/>
              <w:jc w:val="right"/>
              <w:rPr>
                <w:rFonts w:ascii="Arial" w:hAnsi="Arial" w:cs="Arial"/>
                <w:szCs w:val="20"/>
              </w:rPr>
            </w:pPr>
          </w:p>
        </w:tc>
        <w:tc>
          <w:tcPr>
            <w:tcW w:w="1559" w:type="dxa"/>
            <w:tcBorders>
              <w:top w:val="single" w:sz="4" w:space="0" w:color="auto"/>
              <w:left w:val="nil"/>
              <w:right w:val="nil"/>
            </w:tcBorders>
            <w:vAlign w:val="bottom"/>
          </w:tcPr>
          <w:p w14:paraId="16E6CF49" w14:textId="77777777" w:rsidR="00385FE5" w:rsidRPr="009858B0" w:rsidRDefault="00385FE5" w:rsidP="00385FE5">
            <w:pPr>
              <w:spacing w:after="0" w:line="240" w:lineRule="auto"/>
              <w:ind w:right="369"/>
              <w:jc w:val="right"/>
              <w:rPr>
                <w:rFonts w:ascii="Arial" w:hAnsi="Arial" w:cs="Arial"/>
                <w:szCs w:val="20"/>
              </w:rPr>
            </w:pPr>
          </w:p>
        </w:tc>
      </w:tr>
      <w:tr w:rsidR="00385FE5" w:rsidRPr="009858B0" w14:paraId="2CE107EF" w14:textId="77777777" w:rsidTr="00385FE5">
        <w:tc>
          <w:tcPr>
            <w:tcW w:w="4050" w:type="dxa"/>
            <w:tcBorders>
              <w:left w:val="nil"/>
              <w:bottom w:val="single" w:sz="12" w:space="0" w:color="auto"/>
            </w:tcBorders>
            <w:vAlign w:val="bottom"/>
          </w:tcPr>
          <w:p w14:paraId="46FE5235" w14:textId="2F775C6E" w:rsidR="00385FE5" w:rsidRPr="009858B0" w:rsidRDefault="00385FE5" w:rsidP="00385FE5">
            <w:pPr>
              <w:spacing w:after="0" w:line="240" w:lineRule="auto"/>
              <w:rPr>
                <w:rFonts w:ascii="Arial" w:hAnsi="Arial" w:cs="Arial"/>
                <w:szCs w:val="20"/>
              </w:rPr>
            </w:pPr>
            <w:r>
              <w:rPr>
                <w:rFonts w:ascii="Arial" w:hAnsi="Arial" w:cs="Arial"/>
                <w:szCs w:val="20"/>
              </w:rPr>
              <w:t>Principal (Note 1</w:t>
            </w:r>
            <w:r w:rsidR="00CB18AA">
              <w:rPr>
                <w:rFonts w:ascii="Arial" w:hAnsi="Arial" w:cs="Arial"/>
                <w:szCs w:val="20"/>
              </w:rPr>
              <w:t>1</w:t>
            </w:r>
            <w:r w:rsidRPr="009858B0">
              <w:rPr>
                <w:rFonts w:ascii="Arial" w:hAnsi="Arial" w:cs="Arial"/>
                <w:szCs w:val="20"/>
              </w:rPr>
              <w:t>(a))</w:t>
            </w:r>
          </w:p>
        </w:tc>
        <w:tc>
          <w:tcPr>
            <w:tcW w:w="1701" w:type="dxa"/>
            <w:tcBorders>
              <w:left w:val="nil"/>
              <w:bottom w:val="single" w:sz="12" w:space="0" w:color="auto"/>
            </w:tcBorders>
            <w:vAlign w:val="bottom"/>
          </w:tcPr>
          <w:p w14:paraId="4D7DA555" w14:textId="0BD94FEA" w:rsidR="00385FE5" w:rsidRPr="009858B0" w:rsidRDefault="00385FE5" w:rsidP="00385FE5">
            <w:pPr>
              <w:spacing w:after="0" w:line="240" w:lineRule="auto"/>
              <w:ind w:right="173"/>
              <w:jc w:val="right"/>
              <w:rPr>
                <w:rFonts w:ascii="Arial" w:hAnsi="Arial" w:cs="Arial"/>
                <w:szCs w:val="20"/>
              </w:rPr>
            </w:pPr>
            <w:r w:rsidRPr="009858B0">
              <w:rPr>
                <w:rFonts w:ascii="Arial" w:hAnsi="Arial" w:cs="Arial"/>
                <w:szCs w:val="20"/>
              </w:rPr>
              <w:t>–</w:t>
            </w:r>
          </w:p>
        </w:tc>
        <w:tc>
          <w:tcPr>
            <w:tcW w:w="1701" w:type="dxa"/>
            <w:tcBorders>
              <w:left w:val="nil"/>
              <w:bottom w:val="single" w:sz="12" w:space="0" w:color="auto"/>
              <w:right w:val="nil"/>
            </w:tcBorders>
            <w:vAlign w:val="bottom"/>
          </w:tcPr>
          <w:p w14:paraId="25A49026" w14:textId="18FA24D6" w:rsidR="00385FE5" w:rsidRPr="009858B0" w:rsidRDefault="006C2D6B" w:rsidP="00385FE5">
            <w:pPr>
              <w:spacing w:after="0" w:line="240" w:lineRule="auto"/>
              <w:ind w:right="173"/>
              <w:jc w:val="right"/>
              <w:rPr>
                <w:rFonts w:ascii="Arial" w:hAnsi="Arial" w:cs="Arial"/>
                <w:szCs w:val="20"/>
              </w:rPr>
            </w:pPr>
            <w:r w:rsidRPr="009858B0">
              <w:rPr>
                <w:rFonts w:ascii="Arial" w:hAnsi="Arial" w:cs="Arial"/>
                <w:szCs w:val="20"/>
              </w:rPr>
              <w:t>–</w:t>
            </w:r>
          </w:p>
        </w:tc>
        <w:tc>
          <w:tcPr>
            <w:tcW w:w="1559" w:type="dxa"/>
            <w:tcBorders>
              <w:left w:val="nil"/>
              <w:bottom w:val="single" w:sz="12" w:space="0" w:color="auto"/>
              <w:right w:val="nil"/>
            </w:tcBorders>
            <w:vAlign w:val="bottom"/>
          </w:tcPr>
          <w:p w14:paraId="353AD3ED" w14:textId="7495F58F" w:rsidR="00385FE5" w:rsidRPr="009858B0" w:rsidRDefault="0018207D" w:rsidP="00385FE5">
            <w:pPr>
              <w:spacing w:after="0" w:line="240" w:lineRule="auto"/>
              <w:ind w:right="173"/>
              <w:jc w:val="right"/>
              <w:rPr>
                <w:rFonts w:ascii="Arial" w:hAnsi="Arial" w:cs="Arial"/>
                <w:szCs w:val="20"/>
              </w:rPr>
            </w:pPr>
            <w:r>
              <w:rPr>
                <w:rFonts w:ascii="Arial" w:hAnsi="Arial" w:cs="Arial"/>
              </w:rPr>
              <w:t>247,305</w:t>
            </w:r>
          </w:p>
        </w:tc>
      </w:tr>
      <w:tr w:rsidR="00385FE5" w:rsidRPr="009858B0" w14:paraId="6C278D65" w14:textId="77777777" w:rsidTr="00385FE5">
        <w:trPr>
          <w:trHeight w:hRule="exact" w:val="86"/>
        </w:trPr>
        <w:tc>
          <w:tcPr>
            <w:tcW w:w="4050" w:type="dxa"/>
            <w:tcBorders>
              <w:top w:val="single" w:sz="12" w:space="0" w:color="auto"/>
              <w:left w:val="nil"/>
            </w:tcBorders>
            <w:vAlign w:val="bottom"/>
          </w:tcPr>
          <w:p w14:paraId="4FFA37B0" w14:textId="77777777" w:rsidR="00385FE5" w:rsidRPr="009858B0" w:rsidRDefault="00385FE5" w:rsidP="00385FE5">
            <w:pPr>
              <w:spacing w:after="0" w:line="240" w:lineRule="auto"/>
              <w:rPr>
                <w:rFonts w:ascii="Arial" w:hAnsi="Arial" w:cs="Arial"/>
                <w:szCs w:val="20"/>
              </w:rPr>
            </w:pPr>
          </w:p>
        </w:tc>
        <w:tc>
          <w:tcPr>
            <w:tcW w:w="1701" w:type="dxa"/>
            <w:tcBorders>
              <w:top w:val="single" w:sz="12" w:space="0" w:color="auto"/>
              <w:left w:val="nil"/>
            </w:tcBorders>
            <w:vAlign w:val="bottom"/>
          </w:tcPr>
          <w:p w14:paraId="73B120B7" w14:textId="77777777" w:rsidR="00385FE5" w:rsidRPr="009858B0" w:rsidRDefault="00385FE5" w:rsidP="00385FE5">
            <w:pPr>
              <w:spacing w:after="0" w:line="240" w:lineRule="auto"/>
              <w:ind w:right="173"/>
              <w:jc w:val="right"/>
              <w:rPr>
                <w:rFonts w:ascii="Arial" w:hAnsi="Arial" w:cs="Arial"/>
                <w:szCs w:val="20"/>
              </w:rPr>
            </w:pPr>
          </w:p>
        </w:tc>
        <w:tc>
          <w:tcPr>
            <w:tcW w:w="1701" w:type="dxa"/>
            <w:tcBorders>
              <w:top w:val="single" w:sz="12" w:space="0" w:color="auto"/>
              <w:left w:val="nil"/>
              <w:right w:val="nil"/>
            </w:tcBorders>
            <w:vAlign w:val="bottom"/>
          </w:tcPr>
          <w:p w14:paraId="4D3728F0" w14:textId="683C7DC0" w:rsidR="00385FE5" w:rsidRPr="009858B0" w:rsidRDefault="00385FE5" w:rsidP="00385FE5">
            <w:pPr>
              <w:spacing w:after="0" w:line="240" w:lineRule="auto"/>
              <w:ind w:right="173"/>
              <w:jc w:val="right"/>
              <w:rPr>
                <w:rFonts w:ascii="Arial" w:hAnsi="Arial" w:cs="Arial"/>
                <w:szCs w:val="20"/>
              </w:rPr>
            </w:pPr>
          </w:p>
        </w:tc>
        <w:tc>
          <w:tcPr>
            <w:tcW w:w="1559" w:type="dxa"/>
            <w:tcBorders>
              <w:top w:val="single" w:sz="12" w:space="0" w:color="auto"/>
              <w:left w:val="nil"/>
              <w:right w:val="nil"/>
            </w:tcBorders>
            <w:vAlign w:val="bottom"/>
          </w:tcPr>
          <w:p w14:paraId="582A5C66" w14:textId="77777777" w:rsidR="00385FE5" w:rsidRPr="009858B0" w:rsidRDefault="00385FE5" w:rsidP="00385FE5">
            <w:pPr>
              <w:spacing w:after="0" w:line="240" w:lineRule="auto"/>
              <w:ind w:right="173"/>
              <w:jc w:val="right"/>
              <w:rPr>
                <w:rFonts w:ascii="Arial" w:hAnsi="Arial" w:cs="Arial"/>
                <w:szCs w:val="20"/>
              </w:rPr>
            </w:pPr>
          </w:p>
        </w:tc>
      </w:tr>
    </w:tbl>
    <w:p w14:paraId="44683B73" w14:textId="0B6926F3" w:rsidR="009858B0" w:rsidRDefault="009858B0" w:rsidP="00F15B99">
      <w:pPr>
        <w:tabs>
          <w:tab w:val="left" w:pos="450"/>
        </w:tabs>
        <w:spacing w:after="0" w:line="240" w:lineRule="auto"/>
        <w:ind w:left="446"/>
        <w:jc w:val="both"/>
        <w:rPr>
          <w:rFonts w:ascii="Arial" w:hAnsi="Arial" w:cs="Arial"/>
          <w:b/>
          <w:szCs w:val="20"/>
        </w:rPr>
      </w:pPr>
    </w:p>
    <w:p w14:paraId="5C07E9E1" w14:textId="36A44005" w:rsidR="00CB18AA" w:rsidRDefault="00CB18AA" w:rsidP="00F15B99">
      <w:pPr>
        <w:tabs>
          <w:tab w:val="left" w:pos="450"/>
        </w:tabs>
        <w:spacing w:after="0" w:line="240" w:lineRule="auto"/>
        <w:ind w:left="446"/>
        <w:jc w:val="both"/>
        <w:rPr>
          <w:rFonts w:ascii="Arial" w:hAnsi="Arial" w:cs="Arial"/>
          <w:b/>
          <w:szCs w:val="20"/>
        </w:rPr>
      </w:pPr>
    </w:p>
    <w:p w14:paraId="4DB3AE87" w14:textId="77777777" w:rsidR="00CB18AA" w:rsidRDefault="00CB18AA">
      <w:pPr>
        <w:rPr>
          <w:rFonts w:ascii="Arial" w:hAnsi="Arial" w:cs="Arial"/>
          <w:b/>
          <w:szCs w:val="20"/>
        </w:rPr>
      </w:pPr>
      <w:r>
        <w:rPr>
          <w:rFonts w:ascii="Arial" w:hAnsi="Arial" w:cs="Arial"/>
          <w:b/>
          <w:szCs w:val="20"/>
        </w:rPr>
        <w:br w:type="page"/>
      </w:r>
    </w:p>
    <w:p w14:paraId="5C22C94D" w14:textId="0BF83FC9" w:rsidR="00CB18AA" w:rsidRPr="00CB18AA" w:rsidRDefault="00CB18AA" w:rsidP="00CB18AA">
      <w:pPr>
        <w:pStyle w:val="ListParagraph"/>
        <w:tabs>
          <w:tab w:val="left" w:pos="450"/>
        </w:tabs>
        <w:spacing w:after="0" w:line="240" w:lineRule="auto"/>
        <w:ind w:left="0"/>
        <w:jc w:val="both"/>
        <w:rPr>
          <w:rFonts w:ascii="Arial" w:hAnsi="Arial" w:cs="Arial"/>
          <w:bCs/>
          <w:szCs w:val="20"/>
        </w:rPr>
      </w:pPr>
      <w:r>
        <w:rPr>
          <w:rFonts w:ascii="Arial" w:hAnsi="Arial" w:cs="Arial"/>
          <w:b/>
          <w:szCs w:val="20"/>
        </w:rPr>
        <w:lastRenderedPageBreak/>
        <w:t>11</w:t>
      </w:r>
      <w:r w:rsidRPr="00E65D25">
        <w:rPr>
          <w:rFonts w:ascii="Arial" w:hAnsi="Arial" w:cs="Arial"/>
          <w:b/>
          <w:szCs w:val="20"/>
        </w:rPr>
        <w:t>.</w:t>
      </w:r>
      <w:r w:rsidRPr="00E65D25">
        <w:rPr>
          <w:rFonts w:ascii="Arial" w:hAnsi="Arial" w:cs="Arial"/>
          <w:b/>
          <w:szCs w:val="20"/>
        </w:rPr>
        <w:tab/>
        <w:t>Promissory Note</w:t>
      </w:r>
      <w:r>
        <w:rPr>
          <w:rFonts w:ascii="Arial" w:hAnsi="Arial" w:cs="Arial"/>
          <w:b/>
          <w:szCs w:val="20"/>
        </w:rPr>
        <w:t xml:space="preserve"> </w:t>
      </w:r>
      <w:r>
        <w:rPr>
          <w:rFonts w:ascii="Arial" w:hAnsi="Arial" w:cs="Arial"/>
          <w:bCs/>
          <w:szCs w:val="20"/>
        </w:rPr>
        <w:t>(continued)</w:t>
      </w:r>
    </w:p>
    <w:p w14:paraId="5638CD24" w14:textId="77777777" w:rsidR="00CB18AA" w:rsidRPr="009858B0" w:rsidRDefault="00CB18AA" w:rsidP="00F15B99">
      <w:pPr>
        <w:tabs>
          <w:tab w:val="left" w:pos="450"/>
        </w:tabs>
        <w:spacing w:after="0" w:line="240" w:lineRule="auto"/>
        <w:ind w:left="446"/>
        <w:jc w:val="both"/>
        <w:rPr>
          <w:rFonts w:ascii="Arial" w:hAnsi="Arial" w:cs="Arial"/>
          <w:b/>
          <w:szCs w:val="20"/>
        </w:rPr>
      </w:pPr>
    </w:p>
    <w:p w14:paraId="6DBD8A02" w14:textId="1ED61A86" w:rsidR="009858B0" w:rsidRPr="009858B0" w:rsidRDefault="009858B0" w:rsidP="00F15B99">
      <w:pPr>
        <w:tabs>
          <w:tab w:val="left" w:pos="450"/>
          <w:tab w:val="left" w:pos="810"/>
        </w:tabs>
        <w:spacing w:after="0" w:line="240" w:lineRule="auto"/>
        <w:ind w:left="446"/>
        <w:jc w:val="both"/>
        <w:rPr>
          <w:rFonts w:ascii="Arial" w:hAnsi="Arial" w:cs="Arial"/>
          <w:szCs w:val="20"/>
          <w:lang w:val="en-CA"/>
        </w:rPr>
      </w:pPr>
      <w:r w:rsidRPr="009858B0">
        <w:rPr>
          <w:rFonts w:ascii="Arial" w:hAnsi="Arial" w:cs="Arial"/>
          <w:szCs w:val="20"/>
          <w:lang w:val="en-CA"/>
        </w:rPr>
        <w:t xml:space="preserve">(a) </w:t>
      </w:r>
      <w:r w:rsidRPr="009858B0">
        <w:rPr>
          <w:rFonts w:ascii="Arial" w:hAnsi="Arial" w:cs="Arial"/>
          <w:szCs w:val="20"/>
          <w:lang w:val="en-CA"/>
        </w:rPr>
        <w:tab/>
      </w:r>
      <w:r w:rsidRPr="00B17EAF">
        <w:rPr>
          <w:rFonts w:ascii="Arial" w:hAnsi="Arial" w:cs="Arial"/>
          <w:szCs w:val="20"/>
          <w:lang w:val="en-CA"/>
        </w:rPr>
        <w:t>Promissory Note – Former Chief Executive Officer</w:t>
      </w:r>
    </w:p>
    <w:p w14:paraId="14EA3A93" w14:textId="77777777" w:rsidR="000E4AC4" w:rsidRDefault="000E4AC4" w:rsidP="00F15B99">
      <w:pPr>
        <w:spacing w:after="0" w:line="240" w:lineRule="auto"/>
        <w:ind w:left="810"/>
        <w:jc w:val="both"/>
        <w:rPr>
          <w:rFonts w:ascii="Arial" w:hAnsi="Arial" w:cs="Arial"/>
          <w:szCs w:val="20"/>
          <w:lang w:val="en-CA"/>
        </w:rPr>
      </w:pPr>
    </w:p>
    <w:p w14:paraId="7BD24C2A" w14:textId="63F450F1" w:rsidR="00787613" w:rsidRDefault="00787613" w:rsidP="005639E1">
      <w:pPr>
        <w:spacing w:after="0" w:line="240" w:lineRule="auto"/>
        <w:ind w:left="806"/>
        <w:jc w:val="both"/>
        <w:rPr>
          <w:rFonts w:ascii="Arial" w:eastAsia="Times New Roman" w:hAnsi="Arial" w:cs="Arial"/>
          <w:bCs/>
          <w:szCs w:val="20"/>
        </w:rPr>
      </w:pPr>
      <w:r w:rsidRPr="00BA56F7">
        <w:rPr>
          <w:rFonts w:ascii="Arial" w:eastAsia="Times New Roman" w:hAnsi="Arial" w:cs="Arial"/>
          <w:bCs/>
          <w:szCs w:val="20"/>
        </w:rPr>
        <w:t xml:space="preserve">On September 11, 2017, the Company completed an exchange agreement whereby the Company exchanged with its past Chief Executive Officer 100% of its </w:t>
      </w:r>
      <w:r w:rsidR="00315B0D">
        <w:rPr>
          <w:rFonts w:ascii="Arial" w:eastAsia="Times New Roman" w:hAnsi="Arial" w:cs="Arial"/>
          <w:bCs/>
          <w:szCs w:val="20"/>
        </w:rPr>
        <w:t>common shares</w:t>
      </w:r>
      <w:r w:rsidRPr="00BA56F7">
        <w:rPr>
          <w:rFonts w:ascii="Arial" w:eastAsia="Times New Roman" w:hAnsi="Arial" w:cs="Arial"/>
          <w:bCs/>
          <w:szCs w:val="20"/>
        </w:rPr>
        <w:t xml:space="preserve"> of its wholly-owned subsidiary, IndUS Pharmaceuticals, Inc. (“IndUS”), for 3,800,000 </w:t>
      </w:r>
      <w:r w:rsidR="00315B0D">
        <w:rPr>
          <w:rFonts w:ascii="Arial" w:eastAsia="Times New Roman" w:hAnsi="Arial" w:cs="Arial"/>
          <w:bCs/>
          <w:szCs w:val="20"/>
        </w:rPr>
        <w:t>common shares</w:t>
      </w:r>
      <w:r w:rsidRPr="00BA56F7">
        <w:rPr>
          <w:rFonts w:ascii="Arial" w:eastAsia="Times New Roman" w:hAnsi="Arial" w:cs="Arial"/>
          <w:bCs/>
          <w:szCs w:val="20"/>
        </w:rPr>
        <w:t xml:space="preserve"> of the Company</w:t>
      </w:r>
      <w:r w:rsidR="00315B0D">
        <w:rPr>
          <w:rFonts w:ascii="Arial" w:eastAsia="Times New Roman" w:hAnsi="Arial" w:cs="Arial"/>
          <w:bCs/>
          <w:szCs w:val="20"/>
        </w:rPr>
        <w:t>.</w:t>
      </w:r>
      <w:r w:rsidRPr="005778E8">
        <w:rPr>
          <w:rFonts w:ascii="Arial" w:eastAsia="Times New Roman" w:hAnsi="Arial" w:cs="Arial"/>
          <w:bCs/>
          <w:szCs w:val="20"/>
        </w:rPr>
        <w:t xml:space="preserve">  Pursuant to the exchange agreement, the Company provided its former Chief Executive Officer a promissory note in the</w:t>
      </w:r>
      <w:r w:rsidRPr="00BA56F7">
        <w:rPr>
          <w:rFonts w:ascii="Arial" w:eastAsia="Times New Roman" w:hAnsi="Arial" w:cs="Arial"/>
          <w:bCs/>
          <w:szCs w:val="20"/>
        </w:rPr>
        <w:t xml:space="preserve"> amount of </w:t>
      </w:r>
      <w:r>
        <w:rPr>
          <w:rFonts w:ascii="Arial" w:eastAsia="Times New Roman" w:hAnsi="Arial" w:cs="Arial"/>
          <w:bCs/>
          <w:szCs w:val="20"/>
        </w:rPr>
        <w:t>$242,560 (US</w:t>
      </w:r>
      <w:r w:rsidRPr="00BA56F7">
        <w:rPr>
          <w:rFonts w:ascii="Arial" w:eastAsia="Times New Roman" w:hAnsi="Arial" w:cs="Arial"/>
          <w:bCs/>
          <w:szCs w:val="20"/>
        </w:rPr>
        <w:t>$200,000</w:t>
      </w:r>
      <w:r>
        <w:rPr>
          <w:rFonts w:ascii="Arial" w:eastAsia="Times New Roman" w:hAnsi="Arial" w:cs="Arial"/>
          <w:bCs/>
          <w:szCs w:val="20"/>
        </w:rPr>
        <w:t>)</w:t>
      </w:r>
      <w:r w:rsidRPr="00BA56F7">
        <w:rPr>
          <w:rFonts w:ascii="Arial" w:eastAsia="Times New Roman" w:hAnsi="Arial" w:cs="Arial"/>
          <w:bCs/>
          <w:szCs w:val="20"/>
        </w:rPr>
        <w:t xml:space="preserve"> in discharge of all obligations with respect to </w:t>
      </w:r>
      <w:r w:rsidR="00BA76C2">
        <w:rPr>
          <w:rFonts w:ascii="Arial" w:eastAsia="Times New Roman" w:hAnsi="Arial" w:cs="Arial"/>
          <w:bCs/>
          <w:szCs w:val="20"/>
        </w:rPr>
        <w:t>the former Chief Executive Officer’s</w:t>
      </w:r>
      <w:r w:rsidRPr="00BA56F7">
        <w:rPr>
          <w:rFonts w:ascii="Arial" w:eastAsia="Times New Roman" w:hAnsi="Arial" w:cs="Arial"/>
          <w:bCs/>
          <w:szCs w:val="20"/>
        </w:rPr>
        <w:t xml:space="preserve"> accrued salary totaling </w:t>
      </w:r>
      <w:r>
        <w:rPr>
          <w:rFonts w:ascii="Arial" w:eastAsia="Times New Roman" w:hAnsi="Arial" w:cs="Arial"/>
          <w:bCs/>
          <w:szCs w:val="20"/>
        </w:rPr>
        <w:t xml:space="preserve">$324,141 </w:t>
      </w:r>
      <w:r w:rsidRPr="00BA56F7">
        <w:rPr>
          <w:rFonts w:ascii="Arial" w:eastAsia="Times New Roman" w:hAnsi="Arial" w:cs="Arial"/>
          <w:bCs/>
          <w:szCs w:val="20"/>
        </w:rPr>
        <w:t>through September 11, 2017</w:t>
      </w:r>
      <w:r>
        <w:rPr>
          <w:rFonts w:ascii="Arial" w:eastAsia="Times New Roman" w:hAnsi="Arial" w:cs="Arial"/>
          <w:bCs/>
          <w:szCs w:val="20"/>
        </w:rPr>
        <w:t xml:space="preserve">.  </w:t>
      </w:r>
      <w:r>
        <w:rPr>
          <w:rFonts w:ascii="Arial" w:hAnsi="Arial" w:cs="Arial"/>
          <w:szCs w:val="20"/>
          <w:lang w:val="en-CA"/>
        </w:rPr>
        <w:t xml:space="preserve">  </w:t>
      </w:r>
    </w:p>
    <w:p w14:paraId="7CC3EC71" w14:textId="77777777" w:rsidR="00787613" w:rsidRDefault="00787613" w:rsidP="005639E1">
      <w:pPr>
        <w:spacing w:after="0" w:line="240" w:lineRule="auto"/>
        <w:ind w:left="806"/>
        <w:jc w:val="both"/>
        <w:rPr>
          <w:rFonts w:ascii="Arial" w:hAnsi="Arial" w:cs="Arial"/>
          <w:szCs w:val="20"/>
          <w:lang w:val="en-CA"/>
        </w:rPr>
      </w:pPr>
    </w:p>
    <w:p w14:paraId="1B6469C3" w14:textId="06CF74F7" w:rsidR="009858B0" w:rsidRDefault="000E4AC4" w:rsidP="005639E1">
      <w:pPr>
        <w:spacing w:after="0" w:line="240" w:lineRule="auto"/>
        <w:ind w:left="806"/>
        <w:jc w:val="both"/>
        <w:rPr>
          <w:rFonts w:ascii="Arial" w:hAnsi="Arial" w:cs="Arial"/>
          <w:szCs w:val="20"/>
          <w:lang w:val="en-CA"/>
        </w:rPr>
      </w:pPr>
      <w:r>
        <w:rPr>
          <w:rFonts w:ascii="Arial" w:hAnsi="Arial" w:cs="Arial"/>
          <w:szCs w:val="20"/>
          <w:lang w:val="en-CA"/>
        </w:rPr>
        <w:t>The p</w:t>
      </w:r>
      <w:r w:rsidR="009858B0" w:rsidRPr="009858B0">
        <w:rPr>
          <w:rFonts w:ascii="Arial" w:hAnsi="Arial" w:cs="Arial"/>
          <w:szCs w:val="20"/>
          <w:lang w:val="en-CA"/>
        </w:rPr>
        <w:t xml:space="preserve">romissory note </w:t>
      </w:r>
      <w:r w:rsidR="00690095">
        <w:rPr>
          <w:rFonts w:ascii="Arial" w:hAnsi="Arial" w:cs="Arial"/>
          <w:szCs w:val="20"/>
          <w:lang w:val="en-CA"/>
        </w:rPr>
        <w:t>bore</w:t>
      </w:r>
      <w:r w:rsidR="009858B0" w:rsidRPr="009858B0">
        <w:rPr>
          <w:rFonts w:ascii="Arial" w:hAnsi="Arial" w:cs="Arial"/>
          <w:szCs w:val="20"/>
          <w:lang w:val="en-CA"/>
        </w:rPr>
        <w:t xml:space="preserve"> interest at 8% per annum.  Principal and accrued interest </w:t>
      </w:r>
      <w:r w:rsidR="00690095">
        <w:rPr>
          <w:rFonts w:ascii="Arial" w:hAnsi="Arial" w:cs="Arial"/>
          <w:szCs w:val="20"/>
          <w:lang w:val="en-CA"/>
        </w:rPr>
        <w:t>were</w:t>
      </w:r>
      <w:r w:rsidR="009858B0" w:rsidRPr="009858B0">
        <w:rPr>
          <w:rFonts w:ascii="Arial" w:hAnsi="Arial" w:cs="Arial"/>
          <w:szCs w:val="20"/>
          <w:lang w:val="en-CA"/>
        </w:rPr>
        <w:t xml:space="preserve"> due on the earlier of: 1) 30 days after the completion of a financing of at least $2,000,</w:t>
      </w:r>
      <w:r w:rsidR="00E3748C">
        <w:rPr>
          <w:rFonts w:ascii="Arial" w:hAnsi="Arial" w:cs="Arial"/>
          <w:szCs w:val="20"/>
          <w:lang w:val="en-CA"/>
        </w:rPr>
        <w:t>000 and (ii) September 10, 2027, provided that if repayment occurs prior to the second anniversary date, all interest will be waived.</w:t>
      </w:r>
      <w:r w:rsidR="009858B0">
        <w:rPr>
          <w:rFonts w:ascii="Arial" w:hAnsi="Arial" w:cs="Arial"/>
          <w:szCs w:val="20"/>
          <w:lang w:val="en-CA"/>
        </w:rPr>
        <w:t xml:space="preserve">  On </w:t>
      </w:r>
      <w:r w:rsidR="00BA76C2">
        <w:rPr>
          <w:rFonts w:ascii="Arial" w:hAnsi="Arial" w:cs="Arial"/>
          <w:szCs w:val="20"/>
          <w:lang w:val="en-CA"/>
        </w:rPr>
        <w:t>March 2</w:t>
      </w:r>
      <w:r w:rsidR="009858B0">
        <w:rPr>
          <w:rFonts w:ascii="Arial" w:hAnsi="Arial" w:cs="Arial"/>
          <w:szCs w:val="20"/>
          <w:lang w:val="en-CA"/>
        </w:rPr>
        <w:t xml:space="preserve">, 2018, </w:t>
      </w:r>
      <w:r w:rsidR="009858B0" w:rsidRPr="009858B0">
        <w:rPr>
          <w:rFonts w:ascii="Arial" w:hAnsi="Arial" w:cs="Arial"/>
          <w:szCs w:val="20"/>
          <w:lang w:val="en-CA"/>
        </w:rPr>
        <w:t>the Company issued senior s</w:t>
      </w:r>
      <w:r w:rsidR="009858B0">
        <w:rPr>
          <w:rFonts w:ascii="Arial" w:hAnsi="Arial" w:cs="Arial"/>
          <w:szCs w:val="20"/>
          <w:lang w:val="en-CA"/>
        </w:rPr>
        <w:t xml:space="preserve">ecured convertible debentures </w:t>
      </w:r>
      <w:r w:rsidR="009858B0" w:rsidRPr="009858B0">
        <w:rPr>
          <w:rFonts w:ascii="Arial" w:hAnsi="Arial" w:cs="Arial"/>
          <w:szCs w:val="20"/>
          <w:lang w:val="en-CA"/>
        </w:rPr>
        <w:t>for g</w:t>
      </w:r>
      <w:r w:rsidR="009858B0">
        <w:rPr>
          <w:rFonts w:ascii="Arial" w:hAnsi="Arial" w:cs="Arial"/>
          <w:szCs w:val="20"/>
          <w:lang w:val="en-CA"/>
        </w:rPr>
        <w:t xml:space="preserve">ross proceeds of $5,000,000 </w:t>
      </w:r>
      <w:r w:rsidR="00E3748C">
        <w:rPr>
          <w:rFonts w:ascii="Arial" w:hAnsi="Arial" w:cs="Arial"/>
          <w:szCs w:val="20"/>
          <w:lang w:val="en-CA"/>
        </w:rPr>
        <w:t xml:space="preserve">(Note </w:t>
      </w:r>
      <w:r w:rsidR="00CB18AA">
        <w:rPr>
          <w:rFonts w:ascii="Arial" w:hAnsi="Arial" w:cs="Arial"/>
          <w:szCs w:val="20"/>
          <w:lang w:val="en-CA"/>
        </w:rPr>
        <w:t>10</w:t>
      </w:r>
      <w:r w:rsidR="00E3748C">
        <w:rPr>
          <w:rFonts w:ascii="Arial" w:hAnsi="Arial" w:cs="Arial"/>
          <w:szCs w:val="20"/>
          <w:lang w:val="en-CA"/>
        </w:rPr>
        <w:t>)</w:t>
      </w:r>
      <w:r w:rsidR="009858B0">
        <w:rPr>
          <w:rFonts w:ascii="Arial" w:hAnsi="Arial" w:cs="Arial"/>
          <w:szCs w:val="20"/>
          <w:lang w:val="en-CA"/>
        </w:rPr>
        <w:t xml:space="preserve">.  Accordingly, </w:t>
      </w:r>
      <w:r w:rsidR="00E3748C">
        <w:rPr>
          <w:rFonts w:ascii="Arial" w:hAnsi="Arial" w:cs="Arial"/>
          <w:szCs w:val="20"/>
          <w:lang w:val="en-CA"/>
        </w:rPr>
        <w:t xml:space="preserve">accrued interest being waived, </w:t>
      </w:r>
      <w:r w:rsidR="009858B0">
        <w:rPr>
          <w:rFonts w:ascii="Arial" w:hAnsi="Arial" w:cs="Arial"/>
          <w:szCs w:val="20"/>
          <w:lang w:val="en-CA"/>
        </w:rPr>
        <w:t xml:space="preserve">principal was due </w:t>
      </w:r>
      <w:r w:rsidR="00E3748C">
        <w:rPr>
          <w:rFonts w:ascii="Arial" w:hAnsi="Arial" w:cs="Arial"/>
          <w:szCs w:val="20"/>
          <w:lang w:val="en-CA"/>
        </w:rPr>
        <w:t xml:space="preserve">and repaid </w:t>
      </w:r>
      <w:r w:rsidR="009858B0">
        <w:rPr>
          <w:rFonts w:ascii="Arial" w:hAnsi="Arial" w:cs="Arial"/>
          <w:szCs w:val="20"/>
          <w:lang w:val="en-CA"/>
        </w:rPr>
        <w:t xml:space="preserve">on March 30, 2018.  </w:t>
      </w:r>
    </w:p>
    <w:p w14:paraId="78D5C7EE" w14:textId="77777777" w:rsidR="000E4AC4" w:rsidRPr="009858B0" w:rsidRDefault="000E4AC4" w:rsidP="00F15B99">
      <w:pPr>
        <w:spacing w:after="0" w:line="240" w:lineRule="auto"/>
        <w:ind w:left="810"/>
        <w:jc w:val="both"/>
        <w:rPr>
          <w:rFonts w:ascii="Arial" w:hAnsi="Arial" w:cs="Arial"/>
          <w:b/>
          <w:szCs w:val="20"/>
        </w:rPr>
      </w:pPr>
    </w:p>
    <w:p w14:paraId="69E8F2B2" w14:textId="0A80505E" w:rsidR="000E4AC4" w:rsidRPr="009858B0" w:rsidRDefault="000E4AC4" w:rsidP="000E4AC4">
      <w:pPr>
        <w:tabs>
          <w:tab w:val="left" w:pos="450"/>
          <w:tab w:val="left" w:pos="810"/>
        </w:tabs>
        <w:spacing w:after="0" w:line="240" w:lineRule="auto"/>
        <w:ind w:left="446"/>
        <w:jc w:val="both"/>
        <w:rPr>
          <w:rFonts w:ascii="Arial" w:hAnsi="Arial" w:cs="Arial"/>
          <w:szCs w:val="20"/>
          <w:lang w:val="en-CA"/>
        </w:rPr>
      </w:pPr>
      <w:r>
        <w:rPr>
          <w:rFonts w:ascii="Arial" w:hAnsi="Arial" w:cs="Arial"/>
          <w:szCs w:val="20"/>
          <w:lang w:val="en-CA"/>
        </w:rPr>
        <w:t>(</w:t>
      </w:r>
      <w:r w:rsidR="00E65D25">
        <w:rPr>
          <w:rFonts w:ascii="Arial" w:hAnsi="Arial" w:cs="Arial"/>
          <w:szCs w:val="20"/>
          <w:lang w:val="en-CA"/>
        </w:rPr>
        <w:t>b</w:t>
      </w:r>
      <w:r w:rsidRPr="009858B0">
        <w:rPr>
          <w:rFonts w:ascii="Arial" w:hAnsi="Arial" w:cs="Arial"/>
          <w:szCs w:val="20"/>
          <w:lang w:val="en-CA"/>
        </w:rPr>
        <w:t xml:space="preserve">) </w:t>
      </w:r>
      <w:r w:rsidRPr="009858B0">
        <w:rPr>
          <w:rFonts w:ascii="Arial" w:hAnsi="Arial" w:cs="Arial"/>
          <w:szCs w:val="20"/>
          <w:lang w:val="en-CA"/>
        </w:rPr>
        <w:tab/>
        <w:t xml:space="preserve">Promissory Note – </w:t>
      </w:r>
      <w:r>
        <w:rPr>
          <w:rFonts w:ascii="Arial" w:hAnsi="Arial" w:cs="Arial"/>
          <w:szCs w:val="20"/>
          <w:lang w:val="en-CA"/>
        </w:rPr>
        <w:t>Altum Pharmaceuticals Inc. (“Altum”)</w:t>
      </w:r>
    </w:p>
    <w:p w14:paraId="28B3832A" w14:textId="77777777" w:rsidR="000E4AC4" w:rsidRDefault="000E4AC4" w:rsidP="000E4AC4">
      <w:pPr>
        <w:tabs>
          <w:tab w:val="left" w:pos="450"/>
        </w:tabs>
        <w:spacing w:after="0" w:line="240" w:lineRule="auto"/>
        <w:ind w:left="810"/>
        <w:jc w:val="both"/>
        <w:rPr>
          <w:rFonts w:ascii="Arial" w:hAnsi="Arial" w:cs="Arial"/>
          <w:szCs w:val="20"/>
          <w:lang w:val="en-CA"/>
        </w:rPr>
      </w:pPr>
    </w:p>
    <w:p w14:paraId="2E329107" w14:textId="2674A0BE" w:rsidR="00E3748C" w:rsidRDefault="000E4AC4" w:rsidP="000E4AC4">
      <w:pPr>
        <w:tabs>
          <w:tab w:val="left" w:pos="450"/>
        </w:tabs>
        <w:spacing w:after="0" w:line="240" w:lineRule="auto"/>
        <w:ind w:left="810"/>
        <w:jc w:val="both"/>
        <w:rPr>
          <w:rFonts w:ascii="Arial" w:hAnsi="Arial" w:cs="Arial"/>
          <w:b/>
          <w:bCs/>
          <w:szCs w:val="20"/>
        </w:rPr>
      </w:pPr>
      <w:r w:rsidRPr="000E4AC4">
        <w:rPr>
          <w:rFonts w:ascii="Arial" w:hAnsi="Arial" w:cs="Arial"/>
          <w:szCs w:val="20"/>
          <w:lang w:val="en-CA"/>
        </w:rPr>
        <w:t>On February 16, 2018, the Company issued a promissory note of up to $560,000, bearing interest at 10% per annum to Altum and maturing on May 15, 2018.  On February 19 and March 1, 2018, $250,000 and $252,464 were advanced to the Company.  On March 2, 2018, the Company repaid the principal amount and accrued interest on the note totaling $503,285</w:t>
      </w:r>
      <w:r>
        <w:rPr>
          <w:rFonts w:ascii="Arial" w:hAnsi="Arial" w:cs="Arial"/>
          <w:szCs w:val="20"/>
          <w:lang w:val="en-CA"/>
        </w:rPr>
        <w:t>.</w:t>
      </w:r>
      <w:r>
        <w:rPr>
          <w:rFonts w:ascii="Arial" w:hAnsi="Arial" w:cs="Arial"/>
          <w:b/>
          <w:bCs/>
          <w:szCs w:val="20"/>
        </w:rPr>
        <w:t xml:space="preserve"> </w:t>
      </w:r>
    </w:p>
    <w:p w14:paraId="66F27A15" w14:textId="77777777" w:rsidR="001D529F" w:rsidRDefault="001D529F" w:rsidP="00F15B99">
      <w:pPr>
        <w:tabs>
          <w:tab w:val="left" w:pos="432"/>
        </w:tabs>
        <w:spacing w:after="0" w:line="240" w:lineRule="auto"/>
        <w:jc w:val="both"/>
        <w:rPr>
          <w:rFonts w:ascii="Arial" w:hAnsi="Arial" w:cs="Arial"/>
          <w:b/>
          <w:bCs/>
          <w:szCs w:val="20"/>
        </w:rPr>
      </w:pPr>
    </w:p>
    <w:p w14:paraId="335D54A3" w14:textId="5FADB6A7" w:rsidR="001B4793" w:rsidRDefault="001B4793" w:rsidP="001B4793">
      <w:pPr>
        <w:tabs>
          <w:tab w:val="left" w:pos="810"/>
        </w:tabs>
        <w:spacing w:after="0" w:line="240" w:lineRule="auto"/>
        <w:ind w:left="450"/>
        <w:jc w:val="both"/>
        <w:rPr>
          <w:rFonts w:ascii="Arial" w:hAnsi="Arial" w:cs="Arial"/>
          <w:bCs/>
          <w:szCs w:val="20"/>
        </w:rPr>
      </w:pPr>
      <w:r w:rsidRPr="001B4793">
        <w:rPr>
          <w:rFonts w:ascii="Arial" w:hAnsi="Arial" w:cs="Arial"/>
          <w:bCs/>
          <w:szCs w:val="20"/>
        </w:rPr>
        <w:t>(c)</w:t>
      </w:r>
      <w:r w:rsidRPr="001B4793">
        <w:rPr>
          <w:rFonts w:ascii="Arial" w:hAnsi="Arial" w:cs="Arial"/>
          <w:bCs/>
          <w:szCs w:val="20"/>
        </w:rPr>
        <w:tab/>
        <w:t>Promissory Note – Third Party</w:t>
      </w:r>
    </w:p>
    <w:p w14:paraId="2644FEA9" w14:textId="77777777" w:rsidR="001B4793" w:rsidRDefault="001B4793" w:rsidP="001B4793">
      <w:pPr>
        <w:tabs>
          <w:tab w:val="left" w:pos="810"/>
        </w:tabs>
        <w:spacing w:after="0" w:line="240" w:lineRule="auto"/>
        <w:ind w:left="450"/>
        <w:jc w:val="both"/>
        <w:rPr>
          <w:rFonts w:ascii="Arial" w:hAnsi="Arial" w:cs="Arial"/>
          <w:bCs/>
          <w:szCs w:val="20"/>
        </w:rPr>
      </w:pPr>
    </w:p>
    <w:p w14:paraId="12EB85A5" w14:textId="15E7BD7F" w:rsidR="001B4793" w:rsidRDefault="001B4793" w:rsidP="001B4793">
      <w:pPr>
        <w:tabs>
          <w:tab w:val="left" w:pos="810"/>
        </w:tabs>
        <w:spacing w:after="0" w:line="240" w:lineRule="auto"/>
        <w:ind w:left="810"/>
        <w:jc w:val="both"/>
        <w:rPr>
          <w:rFonts w:ascii="Arial" w:hAnsi="Arial" w:cs="Arial"/>
          <w:bCs/>
          <w:szCs w:val="20"/>
        </w:rPr>
      </w:pPr>
      <w:r w:rsidRPr="001B4793">
        <w:rPr>
          <w:rFonts w:ascii="Arial" w:hAnsi="Arial" w:cs="Arial"/>
          <w:bCs/>
          <w:szCs w:val="20"/>
        </w:rPr>
        <w:t xml:space="preserve">On March 5, 2019, the Company issued a promissory note of $300,000, bearing interest at 10% per annum and maturing on September 5, 2019.  Pursuant to the issuance of this promissory note, the Company issued 100,000 </w:t>
      </w:r>
      <w:r w:rsidR="00F07391">
        <w:rPr>
          <w:rFonts w:ascii="Arial" w:hAnsi="Arial" w:cs="Arial"/>
          <w:bCs/>
          <w:szCs w:val="20"/>
        </w:rPr>
        <w:t>common shares</w:t>
      </w:r>
      <w:r w:rsidRPr="001B4793">
        <w:rPr>
          <w:rFonts w:ascii="Arial" w:hAnsi="Arial" w:cs="Arial"/>
          <w:bCs/>
          <w:szCs w:val="20"/>
        </w:rPr>
        <w:t xml:space="preserve"> as a loan originat</w:t>
      </w:r>
      <w:r>
        <w:rPr>
          <w:rFonts w:ascii="Arial" w:hAnsi="Arial" w:cs="Arial"/>
          <w:bCs/>
          <w:szCs w:val="20"/>
        </w:rPr>
        <w:t>ion fee (Note 1</w:t>
      </w:r>
      <w:r w:rsidR="00CB18AA">
        <w:rPr>
          <w:rFonts w:ascii="Arial" w:hAnsi="Arial" w:cs="Arial"/>
          <w:bCs/>
          <w:szCs w:val="20"/>
        </w:rPr>
        <w:t>2</w:t>
      </w:r>
      <w:r w:rsidRPr="001B4793">
        <w:rPr>
          <w:rFonts w:ascii="Arial" w:hAnsi="Arial" w:cs="Arial"/>
          <w:bCs/>
          <w:szCs w:val="20"/>
        </w:rPr>
        <w:t xml:space="preserve">(a)) and incurred cash finders’ fee of $24,000. </w:t>
      </w:r>
    </w:p>
    <w:p w14:paraId="00C8BCE9" w14:textId="7072BA7B" w:rsidR="001B4793" w:rsidRPr="001B4793" w:rsidRDefault="001B4793" w:rsidP="001B4793">
      <w:pPr>
        <w:tabs>
          <w:tab w:val="left" w:pos="810"/>
        </w:tabs>
        <w:spacing w:after="0" w:line="240" w:lineRule="auto"/>
        <w:ind w:left="810"/>
        <w:jc w:val="both"/>
        <w:rPr>
          <w:rFonts w:ascii="Arial" w:hAnsi="Arial" w:cs="Arial"/>
          <w:bCs/>
          <w:szCs w:val="20"/>
        </w:rPr>
      </w:pPr>
      <w:r w:rsidRPr="001B4793">
        <w:rPr>
          <w:rFonts w:ascii="Arial" w:hAnsi="Arial" w:cs="Arial"/>
          <w:bCs/>
          <w:szCs w:val="20"/>
        </w:rPr>
        <w:t xml:space="preserve"> </w:t>
      </w:r>
    </w:p>
    <w:p w14:paraId="3003E999" w14:textId="348D9912" w:rsidR="001B4793" w:rsidRDefault="001B4793" w:rsidP="001B4793">
      <w:pPr>
        <w:tabs>
          <w:tab w:val="left" w:pos="810"/>
        </w:tabs>
        <w:spacing w:after="0" w:line="240" w:lineRule="auto"/>
        <w:ind w:left="810"/>
        <w:jc w:val="both"/>
        <w:rPr>
          <w:rFonts w:ascii="Arial" w:hAnsi="Arial" w:cs="Arial"/>
          <w:bCs/>
          <w:szCs w:val="20"/>
        </w:rPr>
      </w:pPr>
      <w:r>
        <w:rPr>
          <w:rFonts w:ascii="Arial" w:hAnsi="Arial" w:cs="Arial"/>
          <w:bCs/>
          <w:szCs w:val="20"/>
        </w:rPr>
        <w:t xml:space="preserve">Interest expense for </w:t>
      </w:r>
      <w:r w:rsidRPr="001B4793">
        <w:rPr>
          <w:rFonts w:ascii="Arial" w:hAnsi="Arial" w:cs="Arial"/>
          <w:bCs/>
          <w:szCs w:val="20"/>
        </w:rPr>
        <w:t xml:space="preserve">the </w:t>
      </w:r>
      <w:r w:rsidR="003B5961">
        <w:rPr>
          <w:rFonts w:ascii="Arial" w:hAnsi="Arial" w:cs="Arial"/>
          <w:bCs/>
          <w:szCs w:val="20"/>
        </w:rPr>
        <w:t xml:space="preserve">three and </w:t>
      </w:r>
      <w:r w:rsidR="00CB18AA">
        <w:rPr>
          <w:rFonts w:ascii="Arial" w:hAnsi="Arial" w:cs="Arial"/>
          <w:bCs/>
          <w:szCs w:val="20"/>
        </w:rPr>
        <w:t>nine</w:t>
      </w:r>
      <w:r w:rsidRPr="001B4793">
        <w:rPr>
          <w:rFonts w:ascii="Arial" w:hAnsi="Arial" w:cs="Arial"/>
          <w:bCs/>
          <w:szCs w:val="20"/>
        </w:rPr>
        <w:t xml:space="preserve"> months ended </w:t>
      </w:r>
      <w:r w:rsidR="00CB18AA">
        <w:rPr>
          <w:rFonts w:ascii="Arial" w:hAnsi="Arial" w:cs="Arial"/>
          <w:bCs/>
          <w:szCs w:val="20"/>
        </w:rPr>
        <w:t>October</w:t>
      </w:r>
      <w:r>
        <w:rPr>
          <w:rFonts w:ascii="Arial" w:hAnsi="Arial" w:cs="Arial"/>
          <w:bCs/>
          <w:szCs w:val="20"/>
        </w:rPr>
        <w:t xml:space="preserve"> 31</w:t>
      </w:r>
      <w:r w:rsidRPr="001B4793">
        <w:rPr>
          <w:rFonts w:ascii="Arial" w:hAnsi="Arial" w:cs="Arial"/>
          <w:bCs/>
          <w:szCs w:val="20"/>
        </w:rPr>
        <w:t>, 2019 was $</w:t>
      </w:r>
      <w:r w:rsidR="00CB18AA">
        <w:rPr>
          <w:rFonts w:ascii="Arial" w:hAnsi="Arial" w:cs="Arial"/>
          <w:bCs/>
          <w:szCs w:val="20"/>
        </w:rPr>
        <w:t>nil</w:t>
      </w:r>
      <w:r w:rsidR="003B5961">
        <w:rPr>
          <w:rFonts w:ascii="Arial" w:hAnsi="Arial" w:cs="Arial"/>
          <w:bCs/>
          <w:szCs w:val="20"/>
        </w:rPr>
        <w:t xml:space="preserve"> and $7,159, respectively</w:t>
      </w:r>
      <w:r w:rsidRPr="001B4793">
        <w:rPr>
          <w:rFonts w:ascii="Arial" w:hAnsi="Arial" w:cs="Arial"/>
          <w:bCs/>
          <w:szCs w:val="20"/>
        </w:rPr>
        <w:t xml:space="preserve"> (</w:t>
      </w:r>
      <w:r w:rsidR="003B5961">
        <w:rPr>
          <w:rFonts w:ascii="Arial" w:hAnsi="Arial" w:cs="Arial"/>
          <w:bCs/>
          <w:szCs w:val="20"/>
        </w:rPr>
        <w:t xml:space="preserve">three and </w:t>
      </w:r>
      <w:r w:rsidR="00CB18AA">
        <w:rPr>
          <w:rFonts w:ascii="Arial" w:hAnsi="Arial" w:cs="Arial"/>
          <w:bCs/>
          <w:szCs w:val="20"/>
        </w:rPr>
        <w:t>nine</w:t>
      </w:r>
      <w:r w:rsidR="003B5961">
        <w:rPr>
          <w:rFonts w:ascii="Arial" w:hAnsi="Arial" w:cs="Arial"/>
          <w:bCs/>
          <w:szCs w:val="20"/>
        </w:rPr>
        <w:t xml:space="preserve"> months ended </w:t>
      </w:r>
      <w:r w:rsidR="00CB18AA">
        <w:rPr>
          <w:rFonts w:ascii="Arial" w:hAnsi="Arial" w:cs="Arial"/>
          <w:bCs/>
          <w:szCs w:val="20"/>
        </w:rPr>
        <w:t>October</w:t>
      </w:r>
      <w:r w:rsidR="003B5961">
        <w:rPr>
          <w:rFonts w:ascii="Arial" w:hAnsi="Arial" w:cs="Arial"/>
          <w:bCs/>
          <w:szCs w:val="20"/>
        </w:rPr>
        <w:t xml:space="preserve"> 31, </w:t>
      </w:r>
      <w:r w:rsidRPr="001B4793">
        <w:rPr>
          <w:rFonts w:ascii="Arial" w:hAnsi="Arial" w:cs="Arial"/>
          <w:bCs/>
          <w:szCs w:val="20"/>
        </w:rPr>
        <w:t>2018</w:t>
      </w:r>
      <w:r w:rsidR="003B5961">
        <w:rPr>
          <w:rFonts w:ascii="Arial" w:hAnsi="Arial" w:cs="Arial"/>
          <w:bCs/>
          <w:szCs w:val="20"/>
        </w:rPr>
        <w:t xml:space="preserve"> </w:t>
      </w:r>
      <w:r w:rsidRPr="001B4793">
        <w:rPr>
          <w:rFonts w:ascii="Arial" w:hAnsi="Arial" w:cs="Arial"/>
          <w:bCs/>
          <w:szCs w:val="20"/>
        </w:rPr>
        <w:t>-</w:t>
      </w:r>
      <w:r w:rsidR="003B5961">
        <w:rPr>
          <w:rFonts w:ascii="Arial" w:hAnsi="Arial" w:cs="Arial"/>
          <w:bCs/>
          <w:szCs w:val="20"/>
        </w:rPr>
        <w:t xml:space="preserve"> </w:t>
      </w:r>
      <w:r w:rsidRPr="001B4793">
        <w:rPr>
          <w:rFonts w:ascii="Arial" w:hAnsi="Arial" w:cs="Arial"/>
          <w:bCs/>
          <w:szCs w:val="20"/>
        </w:rPr>
        <w:t>$nil</w:t>
      </w:r>
      <w:r w:rsidR="003B5961">
        <w:rPr>
          <w:rFonts w:ascii="Arial" w:hAnsi="Arial" w:cs="Arial"/>
          <w:bCs/>
          <w:szCs w:val="20"/>
        </w:rPr>
        <w:t xml:space="preserve"> and $nil, respectively</w:t>
      </w:r>
      <w:r w:rsidRPr="001B4793">
        <w:rPr>
          <w:rFonts w:ascii="Arial" w:hAnsi="Arial" w:cs="Arial"/>
          <w:bCs/>
          <w:szCs w:val="20"/>
        </w:rPr>
        <w:t xml:space="preserve">). </w:t>
      </w:r>
    </w:p>
    <w:p w14:paraId="52634EC8" w14:textId="77777777" w:rsidR="001B4793" w:rsidRPr="001B4793" w:rsidRDefault="001B4793" w:rsidP="001B4793">
      <w:pPr>
        <w:tabs>
          <w:tab w:val="left" w:pos="810"/>
        </w:tabs>
        <w:spacing w:after="0" w:line="240" w:lineRule="auto"/>
        <w:ind w:left="810"/>
        <w:jc w:val="both"/>
        <w:rPr>
          <w:rFonts w:ascii="Arial" w:hAnsi="Arial" w:cs="Arial"/>
          <w:bCs/>
          <w:szCs w:val="20"/>
        </w:rPr>
      </w:pPr>
    </w:p>
    <w:p w14:paraId="3FEA52A4" w14:textId="5818DD6C" w:rsidR="001B4793" w:rsidRDefault="003C6FED" w:rsidP="001B4793">
      <w:pPr>
        <w:tabs>
          <w:tab w:val="left" w:pos="810"/>
        </w:tabs>
        <w:spacing w:after="0" w:line="240" w:lineRule="auto"/>
        <w:ind w:left="810"/>
        <w:jc w:val="both"/>
        <w:rPr>
          <w:rFonts w:ascii="Arial" w:hAnsi="Arial" w:cs="Arial"/>
          <w:bCs/>
          <w:szCs w:val="20"/>
        </w:rPr>
      </w:pPr>
      <w:r>
        <w:rPr>
          <w:rFonts w:ascii="Arial" w:hAnsi="Arial" w:cs="Arial"/>
          <w:bCs/>
          <w:szCs w:val="20"/>
        </w:rPr>
        <w:t>On May 31, 2019, the Company repaid the principal amount and accrued interest on the promissory note totaling $</w:t>
      </w:r>
      <w:r w:rsidR="00A81C39">
        <w:rPr>
          <w:rFonts w:ascii="Arial" w:hAnsi="Arial" w:cs="Arial"/>
          <w:bCs/>
          <w:szCs w:val="20"/>
        </w:rPr>
        <w:t>307,159.</w:t>
      </w:r>
      <w:r>
        <w:rPr>
          <w:rFonts w:ascii="Arial" w:hAnsi="Arial" w:cs="Arial"/>
          <w:bCs/>
          <w:szCs w:val="20"/>
        </w:rPr>
        <w:t xml:space="preserve">  </w:t>
      </w:r>
    </w:p>
    <w:p w14:paraId="46D22C17" w14:textId="77777777" w:rsidR="001B4793" w:rsidRPr="001B4793" w:rsidRDefault="001B4793" w:rsidP="001B4793">
      <w:pPr>
        <w:tabs>
          <w:tab w:val="left" w:pos="810"/>
        </w:tabs>
        <w:spacing w:after="0" w:line="240" w:lineRule="auto"/>
        <w:ind w:left="810"/>
        <w:jc w:val="both"/>
        <w:rPr>
          <w:rFonts w:ascii="Arial" w:hAnsi="Arial" w:cs="Arial"/>
          <w:bCs/>
          <w:szCs w:val="20"/>
        </w:rPr>
      </w:pPr>
    </w:p>
    <w:p w14:paraId="180D4B9F" w14:textId="77777777" w:rsidR="004E594E" w:rsidRDefault="004E594E">
      <w:pPr>
        <w:rPr>
          <w:rFonts w:ascii="Arial" w:hAnsi="Arial" w:cs="Arial"/>
          <w:b/>
          <w:bCs/>
          <w:szCs w:val="20"/>
        </w:rPr>
      </w:pPr>
      <w:r>
        <w:rPr>
          <w:rFonts w:ascii="Arial" w:hAnsi="Arial" w:cs="Arial"/>
          <w:b/>
          <w:bCs/>
          <w:szCs w:val="20"/>
        </w:rPr>
        <w:br w:type="page"/>
      </w:r>
    </w:p>
    <w:p w14:paraId="64F28C30" w14:textId="3191A496" w:rsidR="00790828" w:rsidRPr="009858B0" w:rsidRDefault="000E4AC4" w:rsidP="00F15B99">
      <w:pPr>
        <w:tabs>
          <w:tab w:val="left" w:pos="432"/>
        </w:tabs>
        <w:spacing w:after="0" w:line="240" w:lineRule="auto"/>
        <w:jc w:val="both"/>
        <w:rPr>
          <w:rFonts w:ascii="Arial" w:hAnsi="Arial" w:cs="Arial"/>
          <w:b/>
          <w:bCs/>
          <w:szCs w:val="20"/>
        </w:rPr>
      </w:pPr>
      <w:r>
        <w:rPr>
          <w:rFonts w:ascii="Arial" w:hAnsi="Arial" w:cs="Arial"/>
          <w:b/>
          <w:bCs/>
          <w:szCs w:val="20"/>
        </w:rPr>
        <w:lastRenderedPageBreak/>
        <w:t>1</w:t>
      </w:r>
      <w:r w:rsidR="00CB18AA">
        <w:rPr>
          <w:rFonts w:ascii="Arial" w:hAnsi="Arial" w:cs="Arial"/>
          <w:b/>
          <w:bCs/>
          <w:szCs w:val="20"/>
        </w:rPr>
        <w:t>2</w:t>
      </w:r>
      <w:r w:rsidR="00790828" w:rsidRPr="009858B0">
        <w:rPr>
          <w:rFonts w:ascii="Arial" w:hAnsi="Arial" w:cs="Arial"/>
          <w:b/>
          <w:bCs/>
          <w:szCs w:val="20"/>
        </w:rPr>
        <w:t>.</w:t>
      </w:r>
      <w:r w:rsidR="00790828" w:rsidRPr="009858B0">
        <w:rPr>
          <w:rFonts w:ascii="Arial" w:hAnsi="Arial" w:cs="Arial"/>
          <w:b/>
          <w:bCs/>
          <w:szCs w:val="20"/>
        </w:rPr>
        <w:tab/>
        <w:t xml:space="preserve">Common </w:t>
      </w:r>
      <w:r w:rsidR="00E050EF">
        <w:rPr>
          <w:rFonts w:ascii="Arial" w:hAnsi="Arial" w:cs="Arial"/>
          <w:b/>
          <w:bCs/>
          <w:szCs w:val="20"/>
        </w:rPr>
        <w:t>Shares</w:t>
      </w:r>
    </w:p>
    <w:p w14:paraId="0896440A" w14:textId="77777777" w:rsidR="00CE6BA6" w:rsidRDefault="00CE6BA6" w:rsidP="00F15B99">
      <w:pPr>
        <w:tabs>
          <w:tab w:val="left" w:pos="432"/>
        </w:tabs>
        <w:spacing w:after="0" w:line="240" w:lineRule="auto"/>
        <w:ind w:left="426" w:hanging="11"/>
        <w:jc w:val="both"/>
        <w:rPr>
          <w:rFonts w:ascii="Arial" w:hAnsi="Arial" w:cs="Arial"/>
          <w:bCs/>
          <w:szCs w:val="20"/>
        </w:rPr>
      </w:pPr>
    </w:p>
    <w:p w14:paraId="7DA3FD96" w14:textId="4B3AB59D" w:rsidR="00E565BC" w:rsidRDefault="00E565BC" w:rsidP="005639E1">
      <w:pPr>
        <w:tabs>
          <w:tab w:val="left" w:pos="432"/>
        </w:tabs>
        <w:spacing w:after="0" w:line="240" w:lineRule="auto"/>
        <w:ind w:left="426" w:hanging="11"/>
        <w:jc w:val="both"/>
        <w:rPr>
          <w:rFonts w:ascii="Arial" w:hAnsi="Arial" w:cs="Arial"/>
        </w:rPr>
      </w:pPr>
      <w:r>
        <w:rPr>
          <w:rFonts w:ascii="Arial" w:hAnsi="Arial" w:cs="Arial"/>
        </w:rPr>
        <w:t>Unlimited</w:t>
      </w:r>
      <w:r w:rsidRPr="009F3026">
        <w:rPr>
          <w:rFonts w:ascii="Arial" w:hAnsi="Arial" w:cs="Arial"/>
        </w:rPr>
        <w:t xml:space="preserve"> </w:t>
      </w:r>
      <w:r>
        <w:rPr>
          <w:rFonts w:ascii="Arial" w:hAnsi="Arial" w:cs="Arial"/>
        </w:rPr>
        <w:t xml:space="preserve">number of common </w:t>
      </w:r>
      <w:r w:rsidRPr="009F3026">
        <w:rPr>
          <w:rFonts w:ascii="Arial" w:hAnsi="Arial" w:cs="Arial"/>
        </w:rPr>
        <w:t xml:space="preserve">shares </w:t>
      </w:r>
      <w:r>
        <w:rPr>
          <w:rFonts w:ascii="Arial" w:hAnsi="Arial" w:cs="Arial"/>
        </w:rPr>
        <w:t>without par value</w:t>
      </w:r>
    </w:p>
    <w:p w14:paraId="00FB7EC3" w14:textId="77777777" w:rsidR="00E565BC" w:rsidRDefault="00E565BC" w:rsidP="005639E1">
      <w:pPr>
        <w:tabs>
          <w:tab w:val="left" w:pos="432"/>
        </w:tabs>
        <w:spacing w:after="0" w:line="240" w:lineRule="auto"/>
        <w:ind w:left="426" w:hanging="11"/>
        <w:jc w:val="both"/>
        <w:rPr>
          <w:rFonts w:ascii="Arial" w:hAnsi="Arial" w:cs="Arial"/>
          <w:bCs/>
          <w:szCs w:val="20"/>
        </w:rPr>
      </w:pPr>
    </w:p>
    <w:p w14:paraId="7E4C9D05" w14:textId="39911BEB" w:rsidR="00CE6BA6" w:rsidRDefault="00CE6BA6" w:rsidP="005639E1">
      <w:pPr>
        <w:tabs>
          <w:tab w:val="left" w:pos="432"/>
        </w:tabs>
        <w:spacing w:after="0" w:line="240" w:lineRule="auto"/>
        <w:ind w:left="426" w:hanging="11"/>
        <w:jc w:val="both"/>
        <w:rPr>
          <w:rFonts w:ascii="Arial" w:hAnsi="Arial" w:cs="Arial"/>
          <w:bCs/>
          <w:szCs w:val="20"/>
        </w:rPr>
      </w:pPr>
      <w:r w:rsidRPr="00AD3813">
        <w:rPr>
          <w:rFonts w:ascii="Arial" w:hAnsi="Arial" w:cs="Arial"/>
          <w:bCs/>
          <w:szCs w:val="20"/>
        </w:rPr>
        <w:t xml:space="preserve">During the </w:t>
      </w:r>
      <w:r w:rsidR="00C71250">
        <w:rPr>
          <w:rFonts w:ascii="Arial" w:hAnsi="Arial" w:cs="Arial"/>
          <w:bCs/>
          <w:szCs w:val="20"/>
        </w:rPr>
        <w:t>nine</w:t>
      </w:r>
      <w:r w:rsidR="00E050EF">
        <w:rPr>
          <w:rFonts w:ascii="Arial" w:hAnsi="Arial" w:cs="Arial"/>
          <w:bCs/>
          <w:szCs w:val="20"/>
        </w:rPr>
        <w:t xml:space="preserve"> months</w:t>
      </w:r>
      <w:r w:rsidRPr="00AD3813">
        <w:rPr>
          <w:rFonts w:ascii="Arial" w:hAnsi="Arial" w:cs="Arial"/>
          <w:bCs/>
          <w:szCs w:val="20"/>
        </w:rPr>
        <w:t xml:space="preserve"> ended </w:t>
      </w:r>
      <w:r w:rsidR="00F53473">
        <w:rPr>
          <w:rFonts w:ascii="Arial" w:hAnsi="Arial" w:cs="Arial"/>
          <w:bCs/>
          <w:szCs w:val="20"/>
        </w:rPr>
        <w:t>October</w:t>
      </w:r>
      <w:r w:rsidRPr="00AD3813">
        <w:rPr>
          <w:rFonts w:ascii="Arial" w:hAnsi="Arial" w:cs="Arial"/>
          <w:bCs/>
          <w:szCs w:val="20"/>
        </w:rPr>
        <w:t xml:space="preserve"> 31, 2019:</w:t>
      </w:r>
    </w:p>
    <w:p w14:paraId="5C30C98B" w14:textId="77777777" w:rsidR="00CE6BA6" w:rsidRPr="005778E8" w:rsidRDefault="00CE6BA6" w:rsidP="005639E1">
      <w:pPr>
        <w:tabs>
          <w:tab w:val="left" w:pos="432"/>
        </w:tabs>
        <w:spacing w:after="0" w:line="240" w:lineRule="auto"/>
        <w:ind w:left="426" w:hanging="11"/>
        <w:jc w:val="both"/>
        <w:rPr>
          <w:rFonts w:ascii="Arial" w:hAnsi="Arial" w:cs="Arial"/>
          <w:bCs/>
          <w:szCs w:val="20"/>
        </w:rPr>
      </w:pPr>
    </w:p>
    <w:p w14:paraId="3DCB7888" w14:textId="1D5D4BC2" w:rsidR="00B44CE2" w:rsidRPr="007B24D9" w:rsidRDefault="00E050EF" w:rsidP="00E050EF">
      <w:pPr>
        <w:pStyle w:val="ListParagraph"/>
        <w:numPr>
          <w:ilvl w:val="0"/>
          <w:numId w:val="33"/>
        </w:numPr>
        <w:tabs>
          <w:tab w:val="left" w:pos="810"/>
        </w:tabs>
        <w:spacing w:after="0" w:line="240" w:lineRule="auto"/>
        <w:jc w:val="both"/>
        <w:rPr>
          <w:rFonts w:ascii="Arial" w:hAnsi="Arial" w:cs="Arial"/>
          <w:szCs w:val="20"/>
          <w:lang w:val="en-CA"/>
        </w:rPr>
      </w:pPr>
      <w:r w:rsidRPr="00E050EF">
        <w:rPr>
          <w:rFonts w:ascii="Arial" w:hAnsi="Arial" w:cs="Arial"/>
          <w:szCs w:val="20"/>
          <w:lang w:val="en-CA"/>
        </w:rPr>
        <w:t xml:space="preserve">On March 5, 2019, the Company issued 100,000 </w:t>
      </w:r>
      <w:r w:rsidR="00FC7923">
        <w:rPr>
          <w:rFonts w:ascii="Arial" w:hAnsi="Arial" w:cs="Arial"/>
          <w:szCs w:val="20"/>
          <w:lang w:val="en-CA"/>
        </w:rPr>
        <w:t>common shares</w:t>
      </w:r>
      <w:r w:rsidR="005D09A3">
        <w:rPr>
          <w:rFonts w:ascii="Arial" w:hAnsi="Arial" w:cs="Arial"/>
          <w:szCs w:val="20"/>
          <w:lang w:val="en-CA"/>
        </w:rPr>
        <w:t>, with fair value totalling $20,000,</w:t>
      </w:r>
      <w:r w:rsidRPr="00E050EF">
        <w:rPr>
          <w:rFonts w:ascii="Arial" w:hAnsi="Arial" w:cs="Arial"/>
          <w:szCs w:val="20"/>
          <w:lang w:val="en-CA"/>
        </w:rPr>
        <w:t xml:space="preserve"> to a third party as a loan origination fee (Note </w:t>
      </w:r>
      <w:r w:rsidR="00A81C39">
        <w:rPr>
          <w:rFonts w:ascii="Arial" w:hAnsi="Arial" w:cs="Arial"/>
          <w:szCs w:val="20"/>
          <w:lang w:val="en-CA"/>
        </w:rPr>
        <w:t>1</w:t>
      </w:r>
      <w:r w:rsidR="006D5927">
        <w:rPr>
          <w:rFonts w:ascii="Arial" w:hAnsi="Arial" w:cs="Arial"/>
          <w:szCs w:val="20"/>
          <w:lang w:val="en-CA"/>
        </w:rPr>
        <w:t>1</w:t>
      </w:r>
      <w:r w:rsidRPr="00E050EF">
        <w:rPr>
          <w:rFonts w:ascii="Arial" w:hAnsi="Arial" w:cs="Arial"/>
          <w:szCs w:val="20"/>
          <w:lang w:val="en-CA"/>
        </w:rPr>
        <w:t>(c))</w:t>
      </w:r>
      <w:r w:rsidR="00B44CE2" w:rsidRPr="007B24D9">
        <w:rPr>
          <w:rFonts w:ascii="Arial" w:hAnsi="Arial" w:cs="Arial"/>
          <w:szCs w:val="20"/>
          <w:lang w:val="en-CA"/>
        </w:rPr>
        <w:t>.</w:t>
      </w:r>
      <w:r w:rsidR="00294CF3">
        <w:rPr>
          <w:rFonts w:ascii="Arial" w:hAnsi="Arial" w:cs="Arial"/>
          <w:szCs w:val="20"/>
          <w:lang w:val="en-CA"/>
        </w:rPr>
        <w:t xml:space="preserve">  During the nine months ended October 31, 2019, the Company issued 369,047 </w:t>
      </w:r>
      <w:r w:rsidR="005D09A3">
        <w:rPr>
          <w:rFonts w:ascii="Arial" w:hAnsi="Arial" w:cs="Arial"/>
          <w:szCs w:val="20"/>
          <w:lang w:val="en-CA"/>
        </w:rPr>
        <w:t>common shares, with fair value totalling $90,000, to third parties for services provided.  The Company also issued 41,667 common shares, with fair value totalling $10,000, to a director and officer for services provided.</w:t>
      </w:r>
    </w:p>
    <w:p w14:paraId="2DB44A64" w14:textId="77777777" w:rsidR="00B44CE2" w:rsidRPr="007B24D9" w:rsidRDefault="00B44CE2" w:rsidP="005639E1">
      <w:pPr>
        <w:tabs>
          <w:tab w:val="left" w:pos="810"/>
        </w:tabs>
        <w:spacing w:after="0" w:line="240" w:lineRule="auto"/>
        <w:jc w:val="both"/>
        <w:rPr>
          <w:rFonts w:ascii="Arial" w:hAnsi="Arial" w:cs="Arial"/>
          <w:szCs w:val="20"/>
          <w:lang w:val="en-CA"/>
        </w:rPr>
      </w:pPr>
    </w:p>
    <w:p w14:paraId="41DBD605" w14:textId="455C91A5" w:rsidR="00B44CE2" w:rsidRPr="00040621" w:rsidRDefault="00E050EF" w:rsidP="00E050EF">
      <w:pPr>
        <w:pStyle w:val="ListParagraph"/>
        <w:numPr>
          <w:ilvl w:val="0"/>
          <w:numId w:val="33"/>
        </w:numPr>
        <w:tabs>
          <w:tab w:val="left" w:pos="810"/>
        </w:tabs>
        <w:spacing w:after="0" w:line="240" w:lineRule="auto"/>
        <w:jc w:val="both"/>
        <w:rPr>
          <w:rFonts w:ascii="Arial" w:hAnsi="Arial" w:cs="Arial"/>
          <w:szCs w:val="20"/>
        </w:rPr>
      </w:pPr>
      <w:r w:rsidRPr="00E050EF">
        <w:rPr>
          <w:rFonts w:ascii="Arial" w:hAnsi="Arial" w:cs="Arial"/>
          <w:szCs w:val="20"/>
        </w:rPr>
        <w:t xml:space="preserve">On </w:t>
      </w:r>
      <w:r w:rsidR="00294CF3">
        <w:rPr>
          <w:rFonts w:ascii="Arial" w:hAnsi="Arial" w:cs="Arial"/>
          <w:szCs w:val="20"/>
        </w:rPr>
        <w:t>March 23, 2019</w:t>
      </w:r>
      <w:r w:rsidRPr="00E050EF">
        <w:rPr>
          <w:rFonts w:ascii="Arial" w:hAnsi="Arial" w:cs="Arial"/>
          <w:szCs w:val="20"/>
        </w:rPr>
        <w:t xml:space="preserve">, the </w:t>
      </w:r>
      <w:r w:rsidRPr="00040621">
        <w:rPr>
          <w:rFonts w:ascii="Arial" w:hAnsi="Arial" w:cs="Arial"/>
          <w:szCs w:val="20"/>
        </w:rPr>
        <w:t xml:space="preserve">Company issued </w:t>
      </w:r>
      <w:r w:rsidR="00FC7923" w:rsidRPr="00040621">
        <w:rPr>
          <w:rFonts w:ascii="Arial" w:hAnsi="Arial" w:cs="Arial"/>
          <w:szCs w:val="20"/>
        </w:rPr>
        <w:t xml:space="preserve">1,000,000 common shares to a third party for settlement of accounts payable and </w:t>
      </w:r>
      <w:r w:rsidRPr="00040621">
        <w:rPr>
          <w:rFonts w:ascii="Arial" w:hAnsi="Arial" w:cs="Arial"/>
          <w:szCs w:val="20"/>
        </w:rPr>
        <w:t xml:space="preserve">690,323 </w:t>
      </w:r>
      <w:r w:rsidR="00FC7923" w:rsidRPr="00040621">
        <w:rPr>
          <w:rFonts w:ascii="Arial" w:hAnsi="Arial" w:cs="Arial"/>
          <w:szCs w:val="20"/>
        </w:rPr>
        <w:t>common shares</w:t>
      </w:r>
      <w:r w:rsidRPr="00040621">
        <w:rPr>
          <w:rFonts w:ascii="Arial" w:hAnsi="Arial" w:cs="Arial"/>
          <w:szCs w:val="20"/>
        </w:rPr>
        <w:t xml:space="preserve"> to directors and officers to settle outstanding compensation</w:t>
      </w:r>
      <w:r w:rsidR="00B44CE2" w:rsidRPr="00040621">
        <w:rPr>
          <w:rFonts w:ascii="Arial" w:hAnsi="Arial" w:cs="Arial"/>
          <w:szCs w:val="20"/>
        </w:rPr>
        <w:t>.</w:t>
      </w:r>
    </w:p>
    <w:p w14:paraId="5BA7E002" w14:textId="77777777" w:rsidR="00B44CE2" w:rsidRPr="007B24D9" w:rsidRDefault="00B44CE2" w:rsidP="005639E1">
      <w:pPr>
        <w:tabs>
          <w:tab w:val="left" w:pos="810"/>
        </w:tabs>
        <w:spacing w:after="0" w:line="240" w:lineRule="auto"/>
        <w:jc w:val="both"/>
        <w:rPr>
          <w:rFonts w:ascii="Arial" w:hAnsi="Arial" w:cs="Arial"/>
          <w:szCs w:val="20"/>
        </w:rPr>
      </w:pPr>
    </w:p>
    <w:p w14:paraId="29AE44C6" w14:textId="252203DA" w:rsidR="00B44CE2" w:rsidRPr="007B24D9" w:rsidRDefault="00E050EF" w:rsidP="00E050EF">
      <w:pPr>
        <w:pStyle w:val="ListParagraph"/>
        <w:numPr>
          <w:ilvl w:val="0"/>
          <w:numId w:val="33"/>
        </w:numPr>
        <w:tabs>
          <w:tab w:val="left" w:pos="810"/>
        </w:tabs>
        <w:spacing w:after="0" w:line="240" w:lineRule="auto"/>
        <w:jc w:val="both"/>
        <w:rPr>
          <w:rFonts w:ascii="Arial" w:hAnsi="Arial" w:cs="Arial"/>
          <w:szCs w:val="20"/>
        </w:rPr>
      </w:pPr>
      <w:r w:rsidRPr="00E050EF">
        <w:rPr>
          <w:rFonts w:ascii="Arial" w:hAnsi="Arial" w:cs="Arial"/>
          <w:szCs w:val="20"/>
        </w:rPr>
        <w:t xml:space="preserve">On April 8, 2019, the Company issued 60,515 </w:t>
      </w:r>
      <w:r w:rsidR="00F07391">
        <w:rPr>
          <w:rFonts w:ascii="Arial" w:hAnsi="Arial" w:cs="Arial"/>
          <w:szCs w:val="20"/>
        </w:rPr>
        <w:t>common shares</w:t>
      </w:r>
      <w:r w:rsidRPr="00E050EF">
        <w:rPr>
          <w:rFonts w:ascii="Arial" w:hAnsi="Arial" w:cs="Arial"/>
          <w:szCs w:val="20"/>
        </w:rPr>
        <w:t xml:space="preserve"> as an extension fee for an outstanding obligation (Note 4(b))</w:t>
      </w:r>
      <w:r w:rsidR="00A841E0">
        <w:rPr>
          <w:rFonts w:ascii="Arial" w:hAnsi="Arial" w:cs="Arial"/>
          <w:szCs w:val="20"/>
        </w:rPr>
        <w:t>.</w:t>
      </w:r>
    </w:p>
    <w:p w14:paraId="16C37523" w14:textId="320B0307" w:rsidR="00B44CE2" w:rsidRPr="007B24D9" w:rsidRDefault="002D1AA7" w:rsidP="005639E1">
      <w:pPr>
        <w:tabs>
          <w:tab w:val="left" w:pos="3504"/>
        </w:tabs>
        <w:spacing w:after="0" w:line="240" w:lineRule="auto"/>
        <w:jc w:val="both"/>
        <w:rPr>
          <w:rFonts w:ascii="Arial" w:hAnsi="Arial" w:cs="Arial"/>
          <w:szCs w:val="20"/>
        </w:rPr>
      </w:pPr>
      <w:r>
        <w:rPr>
          <w:rFonts w:ascii="Arial" w:hAnsi="Arial" w:cs="Arial"/>
          <w:szCs w:val="20"/>
        </w:rPr>
        <w:tab/>
      </w:r>
    </w:p>
    <w:p w14:paraId="1D913A4C" w14:textId="53FC1FC0" w:rsidR="00B44CE2" w:rsidRPr="007B24D9" w:rsidRDefault="00E050EF" w:rsidP="00E050EF">
      <w:pPr>
        <w:pStyle w:val="ListParagraph"/>
        <w:numPr>
          <w:ilvl w:val="0"/>
          <w:numId w:val="33"/>
        </w:numPr>
        <w:tabs>
          <w:tab w:val="left" w:pos="810"/>
        </w:tabs>
        <w:spacing w:after="0" w:line="240" w:lineRule="auto"/>
        <w:jc w:val="both"/>
        <w:rPr>
          <w:rFonts w:ascii="Arial" w:hAnsi="Arial" w:cs="Arial"/>
          <w:szCs w:val="20"/>
        </w:rPr>
      </w:pPr>
      <w:r w:rsidRPr="00E050EF">
        <w:rPr>
          <w:rFonts w:ascii="Arial" w:hAnsi="Arial" w:cs="Arial"/>
          <w:szCs w:val="20"/>
        </w:rPr>
        <w:t xml:space="preserve">On April 8, 2019, a private placement was closed for an aggregate of 6,950,000 units, consisting of one common share and one share purchase warrant, at price of $0.20 per unit, for gross proceeds of $1,390,000.  Each share purchase warrant entitles the holder to purchase one common share at a price of $0.30 per share and has an expiry term of three (3) years.  Finders’ fees consisted of cash payments of $80,000 and issuance of 508,000 </w:t>
      </w:r>
      <w:r w:rsidR="00F07391">
        <w:rPr>
          <w:rFonts w:ascii="Arial" w:hAnsi="Arial" w:cs="Arial"/>
          <w:szCs w:val="20"/>
        </w:rPr>
        <w:t>common shares</w:t>
      </w:r>
      <w:r w:rsidRPr="00E050EF">
        <w:rPr>
          <w:rFonts w:ascii="Arial" w:hAnsi="Arial" w:cs="Arial"/>
          <w:szCs w:val="20"/>
        </w:rPr>
        <w:t xml:space="preserve"> and 108,000 share purchase warrants entitling the holders to purchase one common share at a price of $0.30 per share and </w:t>
      </w:r>
      <w:r w:rsidR="00DB3EFB">
        <w:rPr>
          <w:rFonts w:ascii="Arial" w:hAnsi="Arial" w:cs="Arial"/>
          <w:szCs w:val="20"/>
        </w:rPr>
        <w:t>with</w:t>
      </w:r>
      <w:r w:rsidRPr="00E050EF">
        <w:rPr>
          <w:rFonts w:ascii="Arial" w:hAnsi="Arial" w:cs="Arial"/>
          <w:szCs w:val="20"/>
        </w:rPr>
        <w:t xml:space="preserve"> an expiry term of three (3) years</w:t>
      </w:r>
      <w:r w:rsidR="00B44CE2" w:rsidRPr="007B24D9">
        <w:rPr>
          <w:rFonts w:ascii="Arial" w:hAnsi="Arial" w:cs="Arial"/>
          <w:szCs w:val="20"/>
        </w:rPr>
        <w:t xml:space="preserve">.  </w:t>
      </w:r>
    </w:p>
    <w:p w14:paraId="69CDF571" w14:textId="77777777" w:rsidR="00991E5D" w:rsidRPr="007B24D9" w:rsidRDefault="00991E5D" w:rsidP="005639E1">
      <w:pPr>
        <w:tabs>
          <w:tab w:val="left" w:pos="810"/>
        </w:tabs>
        <w:spacing w:after="0" w:line="240" w:lineRule="auto"/>
        <w:jc w:val="both"/>
        <w:rPr>
          <w:rFonts w:ascii="Arial" w:hAnsi="Arial" w:cs="Arial"/>
          <w:szCs w:val="20"/>
        </w:rPr>
      </w:pPr>
    </w:p>
    <w:p w14:paraId="73A89F1C" w14:textId="624948B1" w:rsidR="00B44CE2" w:rsidRDefault="00860822" w:rsidP="00E050EF">
      <w:pPr>
        <w:pStyle w:val="ListParagraph"/>
        <w:numPr>
          <w:ilvl w:val="0"/>
          <w:numId w:val="33"/>
        </w:numPr>
        <w:tabs>
          <w:tab w:val="left" w:pos="810"/>
        </w:tabs>
        <w:spacing w:after="0" w:line="240" w:lineRule="auto"/>
        <w:jc w:val="both"/>
        <w:rPr>
          <w:rFonts w:ascii="Arial" w:hAnsi="Arial" w:cs="Arial"/>
          <w:szCs w:val="20"/>
        </w:rPr>
      </w:pPr>
      <w:r>
        <w:rPr>
          <w:rFonts w:ascii="Arial" w:hAnsi="Arial" w:cs="Arial"/>
          <w:szCs w:val="20"/>
        </w:rPr>
        <w:t xml:space="preserve">On May 15, 2019, the first tranche of a private placement was closed for an aggregate of 46,132,000 units, </w:t>
      </w:r>
      <w:r w:rsidRPr="00E050EF">
        <w:rPr>
          <w:rFonts w:ascii="Arial" w:hAnsi="Arial" w:cs="Arial"/>
          <w:szCs w:val="20"/>
        </w:rPr>
        <w:t>consisting of one common share and one share purchase warrant, at price of $0.2</w:t>
      </w:r>
      <w:r>
        <w:rPr>
          <w:rFonts w:ascii="Arial" w:hAnsi="Arial" w:cs="Arial"/>
          <w:szCs w:val="20"/>
        </w:rPr>
        <w:t>5</w:t>
      </w:r>
      <w:r w:rsidRPr="00E050EF">
        <w:rPr>
          <w:rFonts w:ascii="Arial" w:hAnsi="Arial" w:cs="Arial"/>
          <w:szCs w:val="20"/>
        </w:rPr>
        <w:t xml:space="preserve"> per unit, for gross proceeds of $</w:t>
      </w:r>
      <w:r>
        <w:rPr>
          <w:rFonts w:ascii="Arial" w:hAnsi="Arial" w:cs="Arial"/>
          <w:szCs w:val="20"/>
        </w:rPr>
        <w:t>11,533,000</w:t>
      </w:r>
      <w:r w:rsidRPr="00E050EF">
        <w:rPr>
          <w:rFonts w:ascii="Arial" w:hAnsi="Arial" w:cs="Arial"/>
          <w:szCs w:val="20"/>
        </w:rPr>
        <w:t>.</w:t>
      </w:r>
      <w:r>
        <w:rPr>
          <w:rFonts w:ascii="Arial" w:hAnsi="Arial" w:cs="Arial"/>
          <w:szCs w:val="20"/>
        </w:rPr>
        <w:t xml:space="preserve">  On May 30, 2019, the last tranche of this private placement was closed for an aggregate of 13,868,000 units, </w:t>
      </w:r>
      <w:r w:rsidRPr="00E050EF">
        <w:rPr>
          <w:rFonts w:ascii="Arial" w:hAnsi="Arial" w:cs="Arial"/>
          <w:szCs w:val="20"/>
        </w:rPr>
        <w:t>consisting of one common share and one share purchase warrant, at price of $0.2</w:t>
      </w:r>
      <w:r>
        <w:rPr>
          <w:rFonts w:ascii="Arial" w:hAnsi="Arial" w:cs="Arial"/>
          <w:szCs w:val="20"/>
        </w:rPr>
        <w:t>5</w:t>
      </w:r>
      <w:r w:rsidRPr="00E050EF">
        <w:rPr>
          <w:rFonts w:ascii="Arial" w:hAnsi="Arial" w:cs="Arial"/>
          <w:szCs w:val="20"/>
        </w:rPr>
        <w:t xml:space="preserve"> per unit, for gross proceeds of $</w:t>
      </w:r>
      <w:r>
        <w:rPr>
          <w:rFonts w:ascii="Arial" w:hAnsi="Arial" w:cs="Arial"/>
          <w:szCs w:val="20"/>
        </w:rPr>
        <w:t xml:space="preserve">3,467,000.  </w:t>
      </w:r>
      <w:r w:rsidRPr="00E050EF">
        <w:rPr>
          <w:rFonts w:ascii="Arial" w:hAnsi="Arial" w:cs="Arial"/>
          <w:szCs w:val="20"/>
        </w:rPr>
        <w:t>Each share purchase warrant entitles the holder to purchase one common share at a price of $0.3</w:t>
      </w:r>
      <w:r>
        <w:rPr>
          <w:rFonts w:ascii="Arial" w:hAnsi="Arial" w:cs="Arial"/>
          <w:szCs w:val="20"/>
        </w:rPr>
        <w:t>5</w:t>
      </w:r>
      <w:r w:rsidRPr="00E050EF">
        <w:rPr>
          <w:rFonts w:ascii="Arial" w:hAnsi="Arial" w:cs="Arial"/>
          <w:szCs w:val="20"/>
        </w:rPr>
        <w:t xml:space="preserve"> per share and has an expiry term of </w:t>
      </w:r>
      <w:r>
        <w:rPr>
          <w:rFonts w:ascii="Arial" w:hAnsi="Arial" w:cs="Arial"/>
          <w:szCs w:val="20"/>
        </w:rPr>
        <w:t>two (2</w:t>
      </w:r>
      <w:r w:rsidRPr="00E050EF">
        <w:rPr>
          <w:rFonts w:ascii="Arial" w:hAnsi="Arial" w:cs="Arial"/>
          <w:szCs w:val="20"/>
        </w:rPr>
        <w:t xml:space="preserve">) years.  </w:t>
      </w:r>
      <w:r>
        <w:rPr>
          <w:rFonts w:ascii="Arial" w:hAnsi="Arial" w:cs="Arial"/>
          <w:szCs w:val="20"/>
        </w:rPr>
        <w:t xml:space="preserve">Pursuant to the private placement, the Company issued 4,200,000 units, </w:t>
      </w:r>
      <w:r w:rsidRPr="00E050EF">
        <w:rPr>
          <w:rFonts w:ascii="Arial" w:hAnsi="Arial" w:cs="Arial"/>
          <w:szCs w:val="20"/>
        </w:rPr>
        <w:t>consisting of one common share and one share purchase warrant</w:t>
      </w:r>
      <w:r>
        <w:rPr>
          <w:rFonts w:ascii="Arial" w:hAnsi="Arial" w:cs="Arial"/>
          <w:szCs w:val="20"/>
        </w:rPr>
        <w:t xml:space="preserve"> entitling</w:t>
      </w:r>
      <w:r w:rsidRPr="00E050EF">
        <w:rPr>
          <w:rFonts w:ascii="Arial" w:hAnsi="Arial" w:cs="Arial"/>
          <w:szCs w:val="20"/>
        </w:rPr>
        <w:t xml:space="preserve"> the holder to purchase one common share at a price of $0.3</w:t>
      </w:r>
      <w:r>
        <w:rPr>
          <w:rFonts w:ascii="Arial" w:hAnsi="Arial" w:cs="Arial"/>
          <w:szCs w:val="20"/>
        </w:rPr>
        <w:t>5</w:t>
      </w:r>
      <w:r w:rsidRPr="00E050EF">
        <w:rPr>
          <w:rFonts w:ascii="Arial" w:hAnsi="Arial" w:cs="Arial"/>
          <w:szCs w:val="20"/>
        </w:rPr>
        <w:t xml:space="preserve"> per share and </w:t>
      </w:r>
      <w:r>
        <w:rPr>
          <w:rFonts w:ascii="Arial" w:hAnsi="Arial" w:cs="Arial"/>
          <w:szCs w:val="20"/>
        </w:rPr>
        <w:t>with</w:t>
      </w:r>
      <w:r w:rsidRPr="00E050EF">
        <w:rPr>
          <w:rFonts w:ascii="Arial" w:hAnsi="Arial" w:cs="Arial"/>
          <w:szCs w:val="20"/>
        </w:rPr>
        <w:t xml:space="preserve"> an expiry term of </w:t>
      </w:r>
      <w:r>
        <w:rPr>
          <w:rFonts w:ascii="Arial" w:hAnsi="Arial" w:cs="Arial"/>
          <w:szCs w:val="20"/>
        </w:rPr>
        <w:t>two (2</w:t>
      </w:r>
      <w:r w:rsidRPr="00E050EF">
        <w:rPr>
          <w:rFonts w:ascii="Arial" w:hAnsi="Arial" w:cs="Arial"/>
          <w:szCs w:val="20"/>
        </w:rPr>
        <w:t>) years</w:t>
      </w:r>
      <w:r>
        <w:rPr>
          <w:rFonts w:ascii="Arial" w:hAnsi="Arial" w:cs="Arial"/>
          <w:szCs w:val="20"/>
        </w:rPr>
        <w:t>, as advisory fee.</w:t>
      </w:r>
    </w:p>
    <w:p w14:paraId="7A981BDB" w14:textId="77777777" w:rsidR="00FC7923" w:rsidRPr="00FC7923" w:rsidRDefault="00FC7923" w:rsidP="00FC7923">
      <w:pPr>
        <w:pStyle w:val="ListParagraph"/>
        <w:rPr>
          <w:rFonts w:ascii="Arial" w:hAnsi="Arial" w:cs="Arial"/>
          <w:szCs w:val="20"/>
        </w:rPr>
      </w:pPr>
    </w:p>
    <w:p w14:paraId="4B5C834B" w14:textId="55A2A139" w:rsidR="00303283" w:rsidRPr="00303283" w:rsidRDefault="00FC7923" w:rsidP="00303283">
      <w:pPr>
        <w:pStyle w:val="ListParagraph"/>
        <w:numPr>
          <w:ilvl w:val="0"/>
          <w:numId w:val="33"/>
        </w:numPr>
        <w:tabs>
          <w:tab w:val="left" w:pos="810"/>
        </w:tabs>
        <w:spacing w:after="0" w:line="240" w:lineRule="auto"/>
        <w:jc w:val="both"/>
        <w:rPr>
          <w:rFonts w:ascii="Arial" w:hAnsi="Arial" w:cs="Arial"/>
          <w:szCs w:val="20"/>
        </w:rPr>
      </w:pPr>
      <w:r>
        <w:rPr>
          <w:rFonts w:ascii="Arial" w:hAnsi="Arial" w:cs="Arial"/>
          <w:szCs w:val="20"/>
        </w:rPr>
        <w:t>On May 16, 2019, the Company issued 595,238 common shares pursuant to the conversion of $250,000 of the Company</w:t>
      </w:r>
      <w:r w:rsidR="00DB3EFB">
        <w:rPr>
          <w:rFonts w:ascii="Arial" w:hAnsi="Arial" w:cs="Arial"/>
          <w:szCs w:val="20"/>
        </w:rPr>
        <w:t>’s</w:t>
      </w:r>
      <w:r>
        <w:rPr>
          <w:rFonts w:ascii="Arial" w:hAnsi="Arial" w:cs="Arial"/>
          <w:szCs w:val="20"/>
        </w:rPr>
        <w:t xml:space="preserve"> convertible debentures (Note </w:t>
      </w:r>
      <w:r w:rsidR="006D5927">
        <w:rPr>
          <w:rFonts w:ascii="Arial" w:hAnsi="Arial" w:cs="Arial"/>
          <w:szCs w:val="20"/>
        </w:rPr>
        <w:t>10</w:t>
      </w:r>
      <w:r>
        <w:rPr>
          <w:rFonts w:ascii="Arial" w:hAnsi="Arial" w:cs="Arial"/>
          <w:szCs w:val="20"/>
        </w:rPr>
        <w:t>).</w:t>
      </w:r>
    </w:p>
    <w:p w14:paraId="7F9858B5" w14:textId="77777777" w:rsidR="004E594E" w:rsidRDefault="004E594E" w:rsidP="005639E1">
      <w:pPr>
        <w:tabs>
          <w:tab w:val="left" w:pos="432"/>
        </w:tabs>
        <w:spacing w:after="0" w:line="240" w:lineRule="auto"/>
        <w:ind w:left="426" w:hanging="11"/>
        <w:jc w:val="both"/>
        <w:rPr>
          <w:rFonts w:ascii="Arial" w:hAnsi="Arial" w:cs="Arial"/>
          <w:bCs/>
          <w:szCs w:val="20"/>
        </w:rPr>
      </w:pPr>
    </w:p>
    <w:p w14:paraId="47F8F4B0" w14:textId="066B5B66" w:rsidR="00E3748C" w:rsidRPr="007B24D9" w:rsidRDefault="00E3748C" w:rsidP="005639E1">
      <w:pPr>
        <w:tabs>
          <w:tab w:val="left" w:pos="432"/>
        </w:tabs>
        <w:spacing w:after="0" w:line="240" w:lineRule="auto"/>
        <w:ind w:left="426" w:hanging="11"/>
        <w:jc w:val="both"/>
        <w:rPr>
          <w:rFonts w:ascii="Arial" w:hAnsi="Arial" w:cs="Arial"/>
          <w:bCs/>
          <w:szCs w:val="20"/>
        </w:rPr>
      </w:pPr>
      <w:r w:rsidRPr="005778E8">
        <w:rPr>
          <w:rFonts w:ascii="Arial" w:hAnsi="Arial" w:cs="Arial"/>
          <w:bCs/>
          <w:szCs w:val="20"/>
        </w:rPr>
        <w:t xml:space="preserve">During the </w:t>
      </w:r>
      <w:r w:rsidR="00A734F6">
        <w:rPr>
          <w:rFonts w:ascii="Arial" w:hAnsi="Arial" w:cs="Arial"/>
          <w:bCs/>
          <w:szCs w:val="20"/>
        </w:rPr>
        <w:t>nine</w:t>
      </w:r>
      <w:r w:rsidR="00E050EF">
        <w:rPr>
          <w:rFonts w:ascii="Arial" w:hAnsi="Arial" w:cs="Arial"/>
          <w:bCs/>
          <w:szCs w:val="20"/>
        </w:rPr>
        <w:t xml:space="preserve"> months</w:t>
      </w:r>
      <w:r w:rsidRPr="007B24D9">
        <w:rPr>
          <w:rFonts w:ascii="Arial" w:hAnsi="Arial" w:cs="Arial"/>
          <w:bCs/>
          <w:szCs w:val="20"/>
        </w:rPr>
        <w:t xml:space="preserve"> ended </w:t>
      </w:r>
      <w:r w:rsidR="00F53473">
        <w:rPr>
          <w:rFonts w:ascii="Arial" w:hAnsi="Arial" w:cs="Arial"/>
          <w:bCs/>
          <w:szCs w:val="20"/>
        </w:rPr>
        <w:t>October</w:t>
      </w:r>
      <w:r w:rsidRPr="007B24D9">
        <w:rPr>
          <w:rFonts w:ascii="Arial" w:hAnsi="Arial" w:cs="Arial"/>
          <w:bCs/>
          <w:szCs w:val="20"/>
        </w:rPr>
        <w:t xml:space="preserve"> 31, 2018:</w:t>
      </w:r>
    </w:p>
    <w:p w14:paraId="07BCE431" w14:textId="77777777" w:rsidR="00CE6BA6" w:rsidRPr="007B24D9" w:rsidRDefault="00CE6BA6" w:rsidP="005639E1">
      <w:pPr>
        <w:tabs>
          <w:tab w:val="left" w:pos="432"/>
        </w:tabs>
        <w:spacing w:after="0" w:line="240" w:lineRule="auto"/>
        <w:ind w:left="426" w:hanging="11"/>
        <w:jc w:val="both"/>
        <w:rPr>
          <w:rFonts w:ascii="Arial" w:hAnsi="Arial" w:cs="Arial"/>
          <w:bCs/>
          <w:szCs w:val="20"/>
        </w:rPr>
      </w:pPr>
    </w:p>
    <w:p w14:paraId="2736990D" w14:textId="462F0352" w:rsidR="00E3748C" w:rsidRPr="007B24D9" w:rsidRDefault="00E050EF" w:rsidP="00E050EF">
      <w:pPr>
        <w:pStyle w:val="ListParagraph"/>
        <w:numPr>
          <w:ilvl w:val="0"/>
          <w:numId w:val="33"/>
        </w:numPr>
        <w:spacing w:after="0" w:line="240" w:lineRule="auto"/>
        <w:jc w:val="both"/>
        <w:rPr>
          <w:rFonts w:ascii="Arial" w:hAnsi="Arial" w:cs="Arial"/>
          <w:lang w:val="en-CA"/>
        </w:rPr>
      </w:pPr>
      <w:r w:rsidRPr="00E050EF">
        <w:rPr>
          <w:rFonts w:ascii="Arial" w:hAnsi="Arial" w:cs="Arial"/>
          <w:lang w:val="en-CA"/>
        </w:rPr>
        <w:t xml:space="preserve">On February 28, 2018, 5,000,000 </w:t>
      </w:r>
      <w:r w:rsidR="00F07391">
        <w:rPr>
          <w:rFonts w:ascii="Arial" w:hAnsi="Arial" w:cs="Arial"/>
          <w:lang w:val="en-CA"/>
        </w:rPr>
        <w:t>common shares</w:t>
      </w:r>
      <w:r w:rsidRPr="00E050EF">
        <w:rPr>
          <w:rFonts w:ascii="Arial" w:hAnsi="Arial" w:cs="Arial"/>
          <w:lang w:val="en-CA"/>
        </w:rPr>
        <w:t xml:space="preserve"> were issued pursuant to the exchange agree</w:t>
      </w:r>
      <w:r w:rsidR="00781D03">
        <w:rPr>
          <w:rFonts w:ascii="Arial" w:hAnsi="Arial" w:cs="Arial"/>
          <w:lang w:val="en-CA"/>
        </w:rPr>
        <w:t>ment with Pivot Naturals</w:t>
      </w:r>
      <w:r w:rsidR="000F4A2F">
        <w:rPr>
          <w:rFonts w:ascii="Arial" w:hAnsi="Arial" w:cs="Arial"/>
          <w:lang w:val="en-CA"/>
        </w:rPr>
        <w:t xml:space="preserve"> and the members of Pivot Naturals</w:t>
      </w:r>
      <w:r w:rsidR="00781D03">
        <w:rPr>
          <w:rFonts w:ascii="Arial" w:hAnsi="Arial" w:cs="Arial"/>
          <w:lang w:val="en-CA"/>
        </w:rPr>
        <w:t xml:space="preserve"> (Note 4(b)</w:t>
      </w:r>
      <w:r w:rsidRPr="00E050EF">
        <w:rPr>
          <w:rFonts w:ascii="Arial" w:hAnsi="Arial" w:cs="Arial"/>
          <w:lang w:val="en-CA"/>
        </w:rPr>
        <w:t>).</w:t>
      </w:r>
    </w:p>
    <w:p w14:paraId="233B7344" w14:textId="77777777" w:rsidR="00CE6BA6" w:rsidRPr="007B24D9" w:rsidRDefault="00CE6BA6" w:rsidP="005639E1">
      <w:pPr>
        <w:tabs>
          <w:tab w:val="left" w:pos="810"/>
        </w:tabs>
        <w:spacing w:after="0" w:line="240" w:lineRule="auto"/>
        <w:jc w:val="both"/>
        <w:rPr>
          <w:rFonts w:ascii="Arial" w:hAnsi="Arial" w:cs="Arial"/>
          <w:szCs w:val="20"/>
          <w:lang w:val="en-CA"/>
        </w:rPr>
      </w:pPr>
    </w:p>
    <w:p w14:paraId="749A4C47" w14:textId="34E4053C" w:rsidR="00E3748C" w:rsidRPr="007B24D9" w:rsidRDefault="00E050EF" w:rsidP="00E050EF">
      <w:pPr>
        <w:pStyle w:val="ListParagraph"/>
        <w:numPr>
          <w:ilvl w:val="0"/>
          <w:numId w:val="33"/>
        </w:numPr>
        <w:tabs>
          <w:tab w:val="left" w:pos="810"/>
        </w:tabs>
        <w:spacing w:after="0" w:line="240" w:lineRule="auto"/>
        <w:jc w:val="both"/>
        <w:rPr>
          <w:rFonts w:ascii="Arial" w:hAnsi="Arial" w:cs="Arial"/>
          <w:szCs w:val="20"/>
        </w:rPr>
      </w:pPr>
      <w:r w:rsidRPr="00E050EF">
        <w:rPr>
          <w:rFonts w:ascii="Arial" w:hAnsi="Arial" w:cs="Arial"/>
          <w:szCs w:val="20"/>
        </w:rPr>
        <w:t xml:space="preserve">On March 2, 2018, 500,000 </w:t>
      </w:r>
      <w:r w:rsidR="00F07391">
        <w:rPr>
          <w:rFonts w:ascii="Arial" w:hAnsi="Arial" w:cs="Arial"/>
          <w:szCs w:val="20"/>
        </w:rPr>
        <w:t>common shares</w:t>
      </w:r>
      <w:r w:rsidRPr="00E050EF">
        <w:rPr>
          <w:rFonts w:ascii="Arial" w:hAnsi="Arial" w:cs="Arial"/>
          <w:szCs w:val="20"/>
        </w:rPr>
        <w:t xml:space="preserve"> were issued pursuant to the exchange agreement with Thrudermic and the members of Thrudermic (Note 4(</w:t>
      </w:r>
      <w:r w:rsidR="00781D03">
        <w:rPr>
          <w:rFonts w:ascii="Arial" w:hAnsi="Arial" w:cs="Arial"/>
          <w:szCs w:val="20"/>
        </w:rPr>
        <w:t>a</w:t>
      </w:r>
      <w:r w:rsidRPr="00E050EF">
        <w:rPr>
          <w:rFonts w:ascii="Arial" w:hAnsi="Arial" w:cs="Arial"/>
          <w:szCs w:val="20"/>
        </w:rPr>
        <w:t>))</w:t>
      </w:r>
      <w:r w:rsidR="00E3748C" w:rsidRPr="007B24D9">
        <w:rPr>
          <w:rFonts w:ascii="Arial" w:hAnsi="Arial" w:cs="Arial"/>
          <w:szCs w:val="20"/>
        </w:rPr>
        <w:t>.</w:t>
      </w:r>
    </w:p>
    <w:p w14:paraId="5DDC94BB" w14:textId="77777777" w:rsidR="00E050EF" w:rsidRPr="007B24D9" w:rsidRDefault="00E050EF" w:rsidP="005639E1">
      <w:pPr>
        <w:tabs>
          <w:tab w:val="left" w:pos="810"/>
        </w:tabs>
        <w:spacing w:after="0" w:line="240" w:lineRule="auto"/>
        <w:jc w:val="both"/>
        <w:rPr>
          <w:rFonts w:ascii="Arial" w:hAnsi="Arial" w:cs="Arial"/>
          <w:szCs w:val="20"/>
        </w:rPr>
      </w:pPr>
    </w:p>
    <w:p w14:paraId="5E6D47B6" w14:textId="3EBDC9B8" w:rsidR="00E3748C" w:rsidRPr="007B24D9" w:rsidRDefault="00CB02DC" w:rsidP="00E050EF">
      <w:pPr>
        <w:pStyle w:val="ListParagraph"/>
        <w:numPr>
          <w:ilvl w:val="0"/>
          <w:numId w:val="33"/>
        </w:numPr>
        <w:tabs>
          <w:tab w:val="left" w:pos="810"/>
        </w:tabs>
        <w:spacing w:after="0" w:line="240" w:lineRule="auto"/>
        <w:jc w:val="both"/>
        <w:rPr>
          <w:rFonts w:ascii="Arial" w:hAnsi="Arial" w:cs="Arial"/>
          <w:szCs w:val="20"/>
        </w:rPr>
      </w:pPr>
      <w:r w:rsidRPr="00CB02DC">
        <w:rPr>
          <w:rFonts w:ascii="Arial" w:hAnsi="Arial" w:cs="Arial"/>
          <w:szCs w:val="20"/>
        </w:rPr>
        <w:t xml:space="preserve">During the nine months ended October 31, 2018, the Company issued 598,735 common </w:t>
      </w:r>
      <w:r w:rsidR="000F4A2F">
        <w:rPr>
          <w:rFonts w:ascii="Arial" w:hAnsi="Arial" w:cs="Arial"/>
          <w:szCs w:val="20"/>
        </w:rPr>
        <w:t>shares</w:t>
      </w:r>
      <w:r w:rsidRPr="00CB02DC">
        <w:rPr>
          <w:rFonts w:ascii="Arial" w:hAnsi="Arial" w:cs="Arial"/>
          <w:szCs w:val="20"/>
        </w:rPr>
        <w:t>, with fair value totaling $</w:t>
      </w:r>
      <w:r>
        <w:rPr>
          <w:rFonts w:ascii="Arial" w:hAnsi="Arial" w:cs="Arial"/>
          <w:szCs w:val="20"/>
        </w:rPr>
        <w:t>393,938</w:t>
      </w:r>
      <w:r w:rsidRPr="00CB02DC">
        <w:rPr>
          <w:rFonts w:ascii="Arial" w:hAnsi="Arial" w:cs="Arial"/>
          <w:szCs w:val="20"/>
        </w:rPr>
        <w:t>, to third parties for services rendered</w:t>
      </w:r>
      <w:r w:rsidR="00E050EF" w:rsidRPr="00E050EF">
        <w:rPr>
          <w:rFonts w:ascii="Arial" w:hAnsi="Arial" w:cs="Arial"/>
          <w:szCs w:val="20"/>
        </w:rPr>
        <w:t>.</w:t>
      </w:r>
    </w:p>
    <w:p w14:paraId="19C2E4C0" w14:textId="080D06FB" w:rsidR="00CE6BA6" w:rsidRDefault="00CE6BA6" w:rsidP="005639E1">
      <w:pPr>
        <w:tabs>
          <w:tab w:val="left" w:pos="810"/>
        </w:tabs>
        <w:spacing w:after="0" w:line="240" w:lineRule="auto"/>
        <w:jc w:val="both"/>
        <w:rPr>
          <w:rFonts w:ascii="Arial" w:hAnsi="Arial" w:cs="Arial"/>
          <w:szCs w:val="20"/>
        </w:rPr>
      </w:pPr>
    </w:p>
    <w:p w14:paraId="7B8A11BA" w14:textId="77777777" w:rsidR="00C71250" w:rsidRDefault="00C71250">
      <w:pPr>
        <w:rPr>
          <w:rFonts w:ascii="Arial" w:hAnsi="Arial" w:cs="Arial"/>
          <w:b/>
          <w:bCs/>
          <w:szCs w:val="20"/>
        </w:rPr>
      </w:pPr>
      <w:r>
        <w:rPr>
          <w:rFonts w:ascii="Arial" w:hAnsi="Arial" w:cs="Arial"/>
          <w:b/>
          <w:bCs/>
          <w:szCs w:val="20"/>
        </w:rPr>
        <w:br w:type="page"/>
      </w:r>
    </w:p>
    <w:p w14:paraId="5F1FDD9D" w14:textId="67ABEA35" w:rsidR="00C71250" w:rsidRPr="001D529F" w:rsidRDefault="00C71250" w:rsidP="00C71250">
      <w:pPr>
        <w:tabs>
          <w:tab w:val="left" w:pos="432"/>
        </w:tabs>
        <w:spacing w:after="0" w:line="240" w:lineRule="auto"/>
        <w:jc w:val="both"/>
        <w:rPr>
          <w:rFonts w:ascii="Arial" w:hAnsi="Arial" w:cs="Arial"/>
          <w:bCs/>
          <w:szCs w:val="20"/>
        </w:rPr>
      </w:pPr>
      <w:r w:rsidRPr="001D529F">
        <w:rPr>
          <w:rFonts w:ascii="Arial" w:hAnsi="Arial" w:cs="Arial"/>
          <w:b/>
          <w:bCs/>
          <w:szCs w:val="20"/>
        </w:rPr>
        <w:lastRenderedPageBreak/>
        <w:t>1</w:t>
      </w:r>
      <w:r w:rsidR="00303283">
        <w:rPr>
          <w:rFonts w:ascii="Arial" w:hAnsi="Arial" w:cs="Arial"/>
          <w:b/>
          <w:bCs/>
          <w:szCs w:val="20"/>
        </w:rPr>
        <w:t>2</w:t>
      </w:r>
      <w:r w:rsidRPr="001D529F">
        <w:rPr>
          <w:rFonts w:ascii="Arial" w:hAnsi="Arial" w:cs="Arial"/>
          <w:b/>
          <w:bCs/>
          <w:szCs w:val="20"/>
        </w:rPr>
        <w:t>.</w:t>
      </w:r>
      <w:r w:rsidRPr="001D529F">
        <w:rPr>
          <w:rFonts w:ascii="Arial" w:hAnsi="Arial" w:cs="Arial"/>
          <w:b/>
          <w:bCs/>
          <w:szCs w:val="20"/>
        </w:rPr>
        <w:tab/>
        <w:t xml:space="preserve">Common </w:t>
      </w:r>
      <w:r>
        <w:rPr>
          <w:rFonts w:ascii="Arial" w:hAnsi="Arial" w:cs="Arial"/>
          <w:b/>
          <w:bCs/>
          <w:szCs w:val="20"/>
        </w:rPr>
        <w:t>Shares</w:t>
      </w:r>
      <w:r w:rsidRPr="001D529F">
        <w:rPr>
          <w:rFonts w:ascii="Arial" w:hAnsi="Arial" w:cs="Arial"/>
          <w:b/>
          <w:bCs/>
          <w:szCs w:val="20"/>
        </w:rPr>
        <w:t xml:space="preserve"> </w:t>
      </w:r>
      <w:r w:rsidRPr="001D529F">
        <w:rPr>
          <w:rFonts w:ascii="Arial" w:hAnsi="Arial" w:cs="Arial"/>
          <w:bCs/>
          <w:szCs w:val="20"/>
        </w:rPr>
        <w:t>(continued)</w:t>
      </w:r>
    </w:p>
    <w:p w14:paraId="76D18673" w14:textId="77777777" w:rsidR="00C71250" w:rsidRPr="007B24D9" w:rsidRDefault="00C71250" w:rsidP="005639E1">
      <w:pPr>
        <w:tabs>
          <w:tab w:val="left" w:pos="810"/>
        </w:tabs>
        <w:spacing w:after="0" w:line="240" w:lineRule="auto"/>
        <w:jc w:val="both"/>
        <w:rPr>
          <w:rFonts w:ascii="Arial" w:hAnsi="Arial" w:cs="Arial"/>
          <w:szCs w:val="20"/>
        </w:rPr>
      </w:pPr>
    </w:p>
    <w:p w14:paraId="2164FE24" w14:textId="325BBF77" w:rsidR="00E3748C" w:rsidRPr="00C71250" w:rsidRDefault="00A734F6" w:rsidP="00E050EF">
      <w:pPr>
        <w:pStyle w:val="ListParagraph"/>
        <w:numPr>
          <w:ilvl w:val="0"/>
          <w:numId w:val="33"/>
        </w:numPr>
        <w:tabs>
          <w:tab w:val="left" w:pos="810"/>
        </w:tabs>
        <w:spacing w:after="0" w:line="240" w:lineRule="auto"/>
        <w:jc w:val="both"/>
        <w:rPr>
          <w:rFonts w:ascii="Arial" w:hAnsi="Arial" w:cs="Arial"/>
          <w:szCs w:val="20"/>
        </w:rPr>
      </w:pPr>
      <w:r w:rsidRPr="00A734F6">
        <w:rPr>
          <w:rFonts w:ascii="Arial" w:hAnsi="Arial" w:cs="Arial"/>
          <w:szCs w:val="20"/>
        </w:rPr>
        <w:t xml:space="preserve">During the nine months ended October 31, 2018 the Company issued 277,691 common </w:t>
      </w:r>
      <w:r w:rsidR="000F4A2F">
        <w:rPr>
          <w:rFonts w:ascii="Arial" w:hAnsi="Arial" w:cs="Arial"/>
          <w:szCs w:val="20"/>
        </w:rPr>
        <w:t>shares</w:t>
      </w:r>
      <w:r w:rsidRPr="00A734F6">
        <w:rPr>
          <w:rFonts w:ascii="Arial" w:hAnsi="Arial" w:cs="Arial"/>
          <w:szCs w:val="20"/>
        </w:rPr>
        <w:t>, with fair value totaling $</w:t>
      </w:r>
      <w:r w:rsidR="00CB02DC">
        <w:rPr>
          <w:rFonts w:ascii="Arial" w:hAnsi="Arial" w:cs="Arial"/>
          <w:szCs w:val="20"/>
        </w:rPr>
        <w:t>154,497</w:t>
      </w:r>
      <w:r w:rsidRPr="00A734F6">
        <w:rPr>
          <w:rFonts w:ascii="Arial" w:hAnsi="Arial" w:cs="Arial"/>
          <w:szCs w:val="20"/>
        </w:rPr>
        <w:t>, as compensation pursuant to employment agreements entered into as part of the acquisitions of Thrudermic (</w:t>
      </w:r>
      <w:r w:rsidRPr="00C71250">
        <w:rPr>
          <w:rFonts w:ascii="Arial" w:hAnsi="Arial" w:cs="Arial"/>
          <w:szCs w:val="20"/>
        </w:rPr>
        <w:t xml:space="preserve">Note </w:t>
      </w:r>
      <w:r w:rsidR="00C71250" w:rsidRPr="00C71250">
        <w:rPr>
          <w:rFonts w:ascii="Arial" w:hAnsi="Arial" w:cs="Arial"/>
          <w:szCs w:val="20"/>
        </w:rPr>
        <w:t>4</w:t>
      </w:r>
      <w:r w:rsidRPr="00C71250">
        <w:rPr>
          <w:rFonts w:ascii="Arial" w:hAnsi="Arial" w:cs="Arial"/>
          <w:szCs w:val="20"/>
        </w:rPr>
        <w:t>(a)) and Pivot Naturals (Note 4</w:t>
      </w:r>
      <w:r w:rsidR="00CB02DC" w:rsidRPr="00C71250">
        <w:rPr>
          <w:rFonts w:ascii="Arial" w:hAnsi="Arial" w:cs="Arial"/>
          <w:szCs w:val="20"/>
        </w:rPr>
        <w:t>(b)</w:t>
      </w:r>
      <w:r w:rsidRPr="00C71250">
        <w:rPr>
          <w:rFonts w:ascii="Arial" w:hAnsi="Arial" w:cs="Arial"/>
          <w:szCs w:val="20"/>
        </w:rPr>
        <w:t>)</w:t>
      </w:r>
      <w:r w:rsidR="00E050EF" w:rsidRPr="00C71250">
        <w:rPr>
          <w:rFonts w:ascii="Arial" w:hAnsi="Arial" w:cs="Arial"/>
          <w:szCs w:val="20"/>
        </w:rPr>
        <w:t>.</w:t>
      </w:r>
    </w:p>
    <w:p w14:paraId="1AC9D0E2" w14:textId="77777777" w:rsidR="00A734F6" w:rsidRPr="00A734F6" w:rsidRDefault="00A734F6" w:rsidP="00A734F6">
      <w:pPr>
        <w:pStyle w:val="ListParagraph"/>
        <w:rPr>
          <w:rFonts w:ascii="Arial" w:hAnsi="Arial" w:cs="Arial"/>
          <w:szCs w:val="20"/>
        </w:rPr>
      </w:pPr>
    </w:p>
    <w:p w14:paraId="7F87E0D9" w14:textId="1BD914C1" w:rsidR="00A734F6" w:rsidRDefault="00A734F6" w:rsidP="00E050EF">
      <w:pPr>
        <w:pStyle w:val="ListParagraph"/>
        <w:numPr>
          <w:ilvl w:val="0"/>
          <w:numId w:val="33"/>
        </w:numPr>
        <w:tabs>
          <w:tab w:val="left" w:pos="810"/>
        </w:tabs>
        <w:spacing w:after="0" w:line="240" w:lineRule="auto"/>
        <w:jc w:val="both"/>
        <w:rPr>
          <w:rFonts w:ascii="Arial" w:hAnsi="Arial" w:cs="Arial"/>
          <w:szCs w:val="20"/>
        </w:rPr>
      </w:pPr>
      <w:r w:rsidRPr="00AD0856">
        <w:rPr>
          <w:rFonts w:ascii="Arial" w:hAnsi="Arial" w:cs="Arial"/>
          <w:szCs w:val="20"/>
        </w:rPr>
        <w:t xml:space="preserve">On October 22, 2018, 3,750,000 units of the Company, </w:t>
      </w:r>
      <w:r w:rsidRPr="00AD0856">
        <w:rPr>
          <w:rFonts w:ascii="Arial" w:hAnsi="Arial" w:cs="Arial"/>
          <w:bCs/>
          <w:szCs w:val="20"/>
        </w:rPr>
        <w:t xml:space="preserve">with each unit consisting of one common </w:t>
      </w:r>
      <w:r w:rsidR="000F4A2F">
        <w:rPr>
          <w:rFonts w:ascii="Arial" w:hAnsi="Arial" w:cs="Arial"/>
          <w:bCs/>
          <w:szCs w:val="20"/>
        </w:rPr>
        <w:t>share</w:t>
      </w:r>
      <w:r w:rsidRPr="00AD0856">
        <w:rPr>
          <w:rFonts w:ascii="Arial" w:hAnsi="Arial" w:cs="Arial"/>
          <w:bCs/>
          <w:szCs w:val="20"/>
        </w:rPr>
        <w:t xml:space="preserve"> and one share purchase warrant with an exercise price of $0.60</w:t>
      </w:r>
      <w:r w:rsidR="00CB02DC">
        <w:rPr>
          <w:rFonts w:ascii="Arial" w:hAnsi="Arial" w:cs="Arial"/>
          <w:bCs/>
          <w:szCs w:val="20"/>
        </w:rPr>
        <w:t xml:space="preserve"> </w:t>
      </w:r>
      <w:r w:rsidRPr="00AD0856">
        <w:rPr>
          <w:rFonts w:ascii="Arial" w:hAnsi="Arial" w:cs="Arial"/>
          <w:bCs/>
          <w:szCs w:val="20"/>
        </w:rPr>
        <w:t>and three year expiry</w:t>
      </w:r>
      <w:r w:rsidRPr="00AD0856">
        <w:rPr>
          <w:rFonts w:ascii="Arial" w:hAnsi="Arial" w:cs="Arial"/>
          <w:szCs w:val="20"/>
        </w:rPr>
        <w:t xml:space="preserve">, were issued pursuant to settlement of $1,500,000 of convertible debentures (Note </w:t>
      </w:r>
      <w:r w:rsidR="000F4A2F">
        <w:rPr>
          <w:rFonts w:ascii="Arial" w:hAnsi="Arial" w:cs="Arial"/>
          <w:szCs w:val="20"/>
        </w:rPr>
        <w:t>10</w:t>
      </w:r>
      <w:r w:rsidRPr="00AD0856">
        <w:rPr>
          <w:rFonts w:ascii="Arial" w:hAnsi="Arial" w:cs="Arial"/>
          <w:szCs w:val="20"/>
        </w:rPr>
        <w:t>)</w:t>
      </w:r>
      <w:r>
        <w:rPr>
          <w:rFonts w:ascii="Arial" w:hAnsi="Arial" w:cs="Arial"/>
          <w:szCs w:val="20"/>
        </w:rPr>
        <w:t>.</w:t>
      </w:r>
    </w:p>
    <w:p w14:paraId="732C4D32" w14:textId="77777777" w:rsidR="00A734F6" w:rsidRPr="00A734F6" w:rsidRDefault="00A734F6" w:rsidP="00A734F6">
      <w:pPr>
        <w:pStyle w:val="ListParagraph"/>
        <w:rPr>
          <w:rFonts w:ascii="Arial" w:hAnsi="Arial" w:cs="Arial"/>
          <w:szCs w:val="20"/>
        </w:rPr>
      </w:pPr>
    </w:p>
    <w:p w14:paraId="38B42CED" w14:textId="7A2BEB5B" w:rsidR="00A734F6" w:rsidRDefault="00CB02DC" w:rsidP="00E050EF">
      <w:pPr>
        <w:pStyle w:val="ListParagraph"/>
        <w:numPr>
          <w:ilvl w:val="0"/>
          <w:numId w:val="33"/>
        </w:numPr>
        <w:tabs>
          <w:tab w:val="left" w:pos="810"/>
        </w:tabs>
        <w:spacing w:after="0" w:line="240" w:lineRule="auto"/>
        <w:jc w:val="both"/>
        <w:rPr>
          <w:rFonts w:ascii="Arial" w:hAnsi="Arial" w:cs="Arial"/>
          <w:szCs w:val="20"/>
        </w:rPr>
      </w:pPr>
      <w:r w:rsidRPr="00CB02DC">
        <w:rPr>
          <w:rFonts w:ascii="Arial" w:hAnsi="Arial" w:cs="Arial"/>
          <w:szCs w:val="20"/>
        </w:rPr>
        <w:t xml:space="preserve">In October 2018, 3,328,250 units of the Company, with each unit consisting of one common </w:t>
      </w:r>
      <w:r w:rsidR="00BE57AC">
        <w:rPr>
          <w:rFonts w:ascii="Arial" w:hAnsi="Arial" w:cs="Arial"/>
          <w:szCs w:val="20"/>
        </w:rPr>
        <w:t>share</w:t>
      </w:r>
      <w:r w:rsidRPr="00CB02DC">
        <w:rPr>
          <w:rFonts w:ascii="Arial" w:hAnsi="Arial" w:cs="Arial"/>
          <w:szCs w:val="20"/>
        </w:rPr>
        <w:t xml:space="preserve"> and one share purchase warrant with an exercise price of $0.60 and three year expiry, were issued for subscription proceeds of $1,331,300.  Pursuant to the private placement, the Company paid finders’ fee of $</w:t>
      </w:r>
      <w:r w:rsidR="000C2D35" w:rsidRPr="00C71250">
        <w:rPr>
          <w:rFonts w:ascii="Arial" w:hAnsi="Arial" w:cs="Arial"/>
          <w:szCs w:val="20"/>
        </w:rPr>
        <w:t>67,964</w:t>
      </w:r>
      <w:r w:rsidRPr="00C71250">
        <w:rPr>
          <w:rFonts w:ascii="Arial" w:hAnsi="Arial" w:cs="Arial"/>
          <w:szCs w:val="20"/>
        </w:rPr>
        <w:t xml:space="preserve"> in cash</w:t>
      </w:r>
      <w:r w:rsidRPr="00CB02DC">
        <w:rPr>
          <w:rFonts w:ascii="Arial" w:hAnsi="Arial" w:cs="Arial"/>
          <w:szCs w:val="20"/>
        </w:rPr>
        <w:t xml:space="preserve"> and issued 142,260 share purchase warrants with an exercise price of $0.60 and three year expiry.  An additional 38,000 share purchase warrants, with an exercise price of $0.60 and three year expiry, in finders’ fee were issued on November 2, 2018</w:t>
      </w:r>
      <w:r w:rsidR="00303283">
        <w:rPr>
          <w:rFonts w:ascii="Arial" w:hAnsi="Arial" w:cs="Arial"/>
          <w:szCs w:val="20"/>
        </w:rPr>
        <w:t>.</w:t>
      </w:r>
    </w:p>
    <w:p w14:paraId="1387D681" w14:textId="77777777" w:rsidR="00CD70E7" w:rsidRPr="00CD70E7" w:rsidRDefault="00CD70E7" w:rsidP="005639E1">
      <w:pPr>
        <w:tabs>
          <w:tab w:val="left" w:pos="810"/>
        </w:tabs>
        <w:spacing w:after="0" w:line="240" w:lineRule="auto"/>
        <w:jc w:val="both"/>
        <w:rPr>
          <w:rFonts w:ascii="Arial" w:hAnsi="Arial" w:cs="Arial"/>
          <w:szCs w:val="20"/>
        </w:rPr>
      </w:pPr>
    </w:p>
    <w:p w14:paraId="6FFBF717" w14:textId="12B807F8" w:rsidR="00790828" w:rsidRPr="00F60034" w:rsidRDefault="00CD70E7" w:rsidP="00F15B99">
      <w:pPr>
        <w:tabs>
          <w:tab w:val="left" w:pos="450"/>
        </w:tabs>
        <w:spacing w:after="0" w:line="240" w:lineRule="auto"/>
        <w:jc w:val="both"/>
        <w:rPr>
          <w:rFonts w:ascii="Arial" w:hAnsi="Arial" w:cs="Arial"/>
          <w:b/>
          <w:szCs w:val="20"/>
        </w:rPr>
      </w:pPr>
      <w:r w:rsidRPr="00E430D2">
        <w:rPr>
          <w:rFonts w:ascii="Arial" w:hAnsi="Arial" w:cs="Arial"/>
          <w:b/>
          <w:szCs w:val="20"/>
        </w:rPr>
        <w:t>1</w:t>
      </w:r>
      <w:r w:rsidR="00303283">
        <w:rPr>
          <w:rFonts w:ascii="Arial" w:hAnsi="Arial" w:cs="Arial"/>
          <w:b/>
          <w:szCs w:val="20"/>
        </w:rPr>
        <w:t>3</w:t>
      </w:r>
      <w:r w:rsidR="00790828" w:rsidRPr="00E430D2">
        <w:rPr>
          <w:rFonts w:ascii="Arial" w:hAnsi="Arial" w:cs="Arial"/>
          <w:b/>
          <w:szCs w:val="20"/>
        </w:rPr>
        <w:t>.</w:t>
      </w:r>
      <w:r w:rsidR="00790828" w:rsidRPr="00E430D2">
        <w:rPr>
          <w:rFonts w:ascii="Arial" w:hAnsi="Arial" w:cs="Arial"/>
          <w:b/>
          <w:szCs w:val="20"/>
        </w:rPr>
        <w:tab/>
        <w:t>Share Purchase Warrants</w:t>
      </w:r>
    </w:p>
    <w:p w14:paraId="1084046A" w14:textId="77777777" w:rsidR="00CD70E7" w:rsidRDefault="00CD70E7" w:rsidP="00F15B99">
      <w:pPr>
        <w:tabs>
          <w:tab w:val="left" w:pos="-2160"/>
        </w:tabs>
        <w:spacing w:after="0" w:line="240" w:lineRule="auto"/>
        <w:ind w:left="431"/>
        <w:jc w:val="both"/>
        <w:rPr>
          <w:rFonts w:ascii="Arial" w:hAnsi="Arial" w:cs="Arial"/>
          <w:szCs w:val="20"/>
        </w:rPr>
      </w:pPr>
    </w:p>
    <w:p w14:paraId="30431642" w14:textId="77777777" w:rsidR="00790828" w:rsidRPr="00F60034" w:rsidRDefault="00790828" w:rsidP="00F15B99">
      <w:pPr>
        <w:tabs>
          <w:tab w:val="left" w:pos="-2160"/>
        </w:tabs>
        <w:spacing w:after="0" w:line="240" w:lineRule="auto"/>
        <w:ind w:left="431"/>
        <w:jc w:val="both"/>
        <w:rPr>
          <w:rFonts w:ascii="Arial" w:hAnsi="Arial" w:cs="Arial"/>
          <w:szCs w:val="20"/>
        </w:rPr>
      </w:pPr>
      <w:r w:rsidRPr="00F60034">
        <w:rPr>
          <w:rFonts w:ascii="Arial" w:hAnsi="Arial" w:cs="Arial"/>
          <w:szCs w:val="20"/>
        </w:rPr>
        <w:t>The following table summarizes the continuity of share purchase warrants:</w:t>
      </w:r>
    </w:p>
    <w:tbl>
      <w:tblPr>
        <w:tblW w:w="9180" w:type="dxa"/>
        <w:tblInd w:w="558" w:type="dxa"/>
        <w:tblLayout w:type="fixed"/>
        <w:tblLook w:val="0000" w:firstRow="0" w:lastRow="0" w:firstColumn="0" w:lastColumn="0" w:noHBand="0" w:noVBand="0"/>
      </w:tblPr>
      <w:tblGrid>
        <w:gridCol w:w="5850"/>
        <w:gridCol w:w="1440"/>
        <w:gridCol w:w="1890"/>
      </w:tblGrid>
      <w:tr w:rsidR="00790828" w:rsidRPr="00F60034" w14:paraId="107C522E" w14:textId="77777777" w:rsidTr="00790828">
        <w:trPr>
          <w:cantSplit/>
        </w:trPr>
        <w:tc>
          <w:tcPr>
            <w:tcW w:w="5850" w:type="dxa"/>
            <w:tcBorders>
              <w:bottom w:val="single" w:sz="4" w:space="0" w:color="auto"/>
            </w:tcBorders>
          </w:tcPr>
          <w:p w14:paraId="18B9A0D8" w14:textId="77777777" w:rsidR="00790828" w:rsidRPr="00F60034" w:rsidRDefault="00790828" w:rsidP="00F15B99">
            <w:pPr>
              <w:keepNext/>
              <w:spacing w:after="0" w:line="240" w:lineRule="auto"/>
              <w:rPr>
                <w:rFonts w:ascii="Arial" w:hAnsi="Arial" w:cs="Arial"/>
                <w:szCs w:val="20"/>
                <w:lang w:val="en-GB"/>
              </w:rPr>
            </w:pPr>
          </w:p>
        </w:tc>
        <w:tc>
          <w:tcPr>
            <w:tcW w:w="1440" w:type="dxa"/>
            <w:tcBorders>
              <w:bottom w:val="single" w:sz="4" w:space="0" w:color="auto"/>
            </w:tcBorders>
            <w:vAlign w:val="bottom"/>
          </w:tcPr>
          <w:p w14:paraId="245C4128" w14:textId="77777777" w:rsidR="00790828" w:rsidRPr="00F60034" w:rsidRDefault="00790828" w:rsidP="00F15B99">
            <w:pPr>
              <w:spacing w:after="0" w:line="240" w:lineRule="auto"/>
              <w:jc w:val="center"/>
              <w:rPr>
                <w:rFonts w:ascii="Arial" w:hAnsi="Arial" w:cs="Arial"/>
                <w:szCs w:val="20"/>
              </w:rPr>
            </w:pPr>
            <w:r w:rsidRPr="00F60034">
              <w:rPr>
                <w:rFonts w:ascii="Arial" w:hAnsi="Arial" w:cs="Arial"/>
                <w:szCs w:val="20"/>
              </w:rPr>
              <w:t>Number of</w:t>
            </w:r>
          </w:p>
          <w:p w14:paraId="023C6856" w14:textId="77777777" w:rsidR="00790828" w:rsidRPr="00F60034" w:rsidRDefault="00790828" w:rsidP="00F15B99">
            <w:pPr>
              <w:spacing w:after="0" w:line="240" w:lineRule="auto"/>
              <w:jc w:val="center"/>
              <w:rPr>
                <w:rFonts w:ascii="Arial" w:hAnsi="Arial" w:cs="Arial"/>
                <w:szCs w:val="20"/>
              </w:rPr>
            </w:pPr>
            <w:r w:rsidRPr="00F60034">
              <w:rPr>
                <w:rFonts w:ascii="Arial" w:hAnsi="Arial" w:cs="Arial"/>
                <w:szCs w:val="20"/>
              </w:rPr>
              <w:t>Warrants</w:t>
            </w:r>
          </w:p>
        </w:tc>
        <w:tc>
          <w:tcPr>
            <w:tcW w:w="1890" w:type="dxa"/>
            <w:tcBorders>
              <w:bottom w:val="single" w:sz="4" w:space="0" w:color="auto"/>
            </w:tcBorders>
            <w:vAlign w:val="bottom"/>
          </w:tcPr>
          <w:p w14:paraId="627B65AF" w14:textId="77777777" w:rsidR="00790828" w:rsidRPr="00F60034" w:rsidRDefault="00790828" w:rsidP="00F15B99">
            <w:pPr>
              <w:spacing w:after="0" w:line="240" w:lineRule="auto"/>
              <w:jc w:val="center"/>
              <w:rPr>
                <w:rFonts w:ascii="Arial" w:hAnsi="Arial" w:cs="Arial"/>
                <w:szCs w:val="20"/>
              </w:rPr>
            </w:pPr>
            <w:r w:rsidRPr="00F60034">
              <w:rPr>
                <w:rFonts w:ascii="Arial" w:hAnsi="Arial" w:cs="Arial"/>
                <w:szCs w:val="20"/>
              </w:rPr>
              <w:t>Weighted Average Exercise Price</w:t>
            </w:r>
          </w:p>
          <w:p w14:paraId="32F8DE7E" w14:textId="77777777" w:rsidR="00790828" w:rsidRPr="00F60034" w:rsidRDefault="00790828" w:rsidP="00F15B99">
            <w:pPr>
              <w:spacing w:after="0" w:line="240" w:lineRule="auto"/>
              <w:jc w:val="center"/>
              <w:rPr>
                <w:rFonts w:ascii="Arial" w:hAnsi="Arial" w:cs="Arial"/>
                <w:szCs w:val="20"/>
              </w:rPr>
            </w:pPr>
            <w:r w:rsidRPr="00F60034">
              <w:rPr>
                <w:rFonts w:ascii="Arial" w:hAnsi="Arial" w:cs="Arial"/>
                <w:szCs w:val="20"/>
              </w:rPr>
              <w:t>$</w:t>
            </w:r>
          </w:p>
        </w:tc>
      </w:tr>
      <w:tr w:rsidR="00CD70E7" w:rsidRPr="00F60034" w14:paraId="52E8F3EC" w14:textId="77777777" w:rsidTr="00CD70E7">
        <w:trPr>
          <w:trHeight w:hRule="exact" w:val="72"/>
        </w:trPr>
        <w:tc>
          <w:tcPr>
            <w:tcW w:w="5850" w:type="dxa"/>
            <w:tcBorders>
              <w:top w:val="single" w:sz="6" w:space="0" w:color="auto"/>
            </w:tcBorders>
            <w:vAlign w:val="bottom"/>
          </w:tcPr>
          <w:p w14:paraId="30C1FE1C" w14:textId="77777777" w:rsidR="00CD70E7" w:rsidRPr="00F60034" w:rsidRDefault="00CD70E7" w:rsidP="00CD70E7">
            <w:pPr>
              <w:spacing w:after="0" w:line="240" w:lineRule="auto"/>
              <w:rPr>
                <w:rFonts w:ascii="Arial" w:hAnsi="Arial" w:cs="Arial"/>
                <w:szCs w:val="20"/>
              </w:rPr>
            </w:pPr>
          </w:p>
        </w:tc>
        <w:tc>
          <w:tcPr>
            <w:tcW w:w="1440" w:type="dxa"/>
            <w:tcBorders>
              <w:top w:val="single" w:sz="6" w:space="0" w:color="auto"/>
            </w:tcBorders>
            <w:vAlign w:val="bottom"/>
          </w:tcPr>
          <w:p w14:paraId="1D3E4068" w14:textId="77777777" w:rsidR="00CD70E7" w:rsidRPr="00F60034" w:rsidRDefault="00CD70E7" w:rsidP="00CD70E7">
            <w:pPr>
              <w:spacing w:after="0" w:line="240" w:lineRule="auto"/>
              <w:ind w:right="144"/>
              <w:jc w:val="right"/>
              <w:rPr>
                <w:rFonts w:ascii="Arial" w:hAnsi="Arial" w:cs="Arial"/>
                <w:szCs w:val="20"/>
              </w:rPr>
            </w:pPr>
          </w:p>
        </w:tc>
        <w:tc>
          <w:tcPr>
            <w:tcW w:w="1890" w:type="dxa"/>
            <w:tcBorders>
              <w:top w:val="single" w:sz="6" w:space="0" w:color="auto"/>
            </w:tcBorders>
            <w:vAlign w:val="bottom"/>
          </w:tcPr>
          <w:p w14:paraId="78398D26" w14:textId="77777777" w:rsidR="00CD70E7" w:rsidRPr="00F60034" w:rsidRDefault="00CD70E7" w:rsidP="00CD70E7">
            <w:pPr>
              <w:spacing w:after="0" w:line="240" w:lineRule="auto"/>
              <w:ind w:right="256"/>
              <w:jc w:val="right"/>
              <w:rPr>
                <w:rFonts w:ascii="Arial" w:hAnsi="Arial" w:cs="Arial"/>
                <w:szCs w:val="20"/>
              </w:rPr>
            </w:pPr>
          </w:p>
        </w:tc>
      </w:tr>
      <w:tr w:rsidR="00CD70E7" w:rsidRPr="00F60034" w14:paraId="33A6B6A6" w14:textId="77777777" w:rsidTr="00CD70E7">
        <w:tc>
          <w:tcPr>
            <w:tcW w:w="5850" w:type="dxa"/>
            <w:vAlign w:val="bottom"/>
          </w:tcPr>
          <w:p w14:paraId="4DE28E28" w14:textId="70AF513C" w:rsidR="00CD70E7" w:rsidRPr="00F60034" w:rsidRDefault="00CD70E7" w:rsidP="00E430D2">
            <w:pPr>
              <w:spacing w:after="0" w:line="240" w:lineRule="auto"/>
              <w:rPr>
                <w:rFonts w:ascii="Arial" w:hAnsi="Arial" w:cs="Arial"/>
                <w:szCs w:val="20"/>
              </w:rPr>
            </w:pPr>
            <w:r w:rsidRPr="00F60034">
              <w:rPr>
                <w:rFonts w:ascii="Arial" w:hAnsi="Arial" w:cs="Arial"/>
                <w:szCs w:val="20"/>
              </w:rPr>
              <w:t xml:space="preserve">Balance, </w:t>
            </w:r>
            <w:r w:rsidR="00E430D2">
              <w:rPr>
                <w:rFonts w:ascii="Arial" w:hAnsi="Arial" w:cs="Arial"/>
                <w:szCs w:val="20"/>
              </w:rPr>
              <w:t xml:space="preserve">February </w:t>
            </w:r>
            <w:r w:rsidRPr="00F60034">
              <w:rPr>
                <w:rFonts w:ascii="Arial" w:hAnsi="Arial" w:cs="Arial"/>
                <w:szCs w:val="20"/>
              </w:rPr>
              <w:t xml:space="preserve">1, </w:t>
            </w:r>
            <w:r>
              <w:rPr>
                <w:rFonts w:ascii="Arial" w:hAnsi="Arial" w:cs="Arial"/>
                <w:szCs w:val="20"/>
              </w:rPr>
              <w:t>2018</w:t>
            </w:r>
          </w:p>
        </w:tc>
        <w:tc>
          <w:tcPr>
            <w:tcW w:w="1440" w:type="dxa"/>
            <w:vAlign w:val="bottom"/>
          </w:tcPr>
          <w:p w14:paraId="0774842E" w14:textId="77777777" w:rsidR="00CD70E7" w:rsidRPr="00F60034" w:rsidRDefault="00CD70E7" w:rsidP="00CD70E7">
            <w:pPr>
              <w:spacing w:after="0" w:line="240" w:lineRule="auto"/>
              <w:ind w:right="144"/>
              <w:jc w:val="right"/>
              <w:rPr>
                <w:rFonts w:ascii="Arial" w:hAnsi="Arial" w:cs="Arial"/>
                <w:szCs w:val="20"/>
              </w:rPr>
            </w:pPr>
            <w:r>
              <w:rPr>
                <w:rFonts w:ascii="Arial" w:hAnsi="Arial" w:cs="Arial"/>
                <w:szCs w:val="20"/>
              </w:rPr>
              <w:t>265,125</w:t>
            </w:r>
          </w:p>
        </w:tc>
        <w:tc>
          <w:tcPr>
            <w:tcW w:w="1890" w:type="dxa"/>
            <w:vAlign w:val="bottom"/>
          </w:tcPr>
          <w:p w14:paraId="1BFF7E8D" w14:textId="525B7BE6" w:rsidR="00CD70E7" w:rsidRPr="00F60034" w:rsidRDefault="00320D7D" w:rsidP="00CD70E7">
            <w:pPr>
              <w:spacing w:after="0" w:line="240" w:lineRule="auto"/>
              <w:ind w:right="256"/>
              <w:jc w:val="right"/>
              <w:rPr>
                <w:rFonts w:ascii="Arial" w:hAnsi="Arial" w:cs="Arial"/>
                <w:szCs w:val="20"/>
              </w:rPr>
            </w:pPr>
            <w:r>
              <w:rPr>
                <w:rFonts w:ascii="Arial" w:hAnsi="Arial" w:cs="Arial"/>
                <w:szCs w:val="20"/>
              </w:rPr>
              <w:t>0.4</w:t>
            </w:r>
            <w:r w:rsidR="00CD70E7">
              <w:rPr>
                <w:rFonts w:ascii="Arial" w:hAnsi="Arial" w:cs="Arial"/>
                <w:szCs w:val="20"/>
              </w:rPr>
              <w:t>5</w:t>
            </w:r>
          </w:p>
        </w:tc>
      </w:tr>
      <w:tr w:rsidR="00E430D2" w:rsidRPr="00F60034" w14:paraId="589083E3" w14:textId="77777777" w:rsidTr="00EC4ECB">
        <w:trPr>
          <w:trHeight w:hRule="exact" w:val="86"/>
        </w:trPr>
        <w:tc>
          <w:tcPr>
            <w:tcW w:w="5850" w:type="dxa"/>
            <w:vAlign w:val="bottom"/>
          </w:tcPr>
          <w:p w14:paraId="0E28D34F" w14:textId="77777777" w:rsidR="00E430D2" w:rsidRPr="00F60034" w:rsidRDefault="00E430D2" w:rsidP="00EC4ECB">
            <w:pPr>
              <w:spacing w:after="0" w:line="240" w:lineRule="auto"/>
              <w:rPr>
                <w:rFonts w:ascii="Arial" w:hAnsi="Arial" w:cs="Arial"/>
                <w:szCs w:val="20"/>
              </w:rPr>
            </w:pPr>
          </w:p>
        </w:tc>
        <w:tc>
          <w:tcPr>
            <w:tcW w:w="1440" w:type="dxa"/>
            <w:vAlign w:val="bottom"/>
          </w:tcPr>
          <w:p w14:paraId="4F3F4495" w14:textId="77777777" w:rsidR="00E430D2" w:rsidRPr="00F60034" w:rsidRDefault="00E430D2" w:rsidP="00EC4ECB">
            <w:pPr>
              <w:spacing w:after="0" w:line="240" w:lineRule="auto"/>
              <w:ind w:right="144"/>
              <w:jc w:val="right"/>
              <w:rPr>
                <w:rFonts w:ascii="Arial" w:hAnsi="Arial" w:cs="Arial"/>
                <w:szCs w:val="20"/>
              </w:rPr>
            </w:pPr>
          </w:p>
        </w:tc>
        <w:tc>
          <w:tcPr>
            <w:tcW w:w="1890" w:type="dxa"/>
            <w:vAlign w:val="bottom"/>
          </w:tcPr>
          <w:p w14:paraId="4936DB86" w14:textId="77777777" w:rsidR="00E430D2" w:rsidRPr="00F60034" w:rsidRDefault="00E430D2" w:rsidP="00EC4ECB">
            <w:pPr>
              <w:spacing w:after="0" w:line="240" w:lineRule="auto"/>
              <w:ind w:right="256"/>
              <w:jc w:val="right"/>
              <w:rPr>
                <w:rFonts w:ascii="Arial" w:hAnsi="Arial" w:cs="Arial"/>
                <w:szCs w:val="20"/>
              </w:rPr>
            </w:pPr>
          </w:p>
        </w:tc>
      </w:tr>
      <w:tr w:rsidR="00E430D2" w:rsidRPr="00F60034" w14:paraId="2F52CDA5" w14:textId="77777777" w:rsidTr="00EC4ECB">
        <w:trPr>
          <w:trHeight w:val="171"/>
        </w:trPr>
        <w:tc>
          <w:tcPr>
            <w:tcW w:w="5850" w:type="dxa"/>
            <w:vAlign w:val="bottom"/>
          </w:tcPr>
          <w:p w14:paraId="3B207DFF" w14:textId="30A233EE" w:rsidR="00E430D2" w:rsidRPr="00F60034" w:rsidRDefault="00E430D2" w:rsidP="00E430D2">
            <w:pPr>
              <w:spacing w:after="0" w:line="240" w:lineRule="auto"/>
              <w:ind w:left="144"/>
              <w:rPr>
                <w:rFonts w:ascii="Arial" w:hAnsi="Arial" w:cs="Arial"/>
                <w:szCs w:val="20"/>
              </w:rPr>
            </w:pPr>
            <w:r>
              <w:rPr>
                <w:rFonts w:ascii="Arial" w:hAnsi="Arial" w:cs="Arial"/>
                <w:szCs w:val="20"/>
              </w:rPr>
              <w:t>Granted</w:t>
            </w:r>
          </w:p>
        </w:tc>
        <w:tc>
          <w:tcPr>
            <w:tcW w:w="1440" w:type="dxa"/>
            <w:vAlign w:val="bottom"/>
          </w:tcPr>
          <w:p w14:paraId="688E7401" w14:textId="77777777" w:rsidR="00E430D2" w:rsidRPr="00F60034" w:rsidRDefault="00E430D2" w:rsidP="00EC4ECB">
            <w:pPr>
              <w:spacing w:after="0" w:line="240" w:lineRule="auto"/>
              <w:ind w:right="144"/>
              <w:jc w:val="right"/>
              <w:rPr>
                <w:rFonts w:ascii="Arial" w:hAnsi="Arial" w:cs="Arial"/>
                <w:szCs w:val="20"/>
              </w:rPr>
            </w:pPr>
            <w:r>
              <w:rPr>
                <w:rFonts w:ascii="Arial" w:hAnsi="Arial" w:cs="Arial"/>
                <w:szCs w:val="20"/>
              </w:rPr>
              <w:t>8,220,923</w:t>
            </w:r>
          </w:p>
        </w:tc>
        <w:tc>
          <w:tcPr>
            <w:tcW w:w="1890" w:type="dxa"/>
            <w:vAlign w:val="bottom"/>
          </w:tcPr>
          <w:p w14:paraId="3C05386F" w14:textId="77777777" w:rsidR="00E430D2" w:rsidRPr="00F60034" w:rsidRDefault="00E430D2" w:rsidP="00EC4ECB">
            <w:pPr>
              <w:spacing w:after="0" w:line="240" w:lineRule="auto"/>
              <w:ind w:right="256"/>
              <w:jc w:val="right"/>
              <w:rPr>
                <w:rFonts w:ascii="Arial" w:hAnsi="Arial" w:cs="Arial"/>
                <w:szCs w:val="20"/>
              </w:rPr>
            </w:pPr>
            <w:r>
              <w:rPr>
                <w:rFonts w:ascii="Arial" w:hAnsi="Arial" w:cs="Arial"/>
                <w:szCs w:val="20"/>
              </w:rPr>
              <w:t>0.62</w:t>
            </w:r>
          </w:p>
        </w:tc>
      </w:tr>
      <w:tr w:rsidR="00E430D2" w:rsidRPr="00F60034" w14:paraId="5FE739E2" w14:textId="77777777" w:rsidTr="00EC4ECB">
        <w:trPr>
          <w:trHeight w:hRule="exact" w:val="72"/>
        </w:trPr>
        <w:tc>
          <w:tcPr>
            <w:tcW w:w="5850" w:type="dxa"/>
            <w:tcBorders>
              <w:top w:val="single" w:sz="6" w:space="0" w:color="auto"/>
            </w:tcBorders>
            <w:vAlign w:val="bottom"/>
          </w:tcPr>
          <w:p w14:paraId="16A80C2F" w14:textId="77777777" w:rsidR="00E430D2" w:rsidRPr="00F60034" w:rsidRDefault="00E430D2" w:rsidP="00EC4ECB">
            <w:pPr>
              <w:spacing w:after="0" w:line="240" w:lineRule="auto"/>
              <w:rPr>
                <w:rFonts w:ascii="Arial" w:hAnsi="Arial" w:cs="Arial"/>
                <w:szCs w:val="20"/>
              </w:rPr>
            </w:pPr>
          </w:p>
        </w:tc>
        <w:tc>
          <w:tcPr>
            <w:tcW w:w="1440" w:type="dxa"/>
            <w:tcBorders>
              <w:top w:val="single" w:sz="6" w:space="0" w:color="auto"/>
            </w:tcBorders>
            <w:vAlign w:val="bottom"/>
          </w:tcPr>
          <w:p w14:paraId="47E8275D" w14:textId="77777777" w:rsidR="00E430D2" w:rsidRPr="00F60034" w:rsidRDefault="00E430D2" w:rsidP="00EC4ECB">
            <w:pPr>
              <w:spacing w:after="0" w:line="240" w:lineRule="auto"/>
              <w:ind w:right="144"/>
              <w:jc w:val="right"/>
              <w:rPr>
                <w:rFonts w:ascii="Arial" w:hAnsi="Arial" w:cs="Arial"/>
                <w:szCs w:val="20"/>
              </w:rPr>
            </w:pPr>
          </w:p>
        </w:tc>
        <w:tc>
          <w:tcPr>
            <w:tcW w:w="1890" w:type="dxa"/>
            <w:tcBorders>
              <w:top w:val="single" w:sz="6" w:space="0" w:color="auto"/>
            </w:tcBorders>
            <w:vAlign w:val="bottom"/>
          </w:tcPr>
          <w:p w14:paraId="303AEEC8" w14:textId="77777777" w:rsidR="00E430D2" w:rsidRPr="00F60034" w:rsidRDefault="00E430D2" w:rsidP="00EC4ECB">
            <w:pPr>
              <w:spacing w:after="0" w:line="240" w:lineRule="auto"/>
              <w:ind w:right="256"/>
              <w:jc w:val="right"/>
              <w:rPr>
                <w:rFonts w:ascii="Arial" w:hAnsi="Arial" w:cs="Arial"/>
                <w:szCs w:val="20"/>
              </w:rPr>
            </w:pPr>
          </w:p>
        </w:tc>
      </w:tr>
      <w:tr w:rsidR="00E430D2" w:rsidRPr="00F60034" w14:paraId="252D8A81" w14:textId="77777777" w:rsidTr="00EC4ECB">
        <w:tc>
          <w:tcPr>
            <w:tcW w:w="5850" w:type="dxa"/>
            <w:vAlign w:val="bottom"/>
          </w:tcPr>
          <w:p w14:paraId="44A47B07" w14:textId="77777777" w:rsidR="00E430D2" w:rsidRPr="00F60034" w:rsidRDefault="00E430D2" w:rsidP="00EC4ECB">
            <w:pPr>
              <w:spacing w:after="0" w:line="240" w:lineRule="auto"/>
              <w:rPr>
                <w:rFonts w:ascii="Arial" w:hAnsi="Arial" w:cs="Arial"/>
                <w:szCs w:val="20"/>
              </w:rPr>
            </w:pPr>
            <w:r w:rsidRPr="00F60034">
              <w:rPr>
                <w:rFonts w:ascii="Arial" w:hAnsi="Arial" w:cs="Arial"/>
                <w:szCs w:val="20"/>
              </w:rPr>
              <w:t xml:space="preserve">Balance, January 31, </w:t>
            </w:r>
            <w:r>
              <w:rPr>
                <w:rFonts w:ascii="Arial" w:hAnsi="Arial" w:cs="Arial"/>
                <w:szCs w:val="20"/>
              </w:rPr>
              <w:t>2019</w:t>
            </w:r>
          </w:p>
        </w:tc>
        <w:tc>
          <w:tcPr>
            <w:tcW w:w="1440" w:type="dxa"/>
            <w:vAlign w:val="bottom"/>
          </w:tcPr>
          <w:p w14:paraId="751092E8" w14:textId="77777777" w:rsidR="00E430D2" w:rsidRPr="00F60034" w:rsidRDefault="00E430D2" w:rsidP="00EC4ECB">
            <w:pPr>
              <w:spacing w:after="0" w:line="240" w:lineRule="auto"/>
              <w:ind w:right="144"/>
              <w:jc w:val="right"/>
              <w:rPr>
                <w:rFonts w:ascii="Arial" w:hAnsi="Arial" w:cs="Arial"/>
                <w:szCs w:val="20"/>
              </w:rPr>
            </w:pPr>
            <w:r>
              <w:rPr>
                <w:rFonts w:ascii="Arial" w:hAnsi="Arial" w:cs="Arial"/>
                <w:szCs w:val="20"/>
              </w:rPr>
              <w:t>8,486,048</w:t>
            </w:r>
          </w:p>
        </w:tc>
        <w:tc>
          <w:tcPr>
            <w:tcW w:w="1890" w:type="dxa"/>
            <w:vAlign w:val="bottom"/>
          </w:tcPr>
          <w:p w14:paraId="17E0C68B" w14:textId="77777777" w:rsidR="00E430D2" w:rsidRPr="00F60034" w:rsidRDefault="00E430D2" w:rsidP="00EC4ECB">
            <w:pPr>
              <w:spacing w:after="0" w:line="240" w:lineRule="auto"/>
              <w:ind w:right="256"/>
              <w:jc w:val="right"/>
              <w:rPr>
                <w:rFonts w:ascii="Arial" w:hAnsi="Arial" w:cs="Arial"/>
                <w:szCs w:val="20"/>
              </w:rPr>
            </w:pPr>
            <w:r>
              <w:rPr>
                <w:rFonts w:ascii="Arial" w:hAnsi="Arial" w:cs="Arial"/>
                <w:szCs w:val="20"/>
              </w:rPr>
              <w:t>0.62</w:t>
            </w:r>
          </w:p>
        </w:tc>
      </w:tr>
      <w:tr w:rsidR="00CD70E7" w:rsidRPr="00F60034" w14:paraId="778FC0F4" w14:textId="77777777" w:rsidTr="00CD70E7">
        <w:trPr>
          <w:trHeight w:hRule="exact" w:val="86"/>
        </w:trPr>
        <w:tc>
          <w:tcPr>
            <w:tcW w:w="5850" w:type="dxa"/>
            <w:vAlign w:val="bottom"/>
          </w:tcPr>
          <w:p w14:paraId="1DE0FCB2" w14:textId="77777777" w:rsidR="00CD70E7" w:rsidRPr="00F60034" w:rsidRDefault="00CD70E7" w:rsidP="00CD70E7">
            <w:pPr>
              <w:spacing w:after="0" w:line="240" w:lineRule="auto"/>
              <w:rPr>
                <w:rFonts w:ascii="Arial" w:hAnsi="Arial" w:cs="Arial"/>
                <w:szCs w:val="20"/>
              </w:rPr>
            </w:pPr>
          </w:p>
        </w:tc>
        <w:tc>
          <w:tcPr>
            <w:tcW w:w="1440" w:type="dxa"/>
            <w:vAlign w:val="bottom"/>
          </w:tcPr>
          <w:p w14:paraId="5B4AF73A" w14:textId="77777777" w:rsidR="00CD70E7" w:rsidRPr="00F60034" w:rsidRDefault="00CD70E7" w:rsidP="00CD70E7">
            <w:pPr>
              <w:spacing w:after="0" w:line="240" w:lineRule="auto"/>
              <w:ind w:right="144"/>
              <w:jc w:val="right"/>
              <w:rPr>
                <w:rFonts w:ascii="Arial" w:hAnsi="Arial" w:cs="Arial"/>
                <w:szCs w:val="20"/>
              </w:rPr>
            </w:pPr>
          </w:p>
        </w:tc>
        <w:tc>
          <w:tcPr>
            <w:tcW w:w="1890" w:type="dxa"/>
            <w:vAlign w:val="bottom"/>
          </w:tcPr>
          <w:p w14:paraId="65FB5F9C" w14:textId="77777777" w:rsidR="00CD70E7" w:rsidRPr="00F60034" w:rsidRDefault="00CD70E7" w:rsidP="00CD70E7">
            <w:pPr>
              <w:spacing w:after="0" w:line="240" w:lineRule="auto"/>
              <w:ind w:right="256"/>
              <w:jc w:val="right"/>
              <w:rPr>
                <w:rFonts w:ascii="Arial" w:hAnsi="Arial" w:cs="Arial"/>
                <w:szCs w:val="20"/>
              </w:rPr>
            </w:pPr>
          </w:p>
        </w:tc>
      </w:tr>
      <w:tr w:rsidR="005778E8" w:rsidRPr="00F60034" w14:paraId="007369DC" w14:textId="77777777" w:rsidTr="00CD70E7">
        <w:trPr>
          <w:trHeight w:val="171"/>
        </w:trPr>
        <w:tc>
          <w:tcPr>
            <w:tcW w:w="5850" w:type="dxa"/>
            <w:vAlign w:val="bottom"/>
          </w:tcPr>
          <w:p w14:paraId="2F21B28C" w14:textId="64580BFB" w:rsidR="005778E8" w:rsidRPr="00F60034" w:rsidRDefault="005778E8" w:rsidP="00D70891">
            <w:pPr>
              <w:spacing w:after="0" w:line="240" w:lineRule="auto"/>
              <w:ind w:left="144"/>
              <w:rPr>
                <w:rFonts w:ascii="Arial" w:hAnsi="Arial" w:cs="Arial"/>
                <w:szCs w:val="20"/>
              </w:rPr>
            </w:pPr>
            <w:r>
              <w:rPr>
                <w:rFonts w:ascii="Arial" w:hAnsi="Arial" w:cs="Arial"/>
                <w:szCs w:val="20"/>
              </w:rPr>
              <w:t>Granted</w:t>
            </w:r>
            <w:r w:rsidR="000B745C">
              <w:rPr>
                <w:rFonts w:ascii="Arial" w:hAnsi="Arial" w:cs="Arial"/>
                <w:szCs w:val="20"/>
              </w:rPr>
              <w:t xml:space="preserve"> (Notes 1</w:t>
            </w:r>
            <w:r w:rsidR="00303283">
              <w:rPr>
                <w:rFonts w:ascii="Arial" w:hAnsi="Arial" w:cs="Arial"/>
                <w:szCs w:val="20"/>
              </w:rPr>
              <w:t>2</w:t>
            </w:r>
            <w:r w:rsidR="000B745C">
              <w:rPr>
                <w:rFonts w:ascii="Arial" w:hAnsi="Arial" w:cs="Arial"/>
                <w:szCs w:val="20"/>
              </w:rPr>
              <w:t xml:space="preserve">(d), </w:t>
            </w:r>
            <w:r w:rsidR="00D70891">
              <w:rPr>
                <w:rFonts w:ascii="Arial" w:hAnsi="Arial" w:cs="Arial"/>
                <w:szCs w:val="20"/>
              </w:rPr>
              <w:t>and 1</w:t>
            </w:r>
            <w:r w:rsidR="00303283">
              <w:rPr>
                <w:rFonts w:ascii="Arial" w:hAnsi="Arial" w:cs="Arial"/>
                <w:szCs w:val="20"/>
              </w:rPr>
              <w:t>2</w:t>
            </w:r>
            <w:r w:rsidR="00D70891">
              <w:rPr>
                <w:rFonts w:ascii="Arial" w:hAnsi="Arial" w:cs="Arial"/>
                <w:szCs w:val="20"/>
              </w:rPr>
              <w:t>(e)</w:t>
            </w:r>
            <w:r w:rsidR="00B35AC6">
              <w:rPr>
                <w:rFonts w:ascii="Arial" w:hAnsi="Arial" w:cs="Arial"/>
                <w:szCs w:val="20"/>
              </w:rPr>
              <w:t>)</w:t>
            </w:r>
          </w:p>
        </w:tc>
        <w:tc>
          <w:tcPr>
            <w:tcW w:w="1440" w:type="dxa"/>
            <w:vAlign w:val="bottom"/>
          </w:tcPr>
          <w:p w14:paraId="3ACB624D" w14:textId="35170E66" w:rsidR="005778E8" w:rsidRPr="00F60034" w:rsidRDefault="000B745C" w:rsidP="00F15B99">
            <w:pPr>
              <w:spacing w:after="0" w:line="240" w:lineRule="auto"/>
              <w:ind w:right="144"/>
              <w:jc w:val="right"/>
              <w:rPr>
                <w:rFonts w:ascii="Arial" w:hAnsi="Arial" w:cs="Arial"/>
                <w:szCs w:val="20"/>
              </w:rPr>
            </w:pPr>
            <w:r>
              <w:rPr>
                <w:rFonts w:ascii="Arial" w:hAnsi="Arial" w:cs="Arial"/>
                <w:szCs w:val="20"/>
              </w:rPr>
              <w:t>71,258,000</w:t>
            </w:r>
          </w:p>
        </w:tc>
        <w:tc>
          <w:tcPr>
            <w:tcW w:w="1890" w:type="dxa"/>
            <w:vAlign w:val="bottom"/>
          </w:tcPr>
          <w:p w14:paraId="2786FBB7" w14:textId="4E10C512" w:rsidR="005778E8" w:rsidRPr="00F60034" w:rsidRDefault="0041197B" w:rsidP="000B745C">
            <w:pPr>
              <w:spacing w:after="0" w:line="240" w:lineRule="auto"/>
              <w:ind w:right="256"/>
              <w:jc w:val="right"/>
              <w:rPr>
                <w:rFonts w:ascii="Arial" w:hAnsi="Arial" w:cs="Arial"/>
                <w:szCs w:val="20"/>
              </w:rPr>
            </w:pPr>
            <w:r>
              <w:rPr>
                <w:rFonts w:ascii="Arial" w:hAnsi="Arial" w:cs="Arial"/>
                <w:szCs w:val="20"/>
              </w:rPr>
              <w:t>0.</w:t>
            </w:r>
            <w:r w:rsidR="000B745C">
              <w:rPr>
                <w:rFonts w:ascii="Arial" w:hAnsi="Arial" w:cs="Arial"/>
                <w:szCs w:val="20"/>
              </w:rPr>
              <w:t>35</w:t>
            </w:r>
          </w:p>
        </w:tc>
      </w:tr>
      <w:tr w:rsidR="000B745C" w:rsidRPr="00F60034" w14:paraId="4DCCFE1F" w14:textId="77777777" w:rsidTr="00CD70E7">
        <w:trPr>
          <w:trHeight w:val="171"/>
        </w:trPr>
        <w:tc>
          <w:tcPr>
            <w:tcW w:w="5850" w:type="dxa"/>
            <w:vAlign w:val="bottom"/>
          </w:tcPr>
          <w:p w14:paraId="5FC5E56D" w14:textId="3B35C3B5" w:rsidR="000B745C" w:rsidRDefault="000B745C" w:rsidP="00320D7D">
            <w:pPr>
              <w:spacing w:after="0" w:line="240" w:lineRule="auto"/>
              <w:ind w:left="144"/>
              <w:rPr>
                <w:rFonts w:ascii="Arial" w:hAnsi="Arial" w:cs="Arial"/>
                <w:szCs w:val="20"/>
              </w:rPr>
            </w:pPr>
            <w:r>
              <w:rPr>
                <w:rFonts w:ascii="Arial" w:hAnsi="Arial" w:cs="Arial"/>
                <w:szCs w:val="20"/>
              </w:rPr>
              <w:t>Expired</w:t>
            </w:r>
          </w:p>
        </w:tc>
        <w:tc>
          <w:tcPr>
            <w:tcW w:w="1440" w:type="dxa"/>
            <w:vAlign w:val="bottom"/>
          </w:tcPr>
          <w:p w14:paraId="45FF5F8A" w14:textId="35F66604" w:rsidR="000B745C" w:rsidRDefault="000B745C" w:rsidP="00F15B99">
            <w:pPr>
              <w:spacing w:after="0" w:line="240" w:lineRule="auto"/>
              <w:ind w:right="144"/>
              <w:jc w:val="right"/>
              <w:rPr>
                <w:rFonts w:ascii="Arial" w:hAnsi="Arial" w:cs="Arial"/>
                <w:szCs w:val="20"/>
              </w:rPr>
            </w:pPr>
            <w:r>
              <w:rPr>
                <w:rFonts w:ascii="Arial" w:hAnsi="Arial" w:cs="Arial"/>
                <w:szCs w:val="20"/>
              </w:rPr>
              <w:t>(265,125)</w:t>
            </w:r>
          </w:p>
        </w:tc>
        <w:tc>
          <w:tcPr>
            <w:tcW w:w="1890" w:type="dxa"/>
            <w:vAlign w:val="bottom"/>
          </w:tcPr>
          <w:p w14:paraId="7100FBE9" w14:textId="63DDC832" w:rsidR="000B745C" w:rsidRDefault="000B745C" w:rsidP="000B745C">
            <w:pPr>
              <w:spacing w:after="0" w:line="240" w:lineRule="auto"/>
              <w:ind w:right="256"/>
              <w:jc w:val="right"/>
              <w:rPr>
                <w:rFonts w:ascii="Arial" w:hAnsi="Arial" w:cs="Arial"/>
                <w:szCs w:val="20"/>
              </w:rPr>
            </w:pPr>
            <w:r>
              <w:rPr>
                <w:rFonts w:ascii="Arial" w:hAnsi="Arial" w:cs="Arial"/>
                <w:szCs w:val="20"/>
              </w:rPr>
              <w:t>(0.45)</w:t>
            </w:r>
          </w:p>
        </w:tc>
      </w:tr>
      <w:tr w:rsidR="00790828" w:rsidRPr="00F60034" w14:paraId="10772ED4" w14:textId="77777777" w:rsidTr="000B745C">
        <w:trPr>
          <w:trHeight w:hRule="exact" w:val="72"/>
        </w:trPr>
        <w:tc>
          <w:tcPr>
            <w:tcW w:w="5850" w:type="dxa"/>
            <w:tcBorders>
              <w:top w:val="single" w:sz="6" w:space="0" w:color="auto"/>
            </w:tcBorders>
            <w:vAlign w:val="bottom"/>
          </w:tcPr>
          <w:p w14:paraId="451B1681" w14:textId="77777777" w:rsidR="00790828" w:rsidRPr="00F60034" w:rsidRDefault="00790828" w:rsidP="00F15B99">
            <w:pPr>
              <w:spacing w:after="0" w:line="240" w:lineRule="auto"/>
              <w:rPr>
                <w:rFonts w:ascii="Arial" w:hAnsi="Arial" w:cs="Arial"/>
                <w:szCs w:val="20"/>
              </w:rPr>
            </w:pPr>
          </w:p>
        </w:tc>
        <w:tc>
          <w:tcPr>
            <w:tcW w:w="1440" w:type="dxa"/>
            <w:tcBorders>
              <w:top w:val="single" w:sz="6" w:space="0" w:color="auto"/>
            </w:tcBorders>
            <w:vAlign w:val="bottom"/>
          </w:tcPr>
          <w:p w14:paraId="3B3B34A6" w14:textId="77777777" w:rsidR="00790828" w:rsidRPr="00F60034" w:rsidRDefault="00790828" w:rsidP="00F15B99">
            <w:pPr>
              <w:spacing w:after="0" w:line="240" w:lineRule="auto"/>
              <w:ind w:right="144"/>
              <w:jc w:val="right"/>
              <w:rPr>
                <w:rFonts w:ascii="Arial" w:hAnsi="Arial" w:cs="Arial"/>
                <w:szCs w:val="20"/>
              </w:rPr>
            </w:pPr>
          </w:p>
        </w:tc>
        <w:tc>
          <w:tcPr>
            <w:tcW w:w="1890" w:type="dxa"/>
            <w:tcBorders>
              <w:top w:val="single" w:sz="6" w:space="0" w:color="auto"/>
            </w:tcBorders>
            <w:vAlign w:val="bottom"/>
          </w:tcPr>
          <w:p w14:paraId="695F84D1" w14:textId="77777777" w:rsidR="00790828" w:rsidRPr="00F60034" w:rsidRDefault="00790828" w:rsidP="00F15B99">
            <w:pPr>
              <w:spacing w:after="0" w:line="240" w:lineRule="auto"/>
              <w:ind w:right="256"/>
              <w:jc w:val="right"/>
              <w:rPr>
                <w:rFonts w:ascii="Arial" w:hAnsi="Arial" w:cs="Arial"/>
                <w:szCs w:val="20"/>
              </w:rPr>
            </w:pPr>
          </w:p>
        </w:tc>
      </w:tr>
      <w:tr w:rsidR="00790828" w:rsidRPr="00F60034" w14:paraId="6E2632E1" w14:textId="77777777" w:rsidTr="004D0022">
        <w:trPr>
          <w:trHeight w:val="252"/>
        </w:trPr>
        <w:tc>
          <w:tcPr>
            <w:tcW w:w="5850" w:type="dxa"/>
            <w:tcBorders>
              <w:bottom w:val="single" w:sz="12" w:space="0" w:color="auto"/>
            </w:tcBorders>
            <w:vAlign w:val="bottom"/>
          </w:tcPr>
          <w:p w14:paraId="474C39E1" w14:textId="6551AC82" w:rsidR="00790828" w:rsidRPr="00F60034" w:rsidRDefault="00790828" w:rsidP="00E430D2">
            <w:pPr>
              <w:spacing w:after="0" w:line="240" w:lineRule="auto"/>
              <w:rPr>
                <w:rFonts w:ascii="Arial" w:hAnsi="Arial" w:cs="Arial"/>
                <w:szCs w:val="20"/>
              </w:rPr>
            </w:pPr>
            <w:r w:rsidRPr="00F60034">
              <w:rPr>
                <w:rFonts w:ascii="Arial" w:hAnsi="Arial" w:cs="Arial"/>
                <w:szCs w:val="20"/>
              </w:rPr>
              <w:t xml:space="preserve">Balance, </w:t>
            </w:r>
            <w:r w:rsidR="00C71250">
              <w:rPr>
                <w:rFonts w:ascii="Arial" w:hAnsi="Arial" w:cs="Arial"/>
                <w:szCs w:val="20"/>
              </w:rPr>
              <w:t>October</w:t>
            </w:r>
            <w:r w:rsidRPr="00F60034">
              <w:rPr>
                <w:rFonts w:ascii="Arial" w:hAnsi="Arial" w:cs="Arial"/>
                <w:szCs w:val="20"/>
              </w:rPr>
              <w:t xml:space="preserve"> 31, </w:t>
            </w:r>
            <w:r w:rsidR="00CD70E7">
              <w:rPr>
                <w:rFonts w:ascii="Arial" w:hAnsi="Arial" w:cs="Arial"/>
                <w:szCs w:val="20"/>
              </w:rPr>
              <w:t>2019</w:t>
            </w:r>
          </w:p>
        </w:tc>
        <w:tc>
          <w:tcPr>
            <w:tcW w:w="1440" w:type="dxa"/>
            <w:tcBorders>
              <w:bottom w:val="single" w:sz="12" w:space="0" w:color="auto"/>
            </w:tcBorders>
            <w:vAlign w:val="bottom"/>
          </w:tcPr>
          <w:p w14:paraId="525555C9" w14:textId="050FCC66" w:rsidR="00790828" w:rsidRPr="00F60034" w:rsidRDefault="000B745C" w:rsidP="00F15B99">
            <w:pPr>
              <w:spacing w:after="0" w:line="240" w:lineRule="auto"/>
              <w:ind w:right="144"/>
              <w:jc w:val="right"/>
              <w:rPr>
                <w:rFonts w:ascii="Arial" w:hAnsi="Arial" w:cs="Arial"/>
                <w:szCs w:val="20"/>
              </w:rPr>
            </w:pPr>
            <w:r>
              <w:rPr>
                <w:rFonts w:ascii="Arial" w:hAnsi="Arial" w:cs="Arial"/>
                <w:szCs w:val="20"/>
              </w:rPr>
              <w:t>79,478,923</w:t>
            </w:r>
          </w:p>
        </w:tc>
        <w:tc>
          <w:tcPr>
            <w:tcW w:w="1890" w:type="dxa"/>
            <w:tcBorders>
              <w:bottom w:val="single" w:sz="12" w:space="0" w:color="auto"/>
            </w:tcBorders>
            <w:vAlign w:val="bottom"/>
          </w:tcPr>
          <w:p w14:paraId="2EC8F330" w14:textId="05CBAFD1" w:rsidR="00790828" w:rsidRPr="00F60034" w:rsidRDefault="0041197B" w:rsidP="000B745C">
            <w:pPr>
              <w:spacing w:after="0" w:line="240" w:lineRule="auto"/>
              <w:ind w:right="256"/>
              <w:jc w:val="right"/>
              <w:rPr>
                <w:rFonts w:ascii="Arial" w:hAnsi="Arial" w:cs="Arial"/>
                <w:szCs w:val="20"/>
              </w:rPr>
            </w:pPr>
            <w:r>
              <w:rPr>
                <w:rFonts w:ascii="Arial" w:hAnsi="Arial" w:cs="Arial"/>
                <w:szCs w:val="20"/>
              </w:rPr>
              <w:t>0.</w:t>
            </w:r>
            <w:r w:rsidR="000B745C">
              <w:rPr>
                <w:rFonts w:ascii="Arial" w:hAnsi="Arial" w:cs="Arial"/>
                <w:szCs w:val="20"/>
              </w:rPr>
              <w:t>37</w:t>
            </w:r>
          </w:p>
        </w:tc>
      </w:tr>
    </w:tbl>
    <w:p w14:paraId="34371069" w14:textId="0953E3A7" w:rsidR="004E594E" w:rsidRDefault="004E594E" w:rsidP="00C71250">
      <w:pPr>
        <w:spacing w:after="0"/>
        <w:rPr>
          <w:rFonts w:ascii="Arial" w:hAnsi="Arial" w:cs="Arial"/>
          <w:b/>
          <w:szCs w:val="20"/>
        </w:rPr>
      </w:pPr>
    </w:p>
    <w:p w14:paraId="65634181" w14:textId="0F383508" w:rsidR="00B420E5" w:rsidRDefault="00C71250" w:rsidP="00F15B99">
      <w:pPr>
        <w:spacing w:after="0" w:line="240" w:lineRule="auto"/>
        <w:ind w:left="450"/>
        <w:rPr>
          <w:rFonts w:ascii="Arial" w:hAnsi="Arial" w:cs="Arial"/>
          <w:szCs w:val="20"/>
        </w:rPr>
      </w:pPr>
      <w:r>
        <w:rPr>
          <w:rFonts w:ascii="Arial" w:hAnsi="Arial" w:cs="Arial"/>
          <w:szCs w:val="20"/>
        </w:rPr>
        <w:t>A</w:t>
      </w:r>
      <w:r w:rsidR="00B420E5" w:rsidRPr="00B420E5">
        <w:rPr>
          <w:rFonts w:ascii="Arial" w:hAnsi="Arial" w:cs="Arial"/>
          <w:szCs w:val="20"/>
        </w:rPr>
        <w:t xml:space="preserve">s at </w:t>
      </w:r>
      <w:r>
        <w:rPr>
          <w:rFonts w:ascii="Arial" w:hAnsi="Arial" w:cs="Arial"/>
          <w:szCs w:val="20"/>
        </w:rPr>
        <w:t>October</w:t>
      </w:r>
      <w:r w:rsidR="0041197B">
        <w:rPr>
          <w:rFonts w:ascii="Arial" w:hAnsi="Arial" w:cs="Arial"/>
          <w:szCs w:val="20"/>
        </w:rPr>
        <w:t xml:space="preserve"> 31, 201</w:t>
      </w:r>
      <w:r w:rsidR="00CD70E7">
        <w:rPr>
          <w:rFonts w:ascii="Arial" w:hAnsi="Arial" w:cs="Arial"/>
          <w:szCs w:val="20"/>
        </w:rPr>
        <w:t>9</w:t>
      </w:r>
      <w:r w:rsidR="00B420E5" w:rsidRPr="00B420E5">
        <w:rPr>
          <w:rFonts w:ascii="Arial" w:hAnsi="Arial" w:cs="Arial"/>
          <w:szCs w:val="20"/>
        </w:rPr>
        <w:t>, the following share purchase warrant</w:t>
      </w:r>
      <w:r w:rsidR="0041197B">
        <w:rPr>
          <w:rFonts w:ascii="Arial" w:hAnsi="Arial" w:cs="Arial"/>
          <w:szCs w:val="20"/>
        </w:rPr>
        <w:t>s</w:t>
      </w:r>
      <w:r w:rsidR="00B420E5" w:rsidRPr="00B420E5">
        <w:rPr>
          <w:rFonts w:ascii="Arial" w:hAnsi="Arial" w:cs="Arial"/>
          <w:szCs w:val="20"/>
        </w:rPr>
        <w:t xml:space="preserve"> </w:t>
      </w:r>
      <w:r w:rsidR="0041197B">
        <w:rPr>
          <w:rFonts w:ascii="Arial" w:hAnsi="Arial" w:cs="Arial"/>
          <w:szCs w:val="20"/>
        </w:rPr>
        <w:t>were</w:t>
      </w:r>
      <w:r w:rsidR="00B420E5" w:rsidRPr="00B420E5">
        <w:rPr>
          <w:rFonts w:ascii="Arial" w:hAnsi="Arial" w:cs="Arial"/>
          <w:szCs w:val="20"/>
        </w:rPr>
        <w:t xml:space="preserve"> outstanding:</w:t>
      </w:r>
    </w:p>
    <w:p w14:paraId="103553F6" w14:textId="77777777" w:rsidR="005639E1" w:rsidRPr="00B420E5" w:rsidRDefault="005639E1" w:rsidP="00F15B99">
      <w:pPr>
        <w:spacing w:after="0" w:line="240" w:lineRule="auto"/>
        <w:ind w:left="450"/>
        <w:rPr>
          <w:rFonts w:ascii="Arial" w:hAnsi="Arial" w:cs="Arial"/>
          <w:szCs w:val="20"/>
        </w:rPr>
      </w:pPr>
    </w:p>
    <w:tbl>
      <w:tblPr>
        <w:tblW w:w="5992" w:type="dxa"/>
        <w:tblInd w:w="558" w:type="dxa"/>
        <w:tblLayout w:type="fixed"/>
        <w:tblLook w:val="01E0" w:firstRow="1" w:lastRow="1" w:firstColumn="1" w:lastColumn="1" w:noHBand="0" w:noVBand="0"/>
      </w:tblPr>
      <w:tblGrid>
        <w:gridCol w:w="1764"/>
        <w:gridCol w:w="1418"/>
        <w:gridCol w:w="2810"/>
      </w:tblGrid>
      <w:tr w:rsidR="00B420E5" w:rsidRPr="00B420E5" w14:paraId="584AEDE3" w14:textId="77777777" w:rsidTr="001C5CA7">
        <w:tc>
          <w:tcPr>
            <w:tcW w:w="1764" w:type="dxa"/>
            <w:tcBorders>
              <w:bottom w:val="single" w:sz="4" w:space="0" w:color="auto"/>
            </w:tcBorders>
            <w:vAlign w:val="bottom"/>
          </w:tcPr>
          <w:p w14:paraId="2BD4E9E6" w14:textId="77777777" w:rsidR="00B420E5" w:rsidRPr="00B420E5" w:rsidRDefault="00B420E5" w:rsidP="00F15B99">
            <w:pPr>
              <w:tabs>
                <w:tab w:val="center" w:pos="4320"/>
                <w:tab w:val="right" w:pos="8640"/>
              </w:tabs>
              <w:spacing w:after="0" w:line="240" w:lineRule="auto"/>
              <w:ind w:hanging="81"/>
              <w:jc w:val="center"/>
              <w:rPr>
                <w:rFonts w:ascii="Arial" w:hAnsi="Arial" w:cs="Arial"/>
                <w:szCs w:val="20"/>
              </w:rPr>
            </w:pPr>
            <w:r w:rsidRPr="00B420E5">
              <w:rPr>
                <w:rFonts w:ascii="Arial" w:hAnsi="Arial" w:cs="Arial"/>
                <w:szCs w:val="20"/>
              </w:rPr>
              <w:t xml:space="preserve">Number of Warrants </w:t>
            </w:r>
          </w:p>
        </w:tc>
        <w:tc>
          <w:tcPr>
            <w:tcW w:w="1418" w:type="dxa"/>
            <w:tcBorders>
              <w:bottom w:val="single" w:sz="4" w:space="0" w:color="auto"/>
            </w:tcBorders>
            <w:vAlign w:val="bottom"/>
          </w:tcPr>
          <w:p w14:paraId="221DF5F2" w14:textId="77777777" w:rsidR="00B420E5" w:rsidRPr="00B420E5" w:rsidRDefault="00B420E5" w:rsidP="00F15B99">
            <w:pPr>
              <w:tabs>
                <w:tab w:val="center" w:pos="4320"/>
                <w:tab w:val="right" w:pos="8640"/>
              </w:tabs>
              <w:spacing w:after="0" w:line="240" w:lineRule="auto"/>
              <w:ind w:hanging="81"/>
              <w:jc w:val="center"/>
              <w:rPr>
                <w:rFonts w:ascii="Arial" w:hAnsi="Arial" w:cs="Arial"/>
                <w:szCs w:val="20"/>
              </w:rPr>
            </w:pPr>
            <w:r w:rsidRPr="00B420E5">
              <w:rPr>
                <w:rFonts w:ascii="Arial" w:hAnsi="Arial" w:cs="Arial"/>
                <w:szCs w:val="20"/>
              </w:rPr>
              <w:t>Exercise</w:t>
            </w:r>
          </w:p>
          <w:p w14:paraId="72711323" w14:textId="77777777" w:rsidR="00B420E5" w:rsidRPr="00B420E5" w:rsidRDefault="00B420E5" w:rsidP="00F15B99">
            <w:pPr>
              <w:tabs>
                <w:tab w:val="center" w:pos="4320"/>
                <w:tab w:val="right" w:pos="8640"/>
              </w:tabs>
              <w:spacing w:after="0" w:line="240" w:lineRule="auto"/>
              <w:ind w:hanging="81"/>
              <w:jc w:val="center"/>
              <w:rPr>
                <w:rFonts w:ascii="Arial" w:hAnsi="Arial" w:cs="Arial"/>
                <w:szCs w:val="20"/>
              </w:rPr>
            </w:pPr>
            <w:r w:rsidRPr="00B420E5">
              <w:rPr>
                <w:rFonts w:ascii="Arial" w:hAnsi="Arial" w:cs="Arial"/>
                <w:szCs w:val="20"/>
              </w:rPr>
              <w:t>Price</w:t>
            </w:r>
          </w:p>
          <w:p w14:paraId="76F817D4" w14:textId="77777777" w:rsidR="00B420E5" w:rsidRPr="00B420E5" w:rsidRDefault="00B420E5" w:rsidP="00F15B99">
            <w:pPr>
              <w:tabs>
                <w:tab w:val="center" w:pos="4320"/>
                <w:tab w:val="right" w:pos="8640"/>
              </w:tabs>
              <w:spacing w:after="0" w:line="240" w:lineRule="auto"/>
              <w:ind w:hanging="81"/>
              <w:jc w:val="center"/>
              <w:rPr>
                <w:rFonts w:ascii="Arial" w:hAnsi="Arial" w:cs="Arial"/>
                <w:szCs w:val="20"/>
              </w:rPr>
            </w:pPr>
            <w:r w:rsidRPr="00B420E5">
              <w:rPr>
                <w:rFonts w:ascii="Arial" w:hAnsi="Arial" w:cs="Arial"/>
                <w:szCs w:val="20"/>
              </w:rPr>
              <w:t>$</w:t>
            </w:r>
          </w:p>
        </w:tc>
        <w:tc>
          <w:tcPr>
            <w:tcW w:w="2810" w:type="dxa"/>
            <w:tcBorders>
              <w:bottom w:val="single" w:sz="4" w:space="0" w:color="auto"/>
            </w:tcBorders>
            <w:vAlign w:val="bottom"/>
          </w:tcPr>
          <w:p w14:paraId="26B7126F" w14:textId="77777777" w:rsidR="00B420E5" w:rsidRPr="00B420E5" w:rsidRDefault="00B420E5" w:rsidP="00F15B99">
            <w:pPr>
              <w:tabs>
                <w:tab w:val="center" w:pos="4320"/>
                <w:tab w:val="right" w:pos="8640"/>
              </w:tabs>
              <w:spacing w:after="0" w:line="240" w:lineRule="auto"/>
              <w:ind w:hanging="81"/>
              <w:rPr>
                <w:rFonts w:ascii="Arial" w:hAnsi="Arial" w:cs="Arial"/>
                <w:szCs w:val="20"/>
              </w:rPr>
            </w:pPr>
            <w:r w:rsidRPr="00B420E5">
              <w:rPr>
                <w:rFonts w:ascii="Arial" w:hAnsi="Arial" w:cs="Arial"/>
                <w:szCs w:val="20"/>
              </w:rPr>
              <w:t>Expiry Date</w:t>
            </w:r>
          </w:p>
        </w:tc>
      </w:tr>
      <w:tr w:rsidR="00B420E5" w:rsidRPr="00B420E5" w14:paraId="4BBEA96F" w14:textId="77777777" w:rsidTr="001C5CA7">
        <w:trPr>
          <w:trHeight w:hRule="exact" w:val="113"/>
        </w:trPr>
        <w:tc>
          <w:tcPr>
            <w:tcW w:w="1764" w:type="dxa"/>
            <w:tcBorders>
              <w:top w:val="single" w:sz="4" w:space="0" w:color="auto"/>
            </w:tcBorders>
          </w:tcPr>
          <w:p w14:paraId="4D94F4D5" w14:textId="77777777" w:rsidR="00B420E5" w:rsidRPr="00B420E5" w:rsidRDefault="00B420E5" w:rsidP="00F15B99">
            <w:pPr>
              <w:tabs>
                <w:tab w:val="center" w:pos="4320"/>
                <w:tab w:val="right" w:pos="8640"/>
              </w:tabs>
              <w:spacing w:after="0" w:line="240" w:lineRule="auto"/>
              <w:ind w:hanging="81"/>
              <w:jc w:val="center"/>
              <w:rPr>
                <w:rFonts w:ascii="Arial" w:hAnsi="Arial" w:cs="Arial"/>
                <w:szCs w:val="20"/>
              </w:rPr>
            </w:pPr>
          </w:p>
        </w:tc>
        <w:tc>
          <w:tcPr>
            <w:tcW w:w="1418" w:type="dxa"/>
            <w:tcBorders>
              <w:top w:val="single" w:sz="4" w:space="0" w:color="auto"/>
            </w:tcBorders>
            <w:vAlign w:val="bottom"/>
          </w:tcPr>
          <w:p w14:paraId="66816146" w14:textId="77777777" w:rsidR="00B420E5" w:rsidRPr="00B420E5" w:rsidRDefault="00B420E5" w:rsidP="00F15B99">
            <w:pPr>
              <w:tabs>
                <w:tab w:val="center" w:pos="4320"/>
                <w:tab w:val="right" w:pos="8640"/>
              </w:tabs>
              <w:spacing w:after="0" w:line="240" w:lineRule="auto"/>
              <w:ind w:hanging="81"/>
              <w:jc w:val="center"/>
              <w:rPr>
                <w:rFonts w:ascii="Arial" w:hAnsi="Arial" w:cs="Arial"/>
                <w:szCs w:val="20"/>
              </w:rPr>
            </w:pPr>
          </w:p>
        </w:tc>
        <w:tc>
          <w:tcPr>
            <w:tcW w:w="2810" w:type="dxa"/>
            <w:tcBorders>
              <w:top w:val="single" w:sz="4" w:space="0" w:color="auto"/>
            </w:tcBorders>
            <w:vAlign w:val="bottom"/>
          </w:tcPr>
          <w:p w14:paraId="0C7DA8BA" w14:textId="77777777" w:rsidR="00B420E5" w:rsidRPr="00B420E5" w:rsidRDefault="00B420E5" w:rsidP="00F15B99">
            <w:pPr>
              <w:tabs>
                <w:tab w:val="center" w:pos="4320"/>
                <w:tab w:val="right" w:pos="8640"/>
              </w:tabs>
              <w:spacing w:after="0" w:line="240" w:lineRule="auto"/>
              <w:ind w:hanging="81"/>
              <w:jc w:val="center"/>
              <w:rPr>
                <w:rFonts w:ascii="Arial" w:hAnsi="Arial" w:cs="Arial"/>
                <w:szCs w:val="20"/>
              </w:rPr>
            </w:pPr>
          </w:p>
        </w:tc>
      </w:tr>
      <w:tr w:rsidR="00320D7D" w:rsidRPr="00B420E5" w14:paraId="43A3EA9B" w14:textId="77777777" w:rsidTr="001C5CA7">
        <w:tc>
          <w:tcPr>
            <w:tcW w:w="1764" w:type="dxa"/>
          </w:tcPr>
          <w:p w14:paraId="7ACCDE3F" w14:textId="2C80F8F2"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172,413</w:t>
            </w:r>
          </w:p>
        </w:tc>
        <w:tc>
          <w:tcPr>
            <w:tcW w:w="1418" w:type="dxa"/>
            <w:vAlign w:val="bottom"/>
          </w:tcPr>
          <w:p w14:paraId="20770569" w14:textId="67D889E7"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1.74</w:t>
            </w:r>
          </w:p>
        </w:tc>
        <w:tc>
          <w:tcPr>
            <w:tcW w:w="2810" w:type="dxa"/>
            <w:vAlign w:val="bottom"/>
          </w:tcPr>
          <w:p w14:paraId="11173DA0" w14:textId="31DAB978" w:rsidR="00320D7D" w:rsidRDefault="00320D7D" w:rsidP="00F15B99">
            <w:pPr>
              <w:tabs>
                <w:tab w:val="center" w:pos="4320"/>
                <w:tab w:val="right" w:pos="8640"/>
              </w:tabs>
              <w:spacing w:after="0" w:line="240" w:lineRule="auto"/>
              <w:ind w:right="459" w:hanging="81"/>
              <w:rPr>
                <w:rFonts w:ascii="Arial" w:hAnsi="Arial" w:cs="Arial"/>
                <w:szCs w:val="20"/>
              </w:rPr>
            </w:pPr>
            <w:r>
              <w:rPr>
                <w:rFonts w:ascii="Arial" w:hAnsi="Arial" w:cs="Arial"/>
                <w:szCs w:val="20"/>
              </w:rPr>
              <w:t>March 1, 2021</w:t>
            </w:r>
          </w:p>
        </w:tc>
      </w:tr>
      <w:tr w:rsidR="00320D7D" w:rsidRPr="00B420E5" w14:paraId="148C4267" w14:textId="77777777" w:rsidTr="001C5CA7">
        <w:tc>
          <w:tcPr>
            <w:tcW w:w="1764" w:type="dxa"/>
          </w:tcPr>
          <w:p w14:paraId="7321D139" w14:textId="093E2E99"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3,353,250</w:t>
            </w:r>
          </w:p>
        </w:tc>
        <w:tc>
          <w:tcPr>
            <w:tcW w:w="1418" w:type="dxa"/>
            <w:vAlign w:val="bottom"/>
          </w:tcPr>
          <w:p w14:paraId="73646C98" w14:textId="792F41A0"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0.60</w:t>
            </w:r>
          </w:p>
        </w:tc>
        <w:tc>
          <w:tcPr>
            <w:tcW w:w="2810" w:type="dxa"/>
            <w:vAlign w:val="bottom"/>
          </w:tcPr>
          <w:p w14:paraId="6EA6EAD8" w14:textId="2F0A0C62" w:rsidR="00320D7D" w:rsidRDefault="00320D7D" w:rsidP="00F15B99">
            <w:pPr>
              <w:tabs>
                <w:tab w:val="center" w:pos="4320"/>
                <w:tab w:val="right" w:pos="8640"/>
              </w:tabs>
              <w:spacing w:after="0" w:line="240" w:lineRule="auto"/>
              <w:ind w:right="459" w:hanging="81"/>
              <w:rPr>
                <w:rFonts w:ascii="Arial" w:hAnsi="Arial" w:cs="Arial"/>
                <w:szCs w:val="20"/>
              </w:rPr>
            </w:pPr>
            <w:r>
              <w:rPr>
                <w:rFonts w:ascii="Arial" w:hAnsi="Arial" w:cs="Arial"/>
                <w:szCs w:val="20"/>
              </w:rPr>
              <w:t>September 21, 2021</w:t>
            </w:r>
          </w:p>
        </w:tc>
      </w:tr>
      <w:tr w:rsidR="00320D7D" w:rsidRPr="00B420E5" w14:paraId="5748EB3B" w14:textId="77777777" w:rsidTr="001C5CA7">
        <w:tc>
          <w:tcPr>
            <w:tcW w:w="1764" w:type="dxa"/>
          </w:tcPr>
          <w:p w14:paraId="58ECC0C2" w14:textId="318E62C0"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8,000</w:t>
            </w:r>
          </w:p>
        </w:tc>
        <w:tc>
          <w:tcPr>
            <w:tcW w:w="1418" w:type="dxa"/>
            <w:vAlign w:val="bottom"/>
          </w:tcPr>
          <w:p w14:paraId="0DABBE4D" w14:textId="24F587BF"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0.60</w:t>
            </w:r>
          </w:p>
        </w:tc>
        <w:tc>
          <w:tcPr>
            <w:tcW w:w="2810" w:type="dxa"/>
            <w:vAlign w:val="bottom"/>
          </w:tcPr>
          <w:p w14:paraId="10B05210" w14:textId="3CC34D0A" w:rsidR="00320D7D" w:rsidRDefault="00320D7D" w:rsidP="00F15B99">
            <w:pPr>
              <w:tabs>
                <w:tab w:val="center" w:pos="4320"/>
                <w:tab w:val="right" w:pos="8640"/>
              </w:tabs>
              <w:spacing w:after="0" w:line="240" w:lineRule="auto"/>
              <w:ind w:right="459" w:hanging="81"/>
              <w:rPr>
                <w:rFonts w:ascii="Arial" w:hAnsi="Arial" w:cs="Arial"/>
                <w:szCs w:val="20"/>
              </w:rPr>
            </w:pPr>
            <w:r>
              <w:rPr>
                <w:rFonts w:ascii="Arial" w:hAnsi="Arial" w:cs="Arial"/>
                <w:szCs w:val="20"/>
              </w:rPr>
              <w:t>October 1, 2021</w:t>
            </w:r>
          </w:p>
        </w:tc>
      </w:tr>
      <w:tr w:rsidR="00320D7D" w:rsidRPr="00B420E5" w14:paraId="17C8D4C5" w14:textId="77777777" w:rsidTr="001C5CA7">
        <w:tc>
          <w:tcPr>
            <w:tcW w:w="1764" w:type="dxa"/>
          </w:tcPr>
          <w:p w14:paraId="4ACD6335" w14:textId="3E6F2EF1"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907,260</w:t>
            </w:r>
          </w:p>
        </w:tc>
        <w:tc>
          <w:tcPr>
            <w:tcW w:w="1418" w:type="dxa"/>
            <w:vAlign w:val="bottom"/>
          </w:tcPr>
          <w:p w14:paraId="4463C41E" w14:textId="1DDA3871"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0.60</w:t>
            </w:r>
          </w:p>
        </w:tc>
        <w:tc>
          <w:tcPr>
            <w:tcW w:w="2810" w:type="dxa"/>
            <w:vAlign w:val="bottom"/>
          </w:tcPr>
          <w:p w14:paraId="426780E6" w14:textId="2B6F5BEA" w:rsidR="00320D7D" w:rsidRDefault="00320D7D" w:rsidP="00F15B99">
            <w:pPr>
              <w:tabs>
                <w:tab w:val="center" w:pos="4320"/>
                <w:tab w:val="right" w:pos="8640"/>
              </w:tabs>
              <w:spacing w:after="0" w:line="240" w:lineRule="auto"/>
              <w:ind w:right="459" w:hanging="81"/>
              <w:rPr>
                <w:rFonts w:ascii="Arial" w:hAnsi="Arial" w:cs="Arial"/>
                <w:szCs w:val="20"/>
              </w:rPr>
            </w:pPr>
            <w:r>
              <w:rPr>
                <w:rFonts w:ascii="Arial" w:hAnsi="Arial" w:cs="Arial"/>
                <w:szCs w:val="20"/>
              </w:rPr>
              <w:t>October 18, 2021</w:t>
            </w:r>
          </w:p>
        </w:tc>
      </w:tr>
      <w:tr w:rsidR="00320D7D" w:rsidRPr="00B420E5" w14:paraId="0A9B6E81" w14:textId="77777777" w:rsidTr="001C5CA7">
        <w:tc>
          <w:tcPr>
            <w:tcW w:w="1764" w:type="dxa"/>
          </w:tcPr>
          <w:p w14:paraId="00BCE999" w14:textId="2A7F11BF"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3,780,000</w:t>
            </w:r>
          </w:p>
        </w:tc>
        <w:tc>
          <w:tcPr>
            <w:tcW w:w="1418" w:type="dxa"/>
            <w:vAlign w:val="bottom"/>
          </w:tcPr>
          <w:p w14:paraId="6A5A343A" w14:textId="57B4101B"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0.60</w:t>
            </w:r>
          </w:p>
        </w:tc>
        <w:tc>
          <w:tcPr>
            <w:tcW w:w="2810" w:type="dxa"/>
            <w:vAlign w:val="bottom"/>
          </w:tcPr>
          <w:p w14:paraId="219274E6" w14:textId="6A25ED55" w:rsidR="00320D7D" w:rsidRDefault="00320D7D" w:rsidP="00F15B99">
            <w:pPr>
              <w:tabs>
                <w:tab w:val="center" w:pos="4320"/>
                <w:tab w:val="right" w:pos="8640"/>
              </w:tabs>
              <w:spacing w:after="0" w:line="240" w:lineRule="auto"/>
              <w:ind w:right="459" w:hanging="81"/>
              <w:rPr>
                <w:rFonts w:ascii="Arial" w:hAnsi="Arial" w:cs="Arial"/>
                <w:szCs w:val="20"/>
              </w:rPr>
            </w:pPr>
            <w:r>
              <w:rPr>
                <w:rFonts w:ascii="Arial" w:hAnsi="Arial" w:cs="Arial"/>
                <w:szCs w:val="20"/>
              </w:rPr>
              <w:t>October 22, 2021</w:t>
            </w:r>
          </w:p>
        </w:tc>
      </w:tr>
      <w:tr w:rsidR="003C420B" w:rsidRPr="00B420E5" w14:paraId="2AF5E285" w14:textId="77777777" w:rsidTr="001C5CA7">
        <w:tc>
          <w:tcPr>
            <w:tcW w:w="1764" w:type="dxa"/>
          </w:tcPr>
          <w:p w14:paraId="482BD07B" w14:textId="737C8362" w:rsidR="003C420B" w:rsidRDefault="003C420B"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7,058,000</w:t>
            </w:r>
          </w:p>
        </w:tc>
        <w:tc>
          <w:tcPr>
            <w:tcW w:w="1418" w:type="dxa"/>
            <w:vAlign w:val="bottom"/>
          </w:tcPr>
          <w:p w14:paraId="53E9CEA2" w14:textId="6F449BC7" w:rsidR="003C420B" w:rsidRDefault="003C420B"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0.30</w:t>
            </w:r>
          </w:p>
        </w:tc>
        <w:tc>
          <w:tcPr>
            <w:tcW w:w="2810" w:type="dxa"/>
            <w:vAlign w:val="bottom"/>
          </w:tcPr>
          <w:p w14:paraId="4BA8EF6C" w14:textId="7406983E" w:rsidR="003C420B" w:rsidRDefault="003C420B" w:rsidP="00F15B99">
            <w:pPr>
              <w:tabs>
                <w:tab w:val="center" w:pos="4320"/>
                <w:tab w:val="right" w:pos="8640"/>
              </w:tabs>
              <w:spacing w:after="0" w:line="240" w:lineRule="auto"/>
              <w:ind w:right="459" w:hanging="81"/>
              <w:rPr>
                <w:rFonts w:ascii="Arial" w:hAnsi="Arial" w:cs="Arial"/>
                <w:szCs w:val="20"/>
              </w:rPr>
            </w:pPr>
            <w:r>
              <w:rPr>
                <w:rFonts w:ascii="Arial" w:hAnsi="Arial" w:cs="Arial"/>
                <w:szCs w:val="20"/>
              </w:rPr>
              <w:t>March 16, 2022</w:t>
            </w:r>
          </w:p>
        </w:tc>
      </w:tr>
      <w:tr w:rsidR="003C420B" w:rsidRPr="00B420E5" w14:paraId="1442F730" w14:textId="77777777" w:rsidTr="004D0022">
        <w:tc>
          <w:tcPr>
            <w:tcW w:w="1764" w:type="dxa"/>
          </w:tcPr>
          <w:p w14:paraId="05E2134F" w14:textId="632D46EE" w:rsidR="003C420B" w:rsidRDefault="003C420B"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46,132,000</w:t>
            </w:r>
          </w:p>
        </w:tc>
        <w:tc>
          <w:tcPr>
            <w:tcW w:w="1418" w:type="dxa"/>
            <w:vAlign w:val="bottom"/>
          </w:tcPr>
          <w:p w14:paraId="4D0B66E9" w14:textId="36190759" w:rsidR="003C420B" w:rsidRDefault="003C420B"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0.35</w:t>
            </w:r>
          </w:p>
        </w:tc>
        <w:tc>
          <w:tcPr>
            <w:tcW w:w="2810" w:type="dxa"/>
            <w:vAlign w:val="bottom"/>
          </w:tcPr>
          <w:p w14:paraId="4977CEBD" w14:textId="20F0958A" w:rsidR="003C420B" w:rsidRDefault="003C420B" w:rsidP="00F15B99">
            <w:pPr>
              <w:tabs>
                <w:tab w:val="center" w:pos="4320"/>
                <w:tab w:val="right" w:pos="8640"/>
              </w:tabs>
              <w:spacing w:after="0" w:line="240" w:lineRule="auto"/>
              <w:ind w:right="459" w:hanging="81"/>
              <w:rPr>
                <w:rFonts w:ascii="Arial" w:hAnsi="Arial" w:cs="Arial"/>
                <w:szCs w:val="20"/>
              </w:rPr>
            </w:pPr>
            <w:r>
              <w:rPr>
                <w:rFonts w:ascii="Arial" w:hAnsi="Arial" w:cs="Arial"/>
                <w:szCs w:val="20"/>
              </w:rPr>
              <w:t>May 14, 2021</w:t>
            </w:r>
          </w:p>
        </w:tc>
      </w:tr>
      <w:tr w:rsidR="003C420B" w:rsidRPr="00B420E5" w14:paraId="33D3B80E" w14:textId="77777777" w:rsidTr="004D0022">
        <w:tc>
          <w:tcPr>
            <w:tcW w:w="1764" w:type="dxa"/>
            <w:tcBorders>
              <w:bottom w:val="single" w:sz="2" w:space="0" w:color="auto"/>
            </w:tcBorders>
          </w:tcPr>
          <w:p w14:paraId="61B51646" w14:textId="5C48C89A" w:rsidR="003C420B" w:rsidRPr="00303283" w:rsidRDefault="003C420B" w:rsidP="00F15B99">
            <w:pPr>
              <w:tabs>
                <w:tab w:val="center" w:pos="4320"/>
                <w:tab w:val="right" w:pos="8640"/>
              </w:tabs>
              <w:spacing w:after="0" w:line="240" w:lineRule="auto"/>
              <w:ind w:left="86" w:right="288" w:hanging="86"/>
              <w:jc w:val="right"/>
              <w:rPr>
                <w:rFonts w:ascii="Arial" w:hAnsi="Arial" w:cs="Arial"/>
                <w:szCs w:val="20"/>
              </w:rPr>
            </w:pPr>
            <w:r w:rsidRPr="00303283">
              <w:rPr>
                <w:rFonts w:ascii="Arial" w:hAnsi="Arial" w:cs="Arial"/>
                <w:szCs w:val="20"/>
              </w:rPr>
              <w:t>18,068,000</w:t>
            </w:r>
          </w:p>
        </w:tc>
        <w:tc>
          <w:tcPr>
            <w:tcW w:w="1418" w:type="dxa"/>
            <w:tcBorders>
              <w:bottom w:val="single" w:sz="2" w:space="0" w:color="auto"/>
            </w:tcBorders>
            <w:vAlign w:val="bottom"/>
          </w:tcPr>
          <w:p w14:paraId="7B246513" w14:textId="793BA417" w:rsidR="003C420B" w:rsidRDefault="003C420B"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0.35</w:t>
            </w:r>
          </w:p>
        </w:tc>
        <w:tc>
          <w:tcPr>
            <w:tcW w:w="2810" w:type="dxa"/>
            <w:tcBorders>
              <w:bottom w:val="single" w:sz="2" w:space="0" w:color="auto"/>
            </w:tcBorders>
            <w:vAlign w:val="bottom"/>
          </w:tcPr>
          <w:p w14:paraId="3E468E73" w14:textId="7D633AD1" w:rsidR="003C420B" w:rsidRDefault="003C420B" w:rsidP="00F15B99">
            <w:pPr>
              <w:tabs>
                <w:tab w:val="center" w:pos="4320"/>
                <w:tab w:val="right" w:pos="8640"/>
              </w:tabs>
              <w:spacing w:after="0" w:line="240" w:lineRule="auto"/>
              <w:ind w:right="459" w:hanging="81"/>
              <w:rPr>
                <w:rFonts w:ascii="Arial" w:hAnsi="Arial" w:cs="Arial"/>
                <w:szCs w:val="20"/>
              </w:rPr>
            </w:pPr>
            <w:r>
              <w:rPr>
                <w:rFonts w:ascii="Arial" w:hAnsi="Arial" w:cs="Arial"/>
                <w:szCs w:val="20"/>
              </w:rPr>
              <w:t>May 29, 2021</w:t>
            </w:r>
          </w:p>
        </w:tc>
      </w:tr>
      <w:tr w:rsidR="00303283" w:rsidRPr="00B420E5" w14:paraId="7106DE8A" w14:textId="77777777" w:rsidTr="004D0022">
        <w:tc>
          <w:tcPr>
            <w:tcW w:w="1764" w:type="dxa"/>
            <w:tcBorders>
              <w:top w:val="single" w:sz="2" w:space="0" w:color="auto"/>
              <w:bottom w:val="single" w:sz="12" w:space="0" w:color="auto"/>
            </w:tcBorders>
          </w:tcPr>
          <w:p w14:paraId="06362329" w14:textId="30ADA4BA" w:rsidR="00303283" w:rsidRDefault="00303283" w:rsidP="004D0022">
            <w:pPr>
              <w:tabs>
                <w:tab w:val="center" w:pos="4320"/>
                <w:tab w:val="right" w:pos="8640"/>
              </w:tabs>
              <w:spacing w:before="120" w:after="0" w:line="240" w:lineRule="auto"/>
              <w:ind w:left="86" w:right="288" w:hanging="86"/>
              <w:jc w:val="right"/>
              <w:rPr>
                <w:rFonts w:ascii="Arial" w:hAnsi="Arial" w:cs="Arial"/>
                <w:szCs w:val="20"/>
              </w:rPr>
            </w:pPr>
            <w:r>
              <w:rPr>
                <w:rFonts w:ascii="Arial" w:hAnsi="Arial" w:cs="Arial"/>
                <w:szCs w:val="20"/>
              </w:rPr>
              <w:t>79,478,923</w:t>
            </w:r>
          </w:p>
        </w:tc>
        <w:tc>
          <w:tcPr>
            <w:tcW w:w="1418" w:type="dxa"/>
            <w:tcBorders>
              <w:top w:val="single" w:sz="2" w:space="0" w:color="auto"/>
              <w:bottom w:val="single" w:sz="12" w:space="0" w:color="auto"/>
            </w:tcBorders>
            <w:vAlign w:val="bottom"/>
          </w:tcPr>
          <w:p w14:paraId="65EF92BD" w14:textId="77777777" w:rsidR="00303283" w:rsidRDefault="00303283" w:rsidP="004D0022">
            <w:pPr>
              <w:tabs>
                <w:tab w:val="center" w:pos="4320"/>
                <w:tab w:val="right" w:pos="8640"/>
              </w:tabs>
              <w:spacing w:before="120" w:after="0" w:line="240" w:lineRule="auto"/>
              <w:ind w:left="86" w:right="288" w:hanging="86"/>
              <w:jc w:val="right"/>
              <w:rPr>
                <w:rFonts w:ascii="Arial" w:hAnsi="Arial" w:cs="Arial"/>
                <w:szCs w:val="20"/>
              </w:rPr>
            </w:pPr>
          </w:p>
        </w:tc>
        <w:tc>
          <w:tcPr>
            <w:tcW w:w="2810" w:type="dxa"/>
            <w:tcBorders>
              <w:top w:val="single" w:sz="2" w:space="0" w:color="auto"/>
              <w:bottom w:val="single" w:sz="12" w:space="0" w:color="auto"/>
            </w:tcBorders>
            <w:vAlign w:val="bottom"/>
          </w:tcPr>
          <w:p w14:paraId="32DD5B5D" w14:textId="77777777" w:rsidR="00303283" w:rsidRDefault="00303283" w:rsidP="004D0022">
            <w:pPr>
              <w:tabs>
                <w:tab w:val="center" w:pos="4320"/>
                <w:tab w:val="right" w:pos="8640"/>
              </w:tabs>
              <w:spacing w:before="120" w:after="0" w:line="240" w:lineRule="auto"/>
              <w:ind w:right="459" w:hanging="81"/>
              <w:rPr>
                <w:rFonts w:ascii="Arial" w:hAnsi="Arial" w:cs="Arial"/>
                <w:szCs w:val="20"/>
              </w:rPr>
            </w:pPr>
          </w:p>
        </w:tc>
      </w:tr>
    </w:tbl>
    <w:p w14:paraId="2FAFB4DD" w14:textId="77777777" w:rsidR="00AA57D9" w:rsidRPr="00B420E5" w:rsidRDefault="00AA57D9" w:rsidP="00F15B99">
      <w:pPr>
        <w:spacing w:after="0" w:line="240" w:lineRule="auto"/>
        <w:ind w:left="446"/>
        <w:rPr>
          <w:rFonts w:ascii="Arial" w:hAnsi="Arial" w:cs="Arial"/>
          <w:szCs w:val="20"/>
        </w:rPr>
      </w:pPr>
    </w:p>
    <w:p w14:paraId="49AB5808" w14:textId="77777777" w:rsidR="00C71250" w:rsidRDefault="00C71250">
      <w:pPr>
        <w:rPr>
          <w:rFonts w:ascii="Arial" w:hAnsi="Arial" w:cs="Arial"/>
          <w:b/>
          <w:szCs w:val="20"/>
        </w:rPr>
      </w:pPr>
      <w:r>
        <w:rPr>
          <w:rFonts w:ascii="Arial" w:hAnsi="Arial" w:cs="Arial"/>
          <w:b/>
          <w:szCs w:val="20"/>
        </w:rPr>
        <w:br w:type="page"/>
      </w:r>
    </w:p>
    <w:p w14:paraId="02BA42CD" w14:textId="4D4F8467" w:rsidR="00790828" w:rsidRPr="00CA68B9" w:rsidRDefault="00320D7D" w:rsidP="00F15B99">
      <w:pPr>
        <w:tabs>
          <w:tab w:val="left" w:pos="432"/>
          <w:tab w:val="left" w:pos="792"/>
        </w:tabs>
        <w:spacing w:after="0" w:line="240" w:lineRule="auto"/>
        <w:jc w:val="both"/>
        <w:rPr>
          <w:rFonts w:ascii="Arial" w:hAnsi="Arial" w:cs="Arial"/>
          <w:b/>
          <w:szCs w:val="20"/>
        </w:rPr>
      </w:pPr>
      <w:r w:rsidRPr="00CA68B9">
        <w:rPr>
          <w:rFonts w:ascii="Arial" w:hAnsi="Arial" w:cs="Arial"/>
          <w:b/>
          <w:szCs w:val="20"/>
        </w:rPr>
        <w:lastRenderedPageBreak/>
        <w:t>1</w:t>
      </w:r>
      <w:r w:rsidR="002520DA" w:rsidRPr="00CA68B9">
        <w:rPr>
          <w:rFonts w:ascii="Arial" w:hAnsi="Arial" w:cs="Arial"/>
          <w:b/>
          <w:szCs w:val="20"/>
        </w:rPr>
        <w:t>4</w:t>
      </w:r>
      <w:r w:rsidR="00790828" w:rsidRPr="00CA68B9">
        <w:rPr>
          <w:rFonts w:ascii="Arial" w:hAnsi="Arial" w:cs="Arial"/>
          <w:b/>
          <w:szCs w:val="20"/>
        </w:rPr>
        <w:t>.</w:t>
      </w:r>
      <w:r w:rsidR="00790828" w:rsidRPr="00CA68B9">
        <w:rPr>
          <w:rFonts w:ascii="Arial" w:hAnsi="Arial" w:cs="Arial"/>
          <w:b/>
          <w:szCs w:val="20"/>
        </w:rPr>
        <w:tab/>
      </w:r>
      <w:r w:rsidR="00DB5BF7" w:rsidRPr="00CA68B9">
        <w:rPr>
          <w:rFonts w:ascii="Arial" w:hAnsi="Arial" w:cs="Arial"/>
          <w:b/>
          <w:szCs w:val="20"/>
        </w:rPr>
        <w:t>Share Purchase Options</w:t>
      </w:r>
    </w:p>
    <w:p w14:paraId="5D3A8A5B" w14:textId="77777777" w:rsidR="00181AEB" w:rsidRPr="00CA68B9" w:rsidRDefault="00181AEB" w:rsidP="00F15B99">
      <w:pPr>
        <w:pStyle w:val="BodyTextIndent2"/>
        <w:spacing w:after="0" w:line="240" w:lineRule="auto"/>
        <w:ind w:left="450"/>
        <w:jc w:val="both"/>
        <w:rPr>
          <w:rFonts w:ascii="Arial" w:hAnsi="Arial" w:cs="Arial"/>
          <w:szCs w:val="20"/>
          <w:lang w:val="en-CA"/>
        </w:rPr>
      </w:pPr>
    </w:p>
    <w:p w14:paraId="3EA17502" w14:textId="54020D2C" w:rsidR="0053697F" w:rsidRDefault="0053697F" w:rsidP="00F15B99">
      <w:pPr>
        <w:pStyle w:val="BodyTextIndent2"/>
        <w:spacing w:after="0" w:line="240" w:lineRule="auto"/>
        <w:ind w:left="450"/>
        <w:jc w:val="both"/>
        <w:rPr>
          <w:rFonts w:ascii="Arial" w:hAnsi="Arial" w:cs="Arial"/>
          <w:szCs w:val="20"/>
          <w:lang w:val="en-CA"/>
        </w:rPr>
      </w:pPr>
      <w:r w:rsidRPr="00CA68B9">
        <w:rPr>
          <w:rFonts w:ascii="Arial" w:hAnsi="Arial" w:cs="Arial"/>
          <w:szCs w:val="20"/>
          <w:lang w:val="en-CA"/>
        </w:rPr>
        <w:t xml:space="preserve">Effective </w:t>
      </w:r>
      <w:r w:rsidR="002520DA" w:rsidRPr="00CA68B9">
        <w:rPr>
          <w:rFonts w:ascii="Arial" w:hAnsi="Arial" w:cs="Arial"/>
          <w:szCs w:val="20"/>
          <w:lang w:val="en-CA"/>
        </w:rPr>
        <w:t>October 1, 2019</w:t>
      </w:r>
      <w:r w:rsidRPr="00CA68B9">
        <w:rPr>
          <w:rFonts w:ascii="Arial" w:hAnsi="Arial" w:cs="Arial"/>
          <w:szCs w:val="20"/>
          <w:lang w:val="en-CA"/>
        </w:rPr>
        <w:t xml:space="preserve">, the Company adopted a </w:t>
      </w:r>
      <w:r w:rsidR="002520DA" w:rsidRPr="00CA68B9">
        <w:rPr>
          <w:rFonts w:ascii="Arial" w:hAnsi="Arial" w:cs="Arial"/>
          <w:szCs w:val="20"/>
          <w:lang w:val="en-CA"/>
        </w:rPr>
        <w:t>long-term incentive plan</w:t>
      </w:r>
      <w:r w:rsidRPr="00CA68B9">
        <w:rPr>
          <w:rFonts w:ascii="Arial" w:hAnsi="Arial" w:cs="Arial"/>
          <w:szCs w:val="20"/>
          <w:lang w:val="en-CA"/>
        </w:rPr>
        <w:t>. Under this plan, the Company may grant options</w:t>
      </w:r>
      <w:r w:rsidR="00CA68B9" w:rsidRPr="00CA68B9">
        <w:rPr>
          <w:rFonts w:ascii="Arial" w:hAnsi="Arial" w:cs="Arial"/>
          <w:szCs w:val="20"/>
          <w:lang w:val="en-CA"/>
        </w:rPr>
        <w:t>, performance share units, restricted share units or deferred share units</w:t>
      </w:r>
      <w:r w:rsidRPr="00CA68B9">
        <w:rPr>
          <w:rFonts w:ascii="Arial" w:hAnsi="Arial" w:cs="Arial"/>
          <w:szCs w:val="20"/>
          <w:lang w:val="en-CA"/>
        </w:rPr>
        <w:t xml:space="preserve"> </w:t>
      </w:r>
      <w:r w:rsidR="00E60A82" w:rsidRPr="00CA68B9">
        <w:rPr>
          <w:rFonts w:ascii="Arial" w:hAnsi="Arial" w:cs="Arial"/>
          <w:szCs w:val="20"/>
          <w:lang w:val="en-CA"/>
        </w:rPr>
        <w:t xml:space="preserve">to its directors, officers, employees and consultants </w:t>
      </w:r>
      <w:r w:rsidRPr="00CA68B9">
        <w:rPr>
          <w:rFonts w:ascii="Arial" w:hAnsi="Arial" w:cs="Arial"/>
          <w:szCs w:val="20"/>
          <w:lang w:val="en-CA"/>
        </w:rPr>
        <w:t>up to an amount</w:t>
      </w:r>
      <w:r w:rsidR="00E60A82" w:rsidRPr="00CA68B9">
        <w:rPr>
          <w:rFonts w:ascii="Arial" w:hAnsi="Arial" w:cs="Arial"/>
          <w:szCs w:val="20"/>
          <w:lang w:val="en-CA"/>
        </w:rPr>
        <w:t xml:space="preserve"> as determined by the Company and will be no more than </w:t>
      </w:r>
      <w:r w:rsidR="00CA68B9" w:rsidRPr="00CA68B9">
        <w:rPr>
          <w:rFonts w:ascii="Arial" w:hAnsi="Arial" w:cs="Arial"/>
          <w:szCs w:val="20"/>
          <w:lang w:val="en-CA"/>
        </w:rPr>
        <w:t>10% of</w:t>
      </w:r>
      <w:r w:rsidR="00E60A82" w:rsidRPr="00CA68B9">
        <w:rPr>
          <w:rFonts w:ascii="Arial" w:hAnsi="Arial" w:cs="Arial"/>
          <w:szCs w:val="20"/>
          <w:lang w:val="en-CA"/>
        </w:rPr>
        <w:t xml:space="preserve"> </w:t>
      </w:r>
      <w:r w:rsidR="00C634FA" w:rsidRPr="00CA68B9">
        <w:rPr>
          <w:rFonts w:ascii="Arial" w:hAnsi="Arial" w:cs="Arial"/>
          <w:szCs w:val="20"/>
          <w:lang w:val="en-CA"/>
        </w:rPr>
        <w:t xml:space="preserve">its </w:t>
      </w:r>
      <w:r w:rsidR="00E60A82" w:rsidRPr="00CA68B9">
        <w:rPr>
          <w:rFonts w:ascii="Arial" w:hAnsi="Arial" w:cs="Arial"/>
          <w:szCs w:val="20"/>
          <w:lang w:val="en-CA"/>
        </w:rPr>
        <w:t xml:space="preserve">outstanding common </w:t>
      </w:r>
      <w:r w:rsidR="00DB5BF7" w:rsidRPr="00CA68B9">
        <w:rPr>
          <w:rFonts w:ascii="Arial" w:hAnsi="Arial" w:cs="Arial"/>
          <w:szCs w:val="20"/>
          <w:lang w:val="en-CA"/>
        </w:rPr>
        <w:t>shares</w:t>
      </w:r>
      <w:r w:rsidR="00E60A82" w:rsidRPr="00CA68B9">
        <w:rPr>
          <w:rFonts w:ascii="Arial" w:hAnsi="Arial" w:cs="Arial"/>
          <w:szCs w:val="20"/>
          <w:lang w:val="en-CA"/>
        </w:rPr>
        <w:t xml:space="preserve"> </w:t>
      </w:r>
      <w:r w:rsidR="00CA68B9" w:rsidRPr="00CA68B9">
        <w:rPr>
          <w:rFonts w:ascii="Arial" w:hAnsi="Arial" w:cs="Arial"/>
          <w:szCs w:val="20"/>
          <w:lang w:val="en-CA"/>
        </w:rPr>
        <w:t>on a fully-diluted basis</w:t>
      </w:r>
      <w:r w:rsidRPr="00CA68B9">
        <w:rPr>
          <w:rFonts w:ascii="Arial" w:hAnsi="Arial" w:cs="Arial"/>
          <w:szCs w:val="20"/>
          <w:lang w:val="en-CA"/>
        </w:rPr>
        <w:t xml:space="preserve">. The exercise price of the </w:t>
      </w:r>
      <w:r w:rsidR="00DB5BF7" w:rsidRPr="00CA68B9">
        <w:rPr>
          <w:rFonts w:ascii="Arial" w:hAnsi="Arial" w:cs="Arial"/>
          <w:szCs w:val="20"/>
          <w:lang w:val="en-CA"/>
        </w:rPr>
        <w:t>share purchase options</w:t>
      </w:r>
      <w:r w:rsidRPr="00CA68B9">
        <w:rPr>
          <w:rFonts w:ascii="Arial" w:hAnsi="Arial" w:cs="Arial"/>
          <w:szCs w:val="20"/>
          <w:lang w:val="en-CA"/>
        </w:rPr>
        <w:t xml:space="preserve"> will be determined by the Company and will be no less than </w:t>
      </w:r>
      <w:r w:rsidR="00CA68B9" w:rsidRPr="00CA68B9">
        <w:rPr>
          <w:rFonts w:ascii="Arial" w:hAnsi="Arial" w:cs="Arial"/>
          <w:szCs w:val="20"/>
          <w:lang w:val="en-CA"/>
        </w:rPr>
        <w:t>market price on grant date</w:t>
      </w:r>
      <w:r>
        <w:rPr>
          <w:rFonts w:ascii="Arial" w:hAnsi="Arial" w:cs="Arial"/>
          <w:szCs w:val="20"/>
          <w:lang w:val="en-CA"/>
        </w:rPr>
        <w:t>.</w:t>
      </w:r>
    </w:p>
    <w:p w14:paraId="29DA9C20" w14:textId="77777777" w:rsidR="00181AEB" w:rsidRDefault="00181AEB" w:rsidP="00F15B99">
      <w:pPr>
        <w:pStyle w:val="BodyTextIndent2"/>
        <w:spacing w:after="0" w:line="240" w:lineRule="auto"/>
        <w:ind w:left="0" w:firstLine="450"/>
        <w:rPr>
          <w:rFonts w:ascii="Arial" w:hAnsi="Arial" w:cs="Arial"/>
          <w:szCs w:val="20"/>
          <w:lang w:val="en-CA"/>
        </w:rPr>
      </w:pPr>
    </w:p>
    <w:p w14:paraId="5312B2F5" w14:textId="606A62EA" w:rsidR="00790828" w:rsidRDefault="00790828" w:rsidP="009E6759">
      <w:pPr>
        <w:pStyle w:val="BodyTextIndent2"/>
        <w:spacing w:after="0" w:line="240" w:lineRule="auto"/>
        <w:ind w:left="450"/>
        <w:jc w:val="both"/>
        <w:rPr>
          <w:rFonts w:ascii="Arial" w:hAnsi="Arial" w:cs="Arial"/>
          <w:szCs w:val="20"/>
          <w:lang w:val="en-CA"/>
        </w:rPr>
      </w:pPr>
      <w:r w:rsidRPr="00F60034">
        <w:rPr>
          <w:rFonts w:ascii="Arial" w:hAnsi="Arial" w:cs="Arial"/>
          <w:szCs w:val="20"/>
          <w:lang w:val="en-CA"/>
        </w:rPr>
        <w:t xml:space="preserve">The following table summarizes the continuity of the Company’s </w:t>
      </w:r>
      <w:r w:rsidR="00DB5BF7">
        <w:rPr>
          <w:rFonts w:ascii="Arial" w:hAnsi="Arial" w:cs="Arial"/>
          <w:szCs w:val="20"/>
          <w:lang w:val="en-CA"/>
        </w:rPr>
        <w:t>share purchase options</w:t>
      </w:r>
      <w:r w:rsidRPr="00F60034">
        <w:rPr>
          <w:rFonts w:ascii="Arial" w:hAnsi="Arial" w:cs="Arial"/>
          <w:szCs w:val="20"/>
          <w:lang w:val="en-CA"/>
        </w:rPr>
        <w:t>:</w:t>
      </w:r>
    </w:p>
    <w:p w14:paraId="42A45403" w14:textId="77777777" w:rsidR="00181AEB" w:rsidRPr="00F60034" w:rsidRDefault="00181AEB" w:rsidP="00F15B99">
      <w:pPr>
        <w:pStyle w:val="BodyTextIndent2"/>
        <w:spacing w:after="0" w:line="240" w:lineRule="auto"/>
        <w:ind w:left="0" w:firstLine="450"/>
        <w:rPr>
          <w:rFonts w:ascii="Arial" w:hAnsi="Arial" w:cs="Arial"/>
          <w:szCs w:val="20"/>
          <w:lang w:val="en-CA"/>
        </w:rPr>
      </w:pPr>
    </w:p>
    <w:tbl>
      <w:tblPr>
        <w:tblW w:w="8820" w:type="dxa"/>
        <w:tblInd w:w="540" w:type="dxa"/>
        <w:tblCellMar>
          <w:left w:w="0" w:type="dxa"/>
          <w:right w:w="0" w:type="dxa"/>
        </w:tblCellMar>
        <w:tblLook w:val="0000" w:firstRow="0" w:lastRow="0" w:firstColumn="0" w:lastColumn="0" w:noHBand="0" w:noVBand="0"/>
      </w:tblPr>
      <w:tblGrid>
        <w:gridCol w:w="4230"/>
        <w:gridCol w:w="1260"/>
        <w:gridCol w:w="1620"/>
        <w:gridCol w:w="1710"/>
      </w:tblGrid>
      <w:tr w:rsidR="00E73C26" w:rsidRPr="00D0623F" w14:paraId="7ECA2115" w14:textId="77777777" w:rsidTr="009E6759">
        <w:tc>
          <w:tcPr>
            <w:tcW w:w="4230" w:type="dxa"/>
            <w:tcBorders>
              <w:bottom w:val="single" w:sz="4" w:space="0" w:color="auto"/>
            </w:tcBorders>
            <w:vAlign w:val="bottom"/>
          </w:tcPr>
          <w:p w14:paraId="0F683AB2" w14:textId="77777777" w:rsidR="00E73C26" w:rsidRPr="00D0623F" w:rsidRDefault="00E73C26" w:rsidP="00F15B99">
            <w:pPr>
              <w:spacing w:after="0" w:line="240" w:lineRule="auto"/>
              <w:jc w:val="center"/>
              <w:rPr>
                <w:rStyle w:val="HeadNoteTitle"/>
                <w:rFonts w:cs="Arial"/>
                <w:b w:val="0"/>
                <w:bCs/>
                <w:sz w:val="20"/>
                <w:szCs w:val="20"/>
              </w:rPr>
            </w:pPr>
            <w:r w:rsidRPr="00D0623F">
              <w:rPr>
                <w:rFonts w:ascii="Arial" w:hAnsi="Arial" w:cs="Arial"/>
                <w:szCs w:val="20"/>
              </w:rPr>
              <w:fldChar w:fldCharType="begin"/>
            </w:r>
            <w:r w:rsidRPr="00D0623F">
              <w:rPr>
                <w:rFonts w:ascii="Arial" w:hAnsi="Arial" w:cs="Arial"/>
                <w:szCs w:val="20"/>
              </w:rPr>
              <w:instrText>ADVANCE \d 5</w:instrText>
            </w:r>
            <w:r w:rsidRPr="00D0623F">
              <w:rPr>
                <w:rFonts w:ascii="Arial" w:hAnsi="Arial" w:cs="Arial"/>
                <w:szCs w:val="20"/>
              </w:rPr>
              <w:fldChar w:fldCharType="end"/>
            </w:r>
          </w:p>
        </w:tc>
        <w:tc>
          <w:tcPr>
            <w:tcW w:w="1260" w:type="dxa"/>
            <w:tcBorders>
              <w:bottom w:val="single" w:sz="4" w:space="0" w:color="auto"/>
            </w:tcBorders>
            <w:vAlign w:val="bottom"/>
          </w:tcPr>
          <w:p w14:paraId="2CA08267" w14:textId="77777777" w:rsidR="00E73C26" w:rsidRPr="00D0623F" w:rsidRDefault="00E73C26" w:rsidP="00F15B99">
            <w:pPr>
              <w:spacing w:after="0" w:line="240" w:lineRule="auto"/>
              <w:jc w:val="center"/>
              <w:rPr>
                <w:rStyle w:val="HeadNoteTitle"/>
                <w:rFonts w:cs="Arial"/>
                <w:b w:val="0"/>
                <w:bCs/>
                <w:sz w:val="20"/>
                <w:szCs w:val="20"/>
              </w:rPr>
            </w:pPr>
            <w:r w:rsidRPr="00D0623F">
              <w:rPr>
                <w:rFonts w:ascii="Arial" w:hAnsi="Arial" w:cs="Arial"/>
                <w:szCs w:val="20"/>
              </w:rPr>
              <w:t>Number</w:t>
            </w:r>
            <w:r w:rsidRPr="00D0623F">
              <w:rPr>
                <w:rFonts w:ascii="Arial" w:hAnsi="Arial" w:cs="Arial"/>
                <w:szCs w:val="20"/>
              </w:rPr>
              <w:br/>
              <w:t>of Options</w:t>
            </w:r>
          </w:p>
        </w:tc>
        <w:tc>
          <w:tcPr>
            <w:tcW w:w="1620" w:type="dxa"/>
            <w:tcBorders>
              <w:bottom w:val="single" w:sz="4" w:space="0" w:color="auto"/>
            </w:tcBorders>
            <w:tcMar>
              <w:left w:w="0" w:type="dxa"/>
              <w:right w:w="0" w:type="dxa"/>
            </w:tcMar>
            <w:vAlign w:val="bottom"/>
          </w:tcPr>
          <w:p w14:paraId="24B764B0" w14:textId="245875AE" w:rsidR="00E73C26" w:rsidRPr="00D0623F" w:rsidRDefault="00E73C26" w:rsidP="00E73C26">
            <w:pPr>
              <w:spacing w:after="0" w:line="240" w:lineRule="auto"/>
              <w:jc w:val="center"/>
              <w:rPr>
                <w:rStyle w:val="HeadNoteTitle"/>
                <w:rFonts w:cs="Arial"/>
                <w:b w:val="0"/>
                <w:bCs/>
                <w:sz w:val="20"/>
                <w:szCs w:val="20"/>
              </w:rPr>
            </w:pPr>
            <w:r w:rsidRPr="00D0623F">
              <w:rPr>
                <w:rFonts w:ascii="Arial" w:hAnsi="Arial" w:cs="Arial"/>
                <w:szCs w:val="20"/>
              </w:rPr>
              <w:t>Weighted</w:t>
            </w:r>
            <w:r w:rsidRPr="00D0623F">
              <w:rPr>
                <w:rFonts w:ascii="Arial" w:hAnsi="Arial" w:cs="Arial"/>
                <w:szCs w:val="20"/>
              </w:rPr>
              <w:br/>
              <w:t>Average</w:t>
            </w:r>
            <w:r w:rsidRPr="00D0623F">
              <w:rPr>
                <w:rFonts w:ascii="Arial" w:hAnsi="Arial" w:cs="Arial"/>
                <w:szCs w:val="20"/>
              </w:rPr>
              <w:br/>
              <w:t>Exercise Price</w:t>
            </w:r>
          </w:p>
        </w:tc>
        <w:tc>
          <w:tcPr>
            <w:tcW w:w="1710" w:type="dxa"/>
            <w:tcBorders>
              <w:bottom w:val="single" w:sz="4" w:space="0" w:color="auto"/>
            </w:tcBorders>
          </w:tcPr>
          <w:p w14:paraId="2A9E816A" w14:textId="77777777" w:rsidR="00E73C26" w:rsidRPr="00D0623F" w:rsidRDefault="00E73C26" w:rsidP="00F15B99">
            <w:pPr>
              <w:spacing w:after="0" w:line="240" w:lineRule="auto"/>
              <w:jc w:val="center"/>
              <w:rPr>
                <w:rFonts w:ascii="Arial" w:hAnsi="Arial" w:cs="Arial"/>
                <w:szCs w:val="20"/>
              </w:rPr>
            </w:pPr>
            <w:r w:rsidRPr="00D0623F">
              <w:rPr>
                <w:rFonts w:ascii="Arial" w:hAnsi="Arial" w:cs="Arial"/>
                <w:szCs w:val="20"/>
              </w:rPr>
              <w:t>Weighted Average Remaining Contractual Life (years)</w:t>
            </w:r>
          </w:p>
        </w:tc>
      </w:tr>
      <w:tr w:rsidR="009E6759" w:rsidRPr="00D0623F" w14:paraId="0C2D6F71" w14:textId="77777777" w:rsidTr="009E6759">
        <w:trPr>
          <w:trHeight w:hRule="exact" w:val="115"/>
        </w:trPr>
        <w:tc>
          <w:tcPr>
            <w:tcW w:w="4230" w:type="dxa"/>
            <w:tcBorders>
              <w:top w:val="single" w:sz="4" w:space="0" w:color="auto"/>
            </w:tcBorders>
          </w:tcPr>
          <w:p w14:paraId="31398117" w14:textId="77777777" w:rsidR="009E6759" w:rsidRPr="00D0623F" w:rsidRDefault="009E6759" w:rsidP="00EC4ECB">
            <w:pPr>
              <w:spacing w:after="0" w:line="240" w:lineRule="auto"/>
              <w:rPr>
                <w:rFonts w:ascii="Arial" w:hAnsi="Arial" w:cs="Arial"/>
                <w:szCs w:val="20"/>
              </w:rPr>
            </w:pPr>
          </w:p>
        </w:tc>
        <w:tc>
          <w:tcPr>
            <w:tcW w:w="1260" w:type="dxa"/>
            <w:tcBorders>
              <w:top w:val="single" w:sz="4" w:space="0" w:color="auto"/>
            </w:tcBorders>
          </w:tcPr>
          <w:p w14:paraId="061A2574" w14:textId="77777777" w:rsidR="009E6759" w:rsidRPr="00D0623F" w:rsidRDefault="009E6759" w:rsidP="00EC4ECB">
            <w:pPr>
              <w:spacing w:after="0" w:line="240" w:lineRule="auto"/>
              <w:ind w:right="29"/>
              <w:jc w:val="right"/>
              <w:rPr>
                <w:rStyle w:val="HeadNoteTitle"/>
                <w:rFonts w:cs="Arial"/>
                <w:b w:val="0"/>
                <w:bCs/>
                <w:sz w:val="20"/>
                <w:szCs w:val="20"/>
              </w:rPr>
            </w:pPr>
          </w:p>
        </w:tc>
        <w:tc>
          <w:tcPr>
            <w:tcW w:w="1620" w:type="dxa"/>
            <w:tcBorders>
              <w:top w:val="single" w:sz="4" w:space="0" w:color="auto"/>
            </w:tcBorders>
          </w:tcPr>
          <w:p w14:paraId="341B7B4E" w14:textId="77777777" w:rsidR="009E6759" w:rsidRPr="00D0623F" w:rsidRDefault="009E6759" w:rsidP="00EC4ECB">
            <w:pPr>
              <w:spacing w:after="0" w:line="240" w:lineRule="auto"/>
              <w:ind w:right="29"/>
              <w:jc w:val="right"/>
              <w:rPr>
                <w:rStyle w:val="HeadNoteTitle"/>
                <w:rFonts w:cs="Arial"/>
                <w:b w:val="0"/>
                <w:bCs/>
                <w:sz w:val="20"/>
                <w:szCs w:val="20"/>
              </w:rPr>
            </w:pPr>
          </w:p>
        </w:tc>
        <w:tc>
          <w:tcPr>
            <w:tcW w:w="1710" w:type="dxa"/>
            <w:tcBorders>
              <w:top w:val="single" w:sz="4" w:space="0" w:color="auto"/>
            </w:tcBorders>
          </w:tcPr>
          <w:p w14:paraId="1D56209A" w14:textId="77777777" w:rsidR="009E6759" w:rsidRPr="00D0623F" w:rsidRDefault="009E6759" w:rsidP="00EC4ECB">
            <w:pPr>
              <w:spacing w:after="0" w:line="240" w:lineRule="auto"/>
              <w:ind w:right="29"/>
              <w:jc w:val="right"/>
              <w:rPr>
                <w:rStyle w:val="HeadNoteTitle"/>
                <w:rFonts w:cs="Arial"/>
                <w:b w:val="0"/>
                <w:bCs/>
                <w:sz w:val="20"/>
                <w:szCs w:val="20"/>
              </w:rPr>
            </w:pPr>
          </w:p>
        </w:tc>
      </w:tr>
      <w:tr w:rsidR="00044EC7" w:rsidRPr="00D0623F" w14:paraId="757DFAFA" w14:textId="77777777" w:rsidTr="009E6759">
        <w:tc>
          <w:tcPr>
            <w:tcW w:w="4230" w:type="dxa"/>
          </w:tcPr>
          <w:p w14:paraId="4618FE11" w14:textId="77777777" w:rsidR="009E6759" w:rsidRPr="00D0623F" w:rsidRDefault="009E6759" w:rsidP="00EC4ECB">
            <w:pPr>
              <w:spacing w:after="0" w:line="240" w:lineRule="auto"/>
              <w:rPr>
                <w:rFonts w:ascii="Arial" w:hAnsi="Arial" w:cs="Arial"/>
                <w:szCs w:val="20"/>
              </w:rPr>
            </w:pPr>
            <w:r w:rsidRPr="00D0623F">
              <w:rPr>
                <w:rFonts w:ascii="Arial" w:hAnsi="Arial" w:cs="Arial"/>
                <w:szCs w:val="20"/>
              </w:rPr>
              <w:t>Outstanding, February 1, 2018</w:t>
            </w:r>
          </w:p>
        </w:tc>
        <w:tc>
          <w:tcPr>
            <w:tcW w:w="1260" w:type="dxa"/>
            <w:vAlign w:val="bottom"/>
          </w:tcPr>
          <w:p w14:paraId="47D7BEF9" w14:textId="76056777" w:rsidR="009E6759" w:rsidRPr="00D0623F" w:rsidRDefault="00CA68B9" w:rsidP="00EC4ECB">
            <w:pPr>
              <w:pStyle w:val="Header"/>
              <w:tabs>
                <w:tab w:val="left" w:pos="990"/>
              </w:tabs>
              <w:ind w:left="86" w:right="90" w:hanging="86"/>
              <w:jc w:val="right"/>
              <w:rPr>
                <w:rFonts w:ascii="Arial" w:hAnsi="Arial" w:cs="Arial"/>
                <w:szCs w:val="20"/>
              </w:rPr>
            </w:pPr>
            <w:r w:rsidRPr="00D0623F">
              <w:rPr>
                <w:rFonts w:ascii="Arial" w:hAnsi="Arial" w:cs="Arial"/>
                <w:szCs w:val="20"/>
              </w:rPr>
              <w:t>13,</w:t>
            </w:r>
            <w:r w:rsidR="00D0623F" w:rsidRPr="00D0623F">
              <w:rPr>
                <w:rFonts w:ascii="Arial" w:hAnsi="Arial" w:cs="Arial"/>
                <w:szCs w:val="20"/>
              </w:rPr>
              <w:t>620,833</w:t>
            </w:r>
          </w:p>
        </w:tc>
        <w:tc>
          <w:tcPr>
            <w:tcW w:w="1620" w:type="dxa"/>
            <w:vAlign w:val="bottom"/>
          </w:tcPr>
          <w:p w14:paraId="3AC62668" w14:textId="2F699572" w:rsidR="009E6759" w:rsidRPr="00D0623F" w:rsidRDefault="00D0623F" w:rsidP="00EC4ECB">
            <w:pPr>
              <w:pStyle w:val="Header"/>
              <w:ind w:left="86" w:right="180" w:hanging="86"/>
              <w:jc w:val="right"/>
              <w:rPr>
                <w:rFonts w:ascii="Arial" w:hAnsi="Arial" w:cs="Arial"/>
                <w:szCs w:val="20"/>
              </w:rPr>
            </w:pPr>
            <w:r w:rsidRPr="00D0623F">
              <w:rPr>
                <w:rFonts w:ascii="Arial" w:hAnsi="Arial" w:cs="Arial"/>
                <w:szCs w:val="20"/>
              </w:rPr>
              <w:t>0.46</w:t>
            </w:r>
          </w:p>
        </w:tc>
        <w:tc>
          <w:tcPr>
            <w:tcW w:w="1710" w:type="dxa"/>
            <w:vAlign w:val="bottom"/>
          </w:tcPr>
          <w:p w14:paraId="5EBC365A" w14:textId="333BA9C1" w:rsidR="009E6759" w:rsidRPr="00D0623F" w:rsidRDefault="00D0623F" w:rsidP="00EC4ECB">
            <w:pPr>
              <w:pStyle w:val="Header"/>
              <w:ind w:left="86" w:right="288" w:hanging="86"/>
              <w:jc w:val="right"/>
              <w:rPr>
                <w:rFonts w:ascii="Arial" w:hAnsi="Arial" w:cs="Arial"/>
                <w:szCs w:val="20"/>
              </w:rPr>
            </w:pPr>
            <w:r w:rsidRPr="00D0623F">
              <w:rPr>
                <w:rFonts w:ascii="Arial" w:hAnsi="Arial" w:cs="Arial"/>
                <w:szCs w:val="20"/>
              </w:rPr>
              <w:t>3.26</w:t>
            </w:r>
          </w:p>
        </w:tc>
      </w:tr>
      <w:tr w:rsidR="00D0623F" w:rsidRPr="00D0623F" w14:paraId="3BDAF34A" w14:textId="77777777" w:rsidTr="0093147D">
        <w:tc>
          <w:tcPr>
            <w:tcW w:w="4230" w:type="dxa"/>
          </w:tcPr>
          <w:p w14:paraId="797E0C23" w14:textId="77777777" w:rsidR="00D0623F" w:rsidRPr="00D0623F" w:rsidRDefault="00D0623F" w:rsidP="0093147D">
            <w:pPr>
              <w:spacing w:after="0" w:line="240" w:lineRule="auto"/>
              <w:ind w:left="180"/>
              <w:rPr>
                <w:rFonts w:ascii="Arial" w:hAnsi="Arial" w:cs="Arial"/>
                <w:szCs w:val="20"/>
              </w:rPr>
            </w:pPr>
            <w:r w:rsidRPr="00D0623F">
              <w:rPr>
                <w:rFonts w:ascii="Arial" w:hAnsi="Arial" w:cs="Arial"/>
                <w:szCs w:val="20"/>
              </w:rPr>
              <w:t>Granted</w:t>
            </w:r>
          </w:p>
        </w:tc>
        <w:tc>
          <w:tcPr>
            <w:tcW w:w="1260" w:type="dxa"/>
            <w:vAlign w:val="bottom"/>
          </w:tcPr>
          <w:p w14:paraId="73A488EE" w14:textId="559312DE" w:rsidR="00D0623F" w:rsidRPr="00D0623F" w:rsidRDefault="00D0623F" w:rsidP="0093147D">
            <w:pPr>
              <w:pStyle w:val="Header"/>
              <w:tabs>
                <w:tab w:val="left" w:pos="990"/>
              </w:tabs>
              <w:ind w:left="86" w:right="90" w:hanging="86"/>
              <w:jc w:val="right"/>
              <w:rPr>
                <w:rFonts w:ascii="Arial" w:hAnsi="Arial" w:cs="Arial"/>
                <w:szCs w:val="20"/>
              </w:rPr>
            </w:pPr>
            <w:r w:rsidRPr="00D0623F">
              <w:rPr>
                <w:rFonts w:ascii="Arial" w:hAnsi="Arial" w:cs="Arial"/>
                <w:szCs w:val="20"/>
              </w:rPr>
              <w:t>300,000</w:t>
            </w:r>
          </w:p>
        </w:tc>
        <w:tc>
          <w:tcPr>
            <w:tcW w:w="1620" w:type="dxa"/>
            <w:vAlign w:val="bottom"/>
          </w:tcPr>
          <w:p w14:paraId="0A261A29" w14:textId="768FE2F8" w:rsidR="00D0623F" w:rsidRPr="00D0623F" w:rsidRDefault="00D0623F" w:rsidP="0093147D">
            <w:pPr>
              <w:pStyle w:val="Header"/>
              <w:ind w:left="86" w:right="180" w:hanging="86"/>
              <w:jc w:val="right"/>
              <w:rPr>
                <w:rFonts w:ascii="Arial" w:hAnsi="Arial" w:cs="Arial"/>
                <w:szCs w:val="20"/>
              </w:rPr>
            </w:pPr>
            <w:r w:rsidRPr="00D0623F">
              <w:rPr>
                <w:rFonts w:ascii="Arial" w:hAnsi="Arial" w:cs="Arial"/>
                <w:szCs w:val="20"/>
              </w:rPr>
              <w:t>1.25</w:t>
            </w:r>
          </w:p>
        </w:tc>
        <w:tc>
          <w:tcPr>
            <w:tcW w:w="1710" w:type="dxa"/>
            <w:vAlign w:val="bottom"/>
          </w:tcPr>
          <w:p w14:paraId="72C64892" w14:textId="5690743D" w:rsidR="00D0623F" w:rsidRPr="00D0623F" w:rsidRDefault="00D0623F" w:rsidP="0093147D">
            <w:pPr>
              <w:pStyle w:val="Header"/>
              <w:ind w:left="86" w:right="288" w:hanging="86"/>
              <w:jc w:val="right"/>
              <w:rPr>
                <w:rFonts w:ascii="Arial" w:hAnsi="Arial" w:cs="Arial"/>
                <w:color w:val="FF0000"/>
                <w:szCs w:val="20"/>
              </w:rPr>
            </w:pPr>
            <w:r w:rsidRPr="00D0623F">
              <w:rPr>
                <w:rFonts w:ascii="Arial" w:hAnsi="Arial" w:cs="Arial"/>
                <w:szCs w:val="20"/>
              </w:rPr>
              <w:t>4.32</w:t>
            </w:r>
          </w:p>
        </w:tc>
      </w:tr>
      <w:tr w:rsidR="009E6759" w:rsidRPr="00D0623F" w14:paraId="614AD7AE" w14:textId="77777777" w:rsidTr="009E6759">
        <w:tc>
          <w:tcPr>
            <w:tcW w:w="4230" w:type="dxa"/>
          </w:tcPr>
          <w:p w14:paraId="7D123251" w14:textId="47317914" w:rsidR="009E6759" w:rsidRPr="00D0623F" w:rsidRDefault="00D0623F" w:rsidP="00EC4ECB">
            <w:pPr>
              <w:spacing w:after="0" w:line="240" w:lineRule="auto"/>
              <w:ind w:left="180"/>
              <w:rPr>
                <w:rFonts w:ascii="Arial" w:hAnsi="Arial" w:cs="Arial"/>
                <w:szCs w:val="20"/>
              </w:rPr>
            </w:pPr>
            <w:r w:rsidRPr="00D0623F">
              <w:rPr>
                <w:rFonts w:ascii="Arial" w:hAnsi="Arial" w:cs="Arial"/>
                <w:szCs w:val="20"/>
              </w:rPr>
              <w:t>Forfeited</w:t>
            </w:r>
          </w:p>
        </w:tc>
        <w:tc>
          <w:tcPr>
            <w:tcW w:w="1260" w:type="dxa"/>
            <w:vAlign w:val="bottom"/>
          </w:tcPr>
          <w:p w14:paraId="3E21440A" w14:textId="2531B162" w:rsidR="009E6759" w:rsidRPr="00D0623F" w:rsidRDefault="00D0623F" w:rsidP="00EC4ECB">
            <w:pPr>
              <w:pStyle w:val="Header"/>
              <w:tabs>
                <w:tab w:val="left" w:pos="990"/>
              </w:tabs>
              <w:ind w:left="86" w:right="90" w:hanging="86"/>
              <w:jc w:val="right"/>
              <w:rPr>
                <w:rFonts w:ascii="Arial" w:hAnsi="Arial" w:cs="Arial"/>
                <w:szCs w:val="20"/>
              </w:rPr>
            </w:pPr>
            <w:r w:rsidRPr="00D0623F">
              <w:rPr>
                <w:rFonts w:ascii="Arial" w:hAnsi="Arial" w:cs="Arial"/>
                <w:szCs w:val="20"/>
              </w:rPr>
              <w:t>(229,000)</w:t>
            </w:r>
          </w:p>
        </w:tc>
        <w:tc>
          <w:tcPr>
            <w:tcW w:w="1620" w:type="dxa"/>
            <w:vAlign w:val="bottom"/>
          </w:tcPr>
          <w:p w14:paraId="1D3BFBCB" w14:textId="3015BD5F" w:rsidR="009E6759" w:rsidRPr="00D0623F" w:rsidRDefault="00D0623F" w:rsidP="00044EC7">
            <w:pPr>
              <w:pStyle w:val="Header"/>
              <w:ind w:left="86" w:right="180" w:hanging="86"/>
              <w:jc w:val="right"/>
              <w:rPr>
                <w:rFonts w:ascii="Arial" w:hAnsi="Arial" w:cs="Arial"/>
                <w:szCs w:val="20"/>
              </w:rPr>
            </w:pPr>
            <w:r w:rsidRPr="00D0623F">
              <w:rPr>
                <w:rFonts w:ascii="Arial" w:hAnsi="Arial" w:cs="Arial"/>
                <w:szCs w:val="20"/>
              </w:rPr>
              <w:t>(0.43)</w:t>
            </w:r>
          </w:p>
        </w:tc>
        <w:tc>
          <w:tcPr>
            <w:tcW w:w="1710" w:type="dxa"/>
            <w:vAlign w:val="bottom"/>
          </w:tcPr>
          <w:p w14:paraId="21374B27" w14:textId="38E0E94D" w:rsidR="009E6759" w:rsidRPr="00D0623F" w:rsidRDefault="00D0623F" w:rsidP="00EC4ECB">
            <w:pPr>
              <w:pStyle w:val="Header"/>
              <w:ind w:left="86" w:right="288" w:hanging="86"/>
              <w:jc w:val="right"/>
              <w:rPr>
                <w:rFonts w:ascii="Arial" w:hAnsi="Arial" w:cs="Arial"/>
                <w:color w:val="FF0000"/>
                <w:szCs w:val="20"/>
              </w:rPr>
            </w:pPr>
            <w:r w:rsidRPr="00D0623F">
              <w:rPr>
                <w:rFonts w:ascii="Arial" w:hAnsi="Arial" w:cs="Arial"/>
                <w:szCs w:val="20"/>
              </w:rPr>
              <w:t>–</w:t>
            </w:r>
          </w:p>
        </w:tc>
      </w:tr>
      <w:tr w:rsidR="00E73C26" w:rsidRPr="00D0623F" w14:paraId="3A5D8C69" w14:textId="77777777" w:rsidTr="009E6759">
        <w:trPr>
          <w:trHeight w:hRule="exact" w:val="115"/>
        </w:trPr>
        <w:tc>
          <w:tcPr>
            <w:tcW w:w="4230" w:type="dxa"/>
            <w:tcBorders>
              <w:top w:val="single" w:sz="4" w:space="0" w:color="auto"/>
            </w:tcBorders>
          </w:tcPr>
          <w:p w14:paraId="2B6413B3" w14:textId="77777777" w:rsidR="00E73C26" w:rsidRPr="00D0623F" w:rsidRDefault="00E73C26" w:rsidP="00F15B99">
            <w:pPr>
              <w:spacing w:after="0" w:line="240" w:lineRule="auto"/>
              <w:rPr>
                <w:rFonts w:ascii="Arial" w:hAnsi="Arial" w:cs="Arial"/>
                <w:szCs w:val="20"/>
              </w:rPr>
            </w:pPr>
          </w:p>
        </w:tc>
        <w:tc>
          <w:tcPr>
            <w:tcW w:w="1260" w:type="dxa"/>
            <w:tcBorders>
              <w:top w:val="single" w:sz="4" w:space="0" w:color="auto"/>
            </w:tcBorders>
          </w:tcPr>
          <w:p w14:paraId="39547140" w14:textId="77777777" w:rsidR="00E73C26" w:rsidRPr="00D0623F" w:rsidRDefault="00E73C26" w:rsidP="00F15B99">
            <w:pPr>
              <w:spacing w:after="0" w:line="240" w:lineRule="auto"/>
              <w:ind w:right="29"/>
              <w:jc w:val="right"/>
              <w:rPr>
                <w:rStyle w:val="HeadNoteTitle"/>
                <w:rFonts w:cs="Arial"/>
                <w:b w:val="0"/>
                <w:bCs/>
                <w:sz w:val="20"/>
                <w:szCs w:val="20"/>
              </w:rPr>
            </w:pPr>
          </w:p>
        </w:tc>
        <w:tc>
          <w:tcPr>
            <w:tcW w:w="1620" w:type="dxa"/>
            <w:tcBorders>
              <w:top w:val="single" w:sz="4" w:space="0" w:color="auto"/>
            </w:tcBorders>
          </w:tcPr>
          <w:p w14:paraId="77897911" w14:textId="77777777" w:rsidR="00E73C26" w:rsidRPr="00D0623F" w:rsidRDefault="00E73C26" w:rsidP="00F15B99">
            <w:pPr>
              <w:spacing w:after="0" w:line="240" w:lineRule="auto"/>
              <w:ind w:right="29"/>
              <w:jc w:val="right"/>
              <w:rPr>
                <w:rStyle w:val="HeadNoteTitle"/>
                <w:rFonts w:cs="Arial"/>
                <w:b w:val="0"/>
                <w:bCs/>
                <w:sz w:val="20"/>
                <w:szCs w:val="20"/>
              </w:rPr>
            </w:pPr>
          </w:p>
        </w:tc>
        <w:tc>
          <w:tcPr>
            <w:tcW w:w="1710" w:type="dxa"/>
            <w:tcBorders>
              <w:top w:val="single" w:sz="4" w:space="0" w:color="auto"/>
            </w:tcBorders>
          </w:tcPr>
          <w:p w14:paraId="6FF672B1" w14:textId="77777777" w:rsidR="00E73C26" w:rsidRPr="00D0623F" w:rsidRDefault="00E73C26" w:rsidP="00F15B99">
            <w:pPr>
              <w:spacing w:after="0" w:line="240" w:lineRule="auto"/>
              <w:ind w:right="29"/>
              <w:jc w:val="right"/>
              <w:rPr>
                <w:rStyle w:val="HeadNoteTitle"/>
                <w:rFonts w:cs="Arial"/>
                <w:b w:val="0"/>
                <w:bCs/>
                <w:sz w:val="20"/>
                <w:szCs w:val="20"/>
              </w:rPr>
            </w:pPr>
          </w:p>
        </w:tc>
      </w:tr>
      <w:tr w:rsidR="009E6759" w:rsidRPr="00D0623F" w14:paraId="555729A9" w14:textId="77777777" w:rsidTr="009E6759">
        <w:tc>
          <w:tcPr>
            <w:tcW w:w="4230" w:type="dxa"/>
          </w:tcPr>
          <w:p w14:paraId="27EA6B94" w14:textId="77777777" w:rsidR="009E6759" w:rsidRPr="00D0623F" w:rsidRDefault="009E6759" w:rsidP="00EC4ECB">
            <w:pPr>
              <w:spacing w:after="0" w:line="240" w:lineRule="auto"/>
              <w:rPr>
                <w:rFonts w:ascii="Arial" w:hAnsi="Arial" w:cs="Arial"/>
                <w:szCs w:val="20"/>
              </w:rPr>
            </w:pPr>
            <w:r w:rsidRPr="00D0623F">
              <w:rPr>
                <w:rFonts w:ascii="Arial" w:hAnsi="Arial" w:cs="Arial"/>
                <w:szCs w:val="20"/>
              </w:rPr>
              <w:t>Outstanding, January 31, 2019</w:t>
            </w:r>
          </w:p>
        </w:tc>
        <w:tc>
          <w:tcPr>
            <w:tcW w:w="1260" w:type="dxa"/>
            <w:vAlign w:val="bottom"/>
          </w:tcPr>
          <w:p w14:paraId="672DDCA3" w14:textId="08AFA700" w:rsidR="009E6759" w:rsidRPr="00D0623F" w:rsidRDefault="00D0623F" w:rsidP="00EC4ECB">
            <w:pPr>
              <w:pStyle w:val="Header"/>
              <w:tabs>
                <w:tab w:val="left" w:pos="990"/>
              </w:tabs>
              <w:ind w:left="86" w:right="90" w:hanging="86"/>
              <w:jc w:val="right"/>
              <w:rPr>
                <w:rFonts w:ascii="Arial" w:hAnsi="Arial" w:cs="Arial"/>
                <w:szCs w:val="20"/>
              </w:rPr>
            </w:pPr>
            <w:r w:rsidRPr="00D0623F">
              <w:rPr>
                <w:rFonts w:ascii="Arial" w:hAnsi="Arial" w:cs="Arial"/>
                <w:szCs w:val="20"/>
              </w:rPr>
              <w:t>13,</w:t>
            </w:r>
            <w:r w:rsidR="00EE54DD">
              <w:rPr>
                <w:rFonts w:ascii="Arial" w:hAnsi="Arial" w:cs="Arial"/>
                <w:szCs w:val="20"/>
              </w:rPr>
              <w:t>691,833</w:t>
            </w:r>
          </w:p>
        </w:tc>
        <w:tc>
          <w:tcPr>
            <w:tcW w:w="1620" w:type="dxa"/>
            <w:vAlign w:val="bottom"/>
          </w:tcPr>
          <w:p w14:paraId="65764B2E" w14:textId="42E90495" w:rsidR="009E6759" w:rsidRPr="00D0623F" w:rsidRDefault="00D0623F" w:rsidP="00EC4ECB">
            <w:pPr>
              <w:pStyle w:val="Header"/>
              <w:ind w:left="86" w:right="180" w:hanging="86"/>
              <w:jc w:val="right"/>
              <w:rPr>
                <w:rFonts w:ascii="Arial" w:hAnsi="Arial" w:cs="Arial"/>
                <w:szCs w:val="20"/>
              </w:rPr>
            </w:pPr>
            <w:r w:rsidRPr="00D0623F">
              <w:rPr>
                <w:rFonts w:ascii="Arial" w:hAnsi="Arial" w:cs="Arial"/>
                <w:szCs w:val="20"/>
              </w:rPr>
              <w:t>0.46</w:t>
            </w:r>
          </w:p>
        </w:tc>
        <w:tc>
          <w:tcPr>
            <w:tcW w:w="1710" w:type="dxa"/>
            <w:vAlign w:val="bottom"/>
          </w:tcPr>
          <w:p w14:paraId="062F081E" w14:textId="3829DF1C" w:rsidR="009E6759" w:rsidRPr="00D0623F" w:rsidRDefault="00D0623F" w:rsidP="00EC4ECB">
            <w:pPr>
              <w:pStyle w:val="Header"/>
              <w:ind w:left="86" w:right="288" w:hanging="86"/>
              <w:jc w:val="right"/>
              <w:rPr>
                <w:rFonts w:ascii="Arial" w:hAnsi="Arial" w:cs="Arial"/>
                <w:szCs w:val="20"/>
              </w:rPr>
            </w:pPr>
            <w:r w:rsidRPr="00D0623F">
              <w:rPr>
                <w:rFonts w:ascii="Arial" w:hAnsi="Arial" w:cs="Arial"/>
                <w:szCs w:val="20"/>
              </w:rPr>
              <w:t>3.26</w:t>
            </w:r>
          </w:p>
        </w:tc>
      </w:tr>
      <w:tr w:rsidR="00E73C26" w:rsidRPr="00D0623F" w14:paraId="0342F704" w14:textId="77777777" w:rsidTr="009E6759">
        <w:tc>
          <w:tcPr>
            <w:tcW w:w="4230" w:type="dxa"/>
          </w:tcPr>
          <w:p w14:paraId="5C157FB0" w14:textId="2D2E884C" w:rsidR="00E73C26" w:rsidRPr="00D0623F" w:rsidRDefault="00E73C26" w:rsidP="00F15B99">
            <w:pPr>
              <w:spacing w:after="0" w:line="240" w:lineRule="auto"/>
              <w:ind w:left="180"/>
              <w:rPr>
                <w:rFonts w:ascii="Arial" w:hAnsi="Arial" w:cs="Arial"/>
                <w:szCs w:val="20"/>
              </w:rPr>
            </w:pPr>
            <w:r w:rsidRPr="00D0623F">
              <w:rPr>
                <w:rFonts w:ascii="Arial" w:hAnsi="Arial" w:cs="Arial"/>
                <w:szCs w:val="20"/>
              </w:rPr>
              <w:t>Granted</w:t>
            </w:r>
            <w:r w:rsidR="00C3549A" w:rsidRPr="00D0623F">
              <w:rPr>
                <w:rFonts w:ascii="Arial" w:hAnsi="Arial" w:cs="Arial"/>
                <w:szCs w:val="20"/>
              </w:rPr>
              <w:t xml:space="preserve"> (Notes 1</w:t>
            </w:r>
            <w:r w:rsidR="00D0623F" w:rsidRPr="00D0623F">
              <w:rPr>
                <w:rFonts w:ascii="Arial" w:hAnsi="Arial" w:cs="Arial"/>
                <w:szCs w:val="20"/>
              </w:rPr>
              <w:t>7</w:t>
            </w:r>
            <w:r w:rsidR="00C3549A" w:rsidRPr="00D0623F">
              <w:rPr>
                <w:rFonts w:ascii="Arial" w:hAnsi="Arial" w:cs="Arial"/>
                <w:szCs w:val="20"/>
              </w:rPr>
              <w:t>(a), 1</w:t>
            </w:r>
            <w:r w:rsidR="00D0623F" w:rsidRPr="00D0623F">
              <w:rPr>
                <w:rFonts w:ascii="Arial" w:hAnsi="Arial" w:cs="Arial"/>
                <w:szCs w:val="20"/>
              </w:rPr>
              <w:t>7</w:t>
            </w:r>
            <w:r w:rsidR="00C3549A" w:rsidRPr="00D0623F">
              <w:rPr>
                <w:rFonts w:ascii="Arial" w:hAnsi="Arial" w:cs="Arial"/>
                <w:szCs w:val="20"/>
              </w:rPr>
              <w:t>(b), 1</w:t>
            </w:r>
            <w:r w:rsidR="00D0623F" w:rsidRPr="00D0623F">
              <w:rPr>
                <w:rFonts w:ascii="Arial" w:hAnsi="Arial" w:cs="Arial"/>
                <w:szCs w:val="20"/>
              </w:rPr>
              <w:t>7</w:t>
            </w:r>
            <w:r w:rsidR="00C3549A" w:rsidRPr="00D0623F">
              <w:rPr>
                <w:rFonts w:ascii="Arial" w:hAnsi="Arial" w:cs="Arial"/>
                <w:szCs w:val="20"/>
              </w:rPr>
              <w:t>(d) and 1</w:t>
            </w:r>
            <w:r w:rsidR="00D0623F" w:rsidRPr="00D0623F">
              <w:rPr>
                <w:rFonts w:ascii="Arial" w:hAnsi="Arial" w:cs="Arial"/>
                <w:szCs w:val="20"/>
              </w:rPr>
              <w:t>7</w:t>
            </w:r>
            <w:r w:rsidR="00C3549A" w:rsidRPr="00D0623F">
              <w:rPr>
                <w:rFonts w:ascii="Arial" w:hAnsi="Arial" w:cs="Arial"/>
                <w:szCs w:val="20"/>
              </w:rPr>
              <w:t>(g))</w:t>
            </w:r>
          </w:p>
        </w:tc>
        <w:tc>
          <w:tcPr>
            <w:tcW w:w="1260" w:type="dxa"/>
            <w:vAlign w:val="bottom"/>
          </w:tcPr>
          <w:p w14:paraId="3FD0792D" w14:textId="4C100834" w:rsidR="00E73C26" w:rsidRPr="00D0623F" w:rsidRDefault="00D0623F" w:rsidP="00F15B99">
            <w:pPr>
              <w:pStyle w:val="Header"/>
              <w:tabs>
                <w:tab w:val="left" w:pos="990"/>
              </w:tabs>
              <w:ind w:left="86" w:right="90" w:hanging="86"/>
              <w:jc w:val="right"/>
              <w:rPr>
                <w:rFonts w:ascii="Arial" w:hAnsi="Arial" w:cs="Arial"/>
                <w:szCs w:val="20"/>
              </w:rPr>
            </w:pPr>
            <w:r w:rsidRPr="00D0623F">
              <w:rPr>
                <w:rFonts w:ascii="Arial" w:hAnsi="Arial" w:cs="Arial"/>
                <w:szCs w:val="20"/>
              </w:rPr>
              <w:t>4,950</w:t>
            </w:r>
            <w:r w:rsidR="00C1180F" w:rsidRPr="00D0623F">
              <w:rPr>
                <w:rFonts w:ascii="Arial" w:hAnsi="Arial" w:cs="Arial"/>
                <w:szCs w:val="20"/>
              </w:rPr>
              <w:t>,000</w:t>
            </w:r>
          </w:p>
        </w:tc>
        <w:tc>
          <w:tcPr>
            <w:tcW w:w="1620" w:type="dxa"/>
            <w:vAlign w:val="bottom"/>
          </w:tcPr>
          <w:p w14:paraId="3BC57EF3" w14:textId="1B3C8D08" w:rsidR="00E73C26" w:rsidRPr="00D0623F" w:rsidRDefault="00D0623F" w:rsidP="00E73C26">
            <w:pPr>
              <w:pStyle w:val="Header"/>
              <w:ind w:left="86" w:right="180" w:hanging="86"/>
              <w:jc w:val="right"/>
              <w:rPr>
                <w:rFonts w:ascii="Arial" w:hAnsi="Arial" w:cs="Arial"/>
                <w:szCs w:val="20"/>
              </w:rPr>
            </w:pPr>
            <w:r w:rsidRPr="00D0623F">
              <w:rPr>
                <w:rFonts w:ascii="Arial" w:hAnsi="Arial" w:cs="Arial"/>
                <w:szCs w:val="20"/>
              </w:rPr>
              <w:t>0.36</w:t>
            </w:r>
          </w:p>
        </w:tc>
        <w:tc>
          <w:tcPr>
            <w:tcW w:w="1710" w:type="dxa"/>
            <w:vAlign w:val="bottom"/>
          </w:tcPr>
          <w:p w14:paraId="22A414AF" w14:textId="5CD1387F" w:rsidR="00E73C26" w:rsidRPr="00D0623F" w:rsidRDefault="00D0623F" w:rsidP="00F15B99">
            <w:pPr>
              <w:pStyle w:val="Header"/>
              <w:ind w:left="86" w:right="288" w:hanging="86"/>
              <w:jc w:val="right"/>
              <w:rPr>
                <w:rFonts w:ascii="Arial" w:hAnsi="Arial" w:cs="Arial"/>
                <w:szCs w:val="20"/>
              </w:rPr>
            </w:pPr>
            <w:r w:rsidRPr="00D0623F">
              <w:rPr>
                <w:rFonts w:ascii="Arial" w:hAnsi="Arial" w:cs="Arial"/>
                <w:szCs w:val="20"/>
              </w:rPr>
              <w:t>4.63</w:t>
            </w:r>
          </w:p>
        </w:tc>
      </w:tr>
      <w:tr w:rsidR="00D0623F" w:rsidRPr="00D0623F" w14:paraId="42209CD9" w14:textId="77777777" w:rsidTr="0093147D">
        <w:tc>
          <w:tcPr>
            <w:tcW w:w="4230" w:type="dxa"/>
          </w:tcPr>
          <w:p w14:paraId="51BF6265" w14:textId="5430A962" w:rsidR="00D0623F" w:rsidRPr="00D0623F" w:rsidRDefault="00D0623F" w:rsidP="0093147D">
            <w:pPr>
              <w:spacing w:after="0" w:line="240" w:lineRule="auto"/>
              <w:ind w:left="180"/>
              <w:rPr>
                <w:rFonts w:ascii="Arial" w:hAnsi="Arial" w:cs="Arial"/>
                <w:szCs w:val="20"/>
              </w:rPr>
            </w:pPr>
            <w:r w:rsidRPr="00D0623F">
              <w:rPr>
                <w:rFonts w:ascii="Arial" w:hAnsi="Arial" w:cs="Arial"/>
                <w:szCs w:val="20"/>
              </w:rPr>
              <w:t>Forfeited/cancelled (Note 17(h))</w:t>
            </w:r>
          </w:p>
        </w:tc>
        <w:tc>
          <w:tcPr>
            <w:tcW w:w="1260" w:type="dxa"/>
            <w:vAlign w:val="bottom"/>
          </w:tcPr>
          <w:p w14:paraId="362E90D6" w14:textId="0E1A557E" w:rsidR="00D0623F" w:rsidRPr="00D0623F" w:rsidRDefault="00D0623F" w:rsidP="0093147D">
            <w:pPr>
              <w:pStyle w:val="Header"/>
              <w:tabs>
                <w:tab w:val="left" w:pos="990"/>
              </w:tabs>
              <w:ind w:left="86" w:right="90" w:hanging="86"/>
              <w:jc w:val="right"/>
              <w:rPr>
                <w:rFonts w:ascii="Arial" w:hAnsi="Arial" w:cs="Arial"/>
                <w:szCs w:val="20"/>
              </w:rPr>
            </w:pPr>
            <w:r w:rsidRPr="00D0623F">
              <w:rPr>
                <w:rFonts w:ascii="Arial" w:hAnsi="Arial" w:cs="Arial"/>
                <w:szCs w:val="20"/>
              </w:rPr>
              <w:t>(6,941,833)</w:t>
            </w:r>
          </w:p>
        </w:tc>
        <w:tc>
          <w:tcPr>
            <w:tcW w:w="1620" w:type="dxa"/>
            <w:vAlign w:val="bottom"/>
          </w:tcPr>
          <w:p w14:paraId="33773AE8" w14:textId="438EE49D" w:rsidR="00D0623F" w:rsidRPr="00D0623F" w:rsidRDefault="00D0623F" w:rsidP="0093147D">
            <w:pPr>
              <w:pStyle w:val="Header"/>
              <w:ind w:left="86" w:right="180" w:hanging="86"/>
              <w:jc w:val="right"/>
              <w:rPr>
                <w:rFonts w:ascii="Arial" w:hAnsi="Arial" w:cs="Arial"/>
                <w:szCs w:val="20"/>
              </w:rPr>
            </w:pPr>
            <w:r w:rsidRPr="00D0623F">
              <w:rPr>
                <w:rFonts w:ascii="Arial" w:hAnsi="Arial" w:cs="Arial"/>
                <w:szCs w:val="20"/>
              </w:rPr>
              <w:t>(0.50)</w:t>
            </w:r>
          </w:p>
        </w:tc>
        <w:tc>
          <w:tcPr>
            <w:tcW w:w="1710" w:type="dxa"/>
            <w:vAlign w:val="bottom"/>
          </w:tcPr>
          <w:p w14:paraId="001BB5F8" w14:textId="77777777" w:rsidR="00D0623F" w:rsidRPr="00D0623F" w:rsidRDefault="00D0623F" w:rsidP="0093147D">
            <w:pPr>
              <w:pStyle w:val="Header"/>
              <w:ind w:left="86" w:right="288" w:hanging="86"/>
              <w:jc w:val="right"/>
              <w:rPr>
                <w:rFonts w:ascii="Arial" w:hAnsi="Arial" w:cs="Arial"/>
                <w:szCs w:val="20"/>
              </w:rPr>
            </w:pPr>
            <w:r w:rsidRPr="00D0623F">
              <w:rPr>
                <w:rFonts w:ascii="Arial" w:hAnsi="Arial" w:cs="Arial"/>
                <w:szCs w:val="20"/>
              </w:rPr>
              <w:t>–</w:t>
            </w:r>
          </w:p>
        </w:tc>
      </w:tr>
      <w:tr w:rsidR="00E73C26" w:rsidRPr="00D0623F" w14:paraId="4A208AC2" w14:textId="77777777" w:rsidTr="009E6759">
        <w:trPr>
          <w:trHeight w:hRule="exact" w:val="115"/>
        </w:trPr>
        <w:tc>
          <w:tcPr>
            <w:tcW w:w="4230" w:type="dxa"/>
            <w:tcBorders>
              <w:top w:val="single" w:sz="4" w:space="0" w:color="auto"/>
            </w:tcBorders>
          </w:tcPr>
          <w:p w14:paraId="64F4FAA3" w14:textId="77777777" w:rsidR="00E73C26" w:rsidRPr="00D0623F" w:rsidRDefault="00E73C26" w:rsidP="00F15B99">
            <w:pPr>
              <w:spacing w:after="0" w:line="240" w:lineRule="auto"/>
              <w:rPr>
                <w:rFonts w:ascii="Arial" w:hAnsi="Arial" w:cs="Arial"/>
                <w:szCs w:val="20"/>
              </w:rPr>
            </w:pPr>
          </w:p>
        </w:tc>
        <w:tc>
          <w:tcPr>
            <w:tcW w:w="1260" w:type="dxa"/>
            <w:tcBorders>
              <w:top w:val="single" w:sz="4" w:space="0" w:color="auto"/>
            </w:tcBorders>
          </w:tcPr>
          <w:p w14:paraId="25402D49" w14:textId="77777777" w:rsidR="00E73C26" w:rsidRPr="00D0623F" w:rsidRDefault="00E73C26" w:rsidP="00F15B99">
            <w:pPr>
              <w:spacing w:after="0" w:line="240" w:lineRule="auto"/>
              <w:ind w:right="29"/>
              <w:jc w:val="right"/>
              <w:rPr>
                <w:rStyle w:val="HeadNoteTitle"/>
                <w:rFonts w:cs="Arial"/>
                <w:b w:val="0"/>
                <w:bCs/>
                <w:sz w:val="20"/>
                <w:szCs w:val="20"/>
              </w:rPr>
            </w:pPr>
          </w:p>
        </w:tc>
        <w:tc>
          <w:tcPr>
            <w:tcW w:w="1620" w:type="dxa"/>
            <w:tcBorders>
              <w:top w:val="single" w:sz="4" w:space="0" w:color="auto"/>
            </w:tcBorders>
          </w:tcPr>
          <w:p w14:paraId="2A161CD7" w14:textId="77777777" w:rsidR="00E73C26" w:rsidRPr="00D0623F" w:rsidRDefault="00E73C26" w:rsidP="00F15B99">
            <w:pPr>
              <w:spacing w:after="0" w:line="240" w:lineRule="auto"/>
              <w:ind w:right="29"/>
              <w:jc w:val="right"/>
              <w:rPr>
                <w:rStyle w:val="HeadNoteTitle"/>
                <w:rFonts w:cs="Arial"/>
                <w:b w:val="0"/>
                <w:bCs/>
                <w:sz w:val="20"/>
                <w:szCs w:val="20"/>
              </w:rPr>
            </w:pPr>
          </w:p>
        </w:tc>
        <w:tc>
          <w:tcPr>
            <w:tcW w:w="1710" w:type="dxa"/>
            <w:tcBorders>
              <w:top w:val="single" w:sz="4" w:space="0" w:color="auto"/>
            </w:tcBorders>
          </w:tcPr>
          <w:p w14:paraId="2D5D3D59" w14:textId="77777777" w:rsidR="00E73C26" w:rsidRPr="00D0623F" w:rsidRDefault="00E73C26" w:rsidP="00F15B99">
            <w:pPr>
              <w:spacing w:after="0" w:line="240" w:lineRule="auto"/>
              <w:ind w:right="29"/>
              <w:jc w:val="right"/>
              <w:rPr>
                <w:rStyle w:val="HeadNoteTitle"/>
                <w:rFonts w:cs="Arial"/>
                <w:b w:val="0"/>
                <w:bCs/>
                <w:sz w:val="20"/>
                <w:szCs w:val="20"/>
              </w:rPr>
            </w:pPr>
          </w:p>
        </w:tc>
      </w:tr>
      <w:tr w:rsidR="00E73C26" w:rsidRPr="00F60034" w14:paraId="7E93FE24" w14:textId="77777777" w:rsidTr="009E6759">
        <w:tc>
          <w:tcPr>
            <w:tcW w:w="4230" w:type="dxa"/>
            <w:tcBorders>
              <w:bottom w:val="single" w:sz="12" w:space="0" w:color="auto"/>
            </w:tcBorders>
          </w:tcPr>
          <w:p w14:paraId="5D77FFC7" w14:textId="6E37BEB4" w:rsidR="00E73C26" w:rsidRPr="00D0623F" w:rsidRDefault="00E73C26" w:rsidP="009E6759">
            <w:pPr>
              <w:spacing w:after="0" w:line="240" w:lineRule="auto"/>
              <w:rPr>
                <w:rFonts w:ascii="Arial" w:hAnsi="Arial" w:cs="Arial"/>
                <w:szCs w:val="20"/>
              </w:rPr>
            </w:pPr>
            <w:r w:rsidRPr="00D0623F">
              <w:rPr>
                <w:rFonts w:ascii="Arial" w:hAnsi="Arial" w:cs="Arial"/>
                <w:szCs w:val="20"/>
              </w:rPr>
              <w:t xml:space="preserve">Outstanding, </w:t>
            </w:r>
            <w:r w:rsidR="0073708C" w:rsidRPr="00D0623F">
              <w:rPr>
                <w:rFonts w:ascii="Arial" w:hAnsi="Arial" w:cs="Arial"/>
                <w:szCs w:val="20"/>
              </w:rPr>
              <w:t>October</w:t>
            </w:r>
            <w:r w:rsidRPr="00D0623F">
              <w:rPr>
                <w:rFonts w:ascii="Arial" w:hAnsi="Arial" w:cs="Arial"/>
                <w:szCs w:val="20"/>
              </w:rPr>
              <w:t xml:space="preserve"> 31, 2019</w:t>
            </w:r>
          </w:p>
        </w:tc>
        <w:tc>
          <w:tcPr>
            <w:tcW w:w="1260" w:type="dxa"/>
            <w:tcBorders>
              <w:bottom w:val="single" w:sz="12" w:space="0" w:color="auto"/>
            </w:tcBorders>
            <w:vAlign w:val="bottom"/>
          </w:tcPr>
          <w:p w14:paraId="5F9C642F" w14:textId="71635EE1" w:rsidR="00E73C26" w:rsidRPr="00D0623F" w:rsidRDefault="00D0623F" w:rsidP="00E73C26">
            <w:pPr>
              <w:pStyle w:val="Header"/>
              <w:tabs>
                <w:tab w:val="left" w:pos="990"/>
              </w:tabs>
              <w:ind w:left="86" w:right="90" w:hanging="86"/>
              <w:jc w:val="right"/>
              <w:rPr>
                <w:rFonts w:ascii="Arial" w:hAnsi="Arial" w:cs="Arial"/>
                <w:szCs w:val="20"/>
              </w:rPr>
            </w:pPr>
            <w:r w:rsidRPr="00D0623F">
              <w:rPr>
                <w:rFonts w:ascii="Arial" w:hAnsi="Arial" w:cs="Arial"/>
                <w:szCs w:val="20"/>
              </w:rPr>
              <w:t>11,700,000</w:t>
            </w:r>
          </w:p>
        </w:tc>
        <w:tc>
          <w:tcPr>
            <w:tcW w:w="1620" w:type="dxa"/>
            <w:tcBorders>
              <w:bottom w:val="single" w:sz="12" w:space="0" w:color="auto"/>
            </w:tcBorders>
            <w:vAlign w:val="bottom"/>
          </w:tcPr>
          <w:p w14:paraId="0DBC58B0" w14:textId="06AED39D" w:rsidR="00E73C26" w:rsidRPr="00D0623F" w:rsidRDefault="00D0623F" w:rsidP="00E73C26">
            <w:pPr>
              <w:pStyle w:val="Header"/>
              <w:ind w:left="86" w:right="180" w:hanging="86"/>
              <w:jc w:val="right"/>
              <w:rPr>
                <w:rFonts w:ascii="Arial" w:hAnsi="Arial" w:cs="Arial"/>
                <w:szCs w:val="20"/>
              </w:rPr>
            </w:pPr>
            <w:r w:rsidRPr="00D0623F">
              <w:rPr>
                <w:rFonts w:ascii="Arial" w:hAnsi="Arial" w:cs="Arial"/>
                <w:szCs w:val="20"/>
              </w:rPr>
              <w:t>0.42</w:t>
            </w:r>
          </w:p>
        </w:tc>
        <w:tc>
          <w:tcPr>
            <w:tcW w:w="1710" w:type="dxa"/>
            <w:tcBorders>
              <w:bottom w:val="single" w:sz="12" w:space="0" w:color="auto"/>
            </w:tcBorders>
            <w:vAlign w:val="bottom"/>
          </w:tcPr>
          <w:p w14:paraId="0DA303D9" w14:textId="2A6F4471" w:rsidR="00E73C26" w:rsidRPr="00F60034" w:rsidRDefault="00D0623F" w:rsidP="00F15B99">
            <w:pPr>
              <w:pStyle w:val="Header"/>
              <w:ind w:left="86" w:right="288" w:hanging="86"/>
              <w:jc w:val="right"/>
              <w:rPr>
                <w:rFonts w:ascii="Arial" w:hAnsi="Arial" w:cs="Arial"/>
                <w:szCs w:val="20"/>
              </w:rPr>
            </w:pPr>
            <w:r w:rsidRPr="00D0623F">
              <w:rPr>
                <w:rFonts w:ascii="Arial" w:hAnsi="Arial" w:cs="Arial"/>
                <w:szCs w:val="20"/>
              </w:rPr>
              <w:t>2.89</w:t>
            </w:r>
          </w:p>
        </w:tc>
      </w:tr>
    </w:tbl>
    <w:p w14:paraId="26F47898" w14:textId="77777777" w:rsidR="00E92D5A" w:rsidRDefault="00E92D5A" w:rsidP="00E92D5A">
      <w:pPr>
        <w:tabs>
          <w:tab w:val="left" w:pos="432"/>
          <w:tab w:val="left" w:pos="792"/>
        </w:tabs>
        <w:spacing w:after="0" w:line="240" w:lineRule="auto"/>
        <w:jc w:val="both"/>
        <w:rPr>
          <w:rFonts w:ascii="Arial" w:hAnsi="Arial" w:cs="Arial"/>
          <w:b/>
          <w:szCs w:val="20"/>
        </w:rPr>
      </w:pPr>
    </w:p>
    <w:p w14:paraId="0FC5DABC" w14:textId="3F56832E" w:rsidR="00BA6A0D" w:rsidRPr="00DE57B5" w:rsidRDefault="00BA6A0D" w:rsidP="00BA6A0D">
      <w:pPr>
        <w:tabs>
          <w:tab w:val="left" w:pos="432"/>
          <w:tab w:val="left" w:pos="792"/>
        </w:tabs>
        <w:spacing w:after="0" w:line="240" w:lineRule="auto"/>
        <w:ind w:left="450"/>
        <w:jc w:val="both"/>
        <w:rPr>
          <w:rFonts w:ascii="Arial" w:hAnsi="Arial" w:cs="Arial"/>
          <w:b/>
          <w:szCs w:val="20"/>
        </w:rPr>
      </w:pPr>
      <w:r w:rsidRPr="00DE57B5">
        <w:rPr>
          <w:rFonts w:ascii="Arial" w:hAnsi="Arial" w:cs="Arial"/>
          <w:szCs w:val="20"/>
        </w:rPr>
        <w:t xml:space="preserve">Additional information regarding </w:t>
      </w:r>
      <w:r w:rsidR="00DB5BF7">
        <w:rPr>
          <w:rFonts w:ascii="Arial" w:hAnsi="Arial" w:cs="Arial"/>
          <w:szCs w:val="20"/>
        </w:rPr>
        <w:t>share purchase options</w:t>
      </w:r>
      <w:r w:rsidRPr="00DE57B5">
        <w:rPr>
          <w:rFonts w:ascii="Arial" w:hAnsi="Arial" w:cs="Arial"/>
          <w:szCs w:val="20"/>
        </w:rPr>
        <w:t xml:space="preserve"> as of </w:t>
      </w:r>
      <w:r w:rsidR="00E831F9">
        <w:rPr>
          <w:rFonts w:ascii="Arial" w:hAnsi="Arial" w:cs="Arial"/>
          <w:szCs w:val="20"/>
        </w:rPr>
        <w:t>October</w:t>
      </w:r>
      <w:r w:rsidRPr="00DE57B5">
        <w:rPr>
          <w:rFonts w:ascii="Arial" w:hAnsi="Arial" w:cs="Arial"/>
          <w:szCs w:val="20"/>
        </w:rPr>
        <w:t xml:space="preserve"> 31, 2019, is as follows:</w:t>
      </w:r>
    </w:p>
    <w:p w14:paraId="4D4BFE34" w14:textId="77777777" w:rsidR="00E831F9" w:rsidRPr="00DE57B5" w:rsidRDefault="00E831F9" w:rsidP="00BA6A0D">
      <w:pPr>
        <w:spacing w:after="0" w:line="240" w:lineRule="auto"/>
        <w:ind w:left="448"/>
        <w:rPr>
          <w:rFonts w:ascii="Arial" w:hAnsi="Arial" w:cs="Arial"/>
          <w:szCs w:val="20"/>
        </w:rPr>
      </w:pPr>
    </w:p>
    <w:tbl>
      <w:tblPr>
        <w:tblW w:w="6548" w:type="dxa"/>
        <w:tblInd w:w="558" w:type="dxa"/>
        <w:tblLayout w:type="fixed"/>
        <w:tblLook w:val="01E0" w:firstRow="1" w:lastRow="1" w:firstColumn="1" w:lastColumn="1" w:noHBand="0" w:noVBand="0"/>
      </w:tblPr>
      <w:tblGrid>
        <w:gridCol w:w="1704"/>
        <w:gridCol w:w="1418"/>
        <w:gridCol w:w="1418"/>
        <w:gridCol w:w="2008"/>
      </w:tblGrid>
      <w:tr w:rsidR="00BA6A0D" w:rsidRPr="00DE57B5" w14:paraId="3BC09299" w14:textId="77777777" w:rsidTr="00EC4ECB">
        <w:tc>
          <w:tcPr>
            <w:tcW w:w="1704" w:type="dxa"/>
            <w:tcBorders>
              <w:bottom w:val="single" w:sz="6" w:space="0" w:color="auto"/>
            </w:tcBorders>
            <w:vAlign w:val="bottom"/>
          </w:tcPr>
          <w:p w14:paraId="24286D73"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Options Outstanding</w:t>
            </w:r>
          </w:p>
        </w:tc>
        <w:tc>
          <w:tcPr>
            <w:tcW w:w="1418" w:type="dxa"/>
            <w:tcBorders>
              <w:bottom w:val="single" w:sz="6" w:space="0" w:color="auto"/>
            </w:tcBorders>
          </w:tcPr>
          <w:p w14:paraId="3DFB95BE" w14:textId="77777777" w:rsidR="00BA6A0D" w:rsidRPr="00DE57B5" w:rsidRDefault="00BA6A0D" w:rsidP="00EC4ECB">
            <w:pPr>
              <w:pStyle w:val="Header"/>
              <w:ind w:hanging="81"/>
              <w:jc w:val="center"/>
              <w:rPr>
                <w:rFonts w:ascii="Arial" w:hAnsi="Arial" w:cs="Arial"/>
                <w:szCs w:val="20"/>
              </w:rPr>
            </w:pPr>
          </w:p>
          <w:p w14:paraId="77AC6001"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Options Exercisable</w:t>
            </w:r>
          </w:p>
        </w:tc>
        <w:tc>
          <w:tcPr>
            <w:tcW w:w="1418" w:type="dxa"/>
            <w:tcBorders>
              <w:bottom w:val="single" w:sz="6" w:space="0" w:color="auto"/>
            </w:tcBorders>
            <w:vAlign w:val="bottom"/>
          </w:tcPr>
          <w:p w14:paraId="2AEBF93B"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Exercise</w:t>
            </w:r>
          </w:p>
          <w:p w14:paraId="39C51171"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Price</w:t>
            </w:r>
          </w:p>
          <w:p w14:paraId="583B010E"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w:t>
            </w:r>
          </w:p>
        </w:tc>
        <w:tc>
          <w:tcPr>
            <w:tcW w:w="2008" w:type="dxa"/>
            <w:tcBorders>
              <w:bottom w:val="single" w:sz="6" w:space="0" w:color="auto"/>
            </w:tcBorders>
            <w:vAlign w:val="bottom"/>
          </w:tcPr>
          <w:p w14:paraId="6AA44A3A"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Expiry Date</w:t>
            </w:r>
          </w:p>
        </w:tc>
      </w:tr>
      <w:tr w:rsidR="00BA6A0D" w:rsidRPr="00DE57B5" w14:paraId="6EC75AA6" w14:textId="77777777" w:rsidTr="00EC4ECB">
        <w:trPr>
          <w:trHeight w:hRule="exact" w:val="113"/>
        </w:trPr>
        <w:tc>
          <w:tcPr>
            <w:tcW w:w="1704" w:type="dxa"/>
            <w:tcBorders>
              <w:top w:val="single" w:sz="6" w:space="0" w:color="auto"/>
            </w:tcBorders>
          </w:tcPr>
          <w:p w14:paraId="65C4D743" w14:textId="77777777" w:rsidR="00BA6A0D" w:rsidRPr="00DE57B5" w:rsidRDefault="00BA6A0D" w:rsidP="00EC4ECB">
            <w:pPr>
              <w:pStyle w:val="Header"/>
              <w:ind w:hanging="81"/>
              <w:jc w:val="center"/>
              <w:rPr>
                <w:rFonts w:ascii="Arial" w:hAnsi="Arial" w:cs="Arial"/>
                <w:szCs w:val="20"/>
              </w:rPr>
            </w:pPr>
          </w:p>
        </w:tc>
        <w:tc>
          <w:tcPr>
            <w:tcW w:w="1418" w:type="dxa"/>
            <w:tcBorders>
              <w:top w:val="single" w:sz="6" w:space="0" w:color="auto"/>
            </w:tcBorders>
          </w:tcPr>
          <w:p w14:paraId="4B8323D2" w14:textId="77777777" w:rsidR="00BA6A0D" w:rsidRPr="00DE57B5" w:rsidRDefault="00BA6A0D" w:rsidP="00EC4ECB">
            <w:pPr>
              <w:pStyle w:val="Header"/>
              <w:ind w:hanging="81"/>
              <w:jc w:val="center"/>
              <w:rPr>
                <w:rFonts w:ascii="Arial" w:hAnsi="Arial" w:cs="Arial"/>
                <w:szCs w:val="20"/>
              </w:rPr>
            </w:pPr>
          </w:p>
        </w:tc>
        <w:tc>
          <w:tcPr>
            <w:tcW w:w="1418" w:type="dxa"/>
            <w:tcBorders>
              <w:top w:val="single" w:sz="6" w:space="0" w:color="auto"/>
            </w:tcBorders>
            <w:vAlign w:val="bottom"/>
          </w:tcPr>
          <w:p w14:paraId="0101FA26" w14:textId="77777777" w:rsidR="00BA6A0D" w:rsidRPr="00DE57B5" w:rsidRDefault="00BA6A0D" w:rsidP="00EC4ECB">
            <w:pPr>
              <w:pStyle w:val="Header"/>
              <w:ind w:hanging="81"/>
              <w:jc w:val="center"/>
              <w:rPr>
                <w:rFonts w:ascii="Arial" w:hAnsi="Arial" w:cs="Arial"/>
                <w:szCs w:val="20"/>
              </w:rPr>
            </w:pPr>
          </w:p>
        </w:tc>
        <w:tc>
          <w:tcPr>
            <w:tcW w:w="2008" w:type="dxa"/>
            <w:tcBorders>
              <w:top w:val="single" w:sz="6" w:space="0" w:color="auto"/>
            </w:tcBorders>
            <w:vAlign w:val="bottom"/>
          </w:tcPr>
          <w:p w14:paraId="43E62286" w14:textId="77777777" w:rsidR="00BA6A0D" w:rsidRPr="00DE57B5" w:rsidRDefault="00BA6A0D" w:rsidP="00EC4ECB">
            <w:pPr>
              <w:pStyle w:val="Header"/>
              <w:ind w:hanging="81"/>
              <w:jc w:val="center"/>
              <w:rPr>
                <w:rFonts w:ascii="Arial" w:hAnsi="Arial" w:cs="Arial"/>
                <w:szCs w:val="20"/>
              </w:rPr>
            </w:pPr>
          </w:p>
        </w:tc>
      </w:tr>
      <w:tr w:rsidR="00BA6A0D" w:rsidRPr="00DE57B5" w14:paraId="2CE0750B" w14:textId="77777777" w:rsidTr="00EC4ECB">
        <w:tc>
          <w:tcPr>
            <w:tcW w:w="1704" w:type="dxa"/>
            <w:vAlign w:val="bottom"/>
          </w:tcPr>
          <w:p w14:paraId="70ED9427" w14:textId="5CB7A965" w:rsidR="00BA6A0D" w:rsidRPr="00DE57B5" w:rsidRDefault="00E831F9" w:rsidP="00EC4ECB">
            <w:pPr>
              <w:pStyle w:val="Header"/>
              <w:ind w:left="86" w:right="288" w:hanging="86"/>
              <w:jc w:val="right"/>
              <w:rPr>
                <w:rFonts w:ascii="Arial" w:hAnsi="Arial" w:cs="Arial"/>
                <w:szCs w:val="20"/>
              </w:rPr>
            </w:pPr>
            <w:r>
              <w:rPr>
                <w:rFonts w:ascii="Arial" w:hAnsi="Arial" w:cs="Arial"/>
                <w:szCs w:val="20"/>
              </w:rPr>
              <w:t>2</w:t>
            </w:r>
            <w:r w:rsidR="00BA6A0D" w:rsidRPr="00DE57B5">
              <w:rPr>
                <w:rFonts w:ascii="Arial" w:hAnsi="Arial" w:cs="Arial"/>
                <w:szCs w:val="20"/>
              </w:rPr>
              <w:t>,000,000</w:t>
            </w:r>
          </w:p>
        </w:tc>
        <w:tc>
          <w:tcPr>
            <w:tcW w:w="1418" w:type="dxa"/>
          </w:tcPr>
          <w:p w14:paraId="65599420" w14:textId="15E8F8E0" w:rsidR="00BA6A0D" w:rsidRPr="00DE57B5" w:rsidRDefault="00E831F9" w:rsidP="00EC4ECB">
            <w:pPr>
              <w:pStyle w:val="Header"/>
              <w:ind w:left="86" w:right="134" w:hanging="86"/>
              <w:jc w:val="right"/>
              <w:rPr>
                <w:rFonts w:ascii="Arial" w:hAnsi="Arial" w:cs="Arial"/>
                <w:szCs w:val="20"/>
              </w:rPr>
            </w:pPr>
            <w:r>
              <w:rPr>
                <w:rFonts w:ascii="Arial" w:hAnsi="Arial" w:cs="Arial"/>
                <w:szCs w:val="20"/>
              </w:rPr>
              <w:t>2</w:t>
            </w:r>
            <w:r w:rsidR="00BA6A0D" w:rsidRPr="00DE57B5">
              <w:rPr>
                <w:rFonts w:ascii="Arial" w:hAnsi="Arial" w:cs="Arial"/>
                <w:szCs w:val="20"/>
              </w:rPr>
              <w:t>,000,000</w:t>
            </w:r>
          </w:p>
        </w:tc>
        <w:tc>
          <w:tcPr>
            <w:tcW w:w="1418" w:type="dxa"/>
            <w:vAlign w:val="bottom"/>
          </w:tcPr>
          <w:p w14:paraId="3894887C"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0.14</w:t>
            </w:r>
          </w:p>
        </w:tc>
        <w:tc>
          <w:tcPr>
            <w:tcW w:w="2008" w:type="dxa"/>
            <w:vAlign w:val="bottom"/>
          </w:tcPr>
          <w:p w14:paraId="3544D65D" w14:textId="77777777" w:rsidR="00BA6A0D" w:rsidRPr="00DE57B5" w:rsidRDefault="00BA6A0D" w:rsidP="00EC4ECB">
            <w:pPr>
              <w:pStyle w:val="Header"/>
              <w:ind w:right="-66" w:hanging="81"/>
              <w:jc w:val="center"/>
              <w:rPr>
                <w:rFonts w:ascii="Arial" w:hAnsi="Arial" w:cs="Arial"/>
                <w:szCs w:val="20"/>
              </w:rPr>
            </w:pPr>
            <w:r w:rsidRPr="00DE57B5">
              <w:rPr>
                <w:rFonts w:ascii="Arial" w:hAnsi="Arial" w:cs="Arial"/>
                <w:szCs w:val="20"/>
              </w:rPr>
              <w:t>December 14, 2020</w:t>
            </w:r>
          </w:p>
        </w:tc>
      </w:tr>
      <w:tr w:rsidR="00BA6A0D" w:rsidRPr="00DE57B5" w14:paraId="78823354" w14:textId="77777777" w:rsidTr="00EC4ECB">
        <w:tc>
          <w:tcPr>
            <w:tcW w:w="1704" w:type="dxa"/>
            <w:vAlign w:val="bottom"/>
          </w:tcPr>
          <w:p w14:paraId="39F6F6DF" w14:textId="15C61579" w:rsidR="00BA6A0D" w:rsidRPr="00DE57B5" w:rsidRDefault="00E831F9" w:rsidP="00EC4ECB">
            <w:pPr>
              <w:pStyle w:val="Header"/>
              <w:ind w:left="86" w:right="288" w:hanging="86"/>
              <w:jc w:val="right"/>
              <w:rPr>
                <w:rFonts w:ascii="Arial" w:hAnsi="Arial" w:cs="Arial"/>
                <w:szCs w:val="20"/>
              </w:rPr>
            </w:pPr>
            <w:r>
              <w:rPr>
                <w:rFonts w:ascii="Arial" w:hAnsi="Arial" w:cs="Arial"/>
                <w:szCs w:val="20"/>
              </w:rPr>
              <w:t>2</w:t>
            </w:r>
            <w:r w:rsidR="00DE57B5" w:rsidRPr="00DE57B5">
              <w:rPr>
                <w:rFonts w:ascii="Arial" w:hAnsi="Arial" w:cs="Arial"/>
                <w:szCs w:val="20"/>
              </w:rPr>
              <w:t>,550</w:t>
            </w:r>
            <w:r w:rsidR="00BA6A0D" w:rsidRPr="00DE57B5">
              <w:rPr>
                <w:rFonts w:ascii="Arial" w:hAnsi="Arial" w:cs="Arial"/>
                <w:szCs w:val="20"/>
              </w:rPr>
              <w:t>,000</w:t>
            </w:r>
          </w:p>
        </w:tc>
        <w:tc>
          <w:tcPr>
            <w:tcW w:w="1418" w:type="dxa"/>
          </w:tcPr>
          <w:p w14:paraId="5269949D" w14:textId="093E5A47" w:rsidR="00BA6A0D" w:rsidRPr="00DE57B5" w:rsidRDefault="00E831F9" w:rsidP="00EC4ECB">
            <w:pPr>
              <w:pStyle w:val="Header"/>
              <w:ind w:left="86" w:right="134" w:hanging="86"/>
              <w:jc w:val="right"/>
              <w:rPr>
                <w:rFonts w:ascii="Arial" w:hAnsi="Arial" w:cs="Arial"/>
                <w:szCs w:val="20"/>
              </w:rPr>
            </w:pPr>
            <w:r>
              <w:rPr>
                <w:rFonts w:ascii="Arial" w:hAnsi="Arial" w:cs="Arial"/>
                <w:szCs w:val="20"/>
              </w:rPr>
              <w:t>2</w:t>
            </w:r>
            <w:r w:rsidR="00DE57B5" w:rsidRPr="00DE57B5">
              <w:rPr>
                <w:rFonts w:ascii="Arial" w:hAnsi="Arial" w:cs="Arial"/>
                <w:szCs w:val="20"/>
              </w:rPr>
              <w:t>,550</w:t>
            </w:r>
            <w:r w:rsidR="00BA6A0D" w:rsidRPr="00DE57B5">
              <w:rPr>
                <w:rFonts w:ascii="Arial" w:hAnsi="Arial" w:cs="Arial"/>
                <w:szCs w:val="20"/>
              </w:rPr>
              <w:t>,000</w:t>
            </w:r>
          </w:p>
        </w:tc>
        <w:tc>
          <w:tcPr>
            <w:tcW w:w="1418" w:type="dxa"/>
            <w:vAlign w:val="bottom"/>
          </w:tcPr>
          <w:p w14:paraId="37772F71"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0.97</w:t>
            </w:r>
          </w:p>
        </w:tc>
        <w:tc>
          <w:tcPr>
            <w:tcW w:w="2008" w:type="dxa"/>
          </w:tcPr>
          <w:p w14:paraId="7263C4CF" w14:textId="77777777" w:rsidR="00BA6A0D" w:rsidRPr="00DE57B5" w:rsidRDefault="00BA6A0D" w:rsidP="00EC4ECB">
            <w:pPr>
              <w:pStyle w:val="Header"/>
              <w:ind w:right="-66" w:hanging="81"/>
              <w:jc w:val="center"/>
              <w:rPr>
                <w:rFonts w:ascii="Arial" w:hAnsi="Arial" w:cs="Arial"/>
                <w:szCs w:val="20"/>
              </w:rPr>
            </w:pPr>
            <w:r w:rsidRPr="00DE57B5">
              <w:rPr>
                <w:rFonts w:ascii="Arial" w:hAnsi="Arial" w:cs="Arial"/>
              </w:rPr>
              <w:t>February 22, 2021</w:t>
            </w:r>
          </w:p>
        </w:tc>
      </w:tr>
      <w:tr w:rsidR="00BA6A0D" w:rsidRPr="00DE57B5" w14:paraId="634790E1" w14:textId="77777777" w:rsidTr="00EC4ECB">
        <w:tc>
          <w:tcPr>
            <w:tcW w:w="1704" w:type="dxa"/>
            <w:vAlign w:val="bottom"/>
          </w:tcPr>
          <w:p w14:paraId="35F820B7" w14:textId="591EF688" w:rsidR="00BA6A0D" w:rsidRPr="00DE57B5" w:rsidRDefault="00E831F9" w:rsidP="00EC4ECB">
            <w:pPr>
              <w:pStyle w:val="Header"/>
              <w:ind w:left="86" w:right="288" w:hanging="86"/>
              <w:jc w:val="right"/>
              <w:rPr>
                <w:rFonts w:ascii="Arial" w:hAnsi="Arial" w:cs="Arial"/>
                <w:szCs w:val="20"/>
              </w:rPr>
            </w:pPr>
            <w:r>
              <w:rPr>
                <w:rFonts w:ascii="Arial" w:hAnsi="Arial" w:cs="Arial"/>
                <w:szCs w:val="20"/>
              </w:rPr>
              <w:t>2</w:t>
            </w:r>
            <w:r w:rsidR="00BA6A0D" w:rsidRPr="00DE57B5">
              <w:rPr>
                <w:rFonts w:ascii="Arial" w:hAnsi="Arial" w:cs="Arial"/>
                <w:szCs w:val="20"/>
              </w:rPr>
              <w:t>,000,000</w:t>
            </w:r>
          </w:p>
        </w:tc>
        <w:tc>
          <w:tcPr>
            <w:tcW w:w="1418" w:type="dxa"/>
          </w:tcPr>
          <w:p w14:paraId="0B0BE86C" w14:textId="45870429" w:rsidR="00BA6A0D" w:rsidRPr="00DE57B5" w:rsidRDefault="00E831F9" w:rsidP="00EC4ECB">
            <w:pPr>
              <w:pStyle w:val="Header"/>
              <w:ind w:left="86" w:right="134" w:hanging="86"/>
              <w:jc w:val="right"/>
              <w:rPr>
                <w:rFonts w:ascii="Arial" w:hAnsi="Arial" w:cs="Arial"/>
                <w:szCs w:val="20"/>
              </w:rPr>
            </w:pPr>
            <w:r>
              <w:rPr>
                <w:rFonts w:ascii="Arial" w:hAnsi="Arial" w:cs="Arial"/>
                <w:szCs w:val="20"/>
              </w:rPr>
              <w:t>2</w:t>
            </w:r>
            <w:r w:rsidR="00BA6A0D" w:rsidRPr="00DE57B5">
              <w:rPr>
                <w:rFonts w:ascii="Arial" w:hAnsi="Arial" w:cs="Arial"/>
                <w:szCs w:val="20"/>
              </w:rPr>
              <w:t>,000,000</w:t>
            </w:r>
          </w:p>
        </w:tc>
        <w:tc>
          <w:tcPr>
            <w:tcW w:w="1418" w:type="dxa"/>
            <w:vAlign w:val="bottom"/>
          </w:tcPr>
          <w:p w14:paraId="62E025D7"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0.13</w:t>
            </w:r>
          </w:p>
        </w:tc>
        <w:tc>
          <w:tcPr>
            <w:tcW w:w="2008" w:type="dxa"/>
          </w:tcPr>
          <w:p w14:paraId="4C188232" w14:textId="77777777" w:rsidR="00BA6A0D" w:rsidRPr="00DE57B5" w:rsidRDefault="00BA6A0D" w:rsidP="00EC4ECB">
            <w:pPr>
              <w:pStyle w:val="Header"/>
              <w:ind w:right="-66" w:hanging="81"/>
              <w:jc w:val="center"/>
              <w:rPr>
                <w:rFonts w:ascii="Arial" w:hAnsi="Arial" w:cs="Arial"/>
              </w:rPr>
            </w:pPr>
            <w:r w:rsidRPr="00DE57B5">
              <w:rPr>
                <w:rFonts w:ascii="Arial" w:hAnsi="Arial" w:cs="Arial"/>
              </w:rPr>
              <w:t>December 14, 2021</w:t>
            </w:r>
          </w:p>
        </w:tc>
      </w:tr>
      <w:tr w:rsidR="00BA6A0D" w:rsidRPr="00DE57B5" w14:paraId="0358944F" w14:textId="77777777" w:rsidTr="00E831F9">
        <w:tc>
          <w:tcPr>
            <w:tcW w:w="1704" w:type="dxa"/>
            <w:vAlign w:val="bottom"/>
          </w:tcPr>
          <w:p w14:paraId="74BED819"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100,000</w:t>
            </w:r>
          </w:p>
        </w:tc>
        <w:tc>
          <w:tcPr>
            <w:tcW w:w="1418" w:type="dxa"/>
          </w:tcPr>
          <w:p w14:paraId="58753483" w14:textId="7960B950" w:rsidR="00BA6A0D" w:rsidRPr="00DE57B5" w:rsidRDefault="00DE57B5" w:rsidP="00EC4ECB">
            <w:pPr>
              <w:pStyle w:val="Header"/>
              <w:ind w:left="86" w:right="134" w:hanging="86"/>
              <w:jc w:val="right"/>
              <w:rPr>
                <w:rFonts w:ascii="Arial" w:hAnsi="Arial" w:cs="Arial"/>
                <w:szCs w:val="20"/>
              </w:rPr>
            </w:pPr>
            <w:r w:rsidRPr="00DE57B5">
              <w:rPr>
                <w:rFonts w:ascii="Arial" w:hAnsi="Arial" w:cs="Arial"/>
                <w:szCs w:val="20"/>
              </w:rPr>
              <w:t>100</w:t>
            </w:r>
            <w:r w:rsidR="00BA6A0D" w:rsidRPr="00DE57B5">
              <w:rPr>
                <w:rFonts w:ascii="Arial" w:hAnsi="Arial" w:cs="Arial"/>
                <w:szCs w:val="20"/>
              </w:rPr>
              <w:t>,000</w:t>
            </w:r>
          </w:p>
        </w:tc>
        <w:tc>
          <w:tcPr>
            <w:tcW w:w="1418" w:type="dxa"/>
            <w:vAlign w:val="bottom"/>
          </w:tcPr>
          <w:p w14:paraId="236C6221"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0.50</w:t>
            </w:r>
          </w:p>
        </w:tc>
        <w:tc>
          <w:tcPr>
            <w:tcW w:w="2008" w:type="dxa"/>
          </w:tcPr>
          <w:p w14:paraId="0FFD4BFB" w14:textId="77777777" w:rsidR="00BA6A0D" w:rsidRPr="00DE57B5" w:rsidRDefault="00BA6A0D" w:rsidP="00EC4ECB">
            <w:pPr>
              <w:pStyle w:val="Header"/>
              <w:ind w:right="-66" w:hanging="81"/>
              <w:jc w:val="center"/>
              <w:rPr>
                <w:rFonts w:ascii="Arial" w:hAnsi="Arial" w:cs="Arial"/>
              </w:rPr>
            </w:pPr>
            <w:r w:rsidRPr="00DE57B5">
              <w:rPr>
                <w:rFonts w:ascii="Arial" w:hAnsi="Arial" w:cs="Arial"/>
              </w:rPr>
              <w:t>November 14, 2022</w:t>
            </w:r>
          </w:p>
        </w:tc>
      </w:tr>
      <w:tr w:rsidR="00BA6A0D" w:rsidRPr="00DE57B5" w14:paraId="312ADD75" w14:textId="77777777" w:rsidTr="00E831F9">
        <w:tc>
          <w:tcPr>
            <w:tcW w:w="1704" w:type="dxa"/>
            <w:vAlign w:val="bottom"/>
          </w:tcPr>
          <w:p w14:paraId="15523988"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100,000</w:t>
            </w:r>
          </w:p>
        </w:tc>
        <w:tc>
          <w:tcPr>
            <w:tcW w:w="1418" w:type="dxa"/>
          </w:tcPr>
          <w:p w14:paraId="0E75D5E0" w14:textId="77777777" w:rsidR="00BA6A0D" w:rsidRPr="00DE57B5" w:rsidRDefault="00BA6A0D" w:rsidP="00EC4ECB">
            <w:pPr>
              <w:pStyle w:val="Header"/>
              <w:ind w:left="86" w:right="134" w:hanging="86"/>
              <w:jc w:val="right"/>
              <w:rPr>
                <w:rFonts w:ascii="Arial" w:hAnsi="Arial" w:cs="Arial"/>
                <w:szCs w:val="20"/>
              </w:rPr>
            </w:pPr>
            <w:r w:rsidRPr="00DE57B5">
              <w:rPr>
                <w:rFonts w:ascii="Arial" w:hAnsi="Arial" w:cs="Arial"/>
                <w:szCs w:val="20"/>
              </w:rPr>
              <w:t>100,000</w:t>
            </w:r>
          </w:p>
        </w:tc>
        <w:tc>
          <w:tcPr>
            <w:tcW w:w="1418" w:type="dxa"/>
            <w:vAlign w:val="bottom"/>
          </w:tcPr>
          <w:p w14:paraId="599AA014"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0.42</w:t>
            </w:r>
          </w:p>
        </w:tc>
        <w:tc>
          <w:tcPr>
            <w:tcW w:w="2008" w:type="dxa"/>
          </w:tcPr>
          <w:p w14:paraId="1BFC17D4" w14:textId="77777777" w:rsidR="00BA6A0D" w:rsidRPr="00DE57B5" w:rsidRDefault="00BA6A0D" w:rsidP="00EC4ECB">
            <w:pPr>
              <w:pStyle w:val="Header"/>
              <w:ind w:right="-66" w:hanging="81"/>
              <w:jc w:val="center"/>
              <w:rPr>
                <w:rFonts w:ascii="Arial" w:hAnsi="Arial" w:cs="Arial"/>
              </w:rPr>
            </w:pPr>
            <w:r w:rsidRPr="00DE57B5">
              <w:rPr>
                <w:rFonts w:ascii="Arial" w:hAnsi="Arial" w:cs="Arial"/>
              </w:rPr>
              <w:t>October 28, 2023</w:t>
            </w:r>
          </w:p>
        </w:tc>
      </w:tr>
      <w:tr w:rsidR="00E831F9" w:rsidRPr="00DE57B5" w14:paraId="29E4DB9A" w14:textId="77777777" w:rsidTr="00E831F9">
        <w:tc>
          <w:tcPr>
            <w:tcW w:w="1704" w:type="dxa"/>
            <w:vAlign w:val="bottom"/>
          </w:tcPr>
          <w:p w14:paraId="066865C1" w14:textId="77777777" w:rsidR="00E831F9" w:rsidRPr="00DE57B5" w:rsidRDefault="00E831F9" w:rsidP="0093147D">
            <w:pPr>
              <w:pStyle w:val="Header"/>
              <w:ind w:left="86" w:right="288" w:hanging="86"/>
              <w:jc w:val="right"/>
              <w:rPr>
                <w:rFonts w:ascii="Arial" w:hAnsi="Arial" w:cs="Arial"/>
                <w:szCs w:val="20"/>
              </w:rPr>
            </w:pPr>
            <w:r w:rsidRPr="00DE57B5">
              <w:rPr>
                <w:rFonts w:ascii="Arial" w:hAnsi="Arial" w:cs="Arial"/>
                <w:szCs w:val="20"/>
              </w:rPr>
              <w:t>2,700,000</w:t>
            </w:r>
          </w:p>
        </w:tc>
        <w:tc>
          <w:tcPr>
            <w:tcW w:w="1418" w:type="dxa"/>
          </w:tcPr>
          <w:p w14:paraId="6E144C8A" w14:textId="3978D0E1" w:rsidR="00E831F9" w:rsidRPr="00DE57B5" w:rsidRDefault="00E831F9" w:rsidP="0093147D">
            <w:pPr>
              <w:pStyle w:val="Header"/>
              <w:ind w:left="86" w:right="134" w:hanging="86"/>
              <w:jc w:val="right"/>
              <w:rPr>
                <w:rFonts w:ascii="Arial" w:hAnsi="Arial" w:cs="Arial"/>
                <w:szCs w:val="20"/>
              </w:rPr>
            </w:pPr>
            <w:r>
              <w:rPr>
                <w:rFonts w:ascii="Arial" w:hAnsi="Arial" w:cs="Arial"/>
                <w:szCs w:val="20"/>
              </w:rPr>
              <w:t>1,350</w:t>
            </w:r>
            <w:r w:rsidRPr="00DE57B5">
              <w:rPr>
                <w:rFonts w:ascii="Arial" w:hAnsi="Arial" w:cs="Arial"/>
                <w:szCs w:val="20"/>
              </w:rPr>
              <w:t>,000</w:t>
            </w:r>
          </w:p>
        </w:tc>
        <w:tc>
          <w:tcPr>
            <w:tcW w:w="1418" w:type="dxa"/>
            <w:vAlign w:val="bottom"/>
          </w:tcPr>
          <w:p w14:paraId="1BC94983" w14:textId="77777777" w:rsidR="00E831F9" w:rsidRPr="00DE57B5" w:rsidRDefault="00E831F9" w:rsidP="0093147D">
            <w:pPr>
              <w:pStyle w:val="Header"/>
              <w:ind w:left="86" w:right="288" w:hanging="86"/>
              <w:jc w:val="right"/>
              <w:rPr>
                <w:rFonts w:ascii="Arial" w:hAnsi="Arial" w:cs="Arial"/>
                <w:szCs w:val="20"/>
              </w:rPr>
            </w:pPr>
            <w:r w:rsidRPr="00DE57B5">
              <w:rPr>
                <w:rFonts w:ascii="Arial" w:hAnsi="Arial" w:cs="Arial"/>
                <w:szCs w:val="20"/>
              </w:rPr>
              <w:t>0.40</w:t>
            </w:r>
          </w:p>
        </w:tc>
        <w:tc>
          <w:tcPr>
            <w:tcW w:w="2008" w:type="dxa"/>
          </w:tcPr>
          <w:p w14:paraId="1415F857" w14:textId="77777777" w:rsidR="00E831F9" w:rsidRPr="00DE57B5" w:rsidRDefault="00E831F9" w:rsidP="0093147D">
            <w:pPr>
              <w:pStyle w:val="Header"/>
              <w:ind w:right="-66" w:hanging="81"/>
              <w:jc w:val="center"/>
              <w:rPr>
                <w:rFonts w:ascii="Arial" w:hAnsi="Arial" w:cs="Arial"/>
              </w:rPr>
            </w:pPr>
            <w:r w:rsidRPr="00DE57B5">
              <w:rPr>
                <w:rFonts w:ascii="Arial" w:hAnsi="Arial" w:cs="Arial"/>
              </w:rPr>
              <w:t>June 11, 2024</w:t>
            </w:r>
          </w:p>
        </w:tc>
      </w:tr>
      <w:tr w:rsidR="00E831F9" w:rsidRPr="00DE57B5" w14:paraId="76B7624E" w14:textId="77777777" w:rsidTr="00E831F9">
        <w:tc>
          <w:tcPr>
            <w:tcW w:w="1704" w:type="dxa"/>
            <w:vAlign w:val="bottom"/>
          </w:tcPr>
          <w:p w14:paraId="4BC96D0D" w14:textId="77777777" w:rsidR="00E831F9" w:rsidRPr="00DE57B5" w:rsidRDefault="00E831F9" w:rsidP="0093147D">
            <w:pPr>
              <w:pStyle w:val="Header"/>
              <w:ind w:left="86" w:right="288" w:hanging="86"/>
              <w:jc w:val="right"/>
              <w:rPr>
                <w:rFonts w:ascii="Arial" w:hAnsi="Arial" w:cs="Arial"/>
                <w:szCs w:val="20"/>
              </w:rPr>
            </w:pPr>
            <w:r w:rsidRPr="00DE57B5">
              <w:rPr>
                <w:rFonts w:ascii="Arial" w:hAnsi="Arial" w:cs="Arial"/>
                <w:szCs w:val="20"/>
              </w:rPr>
              <w:t>750,000</w:t>
            </w:r>
          </w:p>
        </w:tc>
        <w:tc>
          <w:tcPr>
            <w:tcW w:w="1418" w:type="dxa"/>
          </w:tcPr>
          <w:p w14:paraId="096957DA" w14:textId="71760088" w:rsidR="00E831F9" w:rsidRPr="00DE57B5" w:rsidRDefault="00E831F9" w:rsidP="0093147D">
            <w:pPr>
              <w:pStyle w:val="Header"/>
              <w:ind w:left="86" w:right="134" w:hanging="86"/>
              <w:jc w:val="right"/>
              <w:rPr>
                <w:rFonts w:ascii="Arial" w:hAnsi="Arial" w:cs="Arial"/>
                <w:szCs w:val="20"/>
              </w:rPr>
            </w:pPr>
            <w:r>
              <w:rPr>
                <w:rFonts w:ascii="Arial" w:hAnsi="Arial" w:cs="Arial"/>
                <w:szCs w:val="20"/>
              </w:rPr>
              <w:t>375,000</w:t>
            </w:r>
          </w:p>
        </w:tc>
        <w:tc>
          <w:tcPr>
            <w:tcW w:w="1418" w:type="dxa"/>
            <w:vAlign w:val="bottom"/>
          </w:tcPr>
          <w:p w14:paraId="295C0EA7" w14:textId="77777777" w:rsidR="00E831F9" w:rsidRPr="00DE57B5" w:rsidRDefault="00E831F9" w:rsidP="0093147D">
            <w:pPr>
              <w:pStyle w:val="Header"/>
              <w:ind w:left="86" w:right="288" w:hanging="86"/>
              <w:jc w:val="right"/>
              <w:rPr>
                <w:rFonts w:ascii="Arial" w:hAnsi="Arial" w:cs="Arial"/>
                <w:szCs w:val="20"/>
              </w:rPr>
            </w:pPr>
            <w:r w:rsidRPr="00DE57B5">
              <w:rPr>
                <w:rFonts w:ascii="Arial" w:hAnsi="Arial" w:cs="Arial"/>
                <w:szCs w:val="20"/>
              </w:rPr>
              <w:t>0.39</w:t>
            </w:r>
          </w:p>
        </w:tc>
        <w:tc>
          <w:tcPr>
            <w:tcW w:w="2008" w:type="dxa"/>
          </w:tcPr>
          <w:p w14:paraId="4BAAE8F2" w14:textId="77777777" w:rsidR="00E831F9" w:rsidRPr="00DE57B5" w:rsidRDefault="00E831F9" w:rsidP="0093147D">
            <w:pPr>
              <w:pStyle w:val="Header"/>
              <w:ind w:right="-66" w:hanging="81"/>
              <w:jc w:val="center"/>
              <w:rPr>
                <w:rFonts w:ascii="Arial" w:hAnsi="Arial" w:cs="Arial"/>
              </w:rPr>
            </w:pPr>
            <w:r w:rsidRPr="00DE57B5">
              <w:rPr>
                <w:rFonts w:ascii="Arial" w:hAnsi="Arial" w:cs="Arial"/>
              </w:rPr>
              <w:t>July 1, 2024</w:t>
            </w:r>
          </w:p>
        </w:tc>
      </w:tr>
      <w:tr w:rsidR="00E831F9" w:rsidRPr="00DE57B5" w14:paraId="6BF68783" w14:textId="77777777" w:rsidTr="00E831F9">
        <w:tc>
          <w:tcPr>
            <w:tcW w:w="1704" w:type="dxa"/>
            <w:vAlign w:val="bottom"/>
          </w:tcPr>
          <w:p w14:paraId="135382F4" w14:textId="06017E1C" w:rsidR="00E831F9" w:rsidRPr="00DE57B5" w:rsidRDefault="00E831F9" w:rsidP="00EC4ECB">
            <w:pPr>
              <w:pStyle w:val="Header"/>
              <w:ind w:left="86" w:right="288" w:hanging="86"/>
              <w:jc w:val="right"/>
              <w:rPr>
                <w:rFonts w:ascii="Arial" w:hAnsi="Arial" w:cs="Arial"/>
                <w:szCs w:val="20"/>
              </w:rPr>
            </w:pPr>
            <w:r>
              <w:rPr>
                <w:rFonts w:ascii="Arial" w:hAnsi="Arial" w:cs="Arial"/>
                <w:szCs w:val="20"/>
              </w:rPr>
              <w:t>1,100,000</w:t>
            </w:r>
          </w:p>
        </w:tc>
        <w:tc>
          <w:tcPr>
            <w:tcW w:w="1418" w:type="dxa"/>
          </w:tcPr>
          <w:p w14:paraId="05D391D4" w14:textId="4E82C848" w:rsidR="00E831F9" w:rsidRPr="00DE57B5" w:rsidRDefault="00E831F9" w:rsidP="00EC4ECB">
            <w:pPr>
              <w:pStyle w:val="Header"/>
              <w:ind w:left="86" w:right="134" w:hanging="86"/>
              <w:jc w:val="right"/>
              <w:rPr>
                <w:rFonts w:ascii="Arial" w:hAnsi="Arial" w:cs="Arial"/>
                <w:szCs w:val="20"/>
              </w:rPr>
            </w:pPr>
            <w:r>
              <w:rPr>
                <w:rFonts w:ascii="Arial" w:hAnsi="Arial" w:cs="Arial"/>
                <w:szCs w:val="20"/>
              </w:rPr>
              <w:t>91,668</w:t>
            </w:r>
          </w:p>
        </w:tc>
        <w:tc>
          <w:tcPr>
            <w:tcW w:w="1418" w:type="dxa"/>
            <w:vAlign w:val="bottom"/>
          </w:tcPr>
          <w:p w14:paraId="208E148F" w14:textId="50515D08" w:rsidR="00E831F9" w:rsidRPr="00DE57B5" w:rsidRDefault="00E831F9" w:rsidP="00EC4ECB">
            <w:pPr>
              <w:pStyle w:val="Header"/>
              <w:ind w:left="86" w:right="288" w:hanging="86"/>
              <w:jc w:val="right"/>
              <w:rPr>
                <w:rFonts w:ascii="Arial" w:hAnsi="Arial" w:cs="Arial"/>
                <w:szCs w:val="20"/>
              </w:rPr>
            </w:pPr>
            <w:r>
              <w:rPr>
                <w:rFonts w:ascii="Arial" w:hAnsi="Arial" w:cs="Arial"/>
                <w:szCs w:val="20"/>
              </w:rPr>
              <w:t>0.32</w:t>
            </w:r>
          </w:p>
        </w:tc>
        <w:tc>
          <w:tcPr>
            <w:tcW w:w="2008" w:type="dxa"/>
          </w:tcPr>
          <w:p w14:paraId="05B781AD" w14:textId="2D862F29" w:rsidR="00E831F9" w:rsidRPr="00DE57B5" w:rsidRDefault="00E831F9" w:rsidP="00EC4ECB">
            <w:pPr>
              <w:pStyle w:val="Header"/>
              <w:ind w:right="-66" w:hanging="81"/>
              <w:jc w:val="center"/>
              <w:rPr>
                <w:rFonts w:ascii="Arial" w:hAnsi="Arial" w:cs="Arial"/>
              </w:rPr>
            </w:pPr>
            <w:r>
              <w:rPr>
                <w:rFonts w:ascii="Arial" w:hAnsi="Arial" w:cs="Arial"/>
              </w:rPr>
              <w:t>September 3, 2024</w:t>
            </w:r>
          </w:p>
        </w:tc>
      </w:tr>
      <w:tr w:rsidR="00E831F9" w:rsidRPr="00DE57B5" w14:paraId="2A0104F5" w14:textId="77777777" w:rsidTr="00E831F9">
        <w:tc>
          <w:tcPr>
            <w:tcW w:w="1704" w:type="dxa"/>
            <w:vAlign w:val="bottom"/>
          </w:tcPr>
          <w:p w14:paraId="2389C230" w14:textId="3775AA1F" w:rsidR="00E831F9" w:rsidRPr="00DE57B5" w:rsidRDefault="00E831F9" w:rsidP="00EC4ECB">
            <w:pPr>
              <w:pStyle w:val="Header"/>
              <w:ind w:left="86" w:right="288" w:hanging="86"/>
              <w:jc w:val="right"/>
              <w:rPr>
                <w:rFonts w:ascii="Arial" w:hAnsi="Arial" w:cs="Arial"/>
                <w:szCs w:val="20"/>
              </w:rPr>
            </w:pPr>
            <w:r>
              <w:rPr>
                <w:rFonts w:ascii="Arial" w:hAnsi="Arial" w:cs="Arial"/>
                <w:szCs w:val="20"/>
              </w:rPr>
              <w:t>100,000</w:t>
            </w:r>
          </w:p>
        </w:tc>
        <w:tc>
          <w:tcPr>
            <w:tcW w:w="1418" w:type="dxa"/>
          </w:tcPr>
          <w:p w14:paraId="76EB5E76" w14:textId="4718F589" w:rsidR="00E831F9" w:rsidRPr="00DE57B5" w:rsidRDefault="00E831F9" w:rsidP="00EC4ECB">
            <w:pPr>
              <w:pStyle w:val="Header"/>
              <w:ind w:left="86" w:right="134" w:hanging="86"/>
              <w:jc w:val="right"/>
              <w:rPr>
                <w:rFonts w:ascii="Arial" w:hAnsi="Arial" w:cs="Arial"/>
                <w:szCs w:val="20"/>
              </w:rPr>
            </w:pPr>
            <w:r>
              <w:rPr>
                <w:rFonts w:ascii="Arial" w:hAnsi="Arial" w:cs="Arial"/>
                <w:szCs w:val="20"/>
              </w:rPr>
              <w:t>25,000</w:t>
            </w:r>
          </w:p>
        </w:tc>
        <w:tc>
          <w:tcPr>
            <w:tcW w:w="1418" w:type="dxa"/>
            <w:vAlign w:val="bottom"/>
          </w:tcPr>
          <w:p w14:paraId="3E93C975" w14:textId="19C96B90" w:rsidR="00E831F9" w:rsidRPr="00DE57B5" w:rsidRDefault="00E831F9" w:rsidP="00EC4ECB">
            <w:pPr>
              <w:pStyle w:val="Header"/>
              <w:ind w:left="86" w:right="288" w:hanging="86"/>
              <w:jc w:val="right"/>
              <w:rPr>
                <w:rFonts w:ascii="Arial" w:hAnsi="Arial" w:cs="Arial"/>
                <w:szCs w:val="20"/>
              </w:rPr>
            </w:pPr>
            <w:r>
              <w:rPr>
                <w:rFonts w:ascii="Arial" w:hAnsi="Arial" w:cs="Arial"/>
                <w:szCs w:val="20"/>
              </w:rPr>
              <w:t>0.26</w:t>
            </w:r>
          </w:p>
        </w:tc>
        <w:tc>
          <w:tcPr>
            <w:tcW w:w="2008" w:type="dxa"/>
          </w:tcPr>
          <w:p w14:paraId="46A45942" w14:textId="0C9D946E" w:rsidR="00E831F9" w:rsidRPr="00DE57B5" w:rsidRDefault="00E831F9" w:rsidP="00EC4ECB">
            <w:pPr>
              <w:pStyle w:val="Header"/>
              <w:ind w:right="-66" w:hanging="81"/>
              <w:jc w:val="center"/>
              <w:rPr>
                <w:rFonts w:ascii="Arial" w:hAnsi="Arial" w:cs="Arial"/>
              </w:rPr>
            </w:pPr>
            <w:r>
              <w:rPr>
                <w:rFonts w:ascii="Arial" w:hAnsi="Arial" w:cs="Arial"/>
              </w:rPr>
              <w:t>September 29, 2024</w:t>
            </w:r>
          </w:p>
        </w:tc>
      </w:tr>
      <w:tr w:rsidR="00E831F9" w:rsidRPr="00DE57B5" w14:paraId="6945EFF9" w14:textId="77777777" w:rsidTr="00E831F9">
        <w:tc>
          <w:tcPr>
            <w:tcW w:w="1704" w:type="dxa"/>
            <w:vAlign w:val="bottom"/>
          </w:tcPr>
          <w:p w14:paraId="67FD7211" w14:textId="745B074E" w:rsidR="00E831F9" w:rsidRPr="00DE57B5" w:rsidRDefault="00E831F9" w:rsidP="00EC4ECB">
            <w:pPr>
              <w:pStyle w:val="Header"/>
              <w:ind w:left="86" w:right="288" w:hanging="86"/>
              <w:jc w:val="right"/>
              <w:rPr>
                <w:rFonts w:ascii="Arial" w:hAnsi="Arial" w:cs="Arial"/>
                <w:szCs w:val="20"/>
              </w:rPr>
            </w:pPr>
            <w:r>
              <w:rPr>
                <w:rFonts w:ascii="Arial" w:hAnsi="Arial" w:cs="Arial"/>
                <w:szCs w:val="20"/>
              </w:rPr>
              <w:t>150,000</w:t>
            </w:r>
          </w:p>
        </w:tc>
        <w:tc>
          <w:tcPr>
            <w:tcW w:w="1418" w:type="dxa"/>
          </w:tcPr>
          <w:p w14:paraId="010DEAEB" w14:textId="35D506EA" w:rsidR="00E831F9" w:rsidRPr="00DE57B5" w:rsidRDefault="00E831F9" w:rsidP="00EC4ECB">
            <w:pPr>
              <w:pStyle w:val="Header"/>
              <w:ind w:left="86" w:right="134" w:hanging="86"/>
              <w:jc w:val="right"/>
              <w:rPr>
                <w:rFonts w:ascii="Arial" w:hAnsi="Arial" w:cs="Arial"/>
                <w:szCs w:val="20"/>
              </w:rPr>
            </w:pPr>
            <w:r>
              <w:rPr>
                <w:rFonts w:ascii="Arial" w:hAnsi="Arial" w:cs="Arial"/>
                <w:szCs w:val="20"/>
              </w:rPr>
              <w:t>37,500</w:t>
            </w:r>
          </w:p>
        </w:tc>
        <w:tc>
          <w:tcPr>
            <w:tcW w:w="1418" w:type="dxa"/>
            <w:vAlign w:val="bottom"/>
          </w:tcPr>
          <w:p w14:paraId="0DF9ECB3" w14:textId="2C17031A" w:rsidR="00E831F9" w:rsidRPr="00DE57B5" w:rsidRDefault="00E831F9" w:rsidP="00EC4ECB">
            <w:pPr>
              <w:pStyle w:val="Header"/>
              <w:ind w:left="86" w:right="288" w:hanging="86"/>
              <w:jc w:val="right"/>
              <w:rPr>
                <w:rFonts w:ascii="Arial" w:hAnsi="Arial" w:cs="Arial"/>
                <w:szCs w:val="20"/>
              </w:rPr>
            </w:pPr>
            <w:r>
              <w:rPr>
                <w:rFonts w:ascii="Arial" w:hAnsi="Arial" w:cs="Arial"/>
                <w:szCs w:val="20"/>
              </w:rPr>
              <w:t>0.16</w:t>
            </w:r>
          </w:p>
        </w:tc>
        <w:tc>
          <w:tcPr>
            <w:tcW w:w="2008" w:type="dxa"/>
          </w:tcPr>
          <w:p w14:paraId="47FA52C3" w14:textId="7A5ECE79" w:rsidR="00E831F9" w:rsidRPr="00DE57B5" w:rsidRDefault="00E831F9" w:rsidP="00EC4ECB">
            <w:pPr>
              <w:pStyle w:val="Header"/>
              <w:ind w:right="-66" w:hanging="81"/>
              <w:jc w:val="center"/>
              <w:rPr>
                <w:rFonts w:ascii="Arial" w:hAnsi="Arial" w:cs="Arial"/>
              </w:rPr>
            </w:pPr>
            <w:r>
              <w:rPr>
                <w:rFonts w:ascii="Arial" w:hAnsi="Arial" w:cs="Arial"/>
              </w:rPr>
              <w:t>October 15, 2024</w:t>
            </w:r>
          </w:p>
        </w:tc>
      </w:tr>
      <w:tr w:rsidR="00E831F9" w:rsidRPr="00DE57B5" w14:paraId="743D5FE0" w14:textId="77777777" w:rsidTr="00E831F9">
        <w:tc>
          <w:tcPr>
            <w:tcW w:w="1704" w:type="dxa"/>
            <w:tcBorders>
              <w:bottom w:val="single" w:sz="2" w:space="0" w:color="auto"/>
            </w:tcBorders>
            <w:vAlign w:val="bottom"/>
          </w:tcPr>
          <w:p w14:paraId="498CDD92" w14:textId="5743D3B3" w:rsidR="00E831F9" w:rsidRPr="00DE57B5" w:rsidRDefault="00E831F9" w:rsidP="00EC4ECB">
            <w:pPr>
              <w:pStyle w:val="Header"/>
              <w:ind w:left="86" w:right="288" w:hanging="86"/>
              <w:jc w:val="right"/>
              <w:rPr>
                <w:rFonts w:ascii="Arial" w:hAnsi="Arial" w:cs="Arial"/>
                <w:szCs w:val="20"/>
              </w:rPr>
            </w:pPr>
            <w:r>
              <w:rPr>
                <w:rFonts w:ascii="Arial" w:hAnsi="Arial" w:cs="Arial"/>
                <w:szCs w:val="20"/>
              </w:rPr>
              <w:t>150,000</w:t>
            </w:r>
          </w:p>
        </w:tc>
        <w:tc>
          <w:tcPr>
            <w:tcW w:w="1418" w:type="dxa"/>
            <w:tcBorders>
              <w:bottom w:val="single" w:sz="2" w:space="0" w:color="auto"/>
            </w:tcBorders>
          </w:tcPr>
          <w:p w14:paraId="3C1CFB56" w14:textId="03BE7864" w:rsidR="00E831F9" w:rsidRPr="00DE57B5" w:rsidRDefault="00E831F9" w:rsidP="00EC4ECB">
            <w:pPr>
              <w:pStyle w:val="Header"/>
              <w:ind w:left="86" w:right="134" w:hanging="86"/>
              <w:jc w:val="right"/>
              <w:rPr>
                <w:rFonts w:ascii="Arial" w:hAnsi="Arial" w:cs="Arial"/>
                <w:szCs w:val="20"/>
              </w:rPr>
            </w:pPr>
            <w:r>
              <w:rPr>
                <w:rFonts w:ascii="Arial" w:hAnsi="Arial" w:cs="Arial"/>
                <w:szCs w:val="20"/>
              </w:rPr>
              <w:t>37,500</w:t>
            </w:r>
          </w:p>
        </w:tc>
        <w:tc>
          <w:tcPr>
            <w:tcW w:w="1418" w:type="dxa"/>
            <w:tcBorders>
              <w:bottom w:val="single" w:sz="2" w:space="0" w:color="auto"/>
            </w:tcBorders>
            <w:vAlign w:val="bottom"/>
          </w:tcPr>
          <w:p w14:paraId="3EE2EF27" w14:textId="3A8AD1DA" w:rsidR="00E831F9" w:rsidRPr="00DE57B5" w:rsidRDefault="00E831F9" w:rsidP="00EC4ECB">
            <w:pPr>
              <w:pStyle w:val="Header"/>
              <w:ind w:left="86" w:right="288" w:hanging="86"/>
              <w:jc w:val="right"/>
              <w:rPr>
                <w:rFonts w:ascii="Arial" w:hAnsi="Arial" w:cs="Arial"/>
                <w:szCs w:val="20"/>
              </w:rPr>
            </w:pPr>
            <w:r>
              <w:rPr>
                <w:rFonts w:ascii="Arial" w:hAnsi="Arial" w:cs="Arial"/>
                <w:szCs w:val="20"/>
              </w:rPr>
              <w:t>0.25</w:t>
            </w:r>
          </w:p>
        </w:tc>
        <w:tc>
          <w:tcPr>
            <w:tcW w:w="2008" w:type="dxa"/>
            <w:tcBorders>
              <w:bottom w:val="single" w:sz="2" w:space="0" w:color="auto"/>
            </w:tcBorders>
          </w:tcPr>
          <w:p w14:paraId="22FD8E00" w14:textId="2956BE8D" w:rsidR="00E831F9" w:rsidRPr="00DE57B5" w:rsidRDefault="00E831F9" w:rsidP="00EC4ECB">
            <w:pPr>
              <w:pStyle w:val="Header"/>
              <w:ind w:right="-66" w:hanging="81"/>
              <w:jc w:val="center"/>
              <w:rPr>
                <w:rFonts w:ascii="Arial" w:hAnsi="Arial" w:cs="Arial"/>
              </w:rPr>
            </w:pPr>
            <w:r>
              <w:rPr>
                <w:rFonts w:ascii="Arial" w:hAnsi="Arial" w:cs="Arial"/>
              </w:rPr>
              <w:t>October 15, 2024</w:t>
            </w:r>
          </w:p>
        </w:tc>
      </w:tr>
      <w:tr w:rsidR="00BA6A0D" w:rsidRPr="00F60034" w14:paraId="30170B36" w14:textId="77777777" w:rsidTr="00EC4ECB">
        <w:tc>
          <w:tcPr>
            <w:tcW w:w="1704" w:type="dxa"/>
            <w:tcBorders>
              <w:bottom w:val="single" w:sz="12" w:space="0" w:color="auto"/>
            </w:tcBorders>
            <w:vAlign w:val="bottom"/>
          </w:tcPr>
          <w:p w14:paraId="547EA93E" w14:textId="45FB2F79" w:rsidR="00BA6A0D" w:rsidRPr="00DE57B5" w:rsidDel="00B626EB" w:rsidRDefault="00EA7251" w:rsidP="004D0022">
            <w:pPr>
              <w:pStyle w:val="Header"/>
              <w:spacing w:before="120"/>
              <w:ind w:left="86" w:right="288" w:hanging="86"/>
              <w:jc w:val="right"/>
              <w:rPr>
                <w:rFonts w:ascii="Arial" w:hAnsi="Arial" w:cs="Arial"/>
                <w:szCs w:val="20"/>
              </w:rPr>
            </w:pPr>
            <w:r>
              <w:rPr>
                <w:rFonts w:ascii="Arial" w:hAnsi="Arial" w:cs="Arial"/>
                <w:szCs w:val="20"/>
              </w:rPr>
              <w:t>11,700</w:t>
            </w:r>
            <w:r w:rsidR="00DE57B5" w:rsidRPr="00DE57B5">
              <w:rPr>
                <w:rFonts w:ascii="Arial" w:hAnsi="Arial" w:cs="Arial"/>
                <w:szCs w:val="20"/>
              </w:rPr>
              <w:t>,000</w:t>
            </w:r>
          </w:p>
        </w:tc>
        <w:tc>
          <w:tcPr>
            <w:tcW w:w="1418" w:type="dxa"/>
            <w:tcBorders>
              <w:bottom w:val="single" w:sz="12" w:space="0" w:color="auto"/>
            </w:tcBorders>
          </w:tcPr>
          <w:p w14:paraId="1A2FA444" w14:textId="7575E0B2" w:rsidR="00BA6A0D" w:rsidRPr="00F60034" w:rsidRDefault="00EA7251" w:rsidP="004D0022">
            <w:pPr>
              <w:pStyle w:val="Header"/>
              <w:spacing w:before="120"/>
              <w:ind w:left="86" w:right="134" w:hanging="86"/>
              <w:jc w:val="right"/>
              <w:rPr>
                <w:rFonts w:ascii="Arial" w:hAnsi="Arial" w:cs="Arial"/>
                <w:szCs w:val="20"/>
              </w:rPr>
            </w:pPr>
            <w:r>
              <w:rPr>
                <w:rFonts w:ascii="Arial" w:hAnsi="Arial" w:cs="Arial"/>
                <w:szCs w:val="20"/>
              </w:rPr>
              <w:t>8,666,668</w:t>
            </w:r>
          </w:p>
        </w:tc>
        <w:tc>
          <w:tcPr>
            <w:tcW w:w="1418" w:type="dxa"/>
            <w:tcBorders>
              <w:bottom w:val="single" w:sz="12" w:space="0" w:color="auto"/>
            </w:tcBorders>
            <w:vAlign w:val="bottom"/>
          </w:tcPr>
          <w:p w14:paraId="30BD7808" w14:textId="77777777" w:rsidR="00BA6A0D" w:rsidRPr="00F60034" w:rsidRDefault="00BA6A0D" w:rsidP="004D0022">
            <w:pPr>
              <w:pStyle w:val="Header"/>
              <w:spacing w:before="120"/>
              <w:ind w:left="86" w:right="288" w:hanging="86"/>
              <w:jc w:val="right"/>
              <w:rPr>
                <w:rFonts w:ascii="Arial" w:hAnsi="Arial" w:cs="Arial"/>
                <w:szCs w:val="20"/>
              </w:rPr>
            </w:pPr>
          </w:p>
        </w:tc>
        <w:tc>
          <w:tcPr>
            <w:tcW w:w="2008" w:type="dxa"/>
            <w:tcBorders>
              <w:bottom w:val="single" w:sz="12" w:space="0" w:color="auto"/>
            </w:tcBorders>
            <w:vAlign w:val="bottom"/>
          </w:tcPr>
          <w:p w14:paraId="6FB28EA4" w14:textId="77777777" w:rsidR="00BA6A0D" w:rsidRPr="00F60034" w:rsidRDefault="00BA6A0D" w:rsidP="004D0022">
            <w:pPr>
              <w:pStyle w:val="Header"/>
              <w:spacing w:before="120"/>
              <w:ind w:right="-66" w:hanging="81"/>
              <w:jc w:val="center"/>
              <w:rPr>
                <w:rFonts w:ascii="Arial" w:hAnsi="Arial" w:cs="Arial"/>
                <w:szCs w:val="20"/>
              </w:rPr>
            </w:pPr>
          </w:p>
        </w:tc>
      </w:tr>
    </w:tbl>
    <w:p w14:paraId="7F15E42A" w14:textId="77777777" w:rsidR="00BA6A0D" w:rsidRDefault="00BA6A0D" w:rsidP="00BA6A0D">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p>
    <w:p w14:paraId="50D34E0B" w14:textId="168E873A" w:rsidR="00185473" w:rsidRDefault="00185473" w:rsidP="00F15B99">
      <w:pPr>
        <w:spacing w:after="0" w:line="240" w:lineRule="auto"/>
        <w:ind w:left="448"/>
        <w:jc w:val="both"/>
        <w:rPr>
          <w:rFonts w:ascii="Arial" w:hAnsi="Arial" w:cs="Arial"/>
          <w:szCs w:val="20"/>
        </w:rPr>
      </w:pPr>
      <w:r>
        <w:rPr>
          <w:rFonts w:ascii="Arial" w:hAnsi="Arial" w:cs="Arial"/>
          <w:szCs w:val="20"/>
        </w:rPr>
        <w:t xml:space="preserve">The fair value of </w:t>
      </w:r>
      <w:r w:rsidR="00DB5BF7">
        <w:rPr>
          <w:rFonts w:ascii="Arial" w:hAnsi="Arial" w:cs="Arial"/>
          <w:szCs w:val="20"/>
        </w:rPr>
        <w:t>share-based payment</w:t>
      </w:r>
      <w:r>
        <w:rPr>
          <w:rFonts w:ascii="Arial" w:hAnsi="Arial" w:cs="Arial"/>
          <w:szCs w:val="20"/>
        </w:rPr>
        <w:t xml:space="preserve"> expense was estimated using</w:t>
      </w:r>
      <w:r w:rsidR="0053697F">
        <w:rPr>
          <w:rFonts w:ascii="Arial" w:hAnsi="Arial" w:cs="Arial"/>
          <w:szCs w:val="20"/>
        </w:rPr>
        <w:t xml:space="preserve"> the Black-Scholes option pricing model and</w:t>
      </w:r>
      <w:r>
        <w:rPr>
          <w:rFonts w:ascii="Arial" w:hAnsi="Arial" w:cs="Arial"/>
          <w:szCs w:val="20"/>
        </w:rPr>
        <w:t xml:space="preserve"> the following assumptions:</w:t>
      </w:r>
    </w:p>
    <w:p w14:paraId="5565D875" w14:textId="03F17030" w:rsidR="00360B15" w:rsidRDefault="00360B15" w:rsidP="00F15B99">
      <w:pPr>
        <w:spacing w:after="0" w:line="240" w:lineRule="auto"/>
        <w:rPr>
          <w:rFonts w:ascii="Arial" w:hAnsi="Arial" w:cs="Arial"/>
          <w:b/>
          <w:szCs w:val="20"/>
        </w:rPr>
      </w:pPr>
    </w:p>
    <w:p w14:paraId="74E68C64" w14:textId="5C6D40E0" w:rsidR="00DB5BF7" w:rsidRDefault="0069656F" w:rsidP="0069656F">
      <w:pPr>
        <w:pStyle w:val="ListParagraph"/>
        <w:numPr>
          <w:ilvl w:val="0"/>
          <w:numId w:val="40"/>
        </w:numPr>
        <w:spacing w:after="0" w:line="240" w:lineRule="auto"/>
        <w:ind w:left="1080"/>
        <w:rPr>
          <w:rFonts w:ascii="Arial" w:hAnsi="Arial" w:cs="Arial"/>
          <w:szCs w:val="20"/>
        </w:rPr>
      </w:pPr>
      <w:r w:rsidRPr="0069656F">
        <w:rPr>
          <w:rFonts w:ascii="Arial" w:hAnsi="Arial" w:cs="Arial"/>
          <w:szCs w:val="20"/>
        </w:rPr>
        <w:t xml:space="preserve">Dates of grant: </w:t>
      </w:r>
      <w:r>
        <w:rPr>
          <w:rFonts w:ascii="Arial" w:hAnsi="Arial" w:cs="Arial"/>
          <w:szCs w:val="20"/>
        </w:rPr>
        <w:t>June 12</w:t>
      </w:r>
      <w:r w:rsidR="00D9371D">
        <w:rPr>
          <w:rFonts w:ascii="Arial" w:hAnsi="Arial" w:cs="Arial"/>
          <w:szCs w:val="20"/>
        </w:rPr>
        <w:t xml:space="preserve">, </w:t>
      </w:r>
      <w:r>
        <w:rPr>
          <w:rFonts w:ascii="Arial" w:hAnsi="Arial" w:cs="Arial"/>
          <w:szCs w:val="20"/>
        </w:rPr>
        <w:t xml:space="preserve">July 2, </w:t>
      </w:r>
      <w:r w:rsidR="00D9371D">
        <w:rPr>
          <w:rFonts w:ascii="Arial" w:hAnsi="Arial" w:cs="Arial"/>
          <w:szCs w:val="20"/>
        </w:rPr>
        <w:t>September 4, September 30 and October 16, 2019</w:t>
      </w:r>
    </w:p>
    <w:p w14:paraId="37D2D2E0" w14:textId="1B72A21A" w:rsidR="0069656F" w:rsidRDefault="0069656F" w:rsidP="0069656F">
      <w:pPr>
        <w:pStyle w:val="ListParagraph"/>
        <w:numPr>
          <w:ilvl w:val="0"/>
          <w:numId w:val="40"/>
        </w:numPr>
        <w:spacing w:after="0" w:line="240" w:lineRule="auto"/>
        <w:ind w:left="1080"/>
        <w:rPr>
          <w:rFonts w:ascii="Arial" w:hAnsi="Arial" w:cs="Arial"/>
          <w:szCs w:val="20"/>
        </w:rPr>
      </w:pPr>
      <w:r>
        <w:rPr>
          <w:rFonts w:ascii="Arial" w:hAnsi="Arial" w:cs="Arial"/>
          <w:szCs w:val="20"/>
        </w:rPr>
        <w:t xml:space="preserve">Risk free interest rate: </w:t>
      </w:r>
      <w:r w:rsidR="00D9371D">
        <w:rPr>
          <w:rFonts w:ascii="Arial" w:hAnsi="Arial" w:cs="Arial"/>
          <w:szCs w:val="20"/>
        </w:rPr>
        <w:t xml:space="preserve"> 1.1597% to</w:t>
      </w:r>
      <w:r>
        <w:rPr>
          <w:rFonts w:ascii="Arial" w:hAnsi="Arial" w:cs="Arial"/>
          <w:szCs w:val="20"/>
        </w:rPr>
        <w:t xml:space="preserve"> 1.4997%</w:t>
      </w:r>
    </w:p>
    <w:p w14:paraId="7C01CE66" w14:textId="6F68DEBF" w:rsidR="0069656F" w:rsidRDefault="0069656F" w:rsidP="0069656F">
      <w:pPr>
        <w:pStyle w:val="ListParagraph"/>
        <w:numPr>
          <w:ilvl w:val="0"/>
          <w:numId w:val="40"/>
        </w:numPr>
        <w:spacing w:after="0" w:line="240" w:lineRule="auto"/>
        <w:ind w:left="1080"/>
        <w:rPr>
          <w:rFonts w:ascii="Arial" w:hAnsi="Arial" w:cs="Arial"/>
          <w:szCs w:val="20"/>
        </w:rPr>
      </w:pPr>
      <w:r>
        <w:rPr>
          <w:rFonts w:ascii="Arial" w:hAnsi="Arial" w:cs="Arial"/>
          <w:szCs w:val="20"/>
        </w:rPr>
        <w:t xml:space="preserve">Volatility:  </w:t>
      </w:r>
      <w:r w:rsidR="00D9371D">
        <w:rPr>
          <w:rFonts w:ascii="Arial" w:hAnsi="Arial" w:cs="Arial"/>
          <w:szCs w:val="20"/>
        </w:rPr>
        <w:t xml:space="preserve">128% to </w:t>
      </w:r>
      <w:r>
        <w:rPr>
          <w:rFonts w:ascii="Arial" w:hAnsi="Arial" w:cs="Arial"/>
          <w:szCs w:val="20"/>
        </w:rPr>
        <w:t>132%</w:t>
      </w:r>
    </w:p>
    <w:p w14:paraId="348DB27B" w14:textId="4B486B2D" w:rsidR="0069656F" w:rsidRDefault="0069656F" w:rsidP="0069656F">
      <w:pPr>
        <w:pStyle w:val="ListParagraph"/>
        <w:numPr>
          <w:ilvl w:val="0"/>
          <w:numId w:val="40"/>
        </w:numPr>
        <w:spacing w:after="0" w:line="240" w:lineRule="auto"/>
        <w:ind w:left="1080"/>
        <w:rPr>
          <w:rFonts w:ascii="Arial" w:hAnsi="Arial" w:cs="Arial"/>
          <w:szCs w:val="20"/>
        </w:rPr>
      </w:pPr>
      <w:r>
        <w:rPr>
          <w:rFonts w:ascii="Arial" w:hAnsi="Arial" w:cs="Arial"/>
          <w:szCs w:val="20"/>
        </w:rPr>
        <w:t>Market price of common shares on grant date: $0.</w:t>
      </w:r>
      <w:r w:rsidR="00D9371D">
        <w:rPr>
          <w:rFonts w:ascii="Arial" w:hAnsi="Arial" w:cs="Arial"/>
          <w:szCs w:val="20"/>
        </w:rPr>
        <w:t>16</w:t>
      </w:r>
      <w:r>
        <w:rPr>
          <w:rFonts w:ascii="Arial" w:hAnsi="Arial" w:cs="Arial"/>
          <w:szCs w:val="20"/>
        </w:rPr>
        <w:t xml:space="preserve"> to $0.40</w:t>
      </w:r>
    </w:p>
    <w:p w14:paraId="469F6939" w14:textId="120FBCD4" w:rsidR="0069656F" w:rsidRDefault="0069656F" w:rsidP="0069656F">
      <w:pPr>
        <w:pStyle w:val="ListParagraph"/>
        <w:numPr>
          <w:ilvl w:val="0"/>
          <w:numId w:val="40"/>
        </w:numPr>
        <w:spacing w:after="0" w:line="240" w:lineRule="auto"/>
        <w:ind w:left="1080"/>
        <w:rPr>
          <w:rFonts w:ascii="Arial" w:hAnsi="Arial" w:cs="Arial"/>
          <w:szCs w:val="20"/>
        </w:rPr>
      </w:pPr>
      <w:r>
        <w:rPr>
          <w:rFonts w:ascii="Arial" w:hAnsi="Arial" w:cs="Arial"/>
          <w:szCs w:val="20"/>
        </w:rPr>
        <w:t>Expected dividends:  Nil%</w:t>
      </w:r>
    </w:p>
    <w:p w14:paraId="00CBDB6C" w14:textId="1B6F18D6" w:rsidR="0069656F" w:rsidRDefault="0069656F" w:rsidP="0069656F">
      <w:pPr>
        <w:pStyle w:val="ListParagraph"/>
        <w:numPr>
          <w:ilvl w:val="0"/>
          <w:numId w:val="40"/>
        </w:numPr>
        <w:spacing w:after="0" w:line="240" w:lineRule="auto"/>
        <w:ind w:left="1080"/>
        <w:rPr>
          <w:rFonts w:ascii="Arial" w:hAnsi="Arial" w:cs="Arial"/>
          <w:szCs w:val="20"/>
        </w:rPr>
      </w:pPr>
      <w:r>
        <w:rPr>
          <w:rFonts w:ascii="Arial" w:hAnsi="Arial" w:cs="Arial"/>
          <w:szCs w:val="20"/>
        </w:rPr>
        <w:t>Expected life: Five (5) years</w:t>
      </w:r>
    </w:p>
    <w:p w14:paraId="2D25BA76" w14:textId="7A63372B" w:rsidR="0069656F" w:rsidRPr="0069656F" w:rsidRDefault="0069656F" w:rsidP="0069656F">
      <w:pPr>
        <w:pStyle w:val="ListParagraph"/>
        <w:numPr>
          <w:ilvl w:val="0"/>
          <w:numId w:val="40"/>
        </w:numPr>
        <w:spacing w:after="0" w:line="240" w:lineRule="auto"/>
        <w:ind w:left="1080"/>
        <w:rPr>
          <w:rFonts w:ascii="Arial" w:hAnsi="Arial" w:cs="Arial"/>
          <w:szCs w:val="20"/>
        </w:rPr>
      </w:pPr>
      <w:r>
        <w:rPr>
          <w:rFonts w:ascii="Arial" w:hAnsi="Arial" w:cs="Arial"/>
          <w:szCs w:val="20"/>
        </w:rPr>
        <w:t>Exercise price:  $0.</w:t>
      </w:r>
      <w:r w:rsidR="00D9371D">
        <w:rPr>
          <w:rFonts w:ascii="Arial" w:hAnsi="Arial" w:cs="Arial"/>
          <w:szCs w:val="20"/>
        </w:rPr>
        <w:t>16</w:t>
      </w:r>
      <w:r>
        <w:rPr>
          <w:rFonts w:ascii="Arial" w:hAnsi="Arial" w:cs="Arial"/>
          <w:szCs w:val="20"/>
        </w:rPr>
        <w:t xml:space="preserve"> to $0.40</w:t>
      </w:r>
    </w:p>
    <w:p w14:paraId="68B8C74C" w14:textId="77777777" w:rsidR="00E831F9" w:rsidRPr="00E831F9" w:rsidRDefault="00E831F9" w:rsidP="00E831F9">
      <w:pPr>
        <w:tabs>
          <w:tab w:val="left" w:pos="432"/>
          <w:tab w:val="left" w:pos="792"/>
        </w:tabs>
        <w:spacing w:after="0" w:line="240" w:lineRule="auto"/>
        <w:jc w:val="both"/>
        <w:rPr>
          <w:rFonts w:ascii="Arial" w:hAnsi="Arial" w:cs="Arial"/>
          <w:szCs w:val="20"/>
        </w:rPr>
      </w:pPr>
      <w:r w:rsidRPr="00E831F9">
        <w:rPr>
          <w:rFonts w:ascii="Arial" w:hAnsi="Arial" w:cs="Arial"/>
          <w:b/>
          <w:szCs w:val="20"/>
        </w:rPr>
        <w:lastRenderedPageBreak/>
        <w:t>14.</w:t>
      </w:r>
      <w:r w:rsidRPr="00E831F9">
        <w:rPr>
          <w:rFonts w:ascii="Arial" w:hAnsi="Arial" w:cs="Arial"/>
          <w:b/>
          <w:szCs w:val="20"/>
        </w:rPr>
        <w:tab/>
        <w:t xml:space="preserve">Share Purchase Options </w:t>
      </w:r>
      <w:r w:rsidRPr="00E831F9">
        <w:rPr>
          <w:rFonts w:ascii="Arial" w:hAnsi="Arial" w:cs="Arial"/>
          <w:szCs w:val="20"/>
        </w:rPr>
        <w:t>(continued)</w:t>
      </w:r>
    </w:p>
    <w:p w14:paraId="5155E40E" w14:textId="77777777" w:rsidR="004956A3" w:rsidRDefault="004956A3"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firstLine="18"/>
        <w:jc w:val="both"/>
        <w:rPr>
          <w:rFonts w:ascii="Arial" w:hAnsi="Arial" w:cs="Arial"/>
          <w:bCs/>
          <w:szCs w:val="20"/>
        </w:rPr>
      </w:pPr>
    </w:p>
    <w:p w14:paraId="63D7DF53" w14:textId="4F343F6F" w:rsidR="00A72010" w:rsidRDefault="00A72010"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firstLine="18"/>
        <w:jc w:val="both"/>
        <w:rPr>
          <w:rFonts w:ascii="Arial" w:hAnsi="Arial" w:cs="Arial"/>
          <w:bCs/>
          <w:szCs w:val="20"/>
        </w:rPr>
      </w:pPr>
      <w:r>
        <w:rPr>
          <w:rFonts w:ascii="Arial" w:hAnsi="Arial" w:cs="Arial"/>
          <w:bCs/>
          <w:szCs w:val="20"/>
        </w:rPr>
        <w:t>$</w:t>
      </w:r>
      <w:r w:rsidR="00134BEE">
        <w:rPr>
          <w:rFonts w:ascii="Arial" w:hAnsi="Arial" w:cs="Arial"/>
          <w:bCs/>
          <w:szCs w:val="20"/>
        </w:rPr>
        <w:t>492,160</w:t>
      </w:r>
      <w:r>
        <w:rPr>
          <w:rFonts w:ascii="Arial" w:hAnsi="Arial" w:cs="Arial"/>
          <w:bCs/>
          <w:szCs w:val="20"/>
        </w:rPr>
        <w:t xml:space="preserve"> of </w:t>
      </w:r>
      <w:r w:rsidR="004956A3">
        <w:rPr>
          <w:rFonts w:ascii="Arial" w:hAnsi="Arial" w:cs="Arial"/>
          <w:bCs/>
          <w:szCs w:val="20"/>
        </w:rPr>
        <w:t>share-based payment expense</w:t>
      </w:r>
      <w:r>
        <w:rPr>
          <w:rFonts w:ascii="Arial" w:hAnsi="Arial" w:cs="Arial"/>
          <w:bCs/>
          <w:szCs w:val="20"/>
        </w:rPr>
        <w:t xml:space="preserve"> have yet to be recognized and will be recognized in future periods.</w:t>
      </w:r>
    </w:p>
    <w:p w14:paraId="5C68051A" w14:textId="1D98A6B1" w:rsidR="004E594E" w:rsidRDefault="004E594E"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firstLine="18"/>
        <w:jc w:val="both"/>
        <w:rPr>
          <w:rFonts w:ascii="Arial" w:hAnsi="Arial" w:cs="Arial"/>
          <w:bCs/>
          <w:szCs w:val="20"/>
        </w:rPr>
      </w:pPr>
    </w:p>
    <w:p w14:paraId="779D499C" w14:textId="1746D09E" w:rsidR="004E594E" w:rsidRPr="004956A3" w:rsidRDefault="004E594E" w:rsidP="004E594E">
      <w:pPr>
        <w:tabs>
          <w:tab w:val="left" w:pos="432"/>
          <w:tab w:val="left" w:pos="792"/>
        </w:tabs>
        <w:spacing w:after="0" w:line="240" w:lineRule="auto"/>
        <w:jc w:val="both"/>
        <w:rPr>
          <w:rFonts w:ascii="Arial" w:hAnsi="Arial" w:cs="Arial"/>
          <w:szCs w:val="20"/>
        </w:rPr>
      </w:pPr>
      <w:r w:rsidRPr="004956A3">
        <w:rPr>
          <w:rFonts w:ascii="Arial" w:hAnsi="Arial" w:cs="Arial"/>
          <w:b/>
          <w:szCs w:val="20"/>
        </w:rPr>
        <w:t>1</w:t>
      </w:r>
      <w:r w:rsidR="00134BEE">
        <w:rPr>
          <w:rFonts w:ascii="Arial" w:hAnsi="Arial" w:cs="Arial"/>
          <w:b/>
          <w:szCs w:val="20"/>
        </w:rPr>
        <w:t>5</w:t>
      </w:r>
      <w:r w:rsidRPr="004956A3">
        <w:rPr>
          <w:rFonts w:ascii="Arial" w:hAnsi="Arial" w:cs="Arial"/>
          <w:b/>
          <w:szCs w:val="20"/>
        </w:rPr>
        <w:t>.</w:t>
      </w:r>
      <w:r w:rsidRPr="004956A3">
        <w:rPr>
          <w:rFonts w:ascii="Arial" w:hAnsi="Arial" w:cs="Arial"/>
          <w:b/>
          <w:szCs w:val="20"/>
        </w:rPr>
        <w:tab/>
      </w:r>
      <w:r>
        <w:rPr>
          <w:rFonts w:ascii="Arial" w:hAnsi="Arial" w:cs="Arial"/>
          <w:b/>
          <w:szCs w:val="20"/>
        </w:rPr>
        <w:t>Deposit</w:t>
      </w:r>
    </w:p>
    <w:p w14:paraId="681DDDA1" w14:textId="77777777" w:rsidR="004E594E" w:rsidRDefault="004E594E" w:rsidP="004E594E">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firstLine="18"/>
        <w:jc w:val="both"/>
        <w:rPr>
          <w:rFonts w:ascii="Arial" w:hAnsi="Arial" w:cs="Arial"/>
          <w:bCs/>
          <w:szCs w:val="20"/>
        </w:rPr>
      </w:pPr>
    </w:p>
    <w:p w14:paraId="5CCC6259" w14:textId="2BE5DD1C" w:rsidR="004E594E" w:rsidRDefault="004E594E" w:rsidP="004E594E">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firstLine="18"/>
        <w:jc w:val="both"/>
        <w:rPr>
          <w:rFonts w:ascii="Arial" w:hAnsi="Arial" w:cs="Arial"/>
          <w:bCs/>
          <w:szCs w:val="20"/>
        </w:rPr>
      </w:pPr>
      <w:r w:rsidRPr="004E594E">
        <w:rPr>
          <w:rFonts w:ascii="Arial" w:hAnsi="Arial" w:cs="Arial"/>
          <w:bCs/>
          <w:szCs w:val="20"/>
        </w:rPr>
        <w:t>Pursuant to a letter of intent signed with Agro-Biotech Inc. (“ABI”) on February 19, 2018 for exclusive negotiations related to the acquisition of ABI by April 15, 2018, the Company paid a deposit of $250,000.  The acquisition of ABI was not concluded by April 15, 2018.  On April 24, 2018, the Company submitted an originating application to the Superior Court in the province of Quebec, Canada seeking to recover losses arising from the lack of cooperation by ABI, including the deposit made, in concluding the transaction.  For the period ended October 31, 2018, the Company wrote-off the balance of the deposit and recorded a loss on write-off of deposit of $</w:t>
      </w:r>
      <w:r>
        <w:rPr>
          <w:rFonts w:ascii="Arial" w:hAnsi="Arial" w:cs="Arial"/>
          <w:bCs/>
          <w:szCs w:val="20"/>
        </w:rPr>
        <w:t>250,000.</w:t>
      </w:r>
      <w:r w:rsidR="002907A5">
        <w:rPr>
          <w:rFonts w:ascii="Arial" w:hAnsi="Arial" w:cs="Arial"/>
          <w:bCs/>
          <w:szCs w:val="20"/>
        </w:rPr>
        <w:t xml:space="preserve">  Subsequently, in January 2019, the Company recovered the balance of the deposit written off.</w:t>
      </w:r>
    </w:p>
    <w:p w14:paraId="6B9F6DCF" w14:textId="77777777" w:rsidR="00360B15" w:rsidRDefault="00360B15"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firstLine="18"/>
        <w:jc w:val="both"/>
        <w:rPr>
          <w:rFonts w:ascii="Arial" w:hAnsi="Arial" w:cs="Arial"/>
          <w:bCs/>
          <w:szCs w:val="20"/>
        </w:rPr>
      </w:pPr>
    </w:p>
    <w:p w14:paraId="1023829B" w14:textId="1AEB7D44" w:rsidR="008E2C02" w:rsidRPr="00F60034" w:rsidRDefault="00AF3DD7"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r>
        <w:rPr>
          <w:rFonts w:ascii="Arial" w:hAnsi="Arial" w:cs="Arial"/>
          <w:b/>
          <w:bCs/>
          <w:szCs w:val="20"/>
        </w:rPr>
        <w:t>1</w:t>
      </w:r>
      <w:r w:rsidR="00134BEE">
        <w:rPr>
          <w:rFonts w:ascii="Arial" w:hAnsi="Arial" w:cs="Arial"/>
          <w:b/>
          <w:bCs/>
          <w:szCs w:val="20"/>
        </w:rPr>
        <w:t>6</w:t>
      </w:r>
      <w:r w:rsidR="008E2C02" w:rsidRPr="00F60034">
        <w:rPr>
          <w:rFonts w:ascii="Arial" w:hAnsi="Arial" w:cs="Arial"/>
          <w:b/>
          <w:bCs/>
          <w:szCs w:val="20"/>
        </w:rPr>
        <w:t>.</w:t>
      </w:r>
      <w:r w:rsidR="008E2C02" w:rsidRPr="00F60034">
        <w:rPr>
          <w:rFonts w:ascii="Arial" w:hAnsi="Arial" w:cs="Arial"/>
          <w:b/>
          <w:bCs/>
          <w:szCs w:val="20"/>
        </w:rPr>
        <w:tab/>
      </w:r>
      <w:r w:rsidR="008E2C02">
        <w:rPr>
          <w:rFonts w:ascii="Arial" w:hAnsi="Arial" w:cs="Arial"/>
          <w:b/>
          <w:bCs/>
          <w:szCs w:val="20"/>
        </w:rPr>
        <w:t>Supplemental Cash Flow Disclosures</w:t>
      </w:r>
    </w:p>
    <w:tbl>
      <w:tblPr>
        <w:tblW w:w="8930" w:type="dxa"/>
        <w:tblInd w:w="450" w:type="dxa"/>
        <w:tblLayout w:type="fixed"/>
        <w:tblCellMar>
          <w:left w:w="0" w:type="dxa"/>
          <w:bottom w:w="29" w:type="dxa"/>
          <w:right w:w="0" w:type="dxa"/>
        </w:tblCellMar>
        <w:tblLook w:val="0000" w:firstRow="0" w:lastRow="0" w:firstColumn="0" w:lastColumn="0" w:noHBand="0" w:noVBand="0"/>
      </w:tblPr>
      <w:tblGrid>
        <w:gridCol w:w="5760"/>
        <w:gridCol w:w="1585"/>
        <w:gridCol w:w="1585"/>
      </w:tblGrid>
      <w:tr w:rsidR="006D4677" w:rsidRPr="006D4677" w14:paraId="23FCE58A" w14:textId="77777777" w:rsidTr="00AF3DD7">
        <w:tc>
          <w:tcPr>
            <w:tcW w:w="5760" w:type="dxa"/>
            <w:tcBorders>
              <w:bottom w:val="single" w:sz="2" w:space="0" w:color="auto"/>
            </w:tcBorders>
            <w:vAlign w:val="bottom"/>
          </w:tcPr>
          <w:p w14:paraId="6702BA9C" w14:textId="77777777" w:rsidR="006D4677" w:rsidRPr="006D4677" w:rsidRDefault="006D4677" w:rsidP="00F15B99">
            <w:pPr>
              <w:tabs>
                <w:tab w:val="left" w:pos="7272"/>
                <w:tab w:val="decimal" w:pos="8136"/>
                <w:tab w:val="left" w:pos="8496"/>
                <w:tab w:val="decimal" w:pos="9360"/>
              </w:tabs>
              <w:spacing w:after="0"/>
              <w:rPr>
                <w:rFonts w:ascii="Arial" w:hAnsi="Arial" w:cs="Arial"/>
                <w:szCs w:val="20"/>
              </w:rPr>
            </w:pPr>
          </w:p>
        </w:tc>
        <w:tc>
          <w:tcPr>
            <w:tcW w:w="1585" w:type="dxa"/>
            <w:tcBorders>
              <w:bottom w:val="single" w:sz="2" w:space="0" w:color="auto"/>
            </w:tcBorders>
            <w:vAlign w:val="bottom"/>
          </w:tcPr>
          <w:p w14:paraId="41794304" w14:textId="70D6CFFA" w:rsidR="006D4677" w:rsidRPr="004D0022" w:rsidRDefault="00CE5E98" w:rsidP="00F15B99">
            <w:pPr>
              <w:spacing w:after="0" w:line="240" w:lineRule="auto"/>
              <w:jc w:val="center"/>
              <w:rPr>
                <w:rFonts w:ascii="Arial" w:hAnsi="Arial" w:cs="Arial"/>
                <w:szCs w:val="20"/>
              </w:rPr>
            </w:pPr>
            <w:r w:rsidRPr="004D0022">
              <w:rPr>
                <w:rFonts w:ascii="Arial" w:hAnsi="Arial" w:cs="Arial"/>
                <w:szCs w:val="20"/>
              </w:rPr>
              <w:t>October</w:t>
            </w:r>
            <w:r w:rsidR="006D4677" w:rsidRPr="004D0022">
              <w:rPr>
                <w:rFonts w:ascii="Arial" w:hAnsi="Arial" w:cs="Arial"/>
                <w:szCs w:val="20"/>
              </w:rPr>
              <w:t xml:space="preserve"> 31,</w:t>
            </w:r>
          </w:p>
          <w:p w14:paraId="640CC126" w14:textId="4E509B74" w:rsidR="006D4677" w:rsidRPr="004D0022" w:rsidRDefault="00AF3DD7" w:rsidP="00F15B99">
            <w:pPr>
              <w:spacing w:after="0" w:line="240" w:lineRule="auto"/>
              <w:jc w:val="center"/>
              <w:rPr>
                <w:rFonts w:ascii="Arial" w:hAnsi="Arial" w:cs="Arial"/>
                <w:szCs w:val="20"/>
              </w:rPr>
            </w:pPr>
            <w:r w:rsidRPr="004D0022">
              <w:rPr>
                <w:rFonts w:ascii="Arial" w:hAnsi="Arial" w:cs="Arial"/>
                <w:szCs w:val="20"/>
              </w:rPr>
              <w:t>2019</w:t>
            </w:r>
          </w:p>
          <w:p w14:paraId="306C5526" w14:textId="585AC0B2" w:rsidR="006D4677" w:rsidRPr="00444871" w:rsidRDefault="006D4677" w:rsidP="00F15B99">
            <w:pPr>
              <w:tabs>
                <w:tab w:val="left" w:pos="7272"/>
                <w:tab w:val="decimal" w:pos="8136"/>
                <w:tab w:val="left" w:pos="8496"/>
                <w:tab w:val="decimal" w:pos="9360"/>
              </w:tabs>
              <w:spacing w:after="0"/>
              <w:ind w:right="29"/>
              <w:jc w:val="center"/>
              <w:rPr>
                <w:rFonts w:ascii="Arial" w:hAnsi="Arial" w:cs="Arial"/>
                <w:szCs w:val="20"/>
              </w:rPr>
            </w:pPr>
            <w:r w:rsidRPr="004D0022">
              <w:rPr>
                <w:rFonts w:ascii="Arial" w:hAnsi="Arial" w:cs="Arial"/>
                <w:szCs w:val="20"/>
              </w:rPr>
              <w:t>$</w:t>
            </w:r>
          </w:p>
        </w:tc>
        <w:tc>
          <w:tcPr>
            <w:tcW w:w="1585" w:type="dxa"/>
            <w:tcBorders>
              <w:bottom w:val="single" w:sz="2" w:space="0" w:color="auto"/>
            </w:tcBorders>
            <w:vAlign w:val="bottom"/>
          </w:tcPr>
          <w:p w14:paraId="75EA8E53" w14:textId="533AC8AB" w:rsidR="006D4677" w:rsidRPr="00EC4ECB" w:rsidRDefault="00CE5E98" w:rsidP="00F15B99">
            <w:pPr>
              <w:spacing w:after="0" w:line="240" w:lineRule="auto"/>
              <w:jc w:val="center"/>
              <w:rPr>
                <w:rFonts w:ascii="Arial" w:hAnsi="Arial" w:cs="Arial"/>
                <w:szCs w:val="20"/>
              </w:rPr>
            </w:pPr>
            <w:r>
              <w:rPr>
                <w:rFonts w:ascii="Arial" w:hAnsi="Arial" w:cs="Arial"/>
                <w:szCs w:val="20"/>
              </w:rPr>
              <w:t>October</w:t>
            </w:r>
            <w:r w:rsidR="006D4677" w:rsidRPr="00EC4ECB">
              <w:rPr>
                <w:rFonts w:ascii="Arial" w:hAnsi="Arial" w:cs="Arial"/>
                <w:szCs w:val="20"/>
              </w:rPr>
              <w:t xml:space="preserve"> 31,</w:t>
            </w:r>
          </w:p>
          <w:p w14:paraId="4262FFE9" w14:textId="5E53CB89" w:rsidR="006D4677" w:rsidRPr="00EC4ECB" w:rsidRDefault="00AF3DD7" w:rsidP="00F15B99">
            <w:pPr>
              <w:spacing w:after="0" w:line="240" w:lineRule="auto"/>
              <w:jc w:val="center"/>
              <w:rPr>
                <w:rFonts w:ascii="Arial" w:hAnsi="Arial" w:cs="Arial"/>
                <w:szCs w:val="20"/>
              </w:rPr>
            </w:pPr>
            <w:r w:rsidRPr="00EC4ECB">
              <w:rPr>
                <w:rFonts w:ascii="Arial" w:hAnsi="Arial" w:cs="Arial"/>
                <w:szCs w:val="20"/>
              </w:rPr>
              <w:t>2018</w:t>
            </w:r>
          </w:p>
          <w:p w14:paraId="77B6342F" w14:textId="6B006DED" w:rsidR="006D4677" w:rsidRPr="00EC4ECB" w:rsidRDefault="006D4677" w:rsidP="00F15B99">
            <w:pPr>
              <w:tabs>
                <w:tab w:val="left" w:pos="7272"/>
                <w:tab w:val="decimal" w:pos="8136"/>
                <w:tab w:val="left" w:pos="8496"/>
                <w:tab w:val="decimal" w:pos="9360"/>
              </w:tabs>
              <w:spacing w:after="0"/>
              <w:ind w:right="29"/>
              <w:jc w:val="center"/>
              <w:rPr>
                <w:rFonts w:ascii="Arial" w:hAnsi="Arial" w:cs="Arial"/>
                <w:szCs w:val="20"/>
              </w:rPr>
            </w:pPr>
            <w:r w:rsidRPr="00EC4ECB">
              <w:rPr>
                <w:rFonts w:ascii="Arial" w:hAnsi="Arial" w:cs="Arial"/>
                <w:szCs w:val="20"/>
              </w:rPr>
              <w:t>$</w:t>
            </w:r>
          </w:p>
        </w:tc>
      </w:tr>
      <w:tr w:rsidR="008E2C02" w:rsidRPr="006D4677" w14:paraId="20182AE6" w14:textId="77777777" w:rsidTr="00AF3DD7">
        <w:tc>
          <w:tcPr>
            <w:tcW w:w="5760" w:type="dxa"/>
            <w:tcBorders>
              <w:top w:val="single" w:sz="2" w:space="0" w:color="auto"/>
            </w:tcBorders>
            <w:vAlign w:val="bottom"/>
          </w:tcPr>
          <w:p w14:paraId="37FE995A" w14:textId="77777777" w:rsidR="008E2C02" w:rsidRPr="006D4677" w:rsidRDefault="008E2C02" w:rsidP="00F15B99">
            <w:pPr>
              <w:tabs>
                <w:tab w:val="left" w:pos="7272"/>
                <w:tab w:val="decimal" w:pos="8136"/>
                <w:tab w:val="left" w:pos="8496"/>
                <w:tab w:val="decimal" w:pos="9360"/>
              </w:tabs>
              <w:spacing w:after="0"/>
              <w:rPr>
                <w:rFonts w:ascii="Arial" w:hAnsi="Arial" w:cs="Arial"/>
                <w:szCs w:val="20"/>
              </w:rPr>
            </w:pPr>
            <w:r w:rsidRPr="006D4677">
              <w:rPr>
                <w:rFonts w:ascii="Arial" w:hAnsi="Arial" w:cs="Arial"/>
                <w:szCs w:val="20"/>
              </w:rPr>
              <w:t>Supplemental disclosures:</w:t>
            </w:r>
          </w:p>
        </w:tc>
        <w:tc>
          <w:tcPr>
            <w:tcW w:w="1585" w:type="dxa"/>
            <w:tcBorders>
              <w:top w:val="single" w:sz="2" w:space="0" w:color="auto"/>
            </w:tcBorders>
          </w:tcPr>
          <w:p w14:paraId="3D4DF0B4" w14:textId="77777777" w:rsidR="008E2C02" w:rsidRPr="00444871" w:rsidRDefault="008E2C02" w:rsidP="00F15B99">
            <w:pPr>
              <w:tabs>
                <w:tab w:val="left" w:pos="7272"/>
                <w:tab w:val="decimal" w:pos="8136"/>
                <w:tab w:val="left" w:pos="8496"/>
                <w:tab w:val="decimal" w:pos="9360"/>
              </w:tabs>
              <w:spacing w:after="0"/>
              <w:ind w:right="29"/>
              <w:jc w:val="right"/>
              <w:rPr>
                <w:rFonts w:ascii="Arial" w:hAnsi="Arial" w:cs="Arial"/>
                <w:szCs w:val="20"/>
              </w:rPr>
            </w:pPr>
          </w:p>
        </w:tc>
        <w:tc>
          <w:tcPr>
            <w:tcW w:w="1585" w:type="dxa"/>
            <w:tcBorders>
              <w:top w:val="single" w:sz="2" w:space="0" w:color="auto"/>
            </w:tcBorders>
          </w:tcPr>
          <w:p w14:paraId="72180F84" w14:textId="77777777" w:rsidR="008E2C02" w:rsidRPr="006D4677" w:rsidRDefault="008E2C02" w:rsidP="00F15B99">
            <w:pPr>
              <w:tabs>
                <w:tab w:val="left" w:pos="7272"/>
                <w:tab w:val="decimal" w:pos="8136"/>
                <w:tab w:val="left" w:pos="8496"/>
                <w:tab w:val="decimal" w:pos="9360"/>
              </w:tabs>
              <w:spacing w:after="0"/>
              <w:ind w:right="29"/>
              <w:jc w:val="right"/>
              <w:rPr>
                <w:rFonts w:ascii="Arial" w:hAnsi="Arial" w:cs="Arial"/>
                <w:szCs w:val="20"/>
              </w:rPr>
            </w:pPr>
          </w:p>
        </w:tc>
      </w:tr>
      <w:tr w:rsidR="00AF3DD7" w:rsidRPr="006D4677" w14:paraId="352BC3B0" w14:textId="77777777" w:rsidTr="00AF3DD7">
        <w:tc>
          <w:tcPr>
            <w:tcW w:w="5760" w:type="dxa"/>
            <w:vAlign w:val="bottom"/>
          </w:tcPr>
          <w:p w14:paraId="5A327B6A" w14:textId="77777777" w:rsidR="00AF3DD7" w:rsidRPr="006D4677" w:rsidRDefault="00AF3DD7" w:rsidP="00AF3DD7">
            <w:pPr>
              <w:tabs>
                <w:tab w:val="left" w:pos="7272"/>
                <w:tab w:val="decimal" w:pos="8136"/>
                <w:tab w:val="left" w:pos="8496"/>
                <w:tab w:val="decimal" w:pos="9360"/>
              </w:tabs>
              <w:spacing w:after="0"/>
              <w:ind w:left="144"/>
              <w:rPr>
                <w:rFonts w:ascii="Arial" w:hAnsi="Arial" w:cs="Arial"/>
                <w:szCs w:val="20"/>
              </w:rPr>
            </w:pPr>
            <w:r w:rsidRPr="006D4677">
              <w:rPr>
                <w:rFonts w:ascii="Arial" w:hAnsi="Arial" w:cs="Arial"/>
                <w:szCs w:val="20"/>
              </w:rPr>
              <w:t>Interest paid</w:t>
            </w:r>
          </w:p>
        </w:tc>
        <w:tc>
          <w:tcPr>
            <w:tcW w:w="1585" w:type="dxa"/>
            <w:vAlign w:val="bottom"/>
          </w:tcPr>
          <w:p w14:paraId="5DB584BF" w14:textId="27218024" w:rsidR="00AF3DD7" w:rsidRPr="00CE073D" w:rsidRDefault="004D0022" w:rsidP="00AF3DD7">
            <w:pPr>
              <w:tabs>
                <w:tab w:val="left" w:pos="1170"/>
                <w:tab w:val="left" w:pos="7272"/>
                <w:tab w:val="decimal" w:pos="8136"/>
                <w:tab w:val="left" w:pos="8496"/>
                <w:tab w:val="decimal" w:pos="9360"/>
              </w:tabs>
              <w:spacing w:after="0"/>
              <w:ind w:right="29"/>
              <w:jc w:val="right"/>
              <w:rPr>
                <w:rFonts w:ascii="Arial" w:hAnsi="Arial" w:cs="Arial"/>
                <w:szCs w:val="20"/>
                <w:highlight w:val="yellow"/>
              </w:rPr>
            </w:pPr>
            <w:r>
              <w:rPr>
                <w:rFonts w:ascii="Arial" w:hAnsi="Arial" w:cs="Arial"/>
                <w:szCs w:val="20"/>
              </w:rPr>
              <w:t>176,164</w:t>
            </w:r>
          </w:p>
        </w:tc>
        <w:tc>
          <w:tcPr>
            <w:tcW w:w="1585" w:type="dxa"/>
            <w:vAlign w:val="bottom"/>
          </w:tcPr>
          <w:p w14:paraId="17B27B2A" w14:textId="5A02DDC1" w:rsidR="00AF3DD7" w:rsidRPr="00CE073D" w:rsidRDefault="00CE5E98" w:rsidP="00AF3DD7">
            <w:pPr>
              <w:tabs>
                <w:tab w:val="left" w:pos="7272"/>
                <w:tab w:val="decimal" w:pos="8136"/>
                <w:tab w:val="left" w:pos="8496"/>
                <w:tab w:val="decimal" w:pos="9360"/>
              </w:tabs>
              <w:spacing w:after="0"/>
              <w:ind w:right="52"/>
              <w:jc w:val="right"/>
              <w:rPr>
                <w:rFonts w:ascii="Arial" w:hAnsi="Arial" w:cs="Arial"/>
                <w:szCs w:val="20"/>
                <w:highlight w:val="yellow"/>
              </w:rPr>
            </w:pPr>
            <w:r>
              <w:rPr>
                <w:rFonts w:ascii="Arial" w:hAnsi="Arial" w:cs="Arial"/>
                <w:szCs w:val="20"/>
              </w:rPr>
              <w:t>252,256</w:t>
            </w:r>
          </w:p>
        </w:tc>
      </w:tr>
      <w:tr w:rsidR="00AF3DD7" w:rsidRPr="006D4677" w14:paraId="6780080A" w14:textId="77777777" w:rsidTr="00AF3DD7">
        <w:tc>
          <w:tcPr>
            <w:tcW w:w="5760" w:type="dxa"/>
            <w:vAlign w:val="bottom"/>
          </w:tcPr>
          <w:p w14:paraId="6AFF1113" w14:textId="77777777" w:rsidR="00AF3DD7" w:rsidRPr="006D4677" w:rsidRDefault="00AF3DD7" w:rsidP="00AF3DD7">
            <w:pPr>
              <w:tabs>
                <w:tab w:val="left" w:pos="7272"/>
                <w:tab w:val="decimal" w:pos="8136"/>
                <w:tab w:val="left" w:pos="8496"/>
                <w:tab w:val="decimal" w:pos="9360"/>
              </w:tabs>
              <w:spacing w:after="0"/>
              <w:ind w:left="144"/>
              <w:rPr>
                <w:rFonts w:ascii="Arial" w:hAnsi="Arial" w:cs="Arial"/>
                <w:szCs w:val="20"/>
              </w:rPr>
            </w:pPr>
            <w:r w:rsidRPr="006D4677">
              <w:rPr>
                <w:rFonts w:ascii="Arial" w:hAnsi="Arial" w:cs="Arial"/>
                <w:szCs w:val="20"/>
              </w:rPr>
              <w:t>Income tax paid</w:t>
            </w:r>
          </w:p>
        </w:tc>
        <w:tc>
          <w:tcPr>
            <w:tcW w:w="1585" w:type="dxa"/>
            <w:vAlign w:val="bottom"/>
          </w:tcPr>
          <w:p w14:paraId="563EF372" w14:textId="77777777" w:rsidR="00AF3DD7" w:rsidRPr="00444871" w:rsidRDefault="00AF3DD7" w:rsidP="00AF3DD7">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w:t>
            </w:r>
          </w:p>
        </w:tc>
        <w:tc>
          <w:tcPr>
            <w:tcW w:w="1585" w:type="dxa"/>
            <w:vAlign w:val="bottom"/>
          </w:tcPr>
          <w:p w14:paraId="480E4BD5" w14:textId="79C0EEA3" w:rsidR="00AF3DD7" w:rsidRPr="006D4677" w:rsidRDefault="00AF3DD7" w:rsidP="00AF3DD7">
            <w:pPr>
              <w:tabs>
                <w:tab w:val="left" w:pos="7272"/>
                <w:tab w:val="decimal" w:pos="8136"/>
                <w:tab w:val="left" w:pos="8496"/>
                <w:tab w:val="decimal" w:pos="9360"/>
              </w:tabs>
              <w:spacing w:after="0"/>
              <w:ind w:right="52"/>
              <w:jc w:val="right"/>
              <w:rPr>
                <w:rFonts w:ascii="Arial" w:hAnsi="Arial" w:cs="Arial"/>
                <w:szCs w:val="20"/>
              </w:rPr>
            </w:pPr>
            <w:r w:rsidRPr="006D4677">
              <w:rPr>
                <w:rFonts w:ascii="Arial" w:hAnsi="Arial" w:cs="Arial"/>
                <w:szCs w:val="20"/>
              </w:rPr>
              <w:t>–</w:t>
            </w:r>
          </w:p>
        </w:tc>
      </w:tr>
      <w:tr w:rsidR="00AF3DD7" w:rsidRPr="006D4677" w14:paraId="5695303C" w14:textId="77777777" w:rsidTr="00AF3DD7">
        <w:tc>
          <w:tcPr>
            <w:tcW w:w="5760" w:type="dxa"/>
            <w:vAlign w:val="bottom"/>
          </w:tcPr>
          <w:p w14:paraId="35C1436C" w14:textId="77777777" w:rsidR="00AF3DD7" w:rsidRPr="006D4677" w:rsidRDefault="00AF3DD7" w:rsidP="00AF3DD7">
            <w:pPr>
              <w:tabs>
                <w:tab w:val="left" w:pos="7272"/>
                <w:tab w:val="decimal" w:pos="8136"/>
                <w:tab w:val="left" w:pos="8496"/>
                <w:tab w:val="decimal" w:pos="9360"/>
              </w:tabs>
              <w:spacing w:after="0"/>
              <w:rPr>
                <w:rFonts w:ascii="Arial" w:hAnsi="Arial" w:cs="Arial"/>
                <w:szCs w:val="20"/>
              </w:rPr>
            </w:pPr>
            <w:r w:rsidRPr="006D4677">
              <w:rPr>
                <w:rFonts w:ascii="Arial" w:hAnsi="Arial" w:cs="Arial"/>
                <w:szCs w:val="20"/>
              </w:rPr>
              <w:t>Non-cash investing and financing activities:</w:t>
            </w:r>
          </w:p>
        </w:tc>
        <w:tc>
          <w:tcPr>
            <w:tcW w:w="1585" w:type="dxa"/>
          </w:tcPr>
          <w:p w14:paraId="52444D44" w14:textId="77777777" w:rsidR="00AF3DD7" w:rsidRPr="00444871" w:rsidRDefault="00AF3DD7" w:rsidP="00AF3DD7">
            <w:pPr>
              <w:tabs>
                <w:tab w:val="left" w:pos="7272"/>
                <w:tab w:val="decimal" w:pos="8136"/>
                <w:tab w:val="left" w:pos="8496"/>
                <w:tab w:val="decimal" w:pos="9360"/>
              </w:tabs>
              <w:spacing w:after="0"/>
              <w:ind w:right="29"/>
              <w:jc w:val="right"/>
              <w:rPr>
                <w:rFonts w:ascii="Arial" w:hAnsi="Arial" w:cs="Arial"/>
                <w:szCs w:val="20"/>
              </w:rPr>
            </w:pPr>
          </w:p>
        </w:tc>
        <w:tc>
          <w:tcPr>
            <w:tcW w:w="1585" w:type="dxa"/>
          </w:tcPr>
          <w:p w14:paraId="21550B0A" w14:textId="77777777" w:rsidR="00AF3DD7" w:rsidRPr="006D4677" w:rsidRDefault="00AF3DD7" w:rsidP="00AF3DD7">
            <w:pPr>
              <w:tabs>
                <w:tab w:val="left" w:pos="7272"/>
                <w:tab w:val="decimal" w:pos="8136"/>
                <w:tab w:val="left" w:pos="8496"/>
                <w:tab w:val="decimal" w:pos="9360"/>
              </w:tabs>
              <w:spacing w:after="0"/>
              <w:ind w:right="29"/>
              <w:jc w:val="right"/>
              <w:rPr>
                <w:rFonts w:ascii="Arial" w:hAnsi="Arial" w:cs="Arial"/>
                <w:szCs w:val="20"/>
              </w:rPr>
            </w:pPr>
          </w:p>
        </w:tc>
      </w:tr>
      <w:tr w:rsidR="00EC4ECB" w:rsidRPr="00EC4ECB" w14:paraId="23167356" w14:textId="77777777" w:rsidTr="00EC4ECB">
        <w:tc>
          <w:tcPr>
            <w:tcW w:w="5760" w:type="dxa"/>
          </w:tcPr>
          <w:p w14:paraId="34685114" w14:textId="120381B8" w:rsidR="00EC4ECB" w:rsidRPr="00EC4ECB" w:rsidRDefault="00EC4ECB" w:rsidP="00EC4ECB">
            <w:pPr>
              <w:tabs>
                <w:tab w:val="left" w:pos="7272"/>
                <w:tab w:val="decimal" w:pos="8136"/>
                <w:tab w:val="left" w:pos="8496"/>
                <w:tab w:val="decimal" w:pos="9360"/>
              </w:tabs>
              <w:spacing w:after="0"/>
              <w:ind w:left="144"/>
              <w:rPr>
                <w:rFonts w:ascii="Arial" w:hAnsi="Arial" w:cs="Arial"/>
                <w:szCs w:val="20"/>
              </w:rPr>
            </w:pPr>
            <w:r>
              <w:rPr>
                <w:rFonts w:ascii="Arial" w:hAnsi="Arial" w:cs="Arial"/>
              </w:rPr>
              <w:t>Common shares</w:t>
            </w:r>
            <w:r w:rsidRPr="00EC4ECB">
              <w:rPr>
                <w:rFonts w:ascii="Arial" w:hAnsi="Arial" w:cs="Arial"/>
              </w:rPr>
              <w:t xml:space="preserve"> issued for services</w:t>
            </w:r>
          </w:p>
        </w:tc>
        <w:tc>
          <w:tcPr>
            <w:tcW w:w="1585" w:type="dxa"/>
            <w:vAlign w:val="bottom"/>
          </w:tcPr>
          <w:p w14:paraId="20FB3998" w14:textId="14D3585D" w:rsidR="00EC4ECB" w:rsidRPr="00444871" w:rsidRDefault="00444871" w:rsidP="00EC4ECB">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1,</w:t>
            </w:r>
            <w:r w:rsidR="004D0022">
              <w:rPr>
                <w:rFonts w:ascii="Arial" w:hAnsi="Arial" w:cs="Arial"/>
                <w:szCs w:val="20"/>
              </w:rPr>
              <w:t>97</w:t>
            </w:r>
            <w:r w:rsidRPr="00444871">
              <w:rPr>
                <w:rFonts w:ascii="Arial" w:hAnsi="Arial" w:cs="Arial"/>
                <w:szCs w:val="20"/>
              </w:rPr>
              <w:t>4,129</w:t>
            </w:r>
          </w:p>
        </w:tc>
        <w:tc>
          <w:tcPr>
            <w:tcW w:w="1585" w:type="dxa"/>
            <w:vAlign w:val="bottom"/>
          </w:tcPr>
          <w:p w14:paraId="60DD4114" w14:textId="597DFDC7" w:rsidR="00EC4ECB" w:rsidRPr="00EC4ECB" w:rsidRDefault="00CE5E98" w:rsidP="00EC4ECB">
            <w:pPr>
              <w:tabs>
                <w:tab w:val="left" w:pos="7272"/>
                <w:tab w:val="decimal" w:pos="8136"/>
                <w:tab w:val="left" w:pos="8496"/>
                <w:tab w:val="decimal" w:pos="9360"/>
              </w:tabs>
              <w:spacing w:after="0"/>
              <w:ind w:right="52"/>
              <w:jc w:val="right"/>
              <w:rPr>
                <w:rFonts w:ascii="Arial" w:hAnsi="Arial" w:cs="Arial"/>
                <w:szCs w:val="20"/>
              </w:rPr>
            </w:pPr>
            <w:r>
              <w:rPr>
                <w:rFonts w:ascii="Arial" w:hAnsi="Arial" w:cs="Arial"/>
                <w:szCs w:val="20"/>
              </w:rPr>
              <w:t>548,435</w:t>
            </w:r>
          </w:p>
        </w:tc>
      </w:tr>
      <w:tr w:rsidR="00444871" w:rsidRPr="00EC4ECB" w14:paraId="6A300717" w14:textId="77777777" w:rsidTr="00562405">
        <w:tc>
          <w:tcPr>
            <w:tcW w:w="5760" w:type="dxa"/>
          </w:tcPr>
          <w:p w14:paraId="6A98C6AE" w14:textId="77777777" w:rsidR="00444871" w:rsidRDefault="00444871" w:rsidP="00562405">
            <w:pPr>
              <w:tabs>
                <w:tab w:val="left" w:pos="7272"/>
                <w:tab w:val="decimal" w:pos="8136"/>
                <w:tab w:val="left" w:pos="8496"/>
                <w:tab w:val="decimal" w:pos="9360"/>
              </w:tabs>
              <w:spacing w:after="0"/>
              <w:ind w:left="144"/>
              <w:rPr>
                <w:rFonts w:ascii="Arial" w:hAnsi="Arial" w:cs="Arial"/>
              </w:rPr>
            </w:pPr>
            <w:r>
              <w:rPr>
                <w:rFonts w:ascii="Arial" w:hAnsi="Arial" w:cs="Arial"/>
              </w:rPr>
              <w:t>Common shares issued for settlement of accounts payable</w:t>
            </w:r>
          </w:p>
        </w:tc>
        <w:tc>
          <w:tcPr>
            <w:tcW w:w="1585" w:type="dxa"/>
            <w:vAlign w:val="bottom"/>
          </w:tcPr>
          <w:p w14:paraId="020AEE3C" w14:textId="77777777" w:rsidR="00444871" w:rsidRPr="00444871" w:rsidRDefault="00444871" w:rsidP="00562405">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338,064</w:t>
            </w:r>
          </w:p>
        </w:tc>
        <w:tc>
          <w:tcPr>
            <w:tcW w:w="1585" w:type="dxa"/>
            <w:vAlign w:val="bottom"/>
          </w:tcPr>
          <w:p w14:paraId="78623249" w14:textId="77777777" w:rsidR="00444871" w:rsidRDefault="00444871" w:rsidP="00562405">
            <w:pPr>
              <w:tabs>
                <w:tab w:val="left" w:pos="7272"/>
                <w:tab w:val="decimal" w:pos="8136"/>
                <w:tab w:val="left" w:pos="8496"/>
                <w:tab w:val="decimal" w:pos="9360"/>
              </w:tabs>
              <w:spacing w:after="0"/>
              <w:ind w:right="52"/>
              <w:jc w:val="right"/>
              <w:rPr>
                <w:rFonts w:ascii="Arial" w:hAnsi="Arial" w:cs="Arial"/>
                <w:szCs w:val="20"/>
              </w:rPr>
            </w:pPr>
            <w:r w:rsidRPr="006D4677">
              <w:rPr>
                <w:rFonts w:ascii="Arial" w:hAnsi="Arial" w:cs="Arial"/>
                <w:szCs w:val="20"/>
              </w:rPr>
              <w:t>–</w:t>
            </w:r>
          </w:p>
        </w:tc>
      </w:tr>
      <w:tr w:rsidR="00444871" w:rsidRPr="00EC4ECB" w14:paraId="72686BD3" w14:textId="77777777" w:rsidTr="00562405">
        <w:tc>
          <w:tcPr>
            <w:tcW w:w="5760" w:type="dxa"/>
          </w:tcPr>
          <w:p w14:paraId="3772E2AC" w14:textId="77777777" w:rsidR="00444871" w:rsidRDefault="00444871" w:rsidP="00562405">
            <w:pPr>
              <w:tabs>
                <w:tab w:val="left" w:pos="7272"/>
                <w:tab w:val="decimal" w:pos="8136"/>
                <w:tab w:val="left" w:pos="8496"/>
                <w:tab w:val="decimal" w:pos="9360"/>
              </w:tabs>
              <w:spacing w:after="0"/>
              <w:ind w:left="144"/>
              <w:rPr>
                <w:rFonts w:ascii="Arial" w:hAnsi="Arial" w:cs="Arial"/>
              </w:rPr>
            </w:pPr>
            <w:r>
              <w:rPr>
                <w:rFonts w:ascii="Arial" w:hAnsi="Arial" w:cs="Arial"/>
              </w:rPr>
              <w:t>Common shares issued for loan origination fees</w:t>
            </w:r>
          </w:p>
        </w:tc>
        <w:tc>
          <w:tcPr>
            <w:tcW w:w="1585" w:type="dxa"/>
            <w:vAlign w:val="bottom"/>
          </w:tcPr>
          <w:p w14:paraId="4D6EBF45" w14:textId="77777777" w:rsidR="00444871" w:rsidRPr="00444871" w:rsidRDefault="00444871" w:rsidP="00562405">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20,000</w:t>
            </w:r>
          </w:p>
        </w:tc>
        <w:tc>
          <w:tcPr>
            <w:tcW w:w="1585" w:type="dxa"/>
            <w:vAlign w:val="bottom"/>
          </w:tcPr>
          <w:p w14:paraId="2CAC8B4A" w14:textId="77777777" w:rsidR="00444871" w:rsidRDefault="00444871" w:rsidP="00562405">
            <w:pPr>
              <w:tabs>
                <w:tab w:val="left" w:pos="7272"/>
                <w:tab w:val="decimal" w:pos="8136"/>
                <w:tab w:val="left" w:pos="8496"/>
                <w:tab w:val="decimal" w:pos="9360"/>
              </w:tabs>
              <w:spacing w:after="0"/>
              <w:ind w:right="52"/>
              <w:jc w:val="right"/>
              <w:rPr>
                <w:rFonts w:ascii="Arial" w:hAnsi="Arial" w:cs="Arial"/>
                <w:szCs w:val="20"/>
              </w:rPr>
            </w:pPr>
            <w:r w:rsidRPr="006D4677">
              <w:rPr>
                <w:rFonts w:ascii="Arial" w:hAnsi="Arial" w:cs="Arial"/>
                <w:szCs w:val="20"/>
              </w:rPr>
              <w:t>–</w:t>
            </w:r>
          </w:p>
        </w:tc>
      </w:tr>
      <w:tr w:rsidR="00444871" w:rsidRPr="00EC4ECB" w14:paraId="33C4F6E9" w14:textId="77777777" w:rsidTr="00EC4ECB">
        <w:tc>
          <w:tcPr>
            <w:tcW w:w="5760" w:type="dxa"/>
          </w:tcPr>
          <w:p w14:paraId="34EA05AB" w14:textId="2233DB3D" w:rsidR="00444871" w:rsidRDefault="00444871" w:rsidP="00444871">
            <w:pPr>
              <w:tabs>
                <w:tab w:val="left" w:pos="7272"/>
                <w:tab w:val="decimal" w:pos="8136"/>
                <w:tab w:val="left" w:pos="8496"/>
                <w:tab w:val="decimal" w:pos="9360"/>
              </w:tabs>
              <w:spacing w:after="0"/>
              <w:ind w:left="144"/>
              <w:rPr>
                <w:rFonts w:ascii="Arial" w:hAnsi="Arial" w:cs="Arial"/>
              </w:rPr>
            </w:pPr>
            <w:r>
              <w:rPr>
                <w:rFonts w:ascii="Arial" w:hAnsi="Arial" w:cs="Arial"/>
              </w:rPr>
              <w:t>Common shares</w:t>
            </w:r>
            <w:r w:rsidR="00CE5E98">
              <w:rPr>
                <w:rFonts w:ascii="Arial" w:hAnsi="Arial" w:cs="Arial"/>
              </w:rPr>
              <w:t xml:space="preserve"> iss</w:t>
            </w:r>
            <w:r>
              <w:rPr>
                <w:rFonts w:ascii="Arial" w:hAnsi="Arial" w:cs="Arial"/>
              </w:rPr>
              <w:t>ued for conversion of debentures</w:t>
            </w:r>
          </w:p>
        </w:tc>
        <w:tc>
          <w:tcPr>
            <w:tcW w:w="1585" w:type="dxa"/>
            <w:vAlign w:val="bottom"/>
          </w:tcPr>
          <w:p w14:paraId="10E8463E" w14:textId="33A7398B" w:rsidR="00444871" w:rsidRPr="00444871" w:rsidRDefault="00EC1BCE" w:rsidP="00EC4ECB">
            <w:pPr>
              <w:tabs>
                <w:tab w:val="left" w:pos="1170"/>
                <w:tab w:val="left" w:pos="7272"/>
                <w:tab w:val="decimal" w:pos="8136"/>
                <w:tab w:val="left" w:pos="8496"/>
                <w:tab w:val="decimal" w:pos="9360"/>
              </w:tabs>
              <w:spacing w:after="0"/>
              <w:ind w:right="29"/>
              <w:jc w:val="right"/>
              <w:rPr>
                <w:rFonts w:ascii="Arial" w:hAnsi="Arial" w:cs="Arial"/>
                <w:szCs w:val="20"/>
              </w:rPr>
            </w:pPr>
            <w:r w:rsidRPr="00EC1BCE">
              <w:rPr>
                <w:rFonts w:ascii="Arial" w:hAnsi="Arial" w:cs="Arial"/>
                <w:szCs w:val="20"/>
              </w:rPr>
              <w:t>261,821</w:t>
            </w:r>
          </w:p>
        </w:tc>
        <w:tc>
          <w:tcPr>
            <w:tcW w:w="1585" w:type="dxa"/>
            <w:vAlign w:val="bottom"/>
          </w:tcPr>
          <w:p w14:paraId="39DB7930" w14:textId="774089C5" w:rsidR="00444871" w:rsidRDefault="00CE5E98" w:rsidP="00EC4ECB">
            <w:pPr>
              <w:tabs>
                <w:tab w:val="left" w:pos="7272"/>
                <w:tab w:val="decimal" w:pos="8136"/>
                <w:tab w:val="left" w:pos="8496"/>
                <w:tab w:val="decimal" w:pos="9360"/>
              </w:tabs>
              <w:spacing w:after="0"/>
              <w:ind w:right="52"/>
              <w:jc w:val="right"/>
              <w:rPr>
                <w:rFonts w:ascii="Arial" w:hAnsi="Arial" w:cs="Arial"/>
                <w:szCs w:val="20"/>
              </w:rPr>
            </w:pPr>
            <w:r w:rsidRPr="006D4677">
              <w:rPr>
                <w:rFonts w:ascii="Arial" w:hAnsi="Arial" w:cs="Arial"/>
                <w:szCs w:val="20"/>
              </w:rPr>
              <w:t>–</w:t>
            </w:r>
          </w:p>
        </w:tc>
      </w:tr>
      <w:tr w:rsidR="00EC4ECB" w:rsidRPr="00EC4ECB" w14:paraId="32D07717" w14:textId="77777777" w:rsidTr="00EC4ECB">
        <w:tc>
          <w:tcPr>
            <w:tcW w:w="5760" w:type="dxa"/>
          </w:tcPr>
          <w:p w14:paraId="2F536044" w14:textId="518E1908" w:rsidR="00EC4ECB" w:rsidRPr="00EC4ECB" w:rsidRDefault="00EC4ECB" w:rsidP="004A2908">
            <w:pPr>
              <w:tabs>
                <w:tab w:val="left" w:pos="7272"/>
                <w:tab w:val="decimal" w:pos="8136"/>
                <w:tab w:val="left" w:pos="8496"/>
                <w:tab w:val="decimal" w:pos="9360"/>
              </w:tabs>
              <w:spacing w:after="0"/>
              <w:ind w:left="144"/>
              <w:rPr>
                <w:rFonts w:ascii="Arial" w:hAnsi="Arial" w:cs="Arial"/>
                <w:szCs w:val="20"/>
              </w:rPr>
            </w:pPr>
            <w:r>
              <w:rPr>
                <w:rFonts w:ascii="Arial" w:hAnsi="Arial" w:cs="Arial"/>
              </w:rPr>
              <w:t>Common shares</w:t>
            </w:r>
            <w:r w:rsidR="004A2908">
              <w:rPr>
                <w:rFonts w:ascii="Arial" w:hAnsi="Arial" w:cs="Arial"/>
              </w:rPr>
              <w:t xml:space="preserve"> issued for intangible assets </w:t>
            </w:r>
          </w:p>
        </w:tc>
        <w:tc>
          <w:tcPr>
            <w:tcW w:w="1585" w:type="dxa"/>
            <w:vAlign w:val="bottom"/>
          </w:tcPr>
          <w:p w14:paraId="2CA0E91F" w14:textId="4198F298" w:rsidR="00EC4ECB" w:rsidRPr="00444871" w:rsidRDefault="00444871" w:rsidP="00EC4ECB">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w:t>
            </w:r>
          </w:p>
        </w:tc>
        <w:tc>
          <w:tcPr>
            <w:tcW w:w="1585" w:type="dxa"/>
            <w:vAlign w:val="bottom"/>
          </w:tcPr>
          <w:p w14:paraId="341C0AA0" w14:textId="1150B84E" w:rsidR="00EC4ECB" w:rsidRPr="00EC4ECB" w:rsidRDefault="00D214C7" w:rsidP="00EC4ECB">
            <w:pPr>
              <w:tabs>
                <w:tab w:val="left" w:pos="7272"/>
                <w:tab w:val="decimal" w:pos="8136"/>
                <w:tab w:val="left" w:pos="8496"/>
                <w:tab w:val="decimal" w:pos="9360"/>
              </w:tabs>
              <w:spacing w:after="0"/>
              <w:ind w:right="52"/>
              <w:jc w:val="right"/>
              <w:rPr>
                <w:rFonts w:ascii="Arial" w:hAnsi="Arial" w:cs="Arial"/>
                <w:szCs w:val="20"/>
              </w:rPr>
            </w:pPr>
            <w:r>
              <w:rPr>
                <w:rFonts w:ascii="Arial" w:hAnsi="Arial" w:cs="Arial"/>
                <w:szCs w:val="20"/>
              </w:rPr>
              <w:t>7,480,000</w:t>
            </w:r>
          </w:p>
        </w:tc>
      </w:tr>
      <w:tr w:rsidR="00444871" w:rsidRPr="00EC4ECB" w14:paraId="62C3680E" w14:textId="77777777" w:rsidTr="00562405">
        <w:tc>
          <w:tcPr>
            <w:tcW w:w="5760" w:type="dxa"/>
          </w:tcPr>
          <w:p w14:paraId="7CE26324" w14:textId="404C94C0" w:rsidR="00444871" w:rsidRDefault="00444871" w:rsidP="00444871">
            <w:pPr>
              <w:tabs>
                <w:tab w:val="left" w:pos="7272"/>
                <w:tab w:val="decimal" w:pos="8136"/>
                <w:tab w:val="left" w:pos="8496"/>
                <w:tab w:val="decimal" w:pos="9360"/>
              </w:tabs>
              <w:spacing w:after="0"/>
              <w:ind w:left="144"/>
              <w:rPr>
                <w:rFonts w:ascii="Arial" w:hAnsi="Arial" w:cs="Arial"/>
              </w:rPr>
            </w:pPr>
            <w:r>
              <w:rPr>
                <w:rFonts w:ascii="Arial" w:hAnsi="Arial" w:cs="Arial"/>
              </w:rPr>
              <w:t>Common shares issued for finder’s fees</w:t>
            </w:r>
          </w:p>
        </w:tc>
        <w:tc>
          <w:tcPr>
            <w:tcW w:w="1585" w:type="dxa"/>
            <w:vAlign w:val="bottom"/>
          </w:tcPr>
          <w:p w14:paraId="140245BB" w14:textId="75F219FB" w:rsidR="00444871" w:rsidRPr="00444871" w:rsidRDefault="00444871" w:rsidP="00562405">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127,000</w:t>
            </w:r>
          </w:p>
        </w:tc>
        <w:tc>
          <w:tcPr>
            <w:tcW w:w="1585" w:type="dxa"/>
            <w:vAlign w:val="bottom"/>
          </w:tcPr>
          <w:p w14:paraId="3639CEE8" w14:textId="77777777" w:rsidR="00444871" w:rsidRDefault="00444871" w:rsidP="00562405">
            <w:pPr>
              <w:tabs>
                <w:tab w:val="left" w:pos="7272"/>
                <w:tab w:val="decimal" w:pos="8136"/>
                <w:tab w:val="left" w:pos="8496"/>
                <w:tab w:val="decimal" w:pos="9360"/>
              </w:tabs>
              <w:spacing w:after="0"/>
              <w:ind w:right="52"/>
              <w:jc w:val="right"/>
              <w:rPr>
                <w:rFonts w:ascii="Arial" w:hAnsi="Arial" w:cs="Arial"/>
                <w:szCs w:val="20"/>
              </w:rPr>
            </w:pPr>
            <w:r w:rsidRPr="006D4677">
              <w:rPr>
                <w:rFonts w:ascii="Arial" w:hAnsi="Arial" w:cs="Arial"/>
                <w:szCs w:val="20"/>
              </w:rPr>
              <w:t>–</w:t>
            </w:r>
          </w:p>
        </w:tc>
      </w:tr>
      <w:tr w:rsidR="00CE5E98" w:rsidRPr="00EC4ECB" w14:paraId="702A5437" w14:textId="77777777" w:rsidTr="00562405">
        <w:tc>
          <w:tcPr>
            <w:tcW w:w="5760" w:type="dxa"/>
          </w:tcPr>
          <w:p w14:paraId="24313989" w14:textId="0802470F" w:rsidR="00CE5E98" w:rsidRDefault="00CE5E98" w:rsidP="00444871">
            <w:pPr>
              <w:tabs>
                <w:tab w:val="left" w:pos="7272"/>
                <w:tab w:val="decimal" w:pos="8136"/>
                <w:tab w:val="left" w:pos="8496"/>
                <w:tab w:val="decimal" w:pos="9360"/>
              </w:tabs>
              <w:spacing w:after="0"/>
              <w:ind w:left="144"/>
              <w:rPr>
                <w:rFonts w:ascii="Arial" w:hAnsi="Arial" w:cs="Arial"/>
              </w:rPr>
            </w:pPr>
            <w:r>
              <w:rPr>
                <w:rFonts w:ascii="Arial" w:hAnsi="Arial" w:cs="Arial"/>
              </w:rPr>
              <w:t>Units issued for settlement of convertible debentures</w:t>
            </w:r>
          </w:p>
        </w:tc>
        <w:tc>
          <w:tcPr>
            <w:tcW w:w="1585" w:type="dxa"/>
            <w:vAlign w:val="bottom"/>
          </w:tcPr>
          <w:p w14:paraId="0F78F93D" w14:textId="01F241B5" w:rsidR="00CE5E98" w:rsidRPr="00444871" w:rsidRDefault="00CE5E98" w:rsidP="00562405">
            <w:pPr>
              <w:tabs>
                <w:tab w:val="left" w:pos="1170"/>
                <w:tab w:val="left" w:pos="7272"/>
                <w:tab w:val="decimal" w:pos="8136"/>
                <w:tab w:val="left" w:pos="8496"/>
                <w:tab w:val="decimal" w:pos="9360"/>
              </w:tabs>
              <w:spacing w:after="0"/>
              <w:ind w:right="29"/>
              <w:jc w:val="right"/>
              <w:rPr>
                <w:rFonts w:ascii="Arial" w:hAnsi="Arial" w:cs="Arial"/>
                <w:szCs w:val="20"/>
              </w:rPr>
            </w:pPr>
            <w:r w:rsidRPr="006D4677">
              <w:rPr>
                <w:rFonts w:ascii="Arial" w:hAnsi="Arial" w:cs="Arial"/>
                <w:szCs w:val="20"/>
              </w:rPr>
              <w:t>–</w:t>
            </w:r>
          </w:p>
        </w:tc>
        <w:tc>
          <w:tcPr>
            <w:tcW w:w="1585" w:type="dxa"/>
            <w:vAlign w:val="bottom"/>
          </w:tcPr>
          <w:p w14:paraId="2EFE630A" w14:textId="4641BBC9" w:rsidR="00CE5E98" w:rsidRPr="006D4677" w:rsidRDefault="00CE5E98" w:rsidP="00562405">
            <w:pPr>
              <w:tabs>
                <w:tab w:val="left" w:pos="7272"/>
                <w:tab w:val="decimal" w:pos="8136"/>
                <w:tab w:val="left" w:pos="8496"/>
                <w:tab w:val="decimal" w:pos="9360"/>
              </w:tabs>
              <w:spacing w:after="0"/>
              <w:ind w:right="52"/>
              <w:jc w:val="right"/>
              <w:rPr>
                <w:rFonts w:ascii="Arial" w:hAnsi="Arial" w:cs="Arial"/>
                <w:szCs w:val="20"/>
              </w:rPr>
            </w:pPr>
            <w:r>
              <w:rPr>
                <w:rFonts w:ascii="Arial" w:hAnsi="Arial" w:cs="Arial"/>
                <w:szCs w:val="20"/>
              </w:rPr>
              <w:t>1,668,226</w:t>
            </w:r>
          </w:p>
        </w:tc>
      </w:tr>
      <w:tr w:rsidR="00EC4ECB" w:rsidRPr="00EC4ECB" w14:paraId="2ED89E32" w14:textId="77777777" w:rsidTr="00D214C7">
        <w:tc>
          <w:tcPr>
            <w:tcW w:w="5760" w:type="dxa"/>
          </w:tcPr>
          <w:p w14:paraId="3A52CDB1" w14:textId="25C4457D" w:rsidR="00EC4ECB" w:rsidRPr="00EC4ECB" w:rsidRDefault="00EC4ECB" w:rsidP="004A2908">
            <w:pPr>
              <w:tabs>
                <w:tab w:val="left" w:pos="7272"/>
                <w:tab w:val="decimal" w:pos="8136"/>
                <w:tab w:val="left" w:pos="8496"/>
                <w:tab w:val="decimal" w:pos="9360"/>
              </w:tabs>
              <w:spacing w:after="0"/>
              <w:ind w:left="144"/>
              <w:rPr>
                <w:rFonts w:ascii="Arial" w:hAnsi="Arial" w:cs="Arial"/>
                <w:szCs w:val="20"/>
              </w:rPr>
            </w:pPr>
            <w:r w:rsidRPr="00EC4ECB">
              <w:rPr>
                <w:rFonts w:ascii="Arial" w:hAnsi="Arial" w:cs="Arial"/>
              </w:rPr>
              <w:t xml:space="preserve">Warrants </w:t>
            </w:r>
            <w:r w:rsidR="00D214C7">
              <w:rPr>
                <w:rFonts w:ascii="Arial" w:hAnsi="Arial" w:cs="Arial"/>
              </w:rPr>
              <w:t>issued</w:t>
            </w:r>
            <w:r w:rsidR="004A2908">
              <w:rPr>
                <w:rFonts w:ascii="Arial" w:hAnsi="Arial" w:cs="Arial"/>
              </w:rPr>
              <w:t xml:space="preserve"> for finder’s fee</w:t>
            </w:r>
          </w:p>
        </w:tc>
        <w:tc>
          <w:tcPr>
            <w:tcW w:w="1585" w:type="dxa"/>
            <w:vAlign w:val="bottom"/>
          </w:tcPr>
          <w:p w14:paraId="15A9C8A9" w14:textId="63DBAE7D" w:rsidR="00EC4ECB" w:rsidRPr="00444871" w:rsidRDefault="00444871" w:rsidP="00EC4ECB">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19,804</w:t>
            </w:r>
          </w:p>
        </w:tc>
        <w:tc>
          <w:tcPr>
            <w:tcW w:w="1585" w:type="dxa"/>
            <w:vAlign w:val="bottom"/>
          </w:tcPr>
          <w:p w14:paraId="2D83A834" w14:textId="43882D22" w:rsidR="00EC4ECB" w:rsidRPr="00EC4ECB" w:rsidRDefault="00CE073D" w:rsidP="00EC4ECB">
            <w:pPr>
              <w:tabs>
                <w:tab w:val="left" w:pos="7272"/>
                <w:tab w:val="decimal" w:pos="8136"/>
                <w:tab w:val="left" w:pos="8496"/>
                <w:tab w:val="decimal" w:pos="9360"/>
              </w:tabs>
              <w:spacing w:after="0"/>
              <w:ind w:right="52"/>
              <w:jc w:val="right"/>
              <w:rPr>
                <w:rFonts w:ascii="Arial" w:hAnsi="Arial" w:cs="Arial"/>
                <w:szCs w:val="20"/>
              </w:rPr>
            </w:pPr>
            <w:r>
              <w:rPr>
                <w:rFonts w:ascii="Arial" w:hAnsi="Arial" w:cs="Arial"/>
                <w:szCs w:val="20"/>
              </w:rPr>
              <w:t>174,813</w:t>
            </w:r>
          </w:p>
        </w:tc>
      </w:tr>
      <w:tr w:rsidR="00D214C7" w:rsidRPr="00EC4ECB" w14:paraId="44885030" w14:textId="77777777" w:rsidTr="00EC4ECB">
        <w:tc>
          <w:tcPr>
            <w:tcW w:w="5760" w:type="dxa"/>
            <w:tcBorders>
              <w:bottom w:val="single" w:sz="2" w:space="0" w:color="auto"/>
            </w:tcBorders>
          </w:tcPr>
          <w:p w14:paraId="0C500BB6" w14:textId="6F20E817" w:rsidR="00D214C7" w:rsidRPr="00EC4ECB" w:rsidRDefault="00D214C7" w:rsidP="00D214C7">
            <w:pPr>
              <w:tabs>
                <w:tab w:val="left" w:pos="7272"/>
                <w:tab w:val="decimal" w:pos="8136"/>
                <w:tab w:val="left" w:pos="8496"/>
                <w:tab w:val="decimal" w:pos="9360"/>
              </w:tabs>
              <w:spacing w:after="0"/>
              <w:ind w:left="144"/>
              <w:rPr>
                <w:rFonts w:ascii="Arial" w:hAnsi="Arial" w:cs="Arial"/>
              </w:rPr>
            </w:pPr>
            <w:r>
              <w:rPr>
                <w:rFonts w:ascii="Arial" w:hAnsi="Arial" w:cs="Arial"/>
              </w:rPr>
              <w:t>Beneficial conversion feature related to convertible debentures</w:t>
            </w:r>
          </w:p>
        </w:tc>
        <w:tc>
          <w:tcPr>
            <w:tcW w:w="1585" w:type="dxa"/>
            <w:tcBorders>
              <w:bottom w:val="single" w:sz="2" w:space="0" w:color="auto"/>
            </w:tcBorders>
            <w:vAlign w:val="bottom"/>
          </w:tcPr>
          <w:p w14:paraId="75DE0241" w14:textId="239F8B22" w:rsidR="00D214C7" w:rsidRPr="00444871" w:rsidRDefault="00444871" w:rsidP="00EC4ECB">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w:t>
            </w:r>
          </w:p>
        </w:tc>
        <w:tc>
          <w:tcPr>
            <w:tcW w:w="1585" w:type="dxa"/>
            <w:tcBorders>
              <w:bottom w:val="single" w:sz="2" w:space="0" w:color="auto"/>
            </w:tcBorders>
            <w:vAlign w:val="bottom"/>
          </w:tcPr>
          <w:p w14:paraId="61098035" w14:textId="349AE291" w:rsidR="00D214C7" w:rsidRPr="00EC4ECB" w:rsidRDefault="00CE073D" w:rsidP="00EC4ECB">
            <w:pPr>
              <w:tabs>
                <w:tab w:val="left" w:pos="7272"/>
                <w:tab w:val="decimal" w:pos="8136"/>
                <w:tab w:val="left" w:pos="8496"/>
                <w:tab w:val="decimal" w:pos="9360"/>
              </w:tabs>
              <w:spacing w:after="0"/>
              <w:ind w:right="52"/>
              <w:jc w:val="right"/>
              <w:rPr>
                <w:rFonts w:ascii="Arial" w:hAnsi="Arial" w:cs="Arial"/>
                <w:szCs w:val="20"/>
              </w:rPr>
            </w:pPr>
            <w:r>
              <w:rPr>
                <w:rFonts w:ascii="Arial" w:hAnsi="Arial" w:cs="Arial"/>
                <w:szCs w:val="20"/>
              </w:rPr>
              <w:t>185,753</w:t>
            </w:r>
          </w:p>
        </w:tc>
      </w:tr>
    </w:tbl>
    <w:p w14:paraId="6855D3B0" w14:textId="77777777" w:rsidR="00AF3DD7" w:rsidRDefault="00AF3DD7"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p>
    <w:p w14:paraId="5E44854D" w14:textId="1C252FF6" w:rsidR="00790828" w:rsidRPr="00F60034" w:rsidRDefault="00AF3DD7"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r w:rsidRPr="00B94972">
        <w:rPr>
          <w:rFonts w:ascii="Arial" w:hAnsi="Arial" w:cs="Arial"/>
          <w:b/>
          <w:bCs/>
          <w:szCs w:val="20"/>
        </w:rPr>
        <w:t>1</w:t>
      </w:r>
      <w:r w:rsidR="00134BEE" w:rsidRPr="00B94972">
        <w:rPr>
          <w:rFonts w:ascii="Arial" w:hAnsi="Arial" w:cs="Arial"/>
          <w:b/>
          <w:bCs/>
          <w:szCs w:val="20"/>
        </w:rPr>
        <w:t>7</w:t>
      </w:r>
      <w:r w:rsidR="00790828" w:rsidRPr="00B94972">
        <w:rPr>
          <w:rFonts w:ascii="Arial" w:hAnsi="Arial" w:cs="Arial"/>
          <w:b/>
          <w:bCs/>
          <w:szCs w:val="20"/>
        </w:rPr>
        <w:t>.</w:t>
      </w:r>
      <w:r w:rsidR="00790828" w:rsidRPr="00B94972">
        <w:rPr>
          <w:rFonts w:ascii="Arial" w:hAnsi="Arial" w:cs="Arial"/>
          <w:b/>
          <w:bCs/>
          <w:szCs w:val="20"/>
        </w:rPr>
        <w:tab/>
        <w:t>Related Party Transactions</w:t>
      </w:r>
    </w:p>
    <w:p w14:paraId="7446C6DC" w14:textId="77777777" w:rsidR="00AF3DD7" w:rsidRDefault="00AF3DD7" w:rsidP="00AF3DD7">
      <w:pPr>
        <w:tabs>
          <w:tab w:val="left" w:pos="432"/>
          <w:tab w:val="left" w:pos="792"/>
        </w:tabs>
        <w:autoSpaceDE w:val="0"/>
        <w:autoSpaceDN w:val="0"/>
        <w:adjustRightInd w:val="0"/>
        <w:spacing w:after="0" w:line="240" w:lineRule="auto"/>
        <w:ind w:left="788"/>
        <w:jc w:val="both"/>
        <w:rPr>
          <w:rFonts w:ascii="Arial" w:hAnsi="Arial" w:cs="Arial"/>
          <w:szCs w:val="20"/>
        </w:rPr>
      </w:pPr>
    </w:p>
    <w:p w14:paraId="1C93CF56" w14:textId="7F8A42F8" w:rsidR="002943F8" w:rsidRDefault="002943F8" w:rsidP="002943F8">
      <w:pPr>
        <w:pStyle w:val="ListParagraph"/>
        <w:numPr>
          <w:ilvl w:val="0"/>
          <w:numId w:val="9"/>
        </w:numPr>
        <w:tabs>
          <w:tab w:val="left" w:pos="432"/>
          <w:tab w:val="left" w:pos="810"/>
        </w:tabs>
        <w:autoSpaceDE w:val="0"/>
        <w:autoSpaceDN w:val="0"/>
        <w:adjustRightInd w:val="0"/>
        <w:spacing w:after="0" w:line="240" w:lineRule="auto"/>
        <w:ind w:left="810"/>
        <w:jc w:val="both"/>
        <w:rPr>
          <w:rFonts w:ascii="Arial" w:hAnsi="Arial" w:cs="Arial"/>
          <w:szCs w:val="20"/>
        </w:rPr>
      </w:pPr>
      <w:r>
        <w:rPr>
          <w:rFonts w:ascii="Arial" w:hAnsi="Arial" w:cs="Arial"/>
          <w:szCs w:val="20"/>
        </w:rPr>
        <w:t>Key Management and Director Compensation</w:t>
      </w:r>
    </w:p>
    <w:p w14:paraId="638850A2" w14:textId="77777777" w:rsidR="002943F8" w:rsidRDefault="002943F8" w:rsidP="002943F8">
      <w:pPr>
        <w:pStyle w:val="ListParagraph"/>
        <w:tabs>
          <w:tab w:val="left" w:pos="432"/>
        </w:tabs>
        <w:autoSpaceDE w:val="0"/>
        <w:autoSpaceDN w:val="0"/>
        <w:adjustRightInd w:val="0"/>
        <w:spacing w:after="0" w:line="240" w:lineRule="auto"/>
        <w:ind w:left="1080"/>
        <w:jc w:val="both"/>
        <w:rPr>
          <w:rFonts w:ascii="Arial" w:hAnsi="Arial" w:cs="Arial"/>
          <w:szCs w:val="20"/>
        </w:rPr>
      </w:pPr>
    </w:p>
    <w:p w14:paraId="7638286A" w14:textId="1E42A408" w:rsidR="002943F8" w:rsidRPr="002943F8" w:rsidRDefault="002943F8" w:rsidP="00491BB3">
      <w:pPr>
        <w:pStyle w:val="ListParagraph"/>
        <w:tabs>
          <w:tab w:val="left" w:pos="432"/>
        </w:tabs>
        <w:autoSpaceDE w:val="0"/>
        <w:autoSpaceDN w:val="0"/>
        <w:adjustRightInd w:val="0"/>
        <w:spacing w:after="0" w:line="240" w:lineRule="auto"/>
        <w:ind w:left="810"/>
        <w:jc w:val="both"/>
        <w:rPr>
          <w:rFonts w:ascii="Arial" w:hAnsi="Arial" w:cs="Arial"/>
          <w:szCs w:val="20"/>
        </w:rPr>
      </w:pPr>
      <w:bookmarkStart w:id="4" w:name="_Hlk27385671"/>
      <w:r>
        <w:rPr>
          <w:rFonts w:ascii="Arial" w:hAnsi="Arial" w:cs="Arial"/>
          <w:szCs w:val="20"/>
        </w:rPr>
        <w:t xml:space="preserve">During the three and </w:t>
      </w:r>
      <w:r w:rsidR="00BF7844">
        <w:rPr>
          <w:rFonts w:ascii="Arial" w:hAnsi="Arial" w:cs="Arial"/>
          <w:szCs w:val="20"/>
        </w:rPr>
        <w:t>nine</w:t>
      </w:r>
      <w:r>
        <w:rPr>
          <w:rFonts w:ascii="Arial" w:hAnsi="Arial" w:cs="Arial"/>
          <w:szCs w:val="20"/>
        </w:rPr>
        <w:t xml:space="preserve"> months ended </w:t>
      </w:r>
      <w:r w:rsidR="00BF7844">
        <w:rPr>
          <w:rFonts w:ascii="Arial" w:hAnsi="Arial" w:cs="Arial"/>
          <w:szCs w:val="20"/>
        </w:rPr>
        <w:t>October</w:t>
      </w:r>
      <w:r>
        <w:rPr>
          <w:rFonts w:ascii="Arial" w:hAnsi="Arial" w:cs="Arial"/>
          <w:szCs w:val="20"/>
        </w:rPr>
        <w:t xml:space="preserve"> 31, 2019, compensation of key management and directors</w:t>
      </w:r>
      <w:r w:rsidR="00482EFC">
        <w:rPr>
          <w:rFonts w:ascii="Arial" w:hAnsi="Arial" w:cs="Arial"/>
          <w:szCs w:val="20"/>
        </w:rPr>
        <w:t>, including former key management and directors,</w:t>
      </w:r>
      <w:r>
        <w:rPr>
          <w:rFonts w:ascii="Arial" w:hAnsi="Arial" w:cs="Arial"/>
          <w:szCs w:val="20"/>
        </w:rPr>
        <w:t xml:space="preserve"> of the Company totaled $</w:t>
      </w:r>
      <w:r w:rsidR="0093147D">
        <w:rPr>
          <w:rFonts w:ascii="Arial" w:hAnsi="Arial" w:cs="Arial"/>
          <w:szCs w:val="20"/>
        </w:rPr>
        <w:t>409</w:t>
      </w:r>
      <w:r w:rsidR="0093147D" w:rsidRPr="00254400">
        <w:rPr>
          <w:rFonts w:ascii="Arial" w:hAnsi="Arial" w:cs="Arial"/>
          <w:szCs w:val="20"/>
        </w:rPr>
        <w:t>,066</w:t>
      </w:r>
      <w:r w:rsidR="00482EFC" w:rsidRPr="00254400">
        <w:rPr>
          <w:rFonts w:ascii="Arial" w:hAnsi="Arial" w:cs="Arial"/>
          <w:szCs w:val="20"/>
        </w:rPr>
        <w:t xml:space="preserve"> and $</w:t>
      </w:r>
      <w:r w:rsidR="0093147D" w:rsidRPr="00254400">
        <w:rPr>
          <w:rFonts w:ascii="Arial" w:hAnsi="Arial" w:cs="Arial"/>
          <w:szCs w:val="20"/>
        </w:rPr>
        <w:t>1,120,657</w:t>
      </w:r>
      <w:r w:rsidR="00482EFC" w:rsidRPr="00254400">
        <w:rPr>
          <w:rFonts w:ascii="Arial" w:hAnsi="Arial" w:cs="Arial"/>
          <w:szCs w:val="20"/>
        </w:rPr>
        <w:t>, respectively</w:t>
      </w:r>
      <w:r w:rsidRPr="00254400">
        <w:rPr>
          <w:rFonts w:ascii="Arial" w:hAnsi="Arial" w:cs="Arial"/>
          <w:szCs w:val="20"/>
        </w:rPr>
        <w:t xml:space="preserve"> (three and </w:t>
      </w:r>
      <w:r w:rsidR="00BF7844" w:rsidRPr="00254400">
        <w:rPr>
          <w:rFonts w:ascii="Arial" w:hAnsi="Arial" w:cs="Arial"/>
          <w:szCs w:val="20"/>
        </w:rPr>
        <w:t>nine</w:t>
      </w:r>
      <w:r w:rsidRPr="00254400">
        <w:rPr>
          <w:rFonts w:ascii="Arial" w:hAnsi="Arial" w:cs="Arial"/>
          <w:szCs w:val="20"/>
        </w:rPr>
        <w:t xml:space="preserve"> months ended </w:t>
      </w:r>
      <w:r w:rsidR="00BF7844" w:rsidRPr="00254400">
        <w:rPr>
          <w:rFonts w:ascii="Arial" w:hAnsi="Arial" w:cs="Arial"/>
          <w:szCs w:val="20"/>
        </w:rPr>
        <w:t>October</w:t>
      </w:r>
      <w:r w:rsidRPr="00254400">
        <w:rPr>
          <w:rFonts w:ascii="Arial" w:hAnsi="Arial" w:cs="Arial"/>
          <w:szCs w:val="20"/>
        </w:rPr>
        <w:t xml:space="preserve"> 31, 2018 - $</w:t>
      </w:r>
      <w:r w:rsidR="00254400" w:rsidRPr="00254400">
        <w:rPr>
          <w:rFonts w:ascii="Arial" w:hAnsi="Arial" w:cs="Arial"/>
          <w:szCs w:val="20"/>
        </w:rPr>
        <w:t>318,554</w:t>
      </w:r>
      <w:r w:rsidR="000B70C3" w:rsidRPr="00254400">
        <w:rPr>
          <w:rFonts w:ascii="Arial" w:hAnsi="Arial" w:cs="Arial"/>
          <w:szCs w:val="20"/>
        </w:rPr>
        <w:t xml:space="preserve"> and $</w:t>
      </w:r>
      <w:r w:rsidR="00254400" w:rsidRPr="00254400">
        <w:rPr>
          <w:rFonts w:ascii="Arial" w:hAnsi="Arial" w:cs="Arial"/>
          <w:szCs w:val="20"/>
        </w:rPr>
        <w:t>852</w:t>
      </w:r>
      <w:r w:rsidR="00254400">
        <w:rPr>
          <w:rFonts w:ascii="Arial" w:hAnsi="Arial" w:cs="Arial"/>
          <w:szCs w:val="20"/>
        </w:rPr>
        <w:t>,232</w:t>
      </w:r>
      <w:r w:rsidR="000B70C3">
        <w:rPr>
          <w:rFonts w:ascii="Arial" w:hAnsi="Arial" w:cs="Arial"/>
          <w:szCs w:val="20"/>
        </w:rPr>
        <w:t>, respectively</w:t>
      </w:r>
      <w:r>
        <w:rPr>
          <w:rFonts w:ascii="Arial" w:hAnsi="Arial" w:cs="Arial"/>
          <w:szCs w:val="20"/>
        </w:rPr>
        <w:t xml:space="preserve">), and consisted of salaries and consulting fees </w:t>
      </w:r>
      <w:r w:rsidR="00482EFC">
        <w:rPr>
          <w:rFonts w:ascii="Arial" w:hAnsi="Arial" w:cs="Arial"/>
          <w:szCs w:val="20"/>
        </w:rPr>
        <w:t>paid in cash and</w:t>
      </w:r>
      <w:r>
        <w:rPr>
          <w:rFonts w:ascii="Arial" w:hAnsi="Arial" w:cs="Arial"/>
          <w:szCs w:val="20"/>
        </w:rPr>
        <w:t xml:space="preserve"> common shares issued.</w:t>
      </w:r>
      <w:r w:rsidR="00482EFC">
        <w:rPr>
          <w:rFonts w:ascii="Arial" w:hAnsi="Arial" w:cs="Arial"/>
          <w:szCs w:val="20"/>
        </w:rPr>
        <w:t xml:space="preserve">  </w:t>
      </w:r>
      <w:r>
        <w:rPr>
          <w:rFonts w:ascii="Arial" w:hAnsi="Arial" w:cs="Arial"/>
          <w:szCs w:val="20"/>
        </w:rPr>
        <w:t xml:space="preserve">The Company granted </w:t>
      </w:r>
      <w:r w:rsidR="00B94972">
        <w:rPr>
          <w:rFonts w:ascii="Arial" w:hAnsi="Arial" w:cs="Arial"/>
          <w:szCs w:val="20"/>
        </w:rPr>
        <w:t>4,200</w:t>
      </w:r>
      <w:r>
        <w:rPr>
          <w:rFonts w:ascii="Arial" w:hAnsi="Arial" w:cs="Arial"/>
          <w:szCs w:val="20"/>
        </w:rPr>
        <w:t xml:space="preserve">,000 share purchase options during the </w:t>
      </w:r>
      <w:r w:rsidR="00BF7844">
        <w:rPr>
          <w:rFonts w:ascii="Arial" w:hAnsi="Arial" w:cs="Arial"/>
          <w:szCs w:val="20"/>
        </w:rPr>
        <w:t>nine</w:t>
      </w:r>
      <w:r>
        <w:rPr>
          <w:rFonts w:ascii="Arial" w:hAnsi="Arial" w:cs="Arial"/>
          <w:szCs w:val="20"/>
        </w:rPr>
        <w:t xml:space="preserve"> months ended </w:t>
      </w:r>
      <w:r w:rsidR="00BF7844">
        <w:rPr>
          <w:rFonts w:ascii="Arial" w:hAnsi="Arial" w:cs="Arial"/>
          <w:szCs w:val="20"/>
        </w:rPr>
        <w:t>October</w:t>
      </w:r>
      <w:r>
        <w:rPr>
          <w:rFonts w:ascii="Arial" w:hAnsi="Arial" w:cs="Arial"/>
          <w:szCs w:val="20"/>
        </w:rPr>
        <w:t xml:space="preserve"> 31, 2019 (</w:t>
      </w:r>
      <w:r w:rsidR="00BF7844">
        <w:rPr>
          <w:rFonts w:ascii="Arial" w:hAnsi="Arial" w:cs="Arial"/>
          <w:szCs w:val="20"/>
        </w:rPr>
        <w:t>nine</w:t>
      </w:r>
      <w:r>
        <w:rPr>
          <w:rFonts w:ascii="Arial" w:hAnsi="Arial" w:cs="Arial"/>
          <w:szCs w:val="20"/>
        </w:rPr>
        <w:t xml:space="preserve"> months ended </w:t>
      </w:r>
      <w:r w:rsidR="00BF7844">
        <w:rPr>
          <w:rFonts w:ascii="Arial" w:hAnsi="Arial" w:cs="Arial"/>
          <w:szCs w:val="20"/>
        </w:rPr>
        <w:t>October</w:t>
      </w:r>
      <w:r w:rsidR="00482EFC">
        <w:rPr>
          <w:rFonts w:ascii="Arial" w:hAnsi="Arial" w:cs="Arial"/>
          <w:szCs w:val="20"/>
        </w:rPr>
        <w:t xml:space="preserve"> 31, 2018 –nil) valued at $</w:t>
      </w:r>
      <w:r w:rsidR="00D322AA">
        <w:rPr>
          <w:rFonts w:ascii="Arial" w:hAnsi="Arial" w:cs="Arial"/>
          <w:szCs w:val="20"/>
        </w:rPr>
        <w:t>978,049</w:t>
      </w:r>
      <w:r w:rsidR="00482EFC">
        <w:rPr>
          <w:rFonts w:ascii="Arial" w:hAnsi="Arial" w:cs="Arial"/>
          <w:szCs w:val="20"/>
        </w:rPr>
        <w:t xml:space="preserve"> to key management and directors.</w:t>
      </w:r>
      <w:r w:rsidR="00491BB3">
        <w:rPr>
          <w:rFonts w:ascii="Arial" w:hAnsi="Arial" w:cs="Arial"/>
          <w:szCs w:val="20"/>
        </w:rPr>
        <w:t xml:space="preserve">  </w:t>
      </w:r>
      <w:r w:rsidR="00491BB3" w:rsidRPr="00491BB3">
        <w:rPr>
          <w:rFonts w:ascii="Arial" w:hAnsi="Arial" w:cs="Arial"/>
          <w:szCs w:val="20"/>
        </w:rPr>
        <w:t>Key management includes those persons having authority</w:t>
      </w:r>
      <w:r w:rsidR="00491BB3">
        <w:rPr>
          <w:rFonts w:ascii="Arial" w:hAnsi="Arial" w:cs="Arial"/>
          <w:szCs w:val="20"/>
        </w:rPr>
        <w:t xml:space="preserve"> </w:t>
      </w:r>
      <w:r w:rsidR="00491BB3" w:rsidRPr="00491BB3">
        <w:rPr>
          <w:rFonts w:ascii="Arial" w:hAnsi="Arial" w:cs="Arial"/>
          <w:szCs w:val="20"/>
        </w:rPr>
        <w:t>and responsibility for planning, directing and controlling the activities, directly or indirectly, of the</w:t>
      </w:r>
      <w:r w:rsidR="00491BB3">
        <w:rPr>
          <w:rFonts w:ascii="Arial" w:hAnsi="Arial" w:cs="Arial"/>
          <w:szCs w:val="20"/>
        </w:rPr>
        <w:t xml:space="preserve"> </w:t>
      </w:r>
      <w:r w:rsidR="00491BB3" w:rsidRPr="00491BB3">
        <w:rPr>
          <w:rFonts w:ascii="Arial" w:hAnsi="Arial" w:cs="Arial"/>
          <w:szCs w:val="20"/>
        </w:rPr>
        <w:t>Company</w:t>
      </w:r>
      <w:bookmarkEnd w:id="4"/>
      <w:r w:rsidR="00491BB3" w:rsidRPr="00491BB3">
        <w:rPr>
          <w:rFonts w:ascii="Arial" w:hAnsi="Arial" w:cs="Arial"/>
          <w:szCs w:val="20"/>
        </w:rPr>
        <w:t>.</w:t>
      </w:r>
    </w:p>
    <w:p w14:paraId="0654AF4E" w14:textId="77777777" w:rsidR="00AF3DD7" w:rsidRDefault="00AF3DD7" w:rsidP="00402C76">
      <w:pPr>
        <w:tabs>
          <w:tab w:val="left" w:pos="432"/>
          <w:tab w:val="left" w:pos="792"/>
        </w:tabs>
        <w:autoSpaceDE w:val="0"/>
        <w:autoSpaceDN w:val="0"/>
        <w:adjustRightInd w:val="0"/>
        <w:spacing w:after="0" w:line="240" w:lineRule="auto"/>
        <w:ind w:left="810"/>
        <w:jc w:val="both"/>
        <w:rPr>
          <w:rFonts w:ascii="Arial" w:hAnsi="Arial" w:cs="Arial"/>
          <w:szCs w:val="20"/>
        </w:rPr>
      </w:pPr>
    </w:p>
    <w:p w14:paraId="31696719" w14:textId="43BDD55C" w:rsidR="00420D51" w:rsidRDefault="000B70C3" w:rsidP="00402C76">
      <w:pPr>
        <w:tabs>
          <w:tab w:val="left" w:pos="432"/>
          <w:tab w:val="left" w:pos="792"/>
        </w:tabs>
        <w:autoSpaceDE w:val="0"/>
        <w:autoSpaceDN w:val="0"/>
        <w:adjustRightInd w:val="0"/>
        <w:spacing w:after="0" w:line="240" w:lineRule="auto"/>
        <w:ind w:left="810"/>
        <w:jc w:val="both"/>
        <w:rPr>
          <w:rFonts w:ascii="Arial" w:hAnsi="Arial" w:cs="Arial"/>
          <w:lang w:val="fr-FR"/>
        </w:rPr>
      </w:pPr>
      <w:bookmarkStart w:id="5" w:name="_Hlk27385953"/>
      <w:r w:rsidRPr="000B70C3">
        <w:rPr>
          <w:rFonts w:ascii="Arial" w:hAnsi="Arial" w:cs="Arial"/>
          <w:bCs/>
          <w:szCs w:val="20"/>
        </w:rPr>
        <w:t xml:space="preserve">As at </w:t>
      </w:r>
      <w:r w:rsidR="00BF7844">
        <w:rPr>
          <w:rFonts w:ascii="Arial" w:hAnsi="Arial" w:cs="Arial"/>
          <w:bCs/>
          <w:szCs w:val="20"/>
        </w:rPr>
        <w:t>October</w:t>
      </w:r>
      <w:r>
        <w:rPr>
          <w:rFonts w:ascii="Arial" w:hAnsi="Arial" w:cs="Arial"/>
          <w:bCs/>
          <w:szCs w:val="20"/>
        </w:rPr>
        <w:t xml:space="preserve"> 31, 2019, the Company owed $</w:t>
      </w:r>
      <w:r w:rsidR="00B94972">
        <w:rPr>
          <w:rFonts w:ascii="Arial" w:hAnsi="Arial" w:cs="Arial"/>
          <w:bCs/>
          <w:szCs w:val="20"/>
        </w:rPr>
        <w:t>10,368</w:t>
      </w:r>
      <w:r>
        <w:rPr>
          <w:rFonts w:ascii="Arial" w:hAnsi="Arial" w:cs="Arial"/>
          <w:bCs/>
          <w:szCs w:val="20"/>
        </w:rPr>
        <w:t xml:space="preserve"> to key management and directors (January 31, 2019 - $</w:t>
      </w:r>
      <w:r w:rsidR="00532F4E">
        <w:rPr>
          <w:rFonts w:ascii="Arial" w:hAnsi="Arial" w:cs="Arial"/>
          <w:lang w:val="fr-FR"/>
        </w:rPr>
        <w:t>281,587</w:t>
      </w:r>
      <w:r>
        <w:rPr>
          <w:rFonts w:ascii="Arial" w:hAnsi="Arial" w:cs="Arial"/>
          <w:lang w:val="fr-FR"/>
        </w:rPr>
        <w:t>; February 1, 2018 - $12,421)</w:t>
      </w:r>
      <w:bookmarkEnd w:id="5"/>
      <w:r>
        <w:rPr>
          <w:rFonts w:ascii="Arial" w:hAnsi="Arial" w:cs="Arial"/>
          <w:lang w:val="fr-FR"/>
        </w:rPr>
        <w:t>.</w:t>
      </w:r>
    </w:p>
    <w:p w14:paraId="74C9CEC5" w14:textId="5CDDAE42" w:rsidR="00134BEE" w:rsidRPr="00134BEE" w:rsidRDefault="00134BEE" w:rsidP="00134BEE">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szCs w:val="20"/>
        </w:rPr>
      </w:pPr>
      <w:r w:rsidRPr="000B70C3">
        <w:rPr>
          <w:rFonts w:ascii="Arial" w:hAnsi="Arial" w:cs="Arial"/>
          <w:b/>
          <w:bCs/>
          <w:szCs w:val="20"/>
        </w:rPr>
        <w:lastRenderedPageBreak/>
        <w:t>1</w:t>
      </w:r>
      <w:r>
        <w:rPr>
          <w:rFonts w:ascii="Arial" w:hAnsi="Arial" w:cs="Arial"/>
          <w:b/>
          <w:bCs/>
          <w:szCs w:val="20"/>
        </w:rPr>
        <w:t>7</w:t>
      </w:r>
      <w:r w:rsidRPr="000B70C3">
        <w:rPr>
          <w:rFonts w:ascii="Arial" w:hAnsi="Arial" w:cs="Arial"/>
          <w:b/>
          <w:bCs/>
          <w:szCs w:val="20"/>
        </w:rPr>
        <w:t>.</w:t>
      </w:r>
      <w:r w:rsidRPr="000B70C3">
        <w:rPr>
          <w:rFonts w:ascii="Arial" w:hAnsi="Arial" w:cs="Arial"/>
          <w:b/>
          <w:bCs/>
          <w:szCs w:val="20"/>
        </w:rPr>
        <w:tab/>
        <w:t>Related Party Transactions</w:t>
      </w:r>
      <w:r>
        <w:rPr>
          <w:rFonts w:ascii="Arial" w:hAnsi="Arial" w:cs="Arial"/>
          <w:b/>
          <w:bCs/>
          <w:szCs w:val="20"/>
        </w:rPr>
        <w:t xml:space="preserve"> </w:t>
      </w:r>
      <w:r>
        <w:rPr>
          <w:rFonts w:ascii="Arial" w:hAnsi="Arial" w:cs="Arial"/>
          <w:szCs w:val="20"/>
        </w:rPr>
        <w:t>(continued)</w:t>
      </w:r>
    </w:p>
    <w:p w14:paraId="02CAC441" w14:textId="77777777" w:rsidR="000714B2" w:rsidRPr="002A5577" w:rsidRDefault="000714B2" w:rsidP="00402C76">
      <w:pPr>
        <w:pStyle w:val="ListParagraph"/>
        <w:ind w:left="810"/>
        <w:rPr>
          <w:rFonts w:ascii="Arial" w:hAnsi="Arial" w:cs="Arial"/>
          <w:szCs w:val="20"/>
        </w:rPr>
      </w:pPr>
    </w:p>
    <w:p w14:paraId="16AB148B" w14:textId="497B6F10" w:rsidR="000B70C3" w:rsidRDefault="000B70C3" w:rsidP="00056C41">
      <w:pPr>
        <w:pStyle w:val="ListParagraph"/>
        <w:numPr>
          <w:ilvl w:val="0"/>
          <w:numId w:val="9"/>
        </w:numPr>
        <w:tabs>
          <w:tab w:val="left" w:pos="432"/>
          <w:tab w:val="left" w:pos="792"/>
        </w:tabs>
        <w:autoSpaceDE w:val="0"/>
        <w:autoSpaceDN w:val="0"/>
        <w:adjustRightInd w:val="0"/>
        <w:spacing w:after="0" w:line="240" w:lineRule="auto"/>
        <w:ind w:left="810"/>
        <w:jc w:val="both"/>
        <w:rPr>
          <w:rFonts w:ascii="Arial" w:hAnsi="Arial" w:cs="Arial"/>
          <w:szCs w:val="20"/>
        </w:rPr>
      </w:pPr>
      <w:r>
        <w:rPr>
          <w:rFonts w:ascii="Arial" w:hAnsi="Arial" w:cs="Arial"/>
          <w:szCs w:val="20"/>
        </w:rPr>
        <w:t>Other Related Party Transactions</w:t>
      </w:r>
    </w:p>
    <w:p w14:paraId="3C3FD590" w14:textId="77777777" w:rsidR="000B70C3" w:rsidRDefault="000B70C3" w:rsidP="000B70C3">
      <w:pPr>
        <w:pStyle w:val="ListParagraph"/>
        <w:tabs>
          <w:tab w:val="left" w:pos="432"/>
          <w:tab w:val="left" w:pos="792"/>
        </w:tabs>
        <w:autoSpaceDE w:val="0"/>
        <w:autoSpaceDN w:val="0"/>
        <w:adjustRightInd w:val="0"/>
        <w:spacing w:after="0" w:line="240" w:lineRule="auto"/>
        <w:ind w:left="810"/>
        <w:jc w:val="both"/>
        <w:rPr>
          <w:rFonts w:ascii="Arial" w:hAnsi="Arial" w:cs="Arial"/>
          <w:szCs w:val="20"/>
        </w:rPr>
      </w:pPr>
    </w:p>
    <w:p w14:paraId="23611BB8" w14:textId="5304ACF1" w:rsidR="00AF3DD7" w:rsidRPr="00BF7373" w:rsidRDefault="00402C76" w:rsidP="000B70C3">
      <w:pPr>
        <w:pStyle w:val="ListParagraph"/>
        <w:tabs>
          <w:tab w:val="left" w:pos="432"/>
          <w:tab w:val="left" w:pos="792"/>
        </w:tabs>
        <w:autoSpaceDE w:val="0"/>
        <w:autoSpaceDN w:val="0"/>
        <w:adjustRightInd w:val="0"/>
        <w:spacing w:after="0" w:line="240" w:lineRule="auto"/>
        <w:ind w:left="810"/>
        <w:jc w:val="both"/>
        <w:rPr>
          <w:rFonts w:ascii="Arial" w:hAnsi="Arial" w:cs="Arial"/>
          <w:szCs w:val="20"/>
        </w:rPr>
      </w:pPr>
      <w:bookmarkStart w:id="6" w:name="_Hlk27385976"/>
      <w:r w:rsidRPr="00402C76">
        <w:rPr>
          <w:rFonts w:ascii="Arial" w:hAnsi="Arial" w:cs="Arial"/>
          <w:szCs w:val="20"/>
        </w:rPr>
        <w:t xml:space="preserve">On September 12, 2017, the Company entered into a licensing agreement with Altum, a party related </w:t>
      </w:r>
      <w:r w:rsidR="00532F4E">
        <w:rPr>
          <w:rFonts w:ascii="Arial" w:hAnsi="Arial" w:cs="Arial"/>
          <w:szCs w:val="20"/>
        </w:rPr>
        <w:t xml:space="preserve">at that date </w:t>
      </w:r>
      <w:r w:rsidRPr="00402C76">
        <w:rPr>
          <w:rFonts w:ascii="Arial" w:hAnsi="Arial" w:cs="Arial"/>
          <w:szCs w:val="20"/>
        </w:rPr>
        <w:t>by way of common officer</w:t>
      </w:r>
      <w:r w:rsidR="00532F4E">
        <w:rPr>
          <w:rFonts w:ascii="Arial" w:hAnsi="Arial" w:cs="Arial"/>
          <w:szCs w:val="20"/>
        </w:rPr>
        <w:t>s and director</w:t>
      </w:r>
      <w:r w:rsidRPr="00402C76">
        <w:rPr>
          <w:rFonts w:ascii="Arial" w:hAnsi="Arial" w:cs="Arial"/>
          <w:szCs w:val="20"/>
        </w:rPr>
        <w:t xml:space="preserve">, whereby the Company acquired worldwide rights to the BiPhasix™ transdermal drug delivery technology for the development and commercialization of </w:t>
      </w:r>
      <w:r w:rsidR="00532F4E">
        <w:rPr>
          <w:rFonts w:ascii="Arial" w:hAnsi="Arial" w:cs="Arial"/>
          <w:szCs w:val="20"/>
        </w:rPr>
        <w:t>c</w:t>
      </w:r>
      <w:r w:rsidRPr="00402C76">
        <w:rPr>
          <w:rFonts w:ascii="Arial" w:hAnsi="Arial" w:cs="Arial"/>
          <w:szCs w:val="20"/>
        </w:rPr>
        <w:t xml:space="preserve">annabinoids, </w:t>
      </w:r>
      <w:r w:rsidR="00532F4E">
        <w:rPr>
          <w:rFonts w:ascii="Arial" w:hAnsi="Arial" w:cs="Arial"/>
          <w:szCs w:val="20"/>
        </w:rPr>
        <w:t>c</w:t>
      </w:r>
      <w:r w:rsidRPr="00402C76">
        <w:rPr>
          <w:rFonts w:ascii="Arial" w:hAnsi="Arial" w:cs="Arial"/>
          <w:szCs w:val="20"/>
        </w:rPr>
        <w:t xml:space="preserve">annabidiol and </w:t>
      </w:r>
      <w:r w:rsidR="00532F4E">
        <w:rPr>
          <w:rFonts w:ascii="Arial" w:hAnsi="Arial" w:cs="Arial"/>
          <w:szCs w:val="20"/>
        </w:rPr>
        <w:t>t</w:t>
      </w:r>
      <w:r w:rsidRPr="00402C76">
        <w:rPr>
          <w:rFonts w:ascii="Arial" w:hAnsi="Arial" w:cs="Arial"/>
          <w:szCs w:val="20"/>
        </w:rPr>
        <w:t>etra</w:t>
      </w:r>
      <w:r w:rsidR="00056C41">
        <w:rPr>
          <w:rFonts w:ascii="Arial" w:hAnsi="Arial" w:cs="Arial"/>
          <w:szCs w:val="20"/>
        </w:rPr>
        <w:t xml:space="preserve">hydrocannabinol products (Note </w:t>
      </w:r>
      <w:r w:rsidR="00BF7844">
        <w:rPr>
          <w:rFonts w:ascii="Arial" w:hAnsi="Arial" w:cs="Arial"/>
          <w:szCs w:val="20"/>
        </w:rPr>
        <w:t>8</w:t>
      </w:r>
      <w:r w:rsidRPr="00402C76">
        <w:rPr>
          <w:rFonts w:ascii="Arial" w:hAnsi="Arial" w:cs="Arial"/>
          <w:szCs w:val="20"/>
        </w:rPr>
        <w:t xml:space="preserve">).  As at </w:t>
      </w:r>
      <w:r w:rsidR="00BF7844">
        <w:rPr>
          <w:rFonts w:ascii="Arial" w:hAnsi="Arial" w:cs="Arial"/>
          <w:szCs w:val="20"/>
        </w:rPr>
        <w:t>October</w:t>
      </w:r>
      <w:r w:rsidRPr="00402C76">
        <w:rPr>
          <w:rFonts w:ascii="Arial" w:hAnsi="Arial" w:cs="Arial"/>
          <w:szCs w:val="20"/>
        </w:rPr>
        <w:t xml:space="preserve"> 31, 2019, th</w:t>
      </w:r>
      <w:r w:rsidRPr="00BF7373">
        <w:rPr>
          <w:rFonts w:ascii="Arial" w:hAnsi="Arial" w:cs="Arial"/>
          <w:szCs w:val="20"/>
        </w:rPr>
        <w:t>e Company owed Altum $</w:t>
      </w:r>
      <w:r w:rsidR="00056C41" w:rsidRPr="00BF7373">
        <w:rPr>
          <w:rFonts w:ascii="Arial" w:hAnsi="Arial" w:cs="Arial"/>
          <w:szCs w:val="20"/>
        </w:rPr>
        <w:t>nil</w:t>
      </w:r>
      <w:r w:rsidRPr="00BF7373">
        <w:rPr>
          <w:rFonts w:ascii="Arial" w:hAnsi="Arial" w:cs="Arial"/>
          <w:szCs w:val="20"/>
        </w:rPr>
        <w:t xml:space="preserve"> (January 31, 2019 - $48,896</w:t>
      </w:r>
      <w:r w:rsidR="00752543">
        <w:rPr>
          <w:rFonts w:ascii="Arial" w:hAnsi="Arial" w:cs="Arial"/>
          <w:szCs w:val="20"/>
        </w:rPr>
        <w:t>; February 1, 2018 - $nil</w:t>
      </w:r>
      <w:r w:rsidRPr="00BF7373">
        <w:rPr>
          <w:rFonts w:ascii="Arial" w:hAnsi="Arial" w:cs="Arial"/>
          <w:szCs w:val="20"/>
        </w:rPr>
        <w:t>) for expenses paid on behalf of the Company</w:t>
      </w:r>
      <w:bookmarkEnd w:id="6"/>
      <w:r w:rsidRPr="00BF7373">
        <w:rPr>
          <w:rFonts w:ascii="Arial" w:hAnsi="Arial" w:cs="Arial"/>
          <w:szCs w:val="20"/>
        </w:rPr>
        <w:t xml:space="preserve">.     </w:t>
      </w:r>
    </w:p>
    <w:p w14:paraId="1480B8AC" w14:textId="77777777" w:rsidR="00402C76" w:rsidRPr="00BF7373" w:rsidRDefault="00402C76" w:rsidP="00402C76">
      <w:pPr>
        <w:tabs>
          <w:tab w:val="left" w:pos="432"/>
          <w:tab w:val="left" w:pos="792"/>
        </w:tabs>
        <w:autoSpaceDE w:val="0"/>
        <w:autoSpaceDN w:val="0"/>
        <w:adjustRightInd w:val="0"/>
        <w:spacing w:after="0" w:line="240" w:lineRule="auto"/>
        <w:ind w:left="810"/>
        <w:jc w:val="both"/>
        <w:rPr>
          <w:rFonts w:ascii="Arial" w:hAnsi="Arial" w:cs="Arial"/>
          <w:szCs w:val="20"/>
        </w:rPr>
      </w:pPr>
    </w:p>
    <w:p w14:paraId="1E5950D3" w14:textId="44B857B9" w:rsidR="00FF5082" w:rsidRDefault="00FF5082"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sidRPr="002C07FA">
        <w:rPr>
          <w:rFonts w:ascii="Arial" w:hAnsi="Arial" w:cs="Arial"/>
          <w:b/>
          <w:szCs w:val="20"/>
        </w:rPr>
        <w:t>1</w:t>
      </w:r>
      <w:r w:rsidR="00C115EC">
        <w:rPr>
          <w:rFonts w:ascii="Arial" w:hAnsi="Arial" w:cs="Arial"/>
          <w:b/>
          <w:szCs w:val="20"/>
        </w:rPr>
        <w:t>8</w:t>
      </w:r>
      <w:r w:rsidRPr="002C07FA">
        <w:rPr>
          <w:rFonts w:ascii="Arial" w:hAnsi="Arial" w:cs="Arial"/>
          <w:b/>
          <w:szCs w:val="20"/>
        </w:rPr>
        <w:t>.</w:t>
      </w:r>
      <w:r w:rsidRPr="002C07FA">
        <w:rPr>
          <w:rFonts w:ascii="Arial" w:hAnsi="Arial" w:cs="Arial"/>
          <w:b/>
          <w:szCs w:val="20"/>
        </w:rPr>
        <w:tab/>
      </w:r>
      <w:r>
        <w:rPr>
          <w:rFonts w:ascii="Arial" w:hAnsi="Arial" w:cs="Arial"/>
          <w:b/>
          <w:szCs w:val="20"/>
        </w:rPr>
        <w:t>Joint Venture</w:t>
      </w:r>
    </w:p>
    <w:p w14:paraId="637E663F" w14:textId="77777777" w:rsidR="00FF5082" w:rsidRDefault="00FF5082"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2C49ACF8" w14:textId="23FBCA1C" w:rsidR="00AC7C3C" w:rsidRDefault="00FF5082"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sidRPr="00FF5082">
        <w:rPr>
          <w:rFonts w:ascii="Arial" w:hAnsi="Arial" w:cs="Arial"/>
          <w:szCs w:val="20"/>
        </w:rPr>
        <w:t>On December 17, 2018, the Company entered into a joint venture arrangement whereby the Company holds 50% of the issued and outstanding shares of Pivot-Cartagena JV.  Pivot-Cartagena JV will develop and commercialize cannabis-infused non-alcoholic beverages using the industry expertise of its joint venture partner wi</w:t>
      </w:r>
      <w:r w:rsidR="006E41F5">
        <w:rPr>
          <w:rFonts w:ascii="Arial" w:hAnsi="Arial" w:cs="Arial"/>
          <w:szCs w:val="20"/>
        </w:rPr>
        <w:t xml:space="preserve">th the Company’s </w:t>
      </w:r>
      <w:r w:rsidRPr="00FF5082">
        <w:rPr>
          <w:rFonts w:ascii="Arial" w:hAnsi="Arial" w:cs="Arial"/>
          <w:szCs w:val="20"/>
        </w:rPr>
        <w:t>RTIC (Note 4(b)) powderization technolog</w:t>
      </w:r>
      <w:r w:rsidR="001761C7">
        <w:rPr>
          <w:rFonts w:ascii="Arial" w:hAnsi="Arial" w:cs="Arial"/>
          <w:szCs w:val="20"/>
        </w:rPr>
        <w:t>y</w:t>
      </w:r>
      <w:r w:rsidRPr="00FF5082">
        <w:rPr>
          <w:rFonts w:ascii="Arial" w:hAnsi="Arial" w:cs="Arial"/>
          <w:szCs w:val="20"/>
        </w:rPr>
        <w:t xml:space="preserve">.  The Company and its joint venture partner each have 50% to the net assets and net income or loss of Pivot-Cartagena JV.  </w:t>
      </w:r>
    </w:p>
    <w:p w14:paraId="572435B3" w14:textId="77777777" w:rsidR="00AC7C3C" w:rsidRDefault="00AC7C3C"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0325768D" w14:textId="1E5AF405" w:rsidR="00FF5082" w:rsidRDefault="00FF5082"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sidRPr="00FF5082">
        <w:rPr>
          <w:rFonts w:ascii="Arial" w:hAnsi="Arial" w:cs="Arial"/>
          <w:szCs w:val="20"/>
        </w:rPr>
        <w:t xml:space="preserve">As of </w:t>
      </w:r>
      <w:r w:rsidR="001761C7">
        <w:rPr>
          <w:rFonts w:ascii="Arial" w:hAnsi="Arial" w:cs="Arial"/>
          <w:szCs w:val="20"/>
        </w:rPr>
        <w:t>October</w:t>
      </w:r>
      <w:r w:rsidR="006E41F5">
        <w:rPr>
          <w:rFonts w:ascii="Arial" w:hAnsi="Arial" w:cs="Arial"/>
          <w:szCs w:val="20"/>
        </w:rPr>
        <w:t xml:space="preserve"> 31</w:t>
      </w:r>
      <w:r w:rsidRPr="00FF5082">
        <w:rPr>
          <w:rFonts w:ascii="Arial" w:hAnsi="Arial" w:cs="Arial"/>
          <w:szCs w:val="20"/>
        </w:rPr>
        <w:t xml:space="preserve">, 2019, the Company has not made any investment related to Pivot-Cartagena JV. During the </w:t>
      </w:r>
      <w:r w:rsidR="00B83303">
        <w:rPr>
          <w:rFonts w:ascii="Arial" w:hAnsi="Arial" w:cs="Arial"/>
          <w:szCs w:val="20"/>
        </w:rPr>
        <w:t xml:space="preserve">three and </w:t>
      </w:r>
      <w:r w:rsidR="001761C7">
        <w:rPr>
          <w:rFonts w:ascii="Arial" w:hAnsi="Arial" w:cs="Arial"/>
          <w:szCs w:val="20"/>
        </w:rPr>
        <w:t>nine</w:t>
      </w:r>
      <w:r w:rsidRPr="00FF5082">
        <w:rPr>
          <w:rFonts w:ascii="Arial" w:hAnsi="Arial" w:cs="Arial"/>
          <w:szCs w:val="20"/>
        </w:rPr>
        <w:t xml:space="preserve"> months ended </w:t>
      </w:r>
      <w:r w:rsidR="001761C7">
        <w:rPr>
          <w:rFonts w:ascii="Arial" w:hAnsi="Arial" w:cs="Arial"/>
          <w:szCs w:val="20"/>
        </w:rPr>
        <w:t>October</w:t>
      </w:r>
      <w:r>
        <w:rPr>
          <w:rFonts w:ascii="Arial" w:hAnsi="Arial" w:cs="Arial"/>
          <w:szCs w:val="20"/>
        </w:rPr>
        <w:t xml:space="preserve"> 31</w:t>
      </w:r>
      <w:r w:rsidRPr="00FF5082">
        <w:rPr>
          <w:rFonts w:ascii="Arial" w:hAnsi="Arial" w:cs="Arial"/>
          <w:szCs w:val="20"/>
        </w:rPr>
        <w:t>, 2019, there were no balances or transaction</w:t>
      </w:r>
      <w:r>
        <w:rPr>
          <w:rFonts w:ascii="Arial" w:hAnsi="Arial" w:cs="Arial"/>
          <w:szCs w:val="20"/>
        </w:rPr>
        <w:t>s related to Pivot-Cartagena JV.</w:t>
      </w:r>
    </w:p>
    <w:p w14:paraId="6B4DDE81" w14:textId="77777777" w:rsidR="00FF5082" w:rsidRDefault="00FF5082"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71316FF2" w14:textId="79324088" w:rsidR="00FF5082" w:rsidRDefault="00FF5082"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sidRPr="002C07FA">
        <w:rPr>
          <w:rFonts w:ascii="Arial" w:hAnsi="Arial" w:cs="Arial"/>
          <w:b/>
          <w:szCs w:val="20"/>
        </w:rPr>
        <w:t>1</w:t>
      </w:r>
      <w:r w:rsidR="001761C7">
        <w:rPr>
          <w:rFonts w:ascii="Arial" w:hAnsi="Arial" w:cs="Arial"/>
          <w:b/>
          <w:szCs w:val="20"/>
        </w:rPr>
        <w:t>9</w:t>
      </w:r>
      <w:r w:rsidRPr="002C07FA">
        <w:rPr>
          <w:rFonts w:ascii="Arial" w:hAnsi="Arial" w:cs="Arial"/>
          <w:b/>
          <w:szCs w:val="20"/>
        </w:rPr>
        <w:t>.</w:t>
      </w:r>
      <w:r w:rsidRPr="002C07FA">
        <w:rPr>
          <w:rFonts w:ascii="Arial" w:hAnsi="Arial" w:cs="Arial"/>
          <w:b/>
          <w:szCs w:val="20"/>
        </w:rPr>
        <w:tab/>
      </w:r>
      <w:r>
        <w:rPr>
          <w:rFonts w:ascii="Arial" w:hAnsi="Arial" w:cs="Arial"/>
          <w:b/>
          <w:szCs w:val="20"/>
        </w:rPr>
        <w:t>Commitments and Contingencies</w:t>
      </w:r>
    </w:p>
    <w:p w14:paraId="10A0995E" w14:textId="77777777" w:rsidR="00FF5082" w:rsidRDefault="00FF5082"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20FBA68F" w14:textId="41C11CFF" w:rsidR="00FF5082" w:rsidRDefault="00951DC9"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bookmarkStart w:id="7" w:name="_Hlk27337788"/>
      <w:r w:rsidRPr="00951DC9">
        <w:rPr>
          <w:rFonts w:ascii="Arial" w:hAnsi="Arial" w:cs="Arial"/>
          <w:szCs w:val="20"/>
        </w:rPr>
        <w:t>In April 2019, the employment of two of the Company’s employees in Pivot Naturals, including the President of Pivot Naturals, which was pursuant to written employment contracts, terminated.  A demand for arbitration before the American Arbitration Association</w:t>
      </w:r>
      <w:r>
        <w:rPr>
          <w:rFonts w:ascii="Arial" w:hAnsi="Arial" w:cs="Arial"/>
          <w:szCs w:val="20"/>
        </w:rPr>
        <w:t xml:space="preserve"> (“AAA”)</w:t>
      </w:r>
      <w:r w:rsidRPr="00951DC9">
        <w:rPr>
          <w:rFonts w:ascii="Arial" w:hAnsi="Arial" w:cs="Arial"/>
          <w:szCs w:val="20"/>
        </w:rPr>
        <w:t xml:space="preserve"> has been made by these former employees</w:t>
      </w:r>
      <w:r>
        <w:rPr>
          <w:rFonts w:ascii="Arial" w:hAnsi="Arial" w:cs="Arial"/>
          <w:szCs w:val="20"/>
        </w:rPr>
        <w:t>.  An</w:t>
      </w:r>
      <w:r w:rsidRPr="00951DC9">
        <w:rPr>
          <w:rFonts w:ascii="Arial" w:hAnsi="Arial" w:cs="Arial"/>
          <w:szCs w:val="20"/>
        </w:rPr>
        <w:t xml:space="preserve"> arbitration claim and complaint has been filed and is pending before the AAA that alleges claims for breach of the written employment contracts, fraud, illegal retaliation in violation of California’s whistleblower statute and tortious discharge in violation of public policy seeking, among other things, recovery of damages for breach of employment contracts, including recovery of severance amounts totaling US$475,000, damages of $580,000 for breach of alleged option rights, waiting time penalties, as well as other general and punitive damages on the tort claims.  The Company intends to vigorously defend these claims and file cross-claims against the former employees for breach of contract and related tort claims and motions for dismissal of certain claims as non</w:t>
      </w:r>
      <w:r>
        <w:rPr>
          <w:rFonts w:ascii="Arial" w:hAnsi="Arial" w:cs="Arial"/>
          <w:szCs w:val="20"/>
        </w:rPr>
        <w:t>-</w:t>
      </w:r>
      <w:r w:rsidRPr="00951DC9">
        <w:rPr>
          <w:rFonts w:ascii="Arial" w:hAnsi="Arial" w:cs="Arial"/>
          <w:szCs w:val="20"/>
        </w:rPr>
        <w:t xml:space="preserve">arbitrable.  In June 2019, the Company paid all accrued and unpaid salary and wages, including accrued vacation payable and state wage penalties where applicable, to these former employees.  </w:t>
      </w:r>
      <w:r w:rsidR="00620114" w:rsidRPr="00620114">
        <w:rPr>
          <w:rFonts w:ascii="Arial" w:hAnsi="Arial" w:cs="Arial"/>
          <w:szCs w:val="20"/>
        </w:rPr>
        <w:t>Additionally, the Company has filed suit in British Columbia against the former President and former Director of Pivot Naturals for declaratory relief and related matters con</w:t>
      </w:r>
      <w:r w:rsidR="00620114">
        <w:rPr>
          <w:rFonts w:ascii="Arial" w:hAnsi="Arial" w:cs="Arial"/>
          <w:szCs w:val="20"/>
        </w:rPr>
        <w:t>cerning control and use of the Company’s a</w:t>
      </w:r>
      <w:r w:rsidR="00620114" w:rsidRPr="00620114">
        <w:rPr>
          <w:rFonts w:ascii="Arial" w:hAnsi="Arial" w:cs="Arial"/>
          <w:szCs w:val="20"/>
        </w:rPr>
        <w:t>ssets</w:t>
      </w:r>
      <w:r w:rsidR="00620114">
        <w:rPr>
          <w:rFonts w:ascii="Arial" w:hAnsi="Arial" w:cs="Arial"/>
          <w:szCs w:val="20"/>
        </w:rPr>
        <w:t>.</w:t>
      </w:r>
      <w:r w:rsidR="00886952">
        <w:rPr>
          <w:rFonts w:ascii="Arial" w:hAnsi="Arial" w:cs="Arial"/>
          <w:szCs w:val="20"/>
        </w:rPr>
        <w:t xml:space="preserve">  </w:t>
      </w:r>
      <w:r w:rsidR="00886952" w:rsidRPr="006E41F5">
        <w:rPr>
          <w:rFonts w:ascii="Arial" w:hAnsi="Arial" w:cs="Arial"/>
          <w:szCs w:val="20"/>
        </w:rPr>
        <w:t xml:space="preserve">The Company has accrued </w:t>
      </w:r>
      <w:r w:rsidR="00886952">
        <w:rPr>
          <w:rFonts w:ascii="Arial" w:hAnsi="Arial" w:cs="Arial"/>
          <w:szCs w:val="20"/>
        </w:rPr>
        <w:t>a provision of $263,200 (US$200,000) as an estimate of costs associated with this matter</w:t>
      </w:r>
      <w:bookmarkEnd w:id="7"/>
      <w:r w:rsidR="00886952">
        <w:rPr>
          <w:rFonts w:ascii="Arial" w:hAnsi="Arial" w:cs="Arial"/>
          <w:szCs w:val="20"/>
        </w:rPr>
        <w:t>.</w:t>
      </w:r>
    </w:p>
    <w:p w14:paraId="3AA98CFD" w14:textId="77777777" w:rsidR="00620114" w:rsidRDefault="00620114"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1592A9DE" w14:textId="24005AED" w:rsidR="00620114" w:rsidRDefault="00620114"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sidRPr="00BC3E90">
        <w:rPr>
          <w:rFonts w:ascii="Arial" w:hAnsi="Arial" w:cs="Arial"/>
          <w:szCs w:val="20"/>
        </w:rPr>
        <w:t>In September 2019, the Company was served with a claim from Green Stream Botanicals Corp. (“GSB”) for a finder’s fee in the amount of $600,000</w:t>
      </w:r>
      <w:r>
        <w:rPr>
          <w:rFonts w:ascii="Arial" w:hAnsi="Arial" w:cs="Arial"/>
          <w:szCs w:val="20"/>
        </w:rPr>
        <w:t xml:space="preserve"> in relation to the non-brokered private placements totaling $15 million (Note 1</w:t>
      </w:r>
      <w:r w:rsidR="001761C7">
        <w:rPr>
          <w:rFonts w:ascii="Arial" w:hAnsi="Arial" w:cs="Arial"/>
          <w:szCs w:val="20"/>
        </w:rPr>
        <w:t>2</w:t>
      </w:r>
      <w:r>
        <w:rPr>
          <w:rFonts w:ascii="Arial" w:hAnsi="Arial" w:cs="Arial"/>
          <w:szCs w:val="20"/>
        </w:rPr>
        <w:t>(e))</w:t>
      </w:r>
      <w:r w:rsidRPr="00BC3E90">
        <w:rPr>
          <w:rFonts w:ascii="Arial" w:hAnsi="Arial" w:cs="Arial"/>
          <w:szCs w:val="20"/>
        </w:rPr>
        <w:t xml:space="preserve">.  </w:t>
      </w:r>
      <w:r>
        <w:rPr>
          <w:rFonts w:ascii="Arial" w:hAnsi="Arial" w:cs="Arial"/>
          <w:szCs w:val="20"/>
        </w:rPr>
        <w:t xml:space="preserve">The Company has not accrued this amount as of </w:t>
      </w:r>
      <w:r w:rsidR="001761C7">
        <w:rPr>
          <w:rFonts w:ascii="Arial" w:hAnsi="Arial" w:cs="Arial"/>
          <w:szCs w:val="20"/>
        </w:rPr>
        <w:t>October</w:t>
      </w:r>
      <w:r>
        <w:rPr>
          <w:rFonts w:ascii="Arial" w:hAnsi="Arial" w:cs="Arial"/>
          <w:szCs w:val="20"/>
        </w:rPr>
        <w:t xml:space="preserve"> 31, 2019 as management is not able to assess the likelihood of payment</w:t>
      </w:r>
      <w:r w:rsidRPr="00BC3E90">
        <w:rPr>
          <w:rFonts w:ascii="Arial" w:hAnsi="Arial" w:cs="Arial"/>
          <w:szCs w:val="20"/>
        </w:rPr>
        <w:t>.</w:t>
      </w:r>
    </w:p>
    <w:p w14:paraId="6D88E55D" w14:textId="37D40F74" w:rsidR="001761C7" w:rsidRDefault="001761C7"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5D61B9EB" w14:textId="64AF0CE0" w:rsidR="001761C7" w:rsidRPr="00BC3E90" w:rsidRDefault="001761C7"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sidRPr="001761C7">
        <w:rPr>
          <w:rFonts w:ascii="Arial" w:hAnsi="Arial" w:cs="Arial"/>
          <w:szCs w:val="20"/>
        </w:rPr>
        <w:t xml:space="preserve">In November 2019, </w:t>
      </w:r>
      <w:r>
        <w:rPr>
          <w:rFonts w:ascii="Arial" w:hAnsi="Arial" w:cs="Arial"/>
          <w:szCs w:val="20"/>
        </w:rPr>
        <w:t>the Company’s</w:t>
      </w:r>
      <w:r w:rsidRPr="001761C7">
        <w:rPr>
          <w:rFonts w:ascii="Arial" w:hAnsi="Arial" w:cs="Arial"/>
          <w:szCs w:val="20"/>
        </w:rPr>
        <w:t xml:space="preserve"> former Chief Executive Officer filed an originating application with the Superior Court in the province of Quebec for damages stemming from a termination of employment. </w:t>
      </w:r>
      <w:r>
        <w:rPr>
          <w:rFonts w:ascii="Arial" w:hAnsi="Arial" w:cs="Arial"/>
          <w:szCs w:val="20"/>
        </w:rPr>
        <w:t xml:space="preserve"> The Company</w:t>
      </w:r>
      <w:r w:rsidRPr="001761C7">
        <w:rPr>
          <w:rFonts w:ascii="Arial" w:hAnsi="Arial" w:cs="Arial"/>
          <w:szCs w:val="20"/>
        </w:rPr>
        <w:t xml:space="preserve"> is in the process of responding to the originating application</w:t>
      </w:r>
      <w:r w:rsidR="00532F4E">
        <w:rPr>
          <w:rFonts w:ascii="Arial" w:hAnsi="Arial" w:cs="Arial"/>
          <w:szCs w:val="20"/>
        </w:rPr>
        <w:t>.</w:t>
      </w:r>
    </w:p>
    <w:p w14:paraId="255DE650" w14:textId="77777777" w:rsidR="00FF5082" w:rsidRDefault="00FF5082"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18E441EF" w14:textId="77777777" w:rsidR="001761C7" w:rsidRDefault="001761C7">
      <w:pPr>
        <w:rPr>
          <w:rFonts w:ascii="Arial" w:hAnsi="Arial" w:cs="Arial"/>
          <w:b/>
          <w:szCs w:val="20"/>
        </w:rPr>
      </w:pPr>
      <w:r>
        <w:rPr>
          <w:rFonts w:ascii="Arial" w:hAnsi="Arial" w:cs="Arial"/>
          <w:b/>
          <w:szCs w:val="20"/>
        </w:rPr>
        <w:br w:type="page"/>
      </w:r>
    </w:p>
    <w:p w14:paraId="4CE75A3C" w14:textId="0CFE753C" w:rsidR="00BD31CE" w:rsidRDefault="001761C7"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Pr>
          <w:rFonts w:ascii="Arial" w:hAnsi="Arial" w:cs="Arial"/>
          <w:b/>
          <w:szCs w:val="20"/>
        </w:rPr>
        <w:lastRenderedPageBreak/>
        <w:t>20</w:t>
      </w:r>
      <w:r w:rsidR="00BD31CE" w:rsidRPr="00141AEB">
        <w:rPr>
          <w:rFonts w:ascii="Arial" w:hAnsi="Arial" w:cs="Arial"/>
          <w:b/>
          <w:szCs w:val="20"/>
        </w:rPr>
        <w:t>.</w:t>
      </w:r>
      <w:r w:rsidR="00BD31CE" w:rsidRPr="00141AEB">
        <w:rPr>
          <w:rFonts w:ascii="Arial" w:hAnsi="Arial" w:cs="Arial"/>
          <w:b/>
          <w:szCs w:val="20"/>
        </w:rPr>
        <w:tab/>
        <w:t>Operating Segment</w:t>
      </w:r>
    </w:p>
    <w:p w14:paraId="627D9C11" w14:textId="77777777" w:rsidR="00BD31CE" w:rsidRDefault="00BD31CE"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307C76B1" w14:textId="0C52A094" w:rsidR="00BD31CE" w:rsidRDefault="00BD31CE"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Pr>
          <w:rFonts w:ascii="Arial" w:hAnsi="Arial" w:cs="Arial"/>
          <w:szCs w:val="20"/>
        </w:rPr>
        <w:t xml:space="preserve">The Company operates in one industry segment within </w:t>
      </w:r>
      <w:r w:rsidR="00027230">
        <w:rPr>
          <w:rFonts w:ascii="Arial" w:hAnsi="Arial" w:cs="Arial"/>
          <w:szCs w:val="20"/>
        </w:rPr>
        <w:t>three</w:t>
      </w:r>
      <w:r>
        <w:rPr>
          <w:rFonts w:ascii="Arial" w:hAnsi="Arial" w:cs="Arial"/>
          <w:szCs w:val="20"/>
        </w:rPr>
        <w:t xml:space="preserve"> geographical areas, Canada</w:t>
      </w:r>
      <w:r w:rsidR="00027230">
        <w:rPr>
          <w:rFonts w:ascii="Arial" w:hAnsi="Arial" w:cs="Arial"/>
          <w:szCs w:val="20"/>
        </w:rPr>
        <w:t>, U.S</w:t>
      </w:r>
      <w:r>
        <w:rPr>
          <w:rFonts w:ascii="Arial" w:hAnsi="Arial" w:cs="Arial"/>
          <w:szCs w:val="20"/>
        </w:rPr>
        <w:t xml:space="preserve"> and the </w:t>
      </w:r>
      <w:r w:rsidR="00027230">
        <w:rPr>
          <w:rFonts w:ascii="Arial" w:hAnsi="Arial" w:cs="Arial"/>
          <w:szCs w:val="20"/>
        </w:rPr>
        <w:t>E.U</w:t>
      </w:r>
      <w:r>
        <w:rPr>
          <w:rFonts w:ascii="Arial" w:hAnsi="Arial" w:cs="Arial"/>
          <w:szCs w:val="20"/>
        </w:rPr>
        <w:t>.</w:t>
      </w:r>
    </w:p>
    <w:p w14:paraId="78D2BBAF" w14:textId="77777777" w:rsidR="00850E6C" w:rsidRDefault="00850E6C"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tbl>
      <w:tblPr>
        <w:tblW w:w="8820" w:type="dxa"/>
        <w:tblInd w:w="540" w:type="dxa"/>
        <w:tblCellMar>
          <w:left w:w="0" w:type="dxa"/>
          <w:right w:w="0" w:type="dxa"/>
        </w:tblCellMar>
        <w:tblLook w:val="0000" w:firstRow="0" w:lastRow="0" w:firstColumn="0" w:lastColumn="0" w:noHBand="0" w:noVBand="0"/>
      </w:tblPr>
      <w:tblGrid>
        <w:gridCol w:w="3420"/>
        <w:gridCol w:w="1236"/>
        <w:gridCol w:w="1374"/>
        <w:gridCol w:w="1350"/>
        <w:gridCol w:w="1440"/>
      </w:tblGrid>
      <w:tr w:rsidR="00027230" w:rsidRPr="00F60034" w14:paraId="565C124D" w14:textId="77777777" w:rsidTr="00027230">
        <w:tc>
          <w:tcPr>
            <w:tcW w:w="3420" w:type="dxa"/>
            <w:tcBorders>
              <w:bottom w:val="single" w:sz="4" w:space="0" w:color="auto"/>
            </w:tcBorders>
            <w:vAlign w:val="bottom"/>
          </w:tcPr>
          <w:p w14:paraId="78CD7BD3" w14:textId="77777777" w:rsidR="00027230" w:rsidRPr="00F60034" w:rsidRDefault="00027230" w:rsidP="008F39E2">
            <w:pPr>
              <w:spacing w:after="0" w:line="240" w:lineRule="auto"/>
              <w:jc w:val="center"/>
              <w:rPr>
                <w:rStyle w:val="HeadNoteTitle"/>
                <w:rFonts w:cs="Arial"/>
                <w:b w:val="0"/>
                <w:bCs/>
                <w:sz w:val="20"/>
                <w:szCs w:val="20"/>
              </w:rPr>
            </w:pPr>
            <w:r w:rsidRPr="00F60034">
              <w:rPr>
                <w:rFonts w:ascii="Arial" w:hAnsi="Arial" w:cs="Arial"/>
                <w:szCs w:val="20"/>
              </w:rPr>
              <w:fldChar w:fldCharType="begin"/>
            </w:r>
            <w:r w:rsidRPr="00F60034">
              <w:rPr>
                <w:rFonts w:ascii="Arial" w:hAnsi="Arial" w:cs="Arial"/>
                <w:szCs w:val="20"/>
              </w:rPr>
              <w:instrText>ADVANCE \d 5</w:instrText>
            </w:r>
            <w:r w:rsidRPr="00F60034">
              <w:rPr>
                <w:rFonts w:ascii="Arial" w:hAnsi="Arial" w:cs="Arial"/>
                <w:szCs w:val="20"/>
              </w:rPr>
              <w:fldChar w:fldCharType="end"/>
            </w:r>
          </w:p>
        </w:tc>
        <w:tc>
          <w:tcPr>
            <w:tcW w:w="1236" w:type="dxa"/>
            <w:tcBorders>
              <w:bottom w:val="single" w:sz="4" w:space="0" w:color="auto"/>
            </w:tcBorders>
          </w:tcPr>
          <w:p w14:paraId="35D237BC" w14:textId="77777777" w:rsidR="00027230" w:rsidRDefault="00027230" w:rsidP="008F39E2">
            <w:pPr>
              <w:spacing w:after="0" w:line="240" w:lineRule="auto"/>
              <w:jc w:val="center"/>
              <w:rPr>
                <w:rFonts w:ascii="Arial" w:hAnsi="Arial" w:cs="Arial"/>
              </w:rPr>
            </w:pPr>
            <w:r w:rsidRPr="004620AD">
              <w:rPr>
                <w:rFonts w:ascii="Arial" w:hAnsi="Arial" w:cs="Arial"/>
              </w:rPr>
              <w:t>Canada</w:t>
            </w:r>
          </w:p>
          <w:p w14:paraId="7E1455DE" w14:textId="5CB0F406" w:rsidR="00027230" w:rsidRPr="004620AD" w:rsidRDefault="00027230" w:rsidP="008F39E2">
            <w:pPr>
              <w:spacing w:after="0" w:line="240" w:lineRule="auto"/>
              <w:jc w:val="center"/>
              <w:rPr>
                <w:rStyle w:val="HeadNoteTitle"/>
                <w:rFonts w:cs="Arial"/>
                <w:b w:val="0"/>
                <w:bCs/>
                <w:sz w:val="20"/>
                <w:szCs w:val="20"/>
              </w:rPr>
            </w:pPr>
            <w:r>
              <w:rPr>
                <w:rFonts w:ascii="Arial" w:hAnsi="Arial" w:cs="Arial"/>
              </w:rPr>
              <w:t>$</w:t>
            </w:r>
          </w:p>
        </w:tc>
        <w:tc>
          <w:tcPr>
            <w:tcW w:w="1374" w:type="dxa"/>
            <w:tcBorders>
              <w:bottom w:val="single" w:sz="4" w:space="0" w:color="auto"/>
            </w:tcBorders>
            <w:tcMar>
              <w:left w:w="0" w:type="dxa"/>
              <w:right w:w="0" w:type="dxa"/>
            </w:tcMar>
          </w:tcPr>
          <w:p w14:paraId="0B8E6406" w14:textId="77777777" w:rsidR="00027230" w:rsidRDefault="00027230" w:rsidP="008F39E2">
            <w:pPr>
              <w:spacing w:after="0" w:line="240" w:lineRule="auto"/>
              <w:jc w:val="center"/>
              <w:rPr>
                <w:rFonts w:ascii="Arial" w:hAnsi="Arial" w:cs="Arial"/>
              </w:rPr>
            </w:pPr>
            <w:r w:rsidRPr="004620AD">
              <w:rPr>
                <w:rFonts w:ascii="Arial" w:hAnsi="Arial" w:cs="Arial"/>
              </w:rPr>
              <w:t>U.S.</w:t>
            </w:r>
          </w:p>
          <w:p w14:paraId="6D2F2E8A" w14:textId="709FE57C" w:rsidR="00027230" w:rsidRPr="004620AD" w:rsidRDefault="00027230" w:rsidP="008F39E2">
            <w:pPr>
              <w:spacing w:after="0" w:line="240" w:lineRule="auto"/>
              <w:jc w:val="center"/>
              <w:rPr>
                <w:rStyle w:val="HeadNoteTitle"/>
                <w:rFonts w:cs="Arial"/>
                <w:b w:val="0"/>
                <w:bCs/>
                <w:sz w:val="20"/>
                <w:szCs w:val="20"/>
              </w:rPr>
            </w:pPr>
            <w:r>
              <w:rPr>
                <w:rFonts w:ascii="Arial" w:hAnsi="Arial" w:cs="Arial"/>
              </w:rPr>
              <w:t>$</w:t>
            </w:r>
          </w:p>
        </w:tc>
        <w:tc>
          <w:tcPr>
            <w:tcW w:w="1350" w:type="dxa"/>
            <w:tcBorders>
              <w:bottom w:val="single" w:sz="4" w:space="0" w:color="auto"/>
            </w:tcBorders>
          </w:tcPr>
          <w:p w14:paraId="39AFA04E" w14:textId="39CB7C77" w:rsidR="00027230" w:rsidRDefault="00027230" w:rsidP="008F39E2">
            <w:pPr>
              <w:spacing w:after="0" w:line="240" w:lineRule="auto"/>
              <w:jc w:val="center"/>
              <w:rPr>
                <w:rFonts w:ascii="Arial" w:hAnsi="Arial" w:cs="Arial"/>
                <w:szCs w:val="20"/>
              </w:rPr>
            </w:pPr>
            <w:r>
              <w:rPr>
                <w:rFonts w:ascii="Arial" w:hAnsi="Arial" w:cs="Arial"/>
                <w:szCs w:val="20"/>
              </w:rPr>
              <w:t>E.U.</w:t>
            </w:r>
          </w:p>
        </w:tc>
        <w:tc>
          <w:tcPr>
            <w:tcW w:w="1440" w:type="dxa"/>
            <w:tcBorders>
              <w:bottom w:val="single" w:sz="4" w:space="0" w:color="auto"/>
            </w:tcBorders>
          </w:tcPr>
          <w:p w14:paraId="4133C5CD" w14:textId="05020612" w:rsidR="00027230" w:rsidRDefault="00027230" w:rsidP="008F39E2">
            <w:pPr>
              <w:spacing w:after="0" w:line="240" w:lineRule="auto"/>
              <w:jc w:val="center"/>
              <w:rPr>
                <w:rFonts w:ascii="Arial" w:hAnsi="Arial" w:cs="Arial"/>
                <w:szCs w:val="20"/>
              </w:rPr>
            </w:pPr>
            <w:r>
              <w:rPr>
                <w:rFonts w:ascii="Arial" w:hAnsi="Arial" w:cs="Arial"/>
                <w:szCs w:val="20"/>
              </w:rPr>
              <w:t>Total</w:t>
            </w:r>
          </w:p>
          <w:p w14:paraId="46195EF1" w14:textId="7A3817C5" w:rsidR="00027230" w:rsidRPr="00F60034" w:rsidRDefault="00027230" w:rsidP="008F39E2">
            <w:pPr>
              <w:spacing w:after="0" w:line="240" w:lineRule="auto"/>
              <w:jc w:val="center"/>
              <w:rPr>
                <w:rFonts w:ascii="Arial" w:hAnsi="Arial" w:cs="Arial"/>
                <w:szCs w:val="20"/>
              </w:rPr>
            </w:pPr>
            <w:r>
              <w:rPr>
                <w:rFonts w:ascii="Arial" w:hAnsi="Arial" w:cs="Arial"/>
                <w:szCs w:val="20"/>
              </w:rPr>
              <w:t>$</w:t>
            </w:r>
          </w:p>
        </w:tc>
      </w:tr>
      <w:tr w:rsidR="00027230" w:rsidRPr="00F60034" w14:paraId="7911EC80" w14:textId="77777777" w:rsidTr="00027230">
        <w:trPr>
          <w:trHeight w:hRule="exact" w:val="115"/>
        </w:trPr>
        <w:tc>
          <w:tcPr>
            <w:tcW w:w="3420" w:type="dxa"/>
            <w:tcBorders>
              <w:top w:val="single" w:sz="4" w:space="0" w:color="auto"/>
            </w:tcBorders>
          </w:tcPr>
          <w:p w14:paraId="2536EA24" w14:textId="77777777" w:rsidR="00027230" w:rsidRPr="00F60034" w:rsidRDefault="00027230" w:rsidP="008F39E2">
            <w:pPr>
              <w:spacing w:after="0" w:line="240" w:lineRule="auto"/>
              <w:rPr>
                <w:rFonts w:ascii="Arial" w:hAnsi="Arial" w:cs="Arial"/>
                <w:szCs w:val="20"/>
              </w:rPr>
            </w:pPr>
          </w:p>
        </w:tc>
        <w:tc>
          <w:tcPr>
            <w:tcW w:w="1236" w:type="dxa"/>
            <w:tcBorders>
              <w:top w:val="single" w:sz="4" w:space="0" w:color="auto"/>
            </w:tcBorders>
          </w:tcPr>
          <w:p w14:paraId="46C13C92"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374" w:type="dxa"/>
            <w:tcBorders>
              <w:top w:val="single" w:sz="4" w:space="0" w:color="auto"/>
            </w:tcBorders>
          </w:tcPr>
          <w:p w14:paraId="7E3D908A"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350" w:type="dxa"/>
            <w:tcBorders>
              <w:top w:val="single" w:sz="4" w:space="0" w:color="auto"/>
            </w:tcBorders>
          </w:tcPr>
          <w:p w14:paraId="690E8E15"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440" w:type="dxa"/>
            <w:tcBorders>
              <w:top w:val="single" w:sz="4" w:space="0" w:color="auto"/>
            </w:tcBorders>
          </w:tcPr>
          <w:p w14:paraId="1ADF06BB" w14:textId="21A599EB" w:rsidR="00027230" w:rsidRPr="00F60034" w:rsidRDefault="00027230" w:rsidP="008F39E2">
            <w:pPr>
              <w:spacing w:after="0" w:line="240" w:lineRule="auto"/>
              <w:ind w:right="29"/>
              <w:jc w:val="right"/>
              <w:rPr>
                <w:rStyle w:val="HeadNoteTitle"/>
                <w:rFonts w:cs="Arial"/>
                <w:b w:val="0"/>
                <w:bCs/>
                <w:sz w:val="20"/>
                <w:szCs w:val="20"/>
              </w:rPr>
            </w:pPr>
          </w:p>
        </w:tc>
      </w:tr>
      <w:tr w:rsidR="00027230" w:rsidRPr="00F60034" w14:paraId="7A6D2313" w14:textId="77777777" w:rsidTr="00027230">
        <w:tc>
          <w:tcPr>
            <w:tcW w:w="3420" w:type="dxa"/>
          </w:tcPr>
          <w:p w14:paraId="4833DB62" w14:textId="34AB9C72" w:rsidR="00027230" w:rsidRPr="004620AD" w:rsidRDefault="00B94972" w:rsidP="00040621">
            <w:pPr>
              <w:spacing w:after="0" w:line="240" w:lineRule="auto"/>
              <w:rPr>
                <w:rFonts w:ascii="Arial" w:hAnsi="Arial" w:cs="Arial"/>
                <w:b/>
                <w:szCs w:val="20"/>
              </w:rPr>
            </w:pPr>
            <w:r>
              <w:rPr>
                <w:rFonts w:ascii="Arial" w:hAnsi="Arial" w:cs="Arial"/>
                <w:b/>
                <w:szCs w:val="20"/>
              </w:rPr>
              <w:t>Nine</w:t>
            </w:r>
            <w:r w:rsidR="00027230">
              <w:rPr>
                <w:rFonts w:ascii="Arial" w:hAnsi="Arial" w:cs="Arial"/>
                <w:b/>
                <w:szCs w:val="20"/>
              </w:rPr>
              <w:t xml:space="preserve"> months</w:t>
            </w:r>
            <w:r w:rsidR="00027230" w:rsidRPr="004620AD">
              <w:rPr>
                <w:rFonts w:ascii="Arial" w:hAnsi="Arial" w:cs="Arial"/>
                <w:b/>
                <w:szCs w:val="20"/>
              </w:rPr>
              <w:t xml:space="preserve"> ended </w:t>
            </w:r>
            <w:r>
              <w:rPr>
                <w:rFonts w:ascii="Arial" w:hAnsi="Arial" w:cs="Arial"/>
                <w:b/>
                <w:szCs w:val="20"/>
              </w:rPr>
              <w:t>October</w:t>
            </w:r>
            <w:r w:rsidR="00027230" w:rsidRPr="004620AD">
              <w:rPr>
                <w:rFonts w:ascii="Arial" w:hAnsi="Arial" w:cs="Arial"/>
                <w:b/>
                <w:szCs w:val="20"/>
              </w:rPr>
              <w:t xml:space="preserve"> </w:t>
            </w:r>
            <w:r w:rsidR="00027230">
              <w:rPr>
                <w:rFonts w:ascii="Arial" w:hAnsi="Arial" w:cs="Arial"/>
                <w:b/>
                <w:szCs w:val="20"/>
              </w:rPr>
              <w:t>31, 2019</w:t>
            </w:r>
          </w:p>
        </w:tc>
        <w:tc>
          <w:tcPr>
            <w:tcW w:w="1236" w:type="dxa"/>
            <w:vAlign w:val="bottom"/>
          </w:tcPr>
          <w:p w14:paraId="08741A64" w14:textId="77777777" w:rsidR="00027230" w:rsidRPr="00F60034" w:rsidRDefault="00027230" w:rsidP="00040621">
            <w:pPr>
              <w:pStyle w:val="Header"/>
              <w:tabs>
                <w:tab w:val="left" w:pos="990"/>
              </w:tabs>
              <w:ind w:left="86" w:right="90" w:hanging="86"/>
              <w:jc w:val="right"/>
              <w:rPr>
                <w:rFonts w:ascii="Arial" w:hAnsi="Arial" w:cs="Arial"/>
                <w:szCs w:val="20"/>
              </w:rPr>
            </w:pPr>
          </w:p>
        </w:tc>
        <w:tc>
          <w:tcPr>
            <w:tcW w:w="1374" w:type="dxa"/>
            <w:vAlign w:val="bottom"/>
          </w:tcPr>
          <w:p w14:paraId="6925355C" w14:textId="77777777" w:rsidR="00027230" w:rsidRPr="00F60034" w:rsidRDefault="00027230" w:rsidP="00040621">
            <w:pPr>
              <w:pStyle w:val="Header"/>
              <w:ind w:left="86" w:right="180" w:hanging="86"/>
              <w:jc w:val="right"/>
              <w:rPr>
                <w:rFonts w:ascii="Arial" w:hAnsi="Arial" w:cs="Arial"/>
                <w:szCs w:val="20"/>
              </w:rPr>
            </w:pPr>
          </w:p>
        </w:tc>
        <w:tc>
          <w:tcPr>
            <w:tcW w:w="1350" w:type="dxa"/>
          </w:tcPr>
          <w:p w14:paraId="7EC3BA7A" w14:textId="77777777" w:rsidR="00027230" w:rsidRPr="00F60034" w:rsidRDefault="00027230" w:rsidP="00040621">
            <w:pPr>
              <w:pStyle w:val="Header"/>
              <w:ind w:left="86" w:right="288" w:hanging="86"/>
              <w:jc w:val="right"/>
              <w:rPr>
                <w:rFonts w:ascii="Arial" w:hAnsi="Arial" w:cs="Arial"/>
                <w:szCs w:val="20"/>
              </w:rPr>
            </w:pPr>
          </w:p>
        </w:tc>
        <w:tc>
          <w:tcPr>
            <w:tcW w:w="1440" w:type="dxa"/>
            <w:vAlign w:val="bottom"/>
          </w:tcPr>
          <w:p w14:paraId="537CEBC1" w14:textId="6E6DA0EE" w:rsidR="00027230" w:rsidRPr="00F60034" w:rsidRDefault="00027230" w:rsidP="00040621">
            <w:pPr>
              <w:pStyle w:val="Header"/>
              <w:ind w:left="86" w:right="288" w:hanging="86"/>
              <w:jc w:val="right"/>
              <w:rPr>
                <w:rFonts w:ascii="Arial" w:hAnsi="Arial" w:cs="Arial"/>
                <w:szCs w:val="20"/>
              </w:rPr>
            </w:pPr>
          </w:p>
        </w:tc>
      </w:tr>
      <w:tr w:rsidR="00027230" w:rsidRPr="00F60034" w14:paraId="5EB2226F" w14:textId="77777777" w:rsidTr="00027230">
        <w:tc>
          <w:tcPr>
            <w:tcW w:w="3420" w:type="dxa"/>
          </w:tcPr>
          <w:p w14:paraId="47E7998C" w14:textId="77777777" w:rsidR="00027230" w:rsidRPr="00F60034" w:rsidRDefault="00027230" w:rsidP="00040621">
            <w:pPr>
              <w:spacing w:after="0" w:line="240" w:lineRule="auto"/>
              <w:ind w:left="180"/>
              <w:rPr>
                <w:rFonts w:ascii="Arial" w:hAnsi="Arial" w:cs="Arial"/>
                <w:szCs w:val="20"/>
              </w:rPr>
            </w:pPr>
            <w:r>
              <w:rPr>
                <w:rFonts w:ascii="Arial" w:hAnsi="Arial" w:cs="Arial"/>
                <w:szCs w:val="20"/>
              </w:rPr>
              <w:t>Revenue</w:t>
            </w:r>
          </w:p>
        </w:tc>
        <w:tc>
          <w:tcPr>
            <w:tcW w:w="1236" w:type="dxa"/>
            <w:vAlign w:val="bottom"/>
          </w:tcPr>
          <w:p w14:paraId="1AFA5D43" w14:textId="77777777" w:rsidR="00027230" w:rsidRPr="000745D5" w:rsidRDefault="00027230" w:rsidP="00040621">
            <w:pPr>
              <w:pStyle w:val="Header"/>
              <w:tabs>
                <w:tab w:val="left" w:pos="990"/>
              </w:tabs>
              <w:ind w:left="86" w:right="90" w:hanging="86"/>
              <w:jc w:val="right"/>
              <w:rPr>
                <w:rFonts w:ascii="Arial" w:hAnsi="Arial" w:cs="Arial"/>
                <w:szCs w:val="20"/>
              </w:rPr>
            </w:pPr>
            <w:r w:rsidRPr="000745D5">
              <w:rPr>
                <w:rFonts w:ascii="Arial" w:hAnsi="Arial" w:cs="Arial"/>
                <w:szCs w:val="20"/>
              </w:rPr>
              <w:t>–</w:t>
            </w:r>
          </w:p>
        </w:tc>
        <w:tc>
          <w:tcPr>
            <w:tcW w:w="1374" w:type="dxa"/>
            <w:vAlign w:val="bottom"/>
          </w:tcPr>
          <w:p w14:paraId="11D89F2C" w14:textId="77777777" w:rsidR="00027230" w:rsidRPr="000745D5" w:rsidRDefault="00027230" w:rsidP="00040621">
            <w:pPr>
              <w:pStyle w:val="Header"/>
              <w:ind w:left="86" w:right="180" w:hanging="86"/>
              <w:jc w:val="right"/>
              <w:rPr>
                <w:rFonts w:ascii="Arial" w:hAnsi="Arial" w:cs="Arial"/>
                <w:szCs w:val="20"/>
              </w:rPr>
            </w:pPr>
            <w:r w:rsidRPr="000745D5">
              <w:rPr>
                <w:rFonts w:ascii="Arial" w:hAnsi="Arial" w:cs="Arial"/>
                <w:szCs w:val="20"/>
              </w:rPr>
              <w:t>–</w:t>
            </w:r>
          </w:p>
        </w:tc>
        <w:tc>
          <w:tcPr>
            <w:tcW w:w="1350" w:type="dxa"/>
          </w:tcPr>
          <w:p w14:paraId="659DB5E9" w14:textId="31DC910D" w:rsidR="00027230" w:rsidRPr="000745D5" w:rsidRDefault="00027230" w:rsidP="00040621">
            <w:pPr>
              <w:pStyle w:val="Header"/>
              <w:ind w:left="86" w:right="288" w:hanging="86"/>
              <w:jc w:val="right"/>
              <w:rPr>
                <w:rFonts w:ascii="Arial" w:hAnsi="Arial" w:cs="Arial"/>
                <w:szCs w:val="20"/>
              </w:rPr>
            </w:pPr>
            <w:r w:rsidRPr="000745D5">
              <w:rPr>
                <w:rFonts w:ascii="Arial" w:hAnsi="Arial" w:cs="Arial"/>
                <w:szCs w:val="20"/>
              </w:rPr>
              <w:t>–</w:t>
            </w:r>
          </w:p>
        </w:tc>
        <w:tc>
          <w:tcPr>
            <w:tcW w:w="1440" w:type="dxa"/>
            <w:vAlign w:val="bottom"/>
          </w:tcPr>
          <w:p w14:paraId="3E5F0791" w14:textId="35D5C971" w:rsidR="00027230" w:rsidRPr="000745D5" w:rsidRDefault="00027230" w:rsidP="00040621">
            <w:pPr>
              <w:pStyle w:val="Header"/>
              <w:ind w:left="86" w:right="288" w:hanging="86"/>
              <w:jc w:val="right"/>
              <w:rPr>
                <w:rFonts w:ascii="Arial" w:hAnsi="Arial" w:cs="Arial"/>
                <w:szCs w:val="20"/>
              </w:rPr>
            </w:pPr>
            <w:r w:rsidRPr="000745D5">
              <w:rPr>
                <w:rFonts w:ascii="Arial" w:hAnsi="Arial" w:cs="Arial"/>
                <w:szCs w:val="20"/>
              </w:rPr>
              <w:t>–</w:t>
            </w:r>
          </w:p>
        </w:tc>
      </w:tr>
      <w:tr w:rsidR="00027230" w:rsidRPr="00F60034" w14:paraId="4EB44390" w14:textId="77777777" w:rsidTr="00027230">
        <w:tc>
          <w:tcPr>
            <w:tcW w:w="3420" w:type="dxa"/>
          </w:tcPr>
          <w:p w14:paraId="72DFF794" w14:textId="77777777" w:rsidR="00027230" w:rsidRPr="00F60034" w:rsidRDefault="00027230" w:rsidP="00040621">
            <w:pPr>
              <w:spacing w:after="0" w:line="240" w:lineRule="auto"/>
              <w:ind w:left="180"/>
              <w:rPr>
                <w:rFonts w:ascii="Arial" w:hAnsi="Arial" w:cs="Arial"/>
                <w:szCs w:val="20"/>
              </w:rPr>
            </w:pPr>
            <w:r>
              <w:rPr>
                <w:rFonts w:ascii="Arial" w:hAnsi="Arial" w:cs="Arial"/>
                <w:szCs w:val="20"/>
              </w:rPr>
              <w:t>Net loss</w:t>
            </w:r>
          </w:p>
        </w:tc>
        <w:tc>
          <w:tcPr>
            <w:tcW w:w="1236" w:type="dxa"/>
            <w:vAlign w:val="bottom"/>
          </w:tcPr>
          <w:p w14:paraId="1529E141" w14:textId="22677172" w:rsidR="00027230" w:rsidRPr="000745D5" w:rsidRDefault="000745D5" w:rsidP="00A24C4A">
            <w:pPr>
              <w:pStyle w:val="Header"/>
              <w:tabs>
                <w:tab w:val="left" w:pos="990"/>
              </w:tabs>
              <w:ind w:left="86" w:right="90" w:hanging="86"/>
              <w:jc w:val="right"/>
              <w:rPr>
                <w:rFonts w:ascii="Arial" w:hAnsi="Arial" w:cs="Arial"/>
                <w:szCs w:val="20"/>
              </w:rPr>
            </w:pPr>
            <w:r w:rsidRPr="000745D5">
              <w:rPr>
                <w:rFonts w:ascii="Arial" w:hAnsi="Arial" w:cs="Arial"/>
                <w:szCs w:val="20"/>
              </w:rPr>
              <w:t>7,</w:t>
            </w:r>
            <w:r w:rsidR="002C6FD4">
              <w:rPr>
                <w:rFonts w:ascii="Arial" w:hAnsi="Arial" w:cs="Arial"/>
                <w:szCs w:val="20"/>
              </w:rPr>
              <w:t>498,700</w:t>
            </w:r>
          </w:p>
        </w:tc>
        <w:tc>
          <w:tcPr>
            <w:tcW w:w="1374" w:type="dxa"/>
            <w:vAlign w:val="bottom"/>
          </w:tcPr>
          <w:p w14:paraId="02B33117" w14:textId="4C81443E" w:rsidR="00027230" w:rsidRPr="000745D5" w:rsidRDefault="000745D5" w:rsidP="00040621">
            <w:pPr>
              <w:pStyle w:val="Header"/>
              <w:ind w:left="86" w:right="180" w:hanging="86"/>
              <w:jc w:val="right"/>
              <w:rPr>
                <w:rFonts w:ascii="Arial" w:hAnsi="Arial" w:cs="Arial"/>
                <w:szCs w:val="20"/>
              </w:rPr>
            </w:pPr>
            <w:r w:rsidRPr="000745D5">
              <w:rPr>
                <w:rFonts w:ascii="Arial" w:hAnsi="Arial" w:cs="Arial"/>
                <w:szCs w:val="20"/>
              </w:rPr>
              <w:t>1,289,626</w:t>
            </w:r>
          </w:p>
        </w:tc>
        <w:tc>
          <w:tcPr>
            <w:tcW w:w="1350" w:type="dxa"/>
          </w:tcPr>
          <w:p w14:paraId="58D42BE0" w14:textId="71A101C1" w:rsidR="00027230" w:rsidRPr="000745D5" w:rsidRDefault="000745D5" w:rsidP="00040621">
            <w:pPr>
              <w:pStyle w:val="Header"/>
              <w:ind w:left="86" w:right="288" w:hanging="86"/>
              <w:jc w:val="right"/>
              <w:rPr>
                <w:rFonts w:ascii="Arial" w:hAnsi="Arial" w:cs="Arial"/>
                <w:szCs w:val="20"/>
              </w:rPr>
            </w:pPr>
            <w:r w:rsidRPr="000745D5">
              <w:rPr>
                <w:rFonts w:ascii="Arial" w:hAnsi="Arial" w:cs="Arial"/>
                <w:szCs w:val="20"/>
              </w:rPr>
              <w:t>130,176</w:t>
            </w:r>
          </w:p>
        </w:tc>
        <w:tc>
          <w:tcPr>
            <w:tcW w:w="1440" w:type="dxa"/>
            <w:vAlign w:val="bottom"/>
          </w:tcPr>
          <w:p w14:paraId="2F6EF4DB" w14:textId="634342E4" w:rsidR="00027230" w:rsidRPr="000745D5" w:rsidRDefault="000745D5" w:rsidP="00A24C4A">
            <w:pPr>
              <w:pStyle w:val="Header"/>
              <w:ind w:left="86" w:right="288" w:hanging="86"/>
              <w:jc w:val="right"/>
              <w:rPr>
                <w:rFonts w:ascii="Arial" w:hAnsi="Arial" w:cs="Arial"/>
                <w:szCs w:val="20"/>
              </w:rPr>
            </w:pPr>
            <w:r w:rsidRPr="000745D5">
              <w:rPr>
                <w:rFonts w:ascii="Arial" w:hAnsi="Arial" w:cs="Arial"/>
                <w:szCs w:val="20"/>
              </w:rPr>
              <w:t>8,</w:t>
            </w:r>
            <w:r w:rsidR="002C6FD4">
              <w:rPr>
                <w:rFonts w:ascii="Arial" w:hAnsi="Arial" w:cs="Arial"/>
                <w:szCs w:val="20"/>
              </w:rPr>
              <w:t>918,502</w:t>
            </w:r>
          </w:p>
        </w:tc>
      </w:tr>
      <w:tr w:rsidR="00027230" w:rsidRPr="00F60034" w14:paraId="22410D27" w14:textId="77777777" w:rsidTr="00027230">
        <w:trPr>
          <w:trHeight w:hRule="exact" w:val="115"/>
        </w:trPr>
        <w:tc>
          <w:tcPr>
            <w:tcW w:w="3420" w:type="dxa"/>
          </w:tcPr>
          <w:p w14:paraId="7490B929" w14:textId="77777777" w:rsidR="00027230" w:rsidRPr="00F60034" w:rsidRDefault="00027230" w:rsidP="00040621">
            <w:pPr>
              <w:spacing w:after="0" w:line="240" w:lineRule="auto"/>
              <w:rPr>
                <w:rFonts w:ascii="Arial" w:hAnsi="Arial" w:cs="Arial"/>
                <w:szCs w:val="20"/>
              </w:rPr>
            </w:pPr>
          </w:p>
        </w:tc>
        <w:tc>
          <w:tcPr>
            <w:tcW w:w="1236" w:type="dxa"/>
          </w:tcPr>
          <w:p w14:paraId="6F1C4F88" w14:textId="77777777" w:rsidR="00027230" w:rsidRPr="00B94972" w:rsidRDefault="00027230" w:rsidP="00040621">
            <w:pPr>
              <w:spacing w:after="0" w:line="240" w:lineRule="auto"/>
              <w:ind w:right="29"/>
              <w:jc w:val="right"/>
              <w:rPr>
                <w:rStyle w:val="HeadNoteTitle"/>
                <w:rFonts w:cs="Arial"/>
                <w:b w:val="0"/>
                <w:bCs/>
                <w:sz w:val="20"/>
                <w:szCs w:val="20"/>
                <w:highlight w:val="yellow"/>
              </w:rPr>
            </w:pPr>
          </w:p>
        </w:tc>
        <w:tc>
          <w:tcPr>
            <w:tcW w:w="1374" w:type="dxa"/>
          </w:tcPr>
          <w:p w14:paraId="2C23F524" w14:textId="77777777" w:rsidR="00027230" w:rsidRPr="00B94972" w:rsidRDefault="00027230" w:rsidP="00040621">
            <w:pPr>
              <w:spacing w:after="0" w:line="240" w:lineRule="auto"/>
              <w:ind w:right="29"/>
              <w:jc w:val="right"/>
              <w:rPr>
                <w:rStyle w:val="HeadNoteTitle"/>
                <w:rFonts w:cs="Arial"/>
                <w:b w:val="0"/>
                <w:bCs/>
                <w:sz w:val="20"/>
                <w:szCs w:val="20"/>
                <w:highlight w:val="yellow"/>
              </w:rPr>
            </w:pPr>
          </w:p>
        </w:tc>
        <w:tc>
          <w:tcPr>
            <w:tcW w:w="1350" w:type="dxa"/>
          </w:tcPr>
          <w:p w14:paraId="5975CBA1" w14:textId="77777777" w:rsidR="00027230" w:rsidRPr="00B94972" w:rsidRDefault="00027230" w:rsidP="00040621">
            <w:pPr>
              <w:spacing w:after="0" w:line="240" w:lineRule="auto"/>
              <w:ind w:right="29"/>
              <w:jc w:val="right"/>
              <w:rPr>
                <w:rStyle w:val="HeadNoteTitle"/>
                <w:rFonts w:cs="Arial"/>
                <w:b w:val="0"/>
                <w:bCs/>
                <w:sz w:val="20"/>
                <w:szCs w:val="20"/>
                <w:highlight w:val="yellow"/>
              </w:rPr>
            </w:pPr>
          </w:p>
        </w:tc>
        <w:tc>
          <w:tcPr>
            <w:tcW w:w="1440" w:type="dxa"/>
          </w:tcPr>
          <w:p w14:paraId="7A802CBB" w14:textId="5EA4203E" w:rsidR="00027230" w:rsidRPr="00B94972" w:rsidRDefault="00027230" w:rsidP="00040621">
            <w:pPr>
              <w:spacing w:after="0" w:line="240" w:lineRule="auto"/>
              <w:ind w:right="29"/>
              <w:jc w:val="right"/>
              <w:rPr>
                <w:rStyle w:val="HeadNoteTitle"/>
                <w:rFonts w:cs="Arial"/>
                <w:b w:val="0"/>
                <w:bCs/>
                <w:sz w:val="20"/>
                <w:szCs w:val="20"/>
                <w:highlight w:val="yellow"/>
              </w:rPr>
            </w:pPr>
          </w:p>
        </w:tc>
      </w:tr>
      <w:tr w:rsidR="00027230" w:rsidRPr="00F60034" w14:paraId="47E0BD64" w14:textId="77777777" w:rsidTr="00027230">
        <w:tc>
          <w:tcPr>
            <w:tcW w:w="3420" w:type="dxa"/>
          </w:tcPr>
          <w:p w14:paraId="34A25787" w14:textId="72697366" w:rsidR="00027230" w:rsidRPr="004620AD" w:rsidRDefault="00B94972" w:rsidP="00040621">
            <w:pPr>
              <w:spacing w:after="0" w:line="240" w:lineRule="auto"/>
              <w:rPr>
                <w:rFonts w:ascii="Arial" w:hAnsi="Arial" w:cs="Arial"/>
                <w:b/>
                <w:szCs w:val="20"/>
              </w:rPr>
            </w:pPr>
            <w:r>
              <w:rPr>
                <w:rFonts w:ascii="Arial" w:hAnsi="Arial" w:cs="Arial"/>
                <w:b/>
                <w:szCs w:val="20"/>
              </w:rPr>
              <w:t>Nine</w:t>
            </w:r>
            <w:r w:rsidR="00027230">
              <w:rPr>
                <w:rFonts w:ascii="Arial" w:hAnsi="Arial" w:cs="Arial"/>
                <w:b/>
                <w:szCs w:val="20"/>
              </w:rPr>
              <w:t xml:space="preserve"> months</w:t>
            </w:r>
            <w:r w:rsidR="00027230" w:rsidRPr="004620AD">
              <w:rPr>
                <w:rFonts w:ascii="Arial" w:hAnsi="Arial" w:cs="Arial"/>
                <w:b/>
                <w:szCs w:val="20"/>
              </w:rPr>
              <w:t xml:space="preserve"> ended </w:t>
            </w:r>
            <w:r>
              <w:rPr>
                <w:rFonts w:ascii="Arial" w:hAnsi="Arial" w:cs="Arial"/>
                <w:b/>
                <w:szCs w:val="20"/>
              </w:rPr>
              <w:t>October</w:t>
            </w:r>
            <w:r w:rsidR="00027230" w:rsidRPr="004620AD">
              <w:rPr>
                <w:rFonts w:ascii="Arial" w:hAnsi="Arial" w:cs="Arial"/>
                <w:b/>
                <w:szCs w:val="20"/>
              </w:rPr>
              <w:t xml:space="preserve"> </w:t>
            </w:r>
            <w:r w:rsidR="00027230">
              <w:rPr>
                <w:rFonts w:ascii="Arial" w:hAnsi="Arial" w:cs="Arial"/>
                <w:b/>
                <w:szCs w:val="20"/>
              </w:rPr>
              <w:t>31, 2018</w:t>
            </w:r>
          </w:p>
        </w:tc>
        <w:tc>
          <w:tcPr>
            <w:tcW w:w="1236" w:type="dxa"/>
            <w:vAlign w:val="bottom"/>
          </w:tcPr>
          <w:p w14:paraId="53049F06" w14:textId="77777777" w:rsidR="00027230" w:rsidRPr="00240976" w:rsidRDefault="00027230" w:rsidP="00040621">
            <w:pPr>
              <w:pStyle w:val="Header"/>
              <w:tabs>
                <w:tab w:val="left" w:pos="990"/>
              </w:tabs>
              <w:ind w:left="86" w:right="90" w:hanging="86"/>
              <w:jc w:val="right"/>
              <w:rPr>
                <w:rFonts w:ascii="Arial" w:hAnsi="Arial" w:cs="Arial"/>
                <w:szCs w:val="20"/>
              </w:rPr>
            </w:pPr>
          </w:p>
        </w:tc>
        <w:tc>
          <w:tcPr>
            <w:tcW w:w="1374" w:type="dxa"/>
            <w:vAlign w:val="bottom"/>
          </w:tcPr>
          <w:p w14:paraId="73557FDE" w14:textId="77777777" w:rsidR="00027230" w:rsidRPr="00240976" w:rsidRDefault="00027230" w:rsidP="00040621">
            <w:pPr>
              <w:pStyle w:val="Header"/>
              <w:ind w:left="86" w:right="180" w:hanging="86"/>
              <w:jc w:val="right"/>
              <w:rPr>
                <w:rFonts w:ascii="Arial" w:hAnsi="Arial" w:cs="Arial"/>
                <w:szCs w:val="20"/>
              </w:rPr>
            </w:pPr>
          </w:p>
        </w:tc>
        <w:tc>
          <w:tcPr>
            <w:tcW w:w="1350" w:type="dxa"/>
          </w:tcPr>
          <w:p w14:paraId="2055824A" w14:textId="77777777" w:rsidR="00027230" w:rsidRPr="00240976" w:rsidRDefault="00027230" w:rsidP="00040621">
            <w:pPr>
              <w:pStyle w:val="Header"/>
              <w:ind w:left="86" w:right="288" w:hanging="86"/>
              <w:jc w:val="right"/>
              <w:rPr>
                <w:rFonts w:ascii="Arial" w:hAnsi="Arial" w:cs="Arial"/>
                <w:szCs w:val="20"/>
              </w:rPr>
            </w:pPr>
          </w:p>
        </w:tc>
        <w:tc>
          <w:tcPr>
            <w:tcW w:w="1440" w:type="dxa"/>
            <w:vAlign w:val="bottom"/>
          </w:tcPr>
          <w:p w14:paraId="32176DEC" w14:textId="1711C8EA" w:rsidR="00027230" w:rsidRPr="00240976" w:rsidRDefault="00027230" w:rsidP="00040621">
            <w:pPr>
              <w:pStyle w:val="Header"/>
              <w:ind w:left="86" w:right="288" w:hanging="86"/>
              <w:jc w:val="right"/>
              <w:rPr>
                <w:rFonts w:ascii="Arial" w:hAnsi="Arial" w:cs="Arial"/>
                <w:szCs w:val="20"/>
              </w:rPr>
            </w:pPr>
          </w:p>
        </w:tc>
      </w:tr>
      <w:tr w:rsidR="00027230" w:rsidRPr="00F60034" w14:paraId="3250190C" w14:textId="77777777" w:rsidTr="00027230">
        <w:tc>
          <w:tcPr>
            <w:tcW w:w="3420" w:type="dxa"/>
          </w:tcPr>
          <w:p w14:paraId="13CE8A2F" w14:textId="77777777" w:rsidR="00027230" w:rsidRPr="00F60034" w:rsidRDefault="00027230" w:rsidP="00040621">
            <w:pPr>
              <w:spacing w:after="0" w:line="240" w:lineRule="auto"/>
              <w:ind w:left="180"/>
              <w:rPr>
                <w:rFonts w:ascii="Arial" w:hAnsi="Arial" w:cs="Arial"/>
                <w:szCs w:val="20"/>
              </w:rPr>
            </w:pPr>
            <w:r>
              <w:rPr>
                <w:rFonts w:ascii="Arial" w:hAnsi="Arial" w:cs="Arial"/>
                <w:szCs w:val="20"/>
              </w:rPr>
              <w:t>Revenue</w:t>
            </w:r>
          </w:p>
        </w:tc>
        <w:tc>
          <w:tcPr>
            <w:tcW w:w="1236" w:type="dxa"/>
            <w:vAlign w:val="bottom"/>
          </w:tcPr>
          <w:p w14:paraId="7597F347" w14:textId="77777777" w:rsidR="00027230" w:rsidRPr="00240976" w:rsidRDefault="00027230" w:rsidP="00040621">
            <w:pPr>
              <w:pStyle w:val="Header"/>
              <w:tabs>
                <w:tab w:val="left" w:pos="990"/>
              </w:tabs>
              <w:ind w:left="86" w:right="90" w:hanging="86"/>
              <w:jc w:val="right"/>
              <w:rPr>
                <w:rFonts w:ascii="Arial" w:hAnsi="Arial" w:cs="Arial"/>
                <w:szCs w:val="20"/>
              </w:rPr>
            </w:pPr>
            <w:r w:rsidRPr="00240976">
              <w:rPr>
                <w:rFonts w:ascii="Arial" w:hAnsi="Arial" w:cs="Arial"/>
                <w:szCs w:val="20"/>
              </w:rPr>
              <w:t>–</w:t>
            </w:r>
          </w:p>
        </w:tc>
        <w:tc>
          <w:tcPr>
            <w:tcW w:w="1374" w:type="dxa"/>
            <w:vAlign w:val="bottom"/>
          </w:tcPr>
          <w:p w14:paraId="615CF290" w14:textId="77777777" w:rsidR="00027230" w:rsidRPr="00240976" w:rsidRDefault="00027230" w:rsidP="00040621">
            <w:pPr>
              <w:pStyle w:val="Header"/>
              <w:ind w:left="86" w:right="180" w:hanging="86"/>
              <w:jc w:val="right"/>
              <w:rPr>
                <w:rFonts w:ascii="Arial" w:hAnsi="Arial" w:cs="Arial"/>
                <w:szCs w:val="20"/>
              </w:rPr>
            </w:pPr>
            <w:r w:rsidRPr="00240976">
              <w:rPr>
                <w:rFonts w:ascii="Arial" w:hAnsi="Arial" w:cs="Arial"/>
                <w:szCs w:val="20"/>
              </w:rPr>
              <w:t>–</w:t>
            </w:r>
          </w:p>
        </w:tc>
        <w:tc>
          <w:tcPr>
            <w:tcW w:w="1350" w:type="dxa"/>
          </w:tcPr>
          <w:p w14:paraId="008CA46C" w14:textId="498A6E96" w:rsidR="00027230" w:rsidRPr="00240976" w:rsidRDefault="00027230" w:rsidP="00040621">
            <w:pPr>
              <w:pStyle w:val="Header"/>
              <w:ind w:left="86" w:right="288" w:hanging="86"/>
              <w:jc w:val="right"/>
              <w:rPr>
                <w:rFonts w:ascii="Arial" w:hAnsi="Arial" w:cs="Arial"/>
                <w:szCs w:val="20"/>
              </w:rPr>
            </w:pPr>
            <w:r w:rsidRPr="00240976">
              <w:rPr>
                <w:rFonts w:ascii="Arial" w:hAnsi="Arial" w:cs="Arial"/>
                <w:szCs w:val="20"/>
              </w:rPr>
              <w:t>–</w:t>
            </w:r>
          </w:p>
        </w:tc>
        <w:tc>
          <w:tcPr>
            <w:tcW w:w="1440" w:type="dxa"/>
            <w:vAlign w:val="bottom"/>
          </w:tcPr>
          <w:p w14:paraId="45D25D3F" w14:textId="0B741D17" w:rsidR="00027230" w:rsidRPr="00240976" w:rsidRDefault="00027230" w:rsidP="00040621">
            <w:pPr>
              <w:pStyle w:val="Header"/>
              <w:ind w:left="86" w:right="288" w:hanging="86"/>
              <w:jc w:val="right"/>
              <w:rPr>
                <w:rFonts w:ascii="Arial" w:hAnsi="Arial" w:cs="Arial"/>
                <w:szCs w:val="20"/>
              </w:rPr>
            </w:pPr>
            <w:r w:rsidRPr="00240976">
              <w:rPr>
                <w:rFonts w:ascii="Arial" w:hAnsi="Arial" w:cs="Arial"/>
                <w:szCs w:val="20"/>
              </w:rPr>
              <w:t>–</w:t>
            </w:r>
          </w:p>
        </w:tc>
      </w:tr>
      <w:tr w:rsidR="00027230" w:rsidRPr="00F60034" w14:paraId="76C35E8E" w14:textId="77777777" w:rsidTr="00027230">
        <w:tc>
          <w:tcPr>
            <w:tcW w:w="3420" w:type="dxa"/>
          </w:tcPr>
          <w:p w14:paraId="45DDAF0F" w14:textId="77777777" w:rsidR="00027230" w:rsidRPr="00F60034" w:rsidRDefault="00027230" w:rsidP="00040621">
            <w:pPr>
              <w:spacing w:after="0" w:line="240" w:lineRule="auto"/>
              <w:ind w:left="180"/>
              <w:rPr>
                <w:rFonts w:ascii="Arial" w:hAnsi="Arial" w:cs="Arial"/>
                <w:szCs w:val="20"/>
              </w:rPr>
            </w:pPr>
            <w:r>
              <w:rPr>
                <w:rFonts w:ascii="Arial" w:hAnsi="Arial" w:cs="Arial"/>
                <w:szCs w:val="20"/>
              </w:rPr>
              <w:t>Net loss</w:t>
            </w:r>
          </w:p>
        </w:tc>
        <w:tc>
          <w:tcPr>
            <w:tcW w:w="1236" w:type="dxa"/>
            <w:vAlign w:val="bottom"/>
          </w:tcPr>
          <w:p w14:paraId="6491BA26" w14:textId="259A771E" w:rsidR="00027230" w:rsidRPr="00240976" w:rsidRDefault="00240976" w:rsidP="00A24C4A">
            <w:pPr>
              <w:pStyle w:val="Header"/>
              <w:tabs>
                <w:tab w:val="left" w:pos="990"/>
              </w:tabs>
              <w:ind w:left="86" w:right="90" w:hanging="86"/>
              <w:jc w:val="right"/>
              <w:rPr>
                <w:rFonts w:ascii="Arial" w:hAnsi="Arial" w:cs="Arial"/>
                <w:szCs w:val="20"/>
              </w:rPr>
            </w:pPr>
            <w:r w:rsidRPr="00240976">
              <w:rPr>
                <w:rFonts w:ascii="Arial" w:hAnsi="Arial" w:cs="Arial"/>
                <w:szCs w:val="20"/>
              </w:rPr>
              <w:t>5,903,983</w:t>
            </w:r>
          </w:p>
        </w:tc>
        <w:tc>
          <w:tcPr>
            <w:tcW w:w="1374" w:type="dxa"/>
            <w:vAlign w:val="bottom"/>
          </w:tcPr>
          <w:p w14:paraId="459F2CA1" w14:textId="78DC39A5" w:rsidR="00027230" w:rsidRPr="00240976" w:rsidRDefault="00240976" w:rsidP="00BA67BA">
            <w:pPr>
              <w:pStyle w:val="Header"/>
              <w:ind w:left="86" w:right="180" w:hanging="86"/>
              <w:jc w:val="right"/>
              <w:rPr>
                <w:rFonts w:ascii="Arial" w:hAnsi="Arial" w:cs="Arial"/>
                <w:szCs w:val="20"/>
              </w:rPr>
            </w:pPr>
            <w:r w:rsidRPr="00240976">
              <w:rPr>
                <w:rFonts w:ascii="Arial" w:hAnsi="Arial" w:cs="Arial"/>
                <w:szCs w:val="20"/>
              </w:rPr>
              <w:t>1,704,950</w:t>
            </w:r>
          </w:p>
        </w:tc>
        <w:tc>
          <w:tcPr>
            <w:tcW w:w="1350" w:type="dxa"/>
          </w:tcPr>
          <w:p w14:paraId="5B0C944F" w14:textId="5EC144A3" w:rsidR="00027230" w:rsidRPr="00240976" w:rsidRDefault="00027230" w:rsidP="00040621">
            <w:pPr>
              <w:pStyle w:val="Header"/>
              <w:ind w:left="86" w:right="288" w:hanging="86"/>
              <w:jc w:val="right"/>
              <w:rPr>
                <w:rFonts w:ascii="Arial" w:hAnsi="Arial" w:cs="Arial"/>
                <w:szCs w:val="20"/>
              </w:rPr>
            </w:pPr>
            <w:r w:rsidRPr="00240976">
              <w:rPr>
                <w:rFonts w:ascii="Arial" w:hAnsi="Arial" w:cs="Arial"/>
                <w:szCs w:val="20"/>
              </w:rPr>
              <w:t>–</w:t>
            </w:r>
          </w:p>
        </w:tc>
        <w:tc>
          <w:tcPr>
            <w:tcW w:w="1440" w:type="dxa"/>
            <w:vAlign w:val="bottom"/>
          </w:tcPr>
          <w:p w14:paraId="067FFAC0" w14:textId="54BE7500" w:rsidR="00027230" w:rsidRPr="00240976" w:rsidRDefault="00240976" w:rsidP="00A24C4A">
            <w:pPr>
              <w:pStyle w:val="Header"/>
              <w:ind w:left="86" w:right="288" w:hanging="86"/>
              <w:jc w:val="right"/>
              <w:rPr>
                <w:rFonts w:ascii="Arial" w:hAnsi="Arial" w:cs="Arial"/>
                <w:szCs w:val="20"/>
              </w:rPr>
            </w:pPr>
            <w:r w:rsidRPr="00240976">
              <w:rPr>
                <w:rFonts w:ascii="Arial" w:hAnsi="Arial" w:cs="Arial"/>
                <w:szCs w:val="20"/>
              </w:rPr>
              <w:t>7,608,933</w:t>
            </w:r>
          </w:p>
        </w:tc>
      </w:tr>
      <w:tr w:rsidR="00027230" w:rsidRPr="00F60034" w14:paraId="0DE29F91" w14:textId="77777777" w:rsidTr="00027230">
        <w:trPr>
          <w:trHeight w:hRule="exact" w:val="115"/>
        </w:trPr>
        <w:tc>
          <w:tcPr>
            <w:tcW w:w="3420" w:type="dxa"/>
          </w:tcPr>
          <w:p w14:paraId="400F6060" w14:textId="77777777" w:rsidR="00027230" w:rsidRPr="00F60034" w:rsidRDefault="00027230" w:rsidP="00040621">
            <w:pPr>
              <w:spacing w:after="0" w:line="240" w:lineRule="auto"/>
              <w:rPr>
                <w:rFonts w:ascii="Arial" w:hAnsi="Arial" w:cs="Arial"/>
                <w:szCs w:val="20"/>
              </w:rPr>
            </w:pPr>
          </w:p>
        </w:tc>
        <w:tc>
          <w:tcPr>
            <w:tcW w:w="1236" w:type="dxa"/>
          </w:tcPr>
          <w:p w14:paraId="28F12735" w14:textId="77777777" w:rsidR="00027230" w:rsidRPr="00B94972" w:rsidRDefault="00027230" w:rsidP="00040621">
            <w:pPr>
              <w:spacing w:after="0" w:line="240" w:lineRule="auto"/>
              <w:ind w:right="29"/>
              <w:jc w:val="right"/>
              <w:rPr>
                <w:rStyle w:val="HeadNoteTitle"/>
                <w:rFonts w:cs="Arial"/>
                <w:b w:val="0"/>
                <w:bCs/>
                <w:sz w:val="20"/>
                <w:szCs w:val="20"/>
                <w:highlight w:val="yellow"/>
              </w:rPr>
            </w:pPr>
          </w:p>
        </w:tc>
        <w:tc>
          <w:tcPr>
            <w:tcW w:w="1374" w:type="dxa"/>
          </w:tcPr>
          <w:p w14:paraId="4679D80C" w14:textId="77777777" w:rsidR="00027230" w:rsidRPr="00B94972" w:rsidRDefault="00027230" w:rsidP="00040621">
            <w:pPr>
              <w:spacing w:after="0" w:line="240" w:lineRule="auto"/>
              <w:ind w:right="29"/>
              <w:jc w:val="right"/>
              <w:rPr>
                <w:rStyle w:val="HeadNoteTitle"/>
                <w:rFonts w:cs="Arial"/>
                <w:b w:val="0"/>
                <w:bCs/>
                <w:sz w:val="20"/>
                <w:szCs w:val="20"/>
                <w:highlight w:val="yellow"/>
              </w:rPr>
            </w:pPr>
          </w:p>
        </w:tc>
        <w:tc>
          <w:tcPr>
            <w:tcW w:w="1350" w:type="dxa"/>
          </w:tcPr>
          <w:p w14:paraId="530B097D" w14:textId="77777777" w:rsidR="00027230" w:rsidRPr="00B94972" w:rsidRDefault="00027230" w:rsidP="00040621">
            <w:pPr>
              <w:spacing w:after="0" w:line="240" w:lineRule="auto"/>
              <w:ind w:right="29"/>
              <w:jc w:val="right"/>
              <w:rPr>
                <w:rStyle w:val="HeadNoteTitle"/>
                <w:rFonts w:cs="Arial"/>
                <w:b w:val="0"/>
                <w:bCs/>
                <w:sz w:val="20"/>
                <w:szCs w:val="20"/>
                <w:highlight w:val="yellow"/>
              </w:rPr>
            </w:pPr>
          </w:p>
        </w:tc>
        <w:tc>
          <w:tcPr>
            <w:tcW w:w="1440" w:type="dxa"/>
          </w:tcPr>
          <w:p w14:paraId="4B621C40" w14:textId="0CA28D15" w:rsidR="00027230" w:rsidRPr="00B94972" w:rsidRDefault="00027230" w:rsidP="00040621">
            <w:pPr>
              <w:spacing w:after="0" w:line="240" w:lineRule="auto"/>
              <w:ind w:right="29"/>
              <w:jc w:val="right"/>
              <w:rPr>
                <w:rStyle w:val="HeadNoteTitle"/>
                <w:rFonts w:cs="Arial"/>
                <w:b w:val="0"/>
                <w:bCs/>
                <w:sz w:val="20"/>
                <w:szCs w:val="20"/>
                <w:highlight w:val="yellow"/>
              </w:rPr>
            </w:pPr>
          </w:p>
        </w:tc>
      </w:tr>
      <w:tr w:rsidR="00027230" w:rsidRPr="00F60034" w14:paraId="4D00B341" w14:textId="77777777" w:rsidTr="00027230">
        <w:tc>
          <w:tcPr>
            <w:tcW w:w="3420" w:type="dxa"/>
          </w:tcPr>
          <w:p w14:paraId="3FAAF006" w14:textId="2188C2CE" w:rsidR="00027230" w:rsidRPr="004620AD" w:rsidRDefault="00027230" w:rsidP="00027230">
            <w:pPr>
              <w:spacing w:after="0" w:line="240" w:lineRule="auto"/>
              <w:rPr>
                <w:rFonts w:ascii="Arial" w:hAnsi="Arial" w:cs="Arial"/>
                <w:b/>
                <w:szCs w:val="20"/>
              </w:rPr>
            </w:pPr>
            <w:r>
              <w:rPr>
                <w:rFonts w:ascii="Arial" w:hAnsi="Arial" w:cs="Arial"/>
                <w:b/>
                <w:szCs w:val="20"/>
              </w:rPr>
              <w:t>Three months</w:t>
            </w:r>
            <w:r w:rsidRPr="004620AD">
              <w:rPr>
                <w:rFonts w:ascii="Arial" w:hAnsi="Arial" w:cs="Arial"/>
                <w:b/>
                <w:szCs w:val="20"/>
              </w:rPr>
              <w:t xml:space="preserve"> ended </w:t>
            </w:r>
            <w:r w:rsidR="00B94972">
              <w:rPr>
                <w:rFonts w:ascii="Arial" w:hAnsi="Arial" w:cs="Arial"/>
                <w:b/>
                <w:szCs w:val="20"/>
              </w:rPr>
              <w:t>October</w:t>
            </w:r>
            <w:r w:rsidRPr="004620AD">
              <w:rPr>
                <w:rFonts w:ascii="Arial" w:hAnsi="Arial" w:cs="Arial"/>
                <w:b/>
                <w:szCs w:val="20"/>
              </w:rPr>
              <w:t xml:space="preserve"> </w:t>
            </w:r>
            <w:r>
              <w:rPr>
                <w:rFonts w:ascii="Arial" w:hAnsi="Arial" w:cs="Arial"/>
                <w:b/>
                <w:szCs w:val="20"/>
              </w:rPr>
              <w:t>31, 2019</w:t>
            </w:r>
          </w:p>
        </w:tc>
        <w:tc>
          <w:tcPr>
            <w:tcW w:w="1236" w:type="dxa"/>
            <w:vAlign w:val="bottom"/>
          </w:tcPr>
          <w:p w14:paraId="1BC6E408" w14:textId="0C79CABF" w:rsidR="00027230" w:rsidRPr="00B94972" w:rsidRDefault="00027230" w:rsidP="008F39E2">
            <w:pPr>
              <w:pStyle w:val="Header"/>
              <w:tabs>
                <w:tab w:val="left" w:pos="990"/>
              </w:tabs>
              <w:ind w:left="86" w:right="90" w:hanging="86"/>
              <w:jc w:val="right"/>
              <w:rPr>
                <w:rFonts w:ascii="Arial" w:hAnsi="Arial" w:cs="Arial"/>
                <w:szCs w:val="20"/>
                <w:highlight w:val="yellow"/>
              </w:rPr>
            </w:pPr>
          </w:p>
        </w:tc>
        <w:tc>
          <w:tcPr>
            <w:tcW w:w="1374" w:type="dxa"/>
            <w:vAlign w:val="bottom"/>
          </w:tcPr>
          <w:p w14:paraId="3826D62E" w14:textId="3763B982" w:rsidR="00027230" w:rsidRPr="00B94972" w:rsidRDefault="00027230" w:rsidP="008F39E2">
            <w:pPr>
              <w:pStyle w:val="Header"/>
              <w:ind w:left="86" w:right="180" w:hanging="86"/>
              <w:jc w:val="right"/>
              <w:rPr>
                <w:rFonts w:ascii="Arial" w:hAnsi="Arial" w:cs="Arial"/>
                <w:szCs w:val="20"/>
                <w:highlight w:val="yellow"/>
              </w:rPr>
            </w:pPr>
          </w:p>
        </w:tc>
        <w:tc>
          <w:tcPr>
            <w:tcW w:w="1350" w:type="dxa"/>
          </w:tcPr>
          <w:p w14:paraId="356721A6" w14:textId="77777777" w:rsidR="00027230" w:rsidRPr="00B94972" w:rsidRDefault="00027230" w:rsidP="008F39E2">
            <w:pPr>
              <w:pStyle w:val="Header"/>
              <w:ind w:left="86" w:right="288" w:hanging="86"/>
              <w:jc w:val="right"/>
              <w:rPr>
                <w:rFonts w:ascii="Arial" w:hAnsi="Arial" w:cs="Arial"/>
                <w:szCs w:val="20"/>
                <w:highlight w:val="yellow"/>
              </w:rPr>
            </w:pPr>
          </w:p>
        </w:tc>
        <w:tc>
          <w:tcPr>
            <w:tcW w:w="1440" w:type="dxa"/>
            <w:vAlign w:val="bottom"/>
          </w:tcPr>
          <w:p w14:paraId="44F3834B" w14:textId="6977D65A" w:rsidR="00027230" w:rsidRPr="00B94972" w:rsidRDefault="00027230" w:rsidP="008F39E2">
            <w:pPr>
              <w:pStyle w:val="Header"/>
              <w:ind w:left="86" w:right="288" w:hanging="86"/>
              <w:jc w:val="right"/>
              <w:rPr>
                <w:rFonts w:ascii="Arial" w:hAnsi="Arial" w:cs="Arial"/>
                <w:szCs w:val="20"/>
                <w:highlight w:val="yellow"/>
              </w:rPr>
            </w:pPr>
          </w:p>
        </w:tc>
      </w:tr>
      <w:tr w:rsidR="00027230" w:rsidRPr="00F60034" w14:paraId="13594FEB" w14:textId="77777777" w:rsidTr="00027230">
        <w:tc>
          <w:tcPr>
            <w:tcW w:w="3420" w:type="dxa"/>
          </w:tcPr>
          <w:p w14:paraId="2EE9AABE" w14:textId="03211149" w:rsidR="00027230" w:rsidRPr="00F60034" w:rsidRDefault="00027230" w:rsidP="008F39E2">
            <w:pPr>
              <w:spacing w:after="0" w:line="240" w:lineRule="auto"/>
              <w:ind w:left="180"/>
              <w:rPr>
                <w:rFonts w:ascii="Arial" w:hAnsi="Arial" w:cs="Arial"/>
                <w:szCs w:val="20"/>
              </w:rPr>
            </w:pPr>
            <w:r>
              <w:rPr>
                <w:rFonts w:ascii="Arial" w:hAnsi="Arial" w:cs="Arial"/>
                <w:szCs w:val="20"/>
              </w:rPr>
              <w:t>Revenue</w:t>
            </w:r>
          </w:p>
        </w:tc>
        <w:tc>
          <w:tcPr>
            <w:tcW w:w="1236" w:type="dxa"/>
            <w:vAlign w:val="bottom"/>
          </w:tcPr>
          <w:p w14:paraId="5548049A" w14:textId="53940B00" w:rsidR="00027230" w:rsidRPr="000745D5" w:rsidRDefault="00027230" w:rsidP="008F39E2">
            <w:pPr>
              <w:pStyle w:val="Header"/>
              <w:tabs>
                <w:tab w:val="left" w:pos="990"/>
              </w:tabs>
              <w:ind w:left="86" w:right="90" w:hanging="86"/>
              <w:jc w:val="right"/>
              <w:rPr>
                <w:rFonts w:ascii="Arial" w:hAnsi="Arial" w:cs="Arial"/>
                <w:szCs w:val="20"/>
              </w:rPr>
            </w:pPr>
            <w:r w:rsidRPr="000745D5">
              <w:rPr>
                <w:rFonts w:ascii="Arial" w:hAnsi="Arial" w:cs="Arial"/>
                <w:szCs w:val="20"/>
              </w:rPr>
              <w:t>–</w:t>
            </w:r>
          </w:p>
        </w:tc>
        <w:tc>
          <w:tcPr>
            <w:tcW w:w="1374" w:type="dxa"/>
            <w:vAlign w:val="bottom"/>
          </w:tcPr>
          <w:p w14:paraId="46E57005" w14:textId="795ACB67" w:rsidR="00027230" w:rsidRPr="000745D5" w:rsidRDefault="00027230" w:rsidP="008F39E2">
            <w:pPr>
              <w:pStyle w:val="Header"/>
              <w:ind w:left="86" w:right="180" w:hanging="86"/>
              <w:jc w:val="right"/>
              <w:rPr>
                <w:rFonts w:ascii="Arial" w:hAnsi="Arial" w:cs="Arial"/>
                <w:szCs w:val="20"/>
              </w:rPr>
            </w:pPr>
            <w:r w:rsidRPr="000745D5">
              <w:rPr>
                <w:rFonts w:ascii="Arial" w:hAnsi="Arial" w:cs="Arial"/>
                <w:szCs w:val="20"/>
              </w:rPr>
              <w:t>–</w:t>
            </w:r>
          </w:p>
        </w:tc>
        <w:tc>
          <w:tcPr>
            <w:tcW w:w="1350" w:type="dxa"/>
          </w:tcPr>
          <w:p w14:paraId="3F46344F" w14:textId="3772FA61" w:rsidR="00027230" w:rsidRPr="000745D5" w:rsidRDefault="00027230" w:rsidP="008F39E2">
            <w:pPr>
              <w:pStyle w:val="Header"/>
              <w:ind w:left="86" w:right="288" w:hanging="86"/>
              <w:jc w:val="right"/>
              <w:rPr>
                <w:rFonts w:ascii="Arial" w:hAnsi="Arial" w:cs="Arial"/>
                <w:szCs w:val="20"/>
              </w:rPr>
            </w:pPr>
            <w:r w:rsidRPr="000745D5">
              <w:rPr>
                <w:rFonts w:ascii="Arial" w:hAnsi="Arial" w:cs="Arial"/>
                <w:szCs w:val="20"/>
              </w:rPr>
              <w:t>–</w:t>
            </w:r>
          </w:p>
        </w:tc>
        <w:tc>
          <w:tcPr>
            <w:tcW w:w="1440" w:type="dxa"/>
            <w:vAlign w:val="bottom"/>
          </w:tcPr>
          <w:p w14:paraId="6B07551E" w14:textId="5082A6CF" w:rsidR="00027230" w:rsidRPr="000745D5" w:rsidRDefault="00027230" w:rsidP="008F39E2">
            <w:pPr>
              <w:pStyle w:val="Header"/>
              <w:ind w:left="86" w:right="288" w:hanging="86"/>
              <w:jc w:val="right"/>
              <w:rPr>
                <w:rFonts w:ascii="Arial" w:hAnsi="Arial" w:cs="Arial"/>
                <w:szCs w:val="20"/>
              </w:rPr>
            </w:pPr>
            <w:r w:rsidRPr="000745D5">
              <w:rPr>
                <w:rFonts w:ascii="Arial" w:hAnsi="Arial" w:cs="Arial"/>
                <w:szCs w:val="20"/>
              </w:rPr>
              <w:t>–</w:t>
            </w:r>
          </w:p>
        </w:tc>
      </w:tr>
      <w:tr w:rsidR="00027230" w:rsidRPr="00F60034" w14:paraId="45B168A7" w14:textId="77777777" w:rsidTr="00027230">
        <w:tc>
          <w:tcPr>
            <w:tcW w:w="3420" w:type="dxa"/>
          </w:tcPr>
          <w:p w14:paraId="645BB320" w14:textId="22590868" w:rsidR="00027230" w:rsidRPr="00F60034" w:rsidRDefault="00027230" w:rsidP="008F39E2">
            <w:pPr>
              <w:spacing w:after="0" w:line="240" w:lineRule="auto"/>
              <w:ind w:left="180"/>
              <w:rPr>
                <w:rFonts w:ascii="Arial" w:hAnsi="Arial" w:cs="Arial"/>
                <w:szCs w:val="20"/>
              </w:rPr>
            </w:pPr>
            <w:r>
              <w:rPr>
                <w:rFonts w:ascii="Arial" w:hAnsi="Arial" w:cs="Arial"/>
                <w:szCs w:val="20"/>
              </w:rPr>
              <w:t>Net loss</w:t>
            </w:r>
          </w:p>
        </w:tc>
        <w:tc>
          <w:tcPr>
            <w:tcW w:w="1236" w:type="dxa"/>
            <w:vAlign w:val="bottom"/>
          </w:tcPr>
          <w:p w14:paraId="2CF3BAC7" w14:textId="2F3CCC46" w:rsidR="00027230" w:rsidRPr="000745D5" w:rsidRDefault="002C6FD4" w:rsidP="008F39E2">
            <w:pPr>
              <w:pStyle w:val="Header"/>
              <w:tabs>
                <w:tab w:val="left" w:pos="990"/>
              </w:tabs>
              <w:ind w:left="86" w:right="90" w:hanging="86"/>
              <w:jc w:val="right"/>
              <w:rPr>
                <w:rFonts w:ascii="Arial" w:hAnsi="Arial" w:cs="Arial"/>
                <w:szCs w:val="20"/>
              </w:rPr>
            </w:pPr>
            <w:r>
              <w:rPr>
                <w:rFonts w:ascii="Arial" w:hAnsi="Arial" w:cs="Arial"/>
                <w:szCs w:val="20"/>
              </w:rPr>
              <w:t>2,111,405</w:t>
            </w:r>
          </w:p>
        </w:tc>
        <w:tc>
          <w:tcPr>
            <w:tcW w:w="1374" w:type="dxa"/>
            <w:vAlign w:val="bottom"/>
          </w:tcPr>
          <w:p w14:paraId="1D512A34" w14:textId="6A789CBE" w:rsidR="00027230" w:rsidRPr="000745D5" w:rsidRDefault="000745D5" w:rsidP="008F39E2">
            <w:pPr>
              <w:pStyle w:val="Header"/>
              <w:ind w:left="86" w:right="180" w:hanging="86"/>
              <w:jc w:val="right"/>
              <w:rPr>
                <w:rFonts w:ascii="Arial" w:hAnsi="Arial" w:cs="Arial"/>
                <w:szCs w:val="20"/>
              </w:rPr>
            </w:pPr>
            <w:r w:rsidRPr="000745D5">
              <w:rPr>
                <w:rFonts w:ascii="Arial" w:hAnsi="Arial" w:cs="Arial"/>
                <w:szCs w:val="20"/>
              </w:rPr>
              <w:t>350,606</w:t>
            </w:r>
          </w:p>
        </w:tc>
        <w:tc>
          <w:tcPr>
            <w:tcW w:w="1350" w:type="dxa"/>
          </w:tcPr>
          <w:p w14:paraId="68526B1E" w14:textId="59E07B13" w:rsidR="00027230" w:rsidRPr="000745D5" w:rsidRDefault="000745D5" w:rsidP="008F39E2">
            <w:pPr>
              <w:pStyle w:val="Header"/>
              <w:ind w:left="86" w:right="288" w:hanging="86"/>
              <w:jc w:val="right"/>
              <w:rPr>
                <w:rFonts w:ascii="Arial" w:hAnsi="Arial" w:cs="Arial"/>
                <w:szCs w:val="20"/>
              </w:rPr>
            </w:pPr>
            <w:r w:rsidRPr="000745D5">
              <w:rPr>
                <w:rFonts w:ascii="Arial" w:hAnsi="Arial" w:cs="Arial"/>
                <w:szCs w:val="20"/>
              </w:rPr>
              <w:t>130,176</w:t>
            </w:r>
          </w:p>
        </w:tc>
        <w:tc>
          <w:tcPr>
            <w:tcW w:w="1440" w:type="dxa"/>
            <w:vAlign w:val="bottom"/>
          </w:tcPr>
          <w:p w14:paraId="4DCCD26C" w14:textId="7CC60205" w:rsidR="00027230" w:rsidRPr="000745D5" w:rsidRDefault="000745D5" w:rsidP="00A24C4A">
            <w:pPr>
              <w:pStyle w:val="Header"/>
              <w:ind w:left="86" w:right="288" w:hanging="86"/>
              <w:jc w:val="right"/>
              <w:rPr>
                <w:rFonts w:ascii="Arial" w:hAnsi="Arial" w:cs="Arial"/>
                <w:szCs w:val="20"/>
              </w:rPr>
            </w:pPr>
            <w:r w:rsidRPr="000745D5">
              <w:rPr>
                <w:rFonts w:ascii="Arial" w:hAnsi="Arial" w:cs="Arial"/>
                <w:szCs w:val="20"/>
              </w:rPr>
              <w:t>2,</w:t>
            </w:r>
            <w:r w:rsidR="002C6FD4">
              <w:rPr>
                <w:rFonts w:ascii="Arial" w:hAnsi="Arial" w:cs="Arial"/>
                <w:szCs w:val="20"/>
              </w:rPr>
              <w:t>593,187</w:t>
            </w:r>
          </w:p>
        </w:tc>
      </w:tr>
      <w:tr w:rsidR="00027230" w:rsidRPr="00F60034" w14:paraId="587D16A6" w14:textId="77777777" w:rsidTr="00027230">
        <w:trPr>
          <w:trHeight w:hRule="exact" w:val="115"/>
        </w:trPr>
        <w:tc>
          <w:tcPr>
            <w:tcW w:w="3420" w:type="dxa"/>
          </w:tcPr>
          <w:p w14:paraId="4208AC54" w14:textId="77777777" w:rsidR="00027230" w:rsidRPr="00F60034" w:rsidRDefault="00027230" w:rsidP="008F39E2">
            <w:pPr>
              <w:spacing w:after="0" w:line="240" w:lineRule="auto"/>
              <w:rPr>
                <w:rFonts w:ascii="Arial" w:hAnsi="Arial" w:cs="Arial"/>
                <w:szCs w:val="20"/>
              </w:rPr>
            </w:pPr>
          </w:p>
        </w:tc>
        <w:tc>
          <w:tcPr>
            <w:tcW w:w="1236" w:type="dxa"/>
          </w:tcPr>
          <w:p w14:paraId="61C7EE4D" w14:textId="77777777" w:rsidR="00027230" w:rsidRPr="00B94972" w:rsidRDefault="00027230" w:rsidP="008F39E2">
            <w:pPr>
              <w:spacing w:after="0" w:line="240" w:lineRule="auto"/>
              <w:ind w:right="29"/>
              <w:jc w:val="right"/>
              <w:rPr>
                <w:rStyle w:val="HeadNoteTitle"/>
                <w:rFonts w:cs="Arial"/>
                <w:b w:val="0"/>
                <w:bCs/>
                <w:sz w:val="20"/>
                <w:szCs w:val="20"/>
                <w:highlight w:val="yellow"/>
              </w:rPr>
            </w:pPr>
          </w:p>
        </w:tc>
        <w:tc>
          <w:tcPr>
            <w:tcW w:w="1374" w:type="dxa"/>
          </w:tcPr>
          <w:p w14:paraId="4E0DED5E" w14:textId="77777777" w:rsidR="00027230" w:rsidRPr="00B94972" w:rsidRDefault="00027230" w:rsidP="008F39E2">
            <w:pPr>
              <w:spacing w:after="0" w:line="240" w:lineRule="auto"/>
              <w:ind w:right="29"/>
              <w:jc w:val="right"/>
              <w:rPr>
                <w:rStyle w:val="HeadNoteTitle"/>
                <w:rFonts w:cs="Arial"/>
                <w:b w:val="0"/>
                <w:bCs/>
                <w:sz w:val="20"/>
                <w:szCs w:val="20"/>
                <w:highlight w:val="yellow"/>
              </w:rPr>
            </w:pPr>
          </w:p>
        </w:tc>
        <w:tc>
          <w:tcPr>
            <w:tcW w:w="1350" w:type="dxa"/>
          </w:tcPr>
          <w:p w14:paraId="1DEFCBA9" w14:textId="77777777" w:rsidR="00027230" w:rsidRPr="00B94972" w:rsidRDefault="00027230" w:rsidP="008F39E2">
            <w:pPr>
              <w:spacing w:after="0" w:line="240" w:lineRule="auto"/>
              <w:ind w:right="29"/>
              <w:jc w:val="right"/>
              <w:rPr>
                <w:rStyle w:val="HeadNoteTitle"/>
                <w:rFonts w:cs="Arial"/>
                <w:b w:val="0"/>
                <w:bCs/>
                <w:sz w:val="20"/>
                <w:szCs w:val="20"/>
                <w:highlight w:val="yellow"/>
              </w:rPr>
            </w:pPr>
          </w:p>
        </w:tc>
        <w:tc>
          <w:tcPr>
            <w:tcW w:w="1440" w:type="dxa"/>
          </w:tcPr>
          <w:p w14:paraId="0758107C" w14:textId="3CE45077" w:rsidR="00027230" w:rsidRPr="00B94972" w:rsidRDefault="00027230" w:rsidP="008F39E2">
            <w:pPr>
              <w:spacing w:after="0" w:line="240" w:lineRule="auto"/>
              <w:ind w:right="29"/>
              <w:jc w:val="right"/>
              <w:rPr>
                <w:rStyle w:val="HeadNoteTitle"/>
                <w:rFonts w:cs="Arial"/>
                <w:b w:val="0"/>
                <w:bCs/>
                <w:sz w:val="20"/>
                <w:szCs w:val="20"/>
                <w:highlight w:val="yellow"/>
              </w:rPr>
            </w:pPr>
          </w:p>
        </w:tc>
      </w:tr>
      <w:tr w:rsidR="00027230" w:rsidRPr="00F60034" w14:paraId="4B257F76" w14:textId="77777777" w:rsidTr="00027230">
        <w:tc>
          <w:tcPr>
            <w:tcW w:w="3420" w:type="dxa"/>
          </w:tcPr>
          <w:p w14:paraId="73765A17" w14:textId="76BC1536" w:rsidR="00027230" w:rsidRPr="004620AD" w:rsidRDefault="00027230" w:rsidP="00027230">
            <w:pPr>
              <w:spacing w:after="0" w:line="240" w:lineRule="auto"/>
              <w:rPr>
                <w:rFonts w:ascii="Arial" w:hAnsi="Arial" w:cs="Arial"/>
                <w:b/>
                <w:szCs w:val="20"/>
              </w:rPr>
            </w:pPr>
            <w:r>
              <w:rPr>
                <w:rFonts w:ascii="Arial" w:hAnsi="Arial" w:cs="Arial"/>
                <w:b/>
                <w:szCs w:val="20"/>
              </w:rPr>
              <w:t>Three months</w:t>
            </w:r>
            <w:r w:rsidRPr="004620AD">
              <w:rPr>
                <w:rFonts w:ascii="Arial" w:hAnsi="Arial" w:cs="Arial"/>
                <w:b/>
                <w:szCs w:val="20"/>
              </w:rPr>
              <w:t xml:space="preserve"> ended </w:t>
            </w:r>
            <w:r w:rsidR="00B94972">
              <w:rPr>
                <w:rFonts w:ascii="Arial" w:hAnsi="Arial" w:cs="Arial"/>
                <w:b/>
                <w:szCs w:val="20"/>
              </w:rPr>
              <w:t>October</w:t>
            </w:r>
            <w:r w:rsidRPr="004620AD">
              <w:rPr>
                <w:rFonts w:ascii="Arial" w:hAnsi="Arial" w:cs="Arial"/>
                <w:b/>
                <w:szCs w:val="20"/>
              </w:rPr>
              <w:t xml:space="preserve"> </w:t>
            </w:r>
            <w:r>
              <w:rPr>
                <w:rFonts w:ascii="Arial" w:hAnsi="Arial" w:cs="Arial"/>
                <w:b/>
                <w:szCs w:val="20"/>
              </w:rPr>
              <w:t>31, 2018</w:t>
            </w:r>
          </w:p>
        </w:tc>
        <w:tc>
          <w:tcPr>
            <w:tcW w:w="1236" w:type="dxa"/>
            <w:vAlign w:val="bottom"/>
          </w:tcPr>
          <w:p w14:paraId="1E6B266F" w14:textId="77777777" w:rsidR="00027230" w:rsidRPr="00B94972" w:rsidRDefault="00027230" w:rsidP="008F39E2">
            <w:pPr>
              <w:pStyle w:val="Header"/>
              <w:tabs>
                <w:tab w:val="left" w:pos="990"/>
              </w:tabs>
              <w:ind w:left="86" w:right="90" w:hanging="86"/>
              <w:jc w:val="right"/>
              <w:rPr>
                <w:rFonts w:ascii="Arial" w:hAnsi="Arial" w:cs="Arial"/>
                <w:szCs w:val="20"/>
                <w:highlight w:val="yellow"/>
              </w:rPr>
            </w:pPr>
          </w:p>
        </w:tc>
        <w:tc>
          <w:tcPr>
            <w:tcW w:w="1374" w:type="dxa"/>
            <w:vAlign w:val="bottom"/>
          </w:tcPr>
          <w:p w14:paraId="0FAE3064" w14:textId="77777777" w:rsidR="00027230" w:rsidRPr="00B94972" w:rsidRDefault="00027230" w:rsidP="008F39E2">
            <w:pPr>
              <w:pStyle w:val="Header"/>
              <w:ind w:left="86" w:right="180" w:hanging="86"/>
              <w:jc w:val="right"/>
              <w:rPr>
                <w:rFonts w:ascii="Arial" w:hAnsi="Arial" w:cs="Arial"/>
                <w:szCs w:val="20"/>
                <w:highlight w:val="yellow"/>
              </w:rPr>
            </w:pPr>
          </w:p>
        </w:tc>
        <w:tc>
          <w:tcPr>
            <w:tcW w:w="1350" w:type="dxa"/>
          </w:tcPr>
          <w:p w14:paraId="1DC559A4" w14:textId="77777777" w:rsidR="00027230" w:rsidRPr="00B94972" w:rsidRDefault="00027230" w:rsidP="008F39E2">
            <w:pPr>
              <w:pStyle w:val="Header"/>
              <w:ind w:left="86" w:right="288" w:hanging="86"/>
              <w:jc w:val="right"/>
              <w:rPr>
                <w:rFonts w:ascii="Arial" w:hAnsi="Arial" w:cs="Arial"/>
                <w:szCs w:val="20"/>
                <w:highlight w:val="yellow"/>
              </w:rPr>
            </w:pPr>
          </w:p>
        </w:tc>
        <w:tc>
          <w:tcPr>
            <w:tcW w:w="1440" w:type="dxa"/>
            <w:vAlign w:val="bottom"/>
          </w:tcPr>
          <w:p w14:paraId="28832B6B" w14:textId="1364D17D" w:rsidR="00027230" w:rsidRPr="00B94972" w:rsidRDefault="00027230" w:rsidP="008F39E2">
            <w:pPr>
              <w:pStyle w:val="Header"/>
              <w:ind w:left="86" w:right="288" w:hanging="86"/>
              <w:jc w:val="right"/>
              <w:rPr>
                <w:rFonts w:ascii="Arial" w:hAnsi="Arial" w:cs="Arial"/>
                <w:szCs w:val="20"/>
                <w:highlight w:val="yellow"/>
              </w:rPr>
            </w:pPr>
          </w:p>
        </w:tc>
      </w:tr>
      <w:tr w:rsidR="00027230" w:rsidRPr="00F60034" w14:paraId="4C582511" w14:textId="77777777" w:rsidTr="00027230">
        <w:tc>
          <w:tcPr>
            <w:tcW w:w="3420" w:type="dxa"/>
          </w:tcPr>
          <w:p w14:paraId="7897B8AA" w14:textId="77777777" w:rsidR="00027230" w:rsidRPr="00F60034" w:rsidRDefault="00027230" w:rsidP="008F39E2">
            <w:pPr>
              <w:spacing w:after="0" w:line="240" w:lineRule="auto"/>
              <w:ind w:left="180"/>
              <w:rPr>
                <w:rFonts w:ascii="Arial" w:hAnsi="Arial" w:cs="Arial"/>
                <w:szCs w:val="20"/>
              </w:rPr>
            </w:pPr>
            <w:r>
              <w:rPr>
                <w:rFonts w:ascii="Arial" w:hAnsi="Arial" w:cs="Arial"/>
                <w:szCs w:val="20"/>
              </w:rPr>
              <w:t>Revenue</w:t>
            </w:r>
          </w:p>
        </w:tc>
        <w:tc>
          <w:tcPr>
            <w:tcW w:w="1236" w:type="dxa"/>
            <w:vAlign w:val="bottom"/>
          </w:tcPr>
          <w:p w14:paraId="6F945A0D" w14:textId="77777777" w:rsidR="00027230" w:rsidRPr="00004217" w:rsidRDefault="00027230" w:rsidP="008F39E2">
            <w:pPr>
              <w:pStyle w:val="Header"/>
              <w:tabs>
                <w:tab w:val="left" w:pos="990"/>
              </w:tabs>
              <w:ind w:left="86" w:right="90" w:hanging="86"/>
              <w:jc w:val="right"/>
              <w:rPr>
                <w:rFonts w:ascii="Arial" w:hAnsi="Arial" w:cs="Arial"/>
                <w:szCs w:val="20"/>
              </w:rPr>
            </w:pPr>
            <w:r w:rsidRPr="00004217">
              <w:rPr>
                <w:rFonts w:ascii="Arial" w:hAnsi="Arial" w:cs="Arial"/>
                <w:szCs w:val="20"/>
              </w:rPr>
              <w:t>–</w:t>
            </w:r>
          </w:p>
        </w:tc>
        <w:tc>
          <w:tcPr>
            <w:tcW w:w="1374" w:type="dxa"/>
            <w:vAlign w:val="bottom"/>
          </w:tcPr>
          <w:p w14:paraId="294F8E26" w14:textId="77777777" w:rsidR="00027230" w:rsidRPr="00004217" w:rsidRDefault="00027230" w:rsidP="008F39E2">
            <w:pPr>
              <w:pStyle w:val="Header"/>
              <w:ind w:left="86" w:right="180" w:hanging="86"/>
              <w:jc w:val="right"/>
              <w:rPr>
                <w:rFonts w:ascii="Arial" w:hAnsi="Arial" w:cs="Arial"/>
                <w:szCs w:val="20"/>
              </w:rPr>
            </w:pPr>
            <w:r w:rsidRPr="00004217">
              <w:rPr>
                <w:rFonts w:ascii="Arial" w:hAnsi="Arial" w:cs="Arial"/>
                <w:szCs w:val="20"/>
              </w:rPr>
              <w:t>–</w:t>
            </w:r>
          </w:p>
        </w:tc>
        <w:tc>
          <w:tcPr>
            <w:tcW w:w="1350" w:type="dxa"/>
          </w:tcPr>
          <w:p w14:paraId="7BBCE062" w14:textId="776D47D9" w:rsidR="00027230" w:rsidRPr="00004217" w:rsidRDefault="00027230" w:rsidP="008F39E2">
            <w:pPr>
              <w:pStyle w:val="Header"/>
              <w:ind w:left="86" w:right="288" w:hanging="86"/>
              <w:jc w:val="right"/>
              <w:rPr>
                <w:rFonts w:ascii="Arial" w:hAnsi="Arial" w:cs="Arial"/>
                <w:szCs w:val="20"/>
              </w:rPr>
            </w:pPr>
            <w:r w:rsidRPr="00004217">
              <w:rPr>
                <w:rFonts w:ascii="Arial" w:hAnsi="Arial" w:cs="Arial"/>
                <w:szCs w:val="20"/>
              </w:rPr>
              <w:t>–</w:t>
            </w:r>
          </w:p>
        </w:tc>
        <w:tc>
          <w:tcPr>
            <w:tcW w:w="1440" w:type="dxa"/>
            <w:vAlign w:val="bottom"/>
          </w:tcPr>
          <w:p w14:paraId="6C0D1128" w14:textId="370CA904" w:rsidR="00027230" w:rsidRPr="00004217" w:rsidRDefault="00027230" w:rsidP="008F39E2">
            <w:pPr>
              <w:pStyle w:val="Header"/>
              <w:ind w:left="86" w:right="288" w:hanging="86"/>
              <w:jc w:val="right"/>
              <w:rPr>
                <w:rFonts w:ascii="Arial" w:hAnsi="Arial" w:cs="Arial"/>
                <w:szCs w:val="20"/>
              </w:rPr>
            </w:pPr>
            <w:r w:rsidRPr="00004217">
              <w:rPr>
                <w:rFonts w:ascii="Arial" w:hAnsi="Arial" w:cs="Arial"/>
                <w:szCs w:val="20"/>
              </w:rPr>
              <w:t>–</w:t>
            </w:r>
          </w:p>
        </w:tc>
      </w:tr>
      <w:tr w:rsidR="00027230" w:rsidRPr="00F60034" w14:paraId="7F23C1E5" w14:textId="77777777" w:rsidTr="00027230">
        <w:tc>
          <w:tcPr>
            <w:tcW w:w="3420" w:type="dxa"/>
          </w:tcPr>
          <w:p w14:paraId="6C92C8A0" w14:textId="77777777" w:rsidR="00027230" w:rsidRPr="00F60034" w:rsidRDefault="00027230" w:rsidP="008F39E2">
            <w:pPr>
              <w:spacing w:after="0" w:line="240" w:lineRule="auto"/>
              <w:ind w:left="180"/>
              <w:rPr>
                <w:rFonts w:ascii="Arial" w:hAnsi="Arial" w:cs="Arial"/>
                <w:szCs w:val="20"/>
              </w:rPr>
            </w:pPr>
            <w:r>
              <w:rPr>
                <w:rFonts w:ascii="Arial" w:hAnsi="Arial" w:cs="Arial"/>
                <w:szCs w:val="20"/>
              </w:rPr>
              <w:t>Net loss</w:t>
            </w:r>
          </w:p>
        </w:tc>
        <w:tc>
          <w:tcPr>
            <w:tcW w:w="1236" w:type="dxa"/>
            <w:vAlign w:val="bottom"/>
          </w:tcPr>
          <w:p w14:paraId="56279EF4" w14:textId="7A9F32BC" w:rsidR="00027230" w:rsidRPr="00004217" w:rsidRDefault="00240976" w:rsidP="00A24C4A">
            <w:pPr>
              <w:pStyle w:val="Header"/>
              <w:tabs>
                <w:tab w:val="left" w:pos="990"/>
              </w:tabs>
              <w:ind w:left="86" w:right="90" w:hanging="86"/>
              <w:jc w:val="right"/>
              <w:rPr>
                <w:rFonts w:ascii="Arial" w:hAnsi="Arial" w:cs="Arial"/>
                <w:szCs w:val="20"/>
              </w:rPr>
            </w:pPr>
            <w:r w:rsidRPr="00004217">
              <w:rPr>
                <w:rFonts w:ascii="Arial" w:hAnsi="Arial" w:cs="Arial"/>
                <w:szCs w:val="20"/>
              </w:rPr>
              <w:t>3,032,865</w:t>
            </w:r>
          </w:p>
        </w:tc>
        <w:tc>
          <w:tcPr>
            <w:tcW w:w="1374" w:type="dxa"/>
            <w:vAlign w:val="bottom"/>
          </w:tcPr>
          <w:p w14:paraId="4909E828" w14:textId="59657F12" w:rsidR="00027230" w:rsidRPr="00004217" w:rsidRDefault="00240976" w:rsidP="008F39E2">
            <w:pPr>
              <w:pStyle w:val="Header"/>
              <w:ind w:left="86" w:right="180" w:hanging="86"/>
              <w:jc w:val="right"/>
              <w:rPr>
                <w:rFonts w:ascii="Arial" w:hAnsi="Arial" w:cs="Arial"/>
                <w:szCs w:val="20"/>
              </w:rPr>
            </w:pPr>
            <w:r w:rsidRPr="00004217">
              <w:rPr>
                <w:rFonts w:ascii="Arial" w:hAnsi="Arial" w:cs="Arial"/>
                <w:szCs w:val="20"/>
              </w:rPr>
              <w:t>641,063</w:t>
            </w:r>
          </w:p>
        </w:tc>
        <w:tc>
          <w:tcPr>
            <w:tcW w:w="1350" w:type="dxa"/>
          </w:tcPr>
          <w:p w14:paraId="45736B1A" w14:textId="366A410D" w:rsidR="00027230" w:rsidRPr="00004217" w:rsidRDefault="00027230" w:rsidP="008F39E2">
            <w:pPr>
              <w:pStyle w:val="Header"/>
              <w:ind w:left="86" w:right="288" w:hanging="86"/>
              <w:jc w:val="right"/>
              <w:rPr>
                <w:rFonts w:ascii="Arial" w:hAnsi="Arial" w:cs="Arial"/>
                <w:szCs w:val="20"/>
              </w:rPr>
            </w:pPr>
            <w:r w:rsidRPr="00004217">
              <w:rPr>
                <w:rFonts w:ascii="Arial" w:hAnsi="Arial" w:cs="Arial"/>
                <w:szCs w:val="20"/>
              </w:rPr>
              <w:t>–</w:t>
            </w:r>
          </w:p>
        </w:tc>
        <w:tc>
          <w:tcPr>
            <w:tcW w:w="1440" w:type="dxa"/>
            <w:vAlign w:val="bottom"/>
          </w:tcPr>
          <w:p w14:paraId="1C1C277E" w14:textId="61766A43" w:rsidR="00027230" w:rsidRPr="00004217" w:rsidRDefault="00240976" w:rsidP="00A24C4A">
            <w:pPr>
              <w:pStyle w:val="Header"/>
              <w:ind w:left="86" w:right="288" w:hanging="86"/>
              <w:jc w:val="right"/>
              <w:rPr>
                <w:rFonts w:ascii="Arial" w:hAnsi="Arial" w:cs="Arial"/>
                <w:szCs w:val="20"/>
              </w:rPr>
            </w:pPr>
            <w:r w:rsidRPr="00004217">
              <w:rPr>
                <w:rFonts w:ascii="Arial" w:hAnsi="Arial" w:cs="Arial"/>
                <w:szCs w:val="20"/>
              </w:rPr>
              <w:t>3,673,928</w:t>
            </w:r>
          </w:p>
        </w:tc>
      </w:tr>
      <w:tr w:rsidR="00027230" w:rsidRPr="00F60034" w14:paraId="76EDB045" w14:textId="77777777" w:rsidTr="00027230">
        <w:trPr>
          <w:trHeight w:hRule="exact" w:val="115"/>
        </w:trPr>
        <w:tc>
          <w:tcPr>
            <w:tcW w:w="3420" w:type="dxa"/>
          </w:tcPr>
          <w:p w14:paraId="19D26614" w14:textId="77777777" w:rsidR="00027230" w:rsidRPr="00F60034" w:rsidRDefault="00027230" w:rsidP="008F39E2">
            <w:pPr>
              <w:spacing w:after="0" w:line="240" w:lineRule="auto"/>
              <w:rPr>
                <w:rFonts w:ascii="Arial" w:hAnsi="Arial" w:cs="Arial"/>
                <w:szCs w:val="20"/>
              </w:rPr>
            </w:pPr>
          </w:p>
        </w:tc>
        <w:tc>
          <w:tcPr>
            <w:tcW w:w="1236" w:type="dxa"/>
          </w:tcPr>
          <w:p w14:paraId="37A2D8B8" w14:textId="77777777" w:rsidR="00027230" w:rsidRPr="00004217" w:rsidRDefault="00027230" w:rsidP="008F39E2">
            <w:pPr>
              <w:spacing w:after="0" w:line="240" w:lineRule="auto"/>
              <w:ind w:right="29"/>
              <w:jc w:val="right"/>
              <w:rPr>
                <w:rStyle w:val="HeadNoteTitle"/>
                <w:rFonts w:cs="Arial"/>
                <w:b w:val="0"/>
                <w:bCs/>
                <w:sz w:val="20"/>
                <w:szCs w:val="20"/>
              </w:rPr>
            </w:pPr>
          </w:p>
        </w:tc>
        <w:tc>
          <w:tcPr>
            <w:tcW w:w="1374" w:type="dxa"/>
          </w:tcPr>
          <w:p w14:paraId="7D60E14F" w14:textId="77777777" w:rsidR="00027230" w:rsidRPr="00004217" w:rsidRDefault="00027230" w:rsidP="008F39E2">
            <w:pPr>
              <w:spacing w:after="0" w:line="240" w:lineRule="auto"/>
              <w:ind w:right="29"/>
              <w:jc w:val="right"/>
              <w:rPr>
                <w:rStyle w:val="HeadNoteTitle"/>
                <w:rFonts w:cs="Arial"/>
                <w:b w:val="0"/>
                <w:bCs/>
                <w:sz w:val="20"/>
                <w:szCs w:val="20"/>
              </w:rPr>
            </w:pPr>
          </w:p>
        </w:tc>
        <w:tc>
          <w:tcPr>
            <w:tcW w:w="1350" w:type="dxa"/>
          </w:tcPr>
          <w:p w14:paraId="7FCEC08F" w14:textId="77777777" w:rsidR="00027230" w:rsidRPr="00004217" w:rsidRDefault="00027230" w:rsidP="008F39E2">
            <w:pPr>
              <w:spacing w:after="0" w:line="240" w:lineRule="auto"/>
              <w:ind w:right="29"/>
              <w:jc w:val="right"/>
              <w:rPr>
                <w:rStyle w:val="HeadNoteTitle"/>
                <w:rFonts w:cs="Arial"/>
                <w:b w:val="0"/>
                <w:bCs/>
                <w:sz w:val="20"/>
                <w:szCs w:val="20"/>
              </w:rPr>
            </w:pPr>
          </w:p>
        </w:tc>
        <w:tc>
          <w:tcPr>
            <w:tcW w:w="1440" w:type="dxa"/>
          </w:tcPr>
          <w:p w14:paraId="08B08512" w14:textId="77E0A2B4" w:rsidR="00027230" w:rsidRPr="00004217" w:rsidRDefault="00027230" w:rsidP="008F39E2">
            <w:pPr>
              <w:spacing w:after="0" w:line="240" w:lineRule="auto"/>
              <w:ind w:right="29"/>
              <w:jc w:val="right"/>
              <w:rPr>
                <w:rStyle w:val="HeadNoteTitle"/>
                <w:rFonts w:cs="Arial"/>
                <w:b w:val="0"/>
                <w:bCs/>
                <w:sz w:val="20"/>
                <w:szCs w:val="20"/>
              </w:rPr>
            </w:pPr>
          </w:p>
        </w:tc>
      </w:tr>
      <w:tr w:rsidR="00027230" w:rsidRPr="00F60034" w14:paraId="05978CCC" w14:textId="77777777" w:rsidTr="00027230">
        <w:tc>
          <w:tcPr>
            <w:tcW w:w="3420" w:type="dxa"/>
          </w:tcPr>
          <w:p w14:paraId="56541378" w14:textId="366E06DC" w:rsidR="00027230" w:rsidRPr="004620AD" w:rsidRDefault="00027230" w:rsidP="006E41F5">
            <w:pPr>
              <w:spacing w:after="0" w:line="240" w:lineRule="auto"/>
              <w:rPr>
                <w:rFonts w:ascii="Arial" w:hAnsi="Arial" w:cs="Arial"/>
                <w:b/>
                <w:szCs w:val="20"/>
              </w:rPr>
            </w:pPr>
            <w:r w:rsidRPr="00027230">
              <w:rPr>
                <w:rFonts w:ascii="Arial" w:hAnsi="Arial" w:cs="Arial"/>
                <w:b/>
                <w:szCs w:val="20"/>
              </w:rPr>
              <w:t xml:space="preserve">As at </w:t>
            </w:r>
            <w:r w:rsidR="00B94972">
              <w:rPr>
                <w:rFonts w:ascii="Arial" w:hAnsi="Arial" w:cs="Arial"/>
                <w:b/>
                <w:szCs w:val="20"/>
              </w:rPr>
              <w:t>October</w:t>
            </w:r>
            <w:r w:rsidRPr="00027230">
              <w:rPr>
                <w:rFonts w:ascii="Arial" w:hAnsi="Arial" w:cs="Arial"/>
                <w:b/>
                <w:szCs w:val="20"/>
              </w:rPr>
              <w:t xml:space="preserve"> 31, 2019</w:t>
            </w:r>
          </w:p>
        </w:tc>
        <w:tc>
          <w:tcPr>
            <w:tcW w:w="1236" w:type="dxa"/>
            <w:vAlign w:val="bottom"/>
          </w:tcPr>
          <w:p w14:paraId="727BD827" w14:textId="77777777" w:rsidR="00027230" w:rsidRPr="00004217" w:rsidRDefault="00027230" w:rsidP="00824168">
            <w:pPr>
              <w:pStyle w:val="Header"/>
              <w:tabs>
                <w:tab w:val="left" w:pos="990"/>
              </w:tabs>
              <w:ind w:left="86" w:right="90" w:hanging="86"/>
              <w:jc w:val="right"/>
              <w:rPr>
                <w:rFonts w:ascii="Arial" w:hAnsi="Arial" w:cs="Arial"/>
                <w:szCs w:val="20"/>
              </w:rPr>
            </w:pPr>
          </w:p>
        </w:tc>
        <w:tc>
          <w:tcPr>
            <w:tcW w:w="1374" w:type="dxa"/>
            <w:vAlign w:val="bottom"/>
          </w:tcPr>
          <w:p w14:paraId="14205026" w14:textId="77777777" w:rsidR="00027230" w:rsidRPr="00004217" w:rsidRDefault="00027230" w:rsidP="00824168">
            <w:pPr>
              <w:pStyle w:val="Header"/>
              <w:ind w:left="86" w:right="180" w:hanging="86"/>
              <w:jc w:val="right"/>
              <w:rPr>
                <w:rFonts w:ascii="Arial" w:hAnsi="Arial" w:cs="Arial"/>
                <w:szCs w:val="20"/>
              </w:rPr>
            </w:pPr>
          </w:p>
        </w:tc>
        <w:tc>
          <w:tcPr>
            <w:tcW w:w="1350" w:type="dxa"/>
          </w:tcPr>
          <w:p w14:paraId="0C4E402A" w14:textId="77777777" w:rsidR="00027230" w:rsidRPr="00004217" w:rsidRDefault="00027230" w:rsidP="00824168">
            <w:pPr>
              <w:pStyle w:val="Header"/>
              <w:ind w:left="86" w:right="288" w:hanging="86"/>
              <w:jc w:val="right"/>
              <w:rPr>
                <w:rFonts w:ascii="Arial" w:hAnsi="Arial" w:cs="Arial"/>
                <w:szCs w:val="20"/>
              </w:rPr>
            </w:pPr>
          </w:p>
        </w:tc>
        <w:tc>
          <w:tcPr>
            <w:tcW w:w="1440" w:type="dxa"/>
            <w:vAlign w:val="bottom"/>
          </w:tcPr>
          <w:p w14:paraId="36AF7E93" w14:textId="195FD3D5" w:rsidR="00027230" w:rsidRPr="00004217" w:rsidRDefault="00027230" w:rsidP="00824168">
            <w:pPr>
              <w:pStyle w:val="Header"/>
              <w:ind w:left="86" w:right="288" w:hanging="86"/>
              <w:jc w:val="right"/>
              <w:rPr>
                <w:rFonts w:ascii="Arial" w:hAnsi="Arial" w:cs="Arial"/>
                <w:szCs w:val="20"/>
              </w:rPr>
            </w:pPr>
          </w:p>
        </w:tc>
      </w:tr>
      <w:tr w:rsidR="00027230" w:rsidRPr="00F60034" w14:paraId="7EB50F6D" w14:textId="77777777" w:rsidTr="00027230">
        <w:tc>
          <w:tcPr>
            <w:tcW w:w="3420" w:type="dxa"/>
          </w:tcPr>
          <w:p w14:paraId="220114D9" w14:textId="77777777" w:rsidR="00027230" w:rsidRPr="00F60034" w:rsidRDefault="00027230" w:rsidP="00824168">
            <w:pPr>
              <w:spacing w:after="0" w:line="240" w:lineRule="auto"/>
              <w:ind w:left="180"/>
              <w:rPr>
                <w:rFonts w:ascii="Arial" w:hAnsi="Arial" w:cs="Arial"/>
                <w:szCs w:val="20"/>
              </w:rPr>
            </w:pPr>
            <w:r>
              <w:rPr>
                <w:rFonts w:ascii="Arial" w:hAnsi="Arial" w:cs="Arial"/>
                <w:szCs w:val="20"/>
              </w:rPr>
              <w:t>Total assets</w:t>
            </w:r>
          </w:p>
        </w:tc>
        <w:tc>
          <w:tcPr>
            <w:tcW w:w="1236" w:type="dxa"/>
            <w:vAlign w:val="bottom"/>
          </w:tcPr>
          <w:p w14:paraId="1E899F27" w14:textId="4B571B26" w:rsidR="00027230" w:rsidRPr="000745D5" w:rsidRDefault="000745D5" w:rsidP="00EC1BCE">
            <w:pPr>
              <w:pStyle w:val="Header"/>
              <w:tabs>
                <w:tab w:val="left" w:pos="990"/>
              </w:tabs>
              <w:ind w:left="86" w:right="90" w:hanging="86"/>
              <w:jc w:val="right"/>
              <w:rPr>
                <w:rFonts w:ascii="Arial" w:hAnsi="Arial" w:cs="Arial"/>
                <w:szCs w:val="20"/>
              </w:rPr>
            </w:pPr>
            <w:r w:rsidRPr="000745D5">
              <w:rPr>
                <w:rFonts w:ascii="Arial" w:hAnsi="Arial" w:cs="Arial"/>
                <w:szCs w:val="20"/>
              </w:rPr>
              <w:t>6,912,687</w:t>
            </w:r>
          </w:p>
        </w:tc>
        <w:tc>
          <w:tcPr>
            <w:tcW w:w="1374" w:type="dxa"/>
            <w:vAlign w:val="bottom"/>
          </w:tcPr>
          <w:p w14:paraId="20AB583D" w14:textId="1F3A3715" w:rsidR="00027230" w:rsidRPr="000745D5" w:rsidRDefault="000745D5" w:rsidP="00EC1BCE">
            <w:pPr>
              <w:pStyle w:val="Header"/>
              <w:ind w:left="86" w:right="180" w:hanging="86"/>
              <w:jc w:val="right"/>
              <w:rPr>
                <w:rFonts w:ascii="Arial" w:hAnsi="Arial" w:cs="Arial"/>
                <w:szCs w:val="20"/>
              </w:rPr>
            </w:pPr>
            <w:r w:rsidRPr="000745D5">
              <w:rPr>
                <w:rFonts w:ascii="Arial" w:hAnsi="Arial" w:cs="Arial"/>
                <w:szCs w:val="20"/>
              </w:rPr>
              <w:t>7,544,117</w:t>
            </w:r>
          </w:p>
        </w:tc>
        <w:tc>
          <w:tcPr>
            <w:tcW w:w="1350" w:type="dxa"/>
          </w:tcPr>
          <w:p w14:paraId="7159A521" w14:textId="2437A39E" w:rsidR="00027230" w:rsidRPr="000745D5" w:rsidRDefault="000745D5" w:rsidP="00824168">
            <w:pPr>
              <w:pStyle w:val="Header"/>
              <w:ind w:left="86" w:right="288" w:hanging="86"/>
              <w:jc w:val="right"/>
              <w:rPr>
                <w:rFonts w:ascii="Arial" w:hAnsi="Arial" w:cs="Arial"/>
                <w:szCs w:val="20"/>
              </w:rPr>
            </w:pPr>
            <w:r w:rsidRPr="000745D5">
              <w:rPr>
                <w:rFonts w:ascii="Arial" w:hAnsi="Arial" w:cs="Arial"/>
                <w:szCs w:val="20"/>
              </w:rPr>
              <w:t>1,579,493</w:t>
            </w:r>
          </w:p>
        </w:tc>
        <w:tc>
          <w:tcPr>
            <w:tcW w:w="1440" w:type="dxa"/>
            <w:vAlign w:val="bottom"/>
          </w:tcPr>
          <w:p w14:paraId="6864D10F" w14:textId="0ED5E022" w:rsidR="00027230" w:rsidRPr="000745D5" w:rsidRDefault="000745D5" w:rsidP="00EC1BCE">
            <w:pPr>
              <w:pStyle w:val="Header"/>
              <w:ind w:left="86" w:right="288" w:hanging="86"/>
              <w:jc w:val="right"/>
              <w:rPr>
                <w:rFonts w:ascii="Arial" w:hAnsi="Arial" w:cs="Arial"/>
                <w:szCs w:val="20"/>
              </w:rPr>
            </w:pPr>
            <w:r w:rsidRPr="000745D5">
              <w:rPr>
                <w:rFonts w:ascii="Arial" w:hAnsi="Arial" w:cs="Arial"/>
                <w:szCs w:val="20"/>
              </w:rPr>
              <w:t>16,036,297</w:t>
            </w:r>
          </w:p>
        </w:tc>
      </w:tr>
      <w:tr w:rsidR="00027230" w:rsidRPr="00F60034" w14:paraId="300B7A65" w14:textId="77777777" w:rsidTr="00027230">
        <w:tc>
          <w:tcPr>
            <w:tcW w:w="3420" w:type="dxa"/>
          </w:tcPr>
          <w:p w14:paraId="031DC6C8" w14:textId="77777777" w:rsidR="00027230" w:rsidRPr="00F60034" w:rsidRDefault="00027230" w:rsidP="00824168">
            <w:pPr>
              <w:spacing w:after="0" w:line="240" w:lineRule="auto"/>
              <w:ind w:left="180"/>
              <w:rPr>
                <w:rFonts w:ascii="Arial" w:hAnsi="Arial" w:cs="Arial"/>
                <w:szCs w:val="20"/>
              </w:rPr>
            </w:pPr>
            <w:r>
              <w:rPr>
                <w:rFonts w:ascii="Arial" w:hAnsi="Arial" w:cs="Arial"/>
                <w:szCs w:val="20"/>
              </w:rPr>
              <w:t>Total liabilities</w:t>
            </w:r>
          </w:p>
        </w:tc>
        <w:tc>
          <w:tcPr>
            <w:tcW w:w="1236" w:type="dxa"/>
            <w:vAlign w:val="bottom"/>
          </w:tcPr>
          <w:p w14:paraId="285F95A3" w14:textId="65A141AD" w:rsidR="00027230" w:rsidRPr="000745D5" w:rsidRDefault="002C6FD4" w:rsidP="00824168">
            <w:pPr>
              <w:pStyle w:val="Header"/>
              <w:tabs>
                <w:tab w:val="left" w:pos="990"/>
              </w:tabs>
              <w:ind w:left="86" w:right="90" w:hanging="86"/>
              <w:jc w:val="right"/>
              <w:rPr>
                <w:rFonts w:ascii="Arial" w:hAnsi="Arial" w:cs="Arial"/>
                <w:szCs w:val="20"/>
              </w:rPr>
            </w:pPr>
            <w:r>
              <w:rPr>
                <w:rFonts w:ascii="Arial" w:hAnsi="Arial" w:cs="Arial"/>
                <w:szCs w:val="20"/>
              </w:rPr>
              <w:t>676,624</w:t>
            </w:r>
          </w:p>
        </w:tc>
        <w:tc>
          <w:tcPr>
            <w:tcW w:w="1374" w:type="dxa"/>
            <w:vAlign w:val="bottom"/>
          </w:tcPr>
          <w:p w14:paraId="75FC63C8" w14:textId="4A9F84F2" w:rsidR="00027230" w:rsidRPr="000745D5" w:rsidRDefault="000745D5" w:rsidP="00824168">
            <w:pPr>
              <w:pStyle w:val="Header"/>
              <w:ind w:left="86" w:right="180" w:hanging="86"/>
              <w:jc w:val="right"/>
              <w:rPr>
                <w:rFonts w:ascii="Arial" w:hAnsi="Arial" w:cs="Arial"/>
                <w:szCs w:val="20"/>
              </w:rPr>
            </w:pPr>
            <w:r w:rsidRPr="000745D5">
              <w:rPr>
                <w:rFonts w:ascii="Arial" w:hAnsi="Arial" w:cs="Arial"/>
                <w:szCs w:val="20"/>
              </w:rPr>
              <w:t>803,808</w:t>
            </w:r>
          </w:p>
        </w:tc>
        <w:tc>
          <w:tcPr>
            <w:tcW w:w="1350" w:type="dxa"/>
          </w:tcPr>
          <w:p w14:paraId="63768372" w14:textId="3E194D24" w:rsidR="00027230" w:rsidRPr="000745D5" w:rsidRDefault="00027230" w:rsidP="00824168">
            <w:pPr>
              <w:pStyle w:val="Header"/>
              <w:ind w:left="86" w:right="288" w:hanging="86"/>
              <w:jc w:val="right"/>
              <w:rPr>
                <w:rFonts w:ascii="Arial" w:hAnsi="Arial" w:cs="Arial"/>
                <w:szCs w:val="20"/>
              </w:rPr>
            </w:pPr>
            <w:r w:rsidRPr="000745D5">
              <w:rPr>
                <w:rFonts w:ascii="Arial" w:hAnsi="Arial" w:cs="Arial"/>
                <w:szCs w:val="20"/>
              </w:rPr>
              <w:t>–</w:t>
            </w:r>
          </w:p>
        </w:tc>
        <w:tc>
          <w:tcPr>
            <w:tcW w:w="1440" w:type="dxa"/>
            <w:vAlign w:val="bottom"/>
          </w:tcPr>
          <w:p w14:paraId="6E8CF121" w14:textId="51862ED0" w:rsidR="00027230" w:rsidRPr="000745D5" w:rsidRDefault="000745D5" w:rsidP="00824168">
            <w:pPr>
              <w:pStyle w:val="Header"/>
              <w:ind w:left="86" w:right="288" w:hanging="86"/>
              <w:jc w:val="right"/>
              <w:rPr>
                <w:rFonts w:ascii="Arial" w:hAnsi="Arial" w:cs="Arial"/>
                <w:szCs w:val="20"/>
              </w:rPr>
            </w:pPr>
            <w:r w:rsidRPr="000745D5">
              <w:rPr>
                <w:rFonts w:ascii="Arial" w:hAnsi="Arial" w:cs="Arial"/>
                <w:szCs w:val="20"/>
              </w:rPr>
              <w:t>1,</w:t>
            </w:r>
            <w:r w:rsidR="002C6FD4">
              <w:rPr>
                <w:rFonts w:ascii="Arial" w:hAnsi="Arial" w:cs="Arial"/>
                <w:szCs w:val="20"/>
              </w:rPr>
              <w:t>480,432</w:t>
            </w:r>
          </w:p>
        </w:tc>
      </w:tr>
      <w:tr w:rsidR="00027230" w:rsidRPr="00F60034" w14:paraId="64D73C41" w14:textId="77777777" w:rsidTr="00027230">
        <w:trPr>
          <w:trHeight w:hRule="exact" w:val="115"/>
        </w:trPr>
        <w:tc>
          <w:tcPr>
            <w:tcW w:w="3420" w:type="dxa"/>
          </w:tcPr>
          <w:p w14:paraId="57F57D20" w14:textId="77777777" w:rsidR="00027230" w:rsidRPr="00F60034" w:rsidRDefault="00027230" w:rsidP="00824168">
            <w:pPr>
              <w:spacing w:after="0" w:line="240" w:lineRule="auto"/>
              <w:rPr>
                <w:rFonts w:ascii="Arial" w:hAnsi="Arial" w:cs="Arial"/>
                <w:szCs w:val="20"/>
              </w:rPr>
            </w:pPr>
          </w:p>
        </w:tc>
        <w:tc>
          <w:tcPr>
            <w:tcW w:w="1236" w:type="dxa"/>
          </w:tcPr>
          <w:p w14:paraId="7FCE205E" w14:textId="77777777" w:rsidR="00027230" w:rsidRPr="000745D5" w:rsidRDefault="00027230" w:rsidP="00824168">
            <w:pPr>
              <w:spacing w:after="0" w:line="240" w:lineRule="auto"/>
              <w:ind w:right="29"/>
              <w:jc w:val="right"/>
              <w:rPr>
                <w:rStyle w:val="HeadNoteTitle"/>
                <w:rFonts w:cs="Arial"/>
                <w:b w:val="0"/>
                <w:bCs/>
                <w:sz w:val="20"/>
                <w:szCs w:val="20"/>
              </w:rPr>
            </w:pPr>
          </w:p>
        </w:tc>
        <w:tc>
          <w:tcPr>
            <w:tcW w:w="1374" w:type="dxa"/>
          </w:tcPr>
          <w:p w14:paraId="21BCBDFF" w14:textId="77777777" w:rsidR="00027230" w:rsidRPr="000745D5" w:rsidRDefault="00027230" w:rsidP="00824168">
            <w:pPr>
              <w:spacing w:after="0" w:line="240" w:lineRule="auto"/>
              <w:ind w:right="29"/>
              <w:jc w:val="right"/>
              <w:rPr>
                <w:rStyle w:val="HeadNoteTitle"/>
                <w:rFonts w:cs="Arial"/>
                <w:b w:val="0"/>
                <w:bCs/>
                <w:sz w:val="20"/>
                <w:szCs w:val="20"/>
              </w:rPr>
            </w:pPr>
          </w:p>
        </w:tc>
        <w:tc>
          <w:tcPr>
            <w:tcW w:w="1350" w:type="dxa"/>
          </w:tcPr>
          <w:p w14:paraId="3CD7BEE5" w14:textId="77777777" w:rsidR="00027230" w:rsidRPr="000745D5" w:rsidRDefault="00027230" w:rsidP="00824168">
            <w:pPr>
              <w:spacing w:after="0" w:line="240" w:lineRule="auto"/>
              <w:ind w:right="29"/>
              <w:jc w:val="right"/>
              <w:rPr>
                <w:rStyle w:val="HeadNoteTitle"/>
                <w:rFonts w:cs="Arial"/>
                <w:b w:val="0"/>
                <w:bCs/>
                <w:sz w:val="20"/>
                <w:szCs w:val="20"/>
              </w:rPr>
            </w:pPr>
          </w:p>
        </w:tc>
        <w:tc>
          <w:tcPr>
            <w:tcW w:w="1440" w:type="dxa"/>
          </w:tcPr>
          <w:p w14:paraId="60D19F40" w14:textId="549D97DC" w:rsidR="00027230" w:rsidRPr="000745D5" w:rsidRDefault="00027230" w:rsidP="00824168">
            <w:pPr>
              <w:spacing w:after="0" w:line="240" w:lineRule="auto"/>
              <w:ind w:right="29"/>
              <w:jc w:val="right"/>
              <w:rPr>
                <w:rStyle w:val="HeadNoteTitle"/>
                <w:rFonts w:cs="Arial"/>
                <w:b w:val="0"/>
                <w:bCs/>
                <w:sz w:val="20"/>
                <w:szCs w:val="20"/>
              </w:rPr>
            </w:pPr>
          </w:p>
        </w:tc>
      </w:tr>
      <w:tr w:rsidR="00027230" w:rsidRPr="00F60034" w14:paraId="4645888C" w14:textId="77777777" w:rsidTr="00027230">
        <w:tc>
          <w:tcPr>
            <w:tcW w:w="3420" w:type="dxa"/>
          </w:tcPr>
          <w:p w14:paraId="51DAC195" w14:textId="201E7E33" w:rsidR="00027230" w:rsidRPr="004620AD" w:rsidRDefault="00027230" w:rsidP="008F39E2">
            <w:pPr>
              <w:spacing w:after="0" w:line="240" w:lineRule="auto"/>
              <w:rPr>
                <w:rFonts w:ascii="Arial" w:hAnsi="Arial" w:cs="Arial"/>
                <w:b/>
                <w:szCs w:val="20"/>
              </w:rPr>
            </w:pPr>
            <w:r w:rsidRPr="004620AD">
              <w:rPr>
                <w:rFonts w:ascii="Arial" w:hAnsi="Arial" w:cs="Arial"/>
                <w:b/>
                <w:szCs w:val="20"/>
              </w:rPr>
              <w:t>As at January 31, 2019</w:t>
            </w:r>
          </w:p>
        </w:tc>
        <w:tc>
          <w:tcPr>
            <w:tcW w:w="1236" w:type="dxa"/>
            <w:vAlign w:val="bottom"/>
          </w:tcPr>
          <w:p w14:paraId="504164D1" w14:textId="1A37E1EE" w:rsidR="00027230" w:rsidRPr="00F60034" w:rsidRDefault="00027230" w:rsidP="008F39E2">
            <w:pPr>
              <w:pStyle w:val="Header"/>
              <w:tabs>
                <w:tab w:val="left" w:pos="990"/>
              </w:tabs>
              <w:ind w:left="86" w:right="90" w:hanging="86"/>
              <w:jc w:val="right"/>
              <w:rPr>
                <w:rFonts w:ascii="Arial" w:hAnsi="Arial" w:cs="Arial"/>
                <w:szCs w:val="20"/>
              </w:rPr>
            </w:pPr>
          </w:p>
        </w:tc>
        <w:tc>
          <w:tcPr>
            <w:tcW w:w="1374" w:type="dxa"/>
            <w:vAlign w:val="bottom"/>
          </w:tcPr>
          <w:p w14:paraId="77C59125" w14:textId="6CE3165D" w:rsidR="00027230" w:rsidRPr="00F60034" w:rsidRDefault="00027230" w:rsidP="008F39E2">
            <w:pPr>
              <w:pStyle w:val="Header"/>
              <w:ind w:left="86" w:right="180" w:hanging="86"/>
              <w:jc w:val="right"/>
              <w:rPr>
                <w:rFonts w:ascii="Arial" w:hAnsi="Arial" w:cs="Arial"/>
                <w:szCs w:val="20"/>
              </w:rPr>
            </w:pPr>
          </w:p>
        </w:tc>
        <w:tc>
          <w:tcPr>
            <w:tcW w:w="1350" w:type="dxa"/>
          </w:tcPr>
          <w:p w14:paraId="48C44285" w14:textId="77777777" w:rsidR="00027230" w:rsidRPr="00F60034" w:rsidRDefault="00027230" w:rsidP="008F39E2">
            <w:pPr>
              <w:pStyle w:val="Header"/>
              <w:ind w:left="86" w:right="288" w:hanging="86"/>
              <w:jc w:val="right"/>
              <w:rPr>
                <w:rFonts w:ascii="Arial" w:hAnsi="Arial" w:cs="Arial"/>
                <w:szCs w:val="20"/>
              </w:rPr>
            </w:pPr>
          </w:p>
        </w:tc>
        <w:tc>
          <w:tcPr>
            <w:tcW w:w="1440" w:type="dxa"/>
            <w:vAlign w:val="bottom"/>
          </w:tcPr>
          <w:p w14:paraId="715E35DE" w14:textId="3BC32737" w:rsidR="00027230" w:rsidRPr="00F60034" w:rsidRDefault="00027230" w:rsidP="008F39E2">
            <w:pPr>
              <w:pStyle w:val="Header"/>
              <w:ind w:left="86" w:right="288" w:hanging="86"/>
              <w:jc w:val="right"/>
              <w:rPr>
                <w:rFonts w:ascii="Arial" w:hAnsi="Arial" w:cs="Arial"/>
                <w:szCs w:val="20"/>
              </w:rPr>
            </w:pPr>
          </w:p>
        </w:tc>
      </w:tr>
      <w:tr w:rsidR="00027230" w:rsidRPr="00F60034" w14:paraId="5FC2EB8D" w14:textId="77777777" w:rsidTr="00027230">
        <w:tc>
          <w:tcPr>
            <w:tcW w:w="3420" w:type="dxa"/>
          </w:tcPr>
          <w:p w14:paraId="74944949" w14:textId="7E761CBD" w:rsidR="00027230" w:rsidRPr="00F60034" w:rsidRDefault="00027230" w:rsidP="008F39E2">
            <w:pPr>
              <w:spacing w:after="0" w:line="240" w:lineRule="auto"/>
              <w:ind w:left="180"/>
              <w:rPr>
                <w:rFonts w:ascii="Arial" w:hAnsi="Arial" w:cs="Arial"/>
                <w:szCs w:val="20"/>
              </w:rPr>
            </w:pPr>
            <w:r>
              <w:rPr>
                <w:rFonts w:ascii="Arial" w:hAnsi="Arial" w:cs="Arial"/>
                <w:szCs w:val="20"/>
              </w:rPr>
              <w:t>Total assets</w:t>
            </w:r>
          </w:p>
        </w:tc>
        <w:tc>
          <w:tcPr>
            <w:tcW w:w="1236" w:type="dxa"/>
            <w:vAlign w:val="bottom"/>
          </w:tcPr>
          <w:p w14:paraId="77CC5AF8" w14:textId="2359F5B9" w:rsidR="00027230" w:rsidRPr="00F60034" w:rsidRDefault="00023821" w:rsidP="009D70DA">
            <w:pPr>
              <w:pStyle w:val="Header"/>
              <w:tabs>
                <w:tab w:val="left" w:pos="990"/>
              </w:tabs>
              <w:ind w:left="86" w:right="90" w:hanging="86"/>
              <w:jc w:val="right"/>
              <w:rPr>
                <w:rFonts w:ascii="Arial" w:hAnsi="Arial" w:cs="Arial"/>
                <w:szCs w:val="20"/>
              </w:rPr>
            </w:pPr>
            <w:r>
              <w:rPr>
                <w:rFonts w:ascii="Arial" w:hAnsi="Arial" w:cs="Arial"/>
                <w:szCs w:val="20"/>
              </w:rPr>
              <w:t>1,</w:t>
            </w:r>
            <w:r w:rsidR="009D70DA">
              <w:rPr>
                <w:rFonts w:ascii="Arial" w:hAnsi="Arial" w:cs="Arial"/>
                <w:szCs w:val="20"/>
              </w:rPr>
              <w:t>458,343</w:t>
            </w:r>
          </w:p>
        </w:tc>
        <w:tc>
          <w:tcPr>
            <w:tcW w:w="1374" w:type="dxa"/>
            <w:vAlign w:val="bottom"/>
          </w:tcPr>
          <w:p w14:paraId="75CADA32" w14:textId="0C425BDB" w:rsidR="00027230" w:rsidRPr="00F60034" w:rsidRDefault="009D70DA" w:rsidP="008F39E2">
            <w:pPr>
              <w:pStyle w:val="Header"/>
              <w:ind w:left="86" w:right="180" w:hanging="86"/>
              <w:jc w:val="right"/>
              <w:rPr>
                <w:rFonts w:ascii="Arial" w:hAnsi="Arial" w:cs="Arial"/>
                <w:szCs w:val="20"/>
              </w:rPr>
            </w:pPr>
            <w:r>
              <w:rPr>
                <w:rFonts w:ascii="Arial" w:hAnsi="Arial" w:cs="Arial"/>
                <w:szCs w:val="20"/>
              </w:rPr>
              <w:t>8,259,690</w:t>
            </w:r>
          </w:p>
        </w:tc>
        <w:tc>
          <w:tcPr>
            <w:tcW w:w="1350" w:type="dxa"/>
          </w:tcPr>
          <w:p w14:paraId="18D66632" w14:textId="6BB12CD3" w:rsidR="00027230" w:rsidRDefault="00027230" w:rsidP="008F39E2">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0221A4FB" w14:textId="7CA7D59A" w:rsidR="00027230" w:rsidRDefault="009D70DA" w:rsidP="00023821">
            <w:pPr>
              <w:pStyle w:val="Header"/>
              <w:ind w:left="86" w:right="288" w:hanging="86"/>
              <w:jc w:val="right"/>
              <w:rPr>
                <w:rFonts w:ascii="Arial" w:hAnsi="Arial" w:cs="Arial"/>
                <w:szCs w:val="20"/>
              </w:rPr>
            </w:pPr>
            <w:r>
              <w:rPr>
                <w:rFonts w:ascii="Arial" w:hAnsi="Arial" w:cs="Arial"/>
                <w:szCs w:val="20"/>
              </w:rPr>
              <w:t>9,718,033</w:t>
            </w:r>
          </w:p>
        </w:tc>
      </w:tr>
      <w:tr w:rsidR="00027230" w:rsidRPr="00F60034" w14:paraId="71DADAF9" w14:textId="77777777" w:rsidTr="00027230">
        <w:tc>
          <w:tcPr>
            <w:tcW w:w="3420" w:type="dxa"/>
          </w:tcPr>
          <w:p w14:paraId="53D36D2B" w14:textId="2F5CE7DD" w:rsidR="00027230" w:rsidRPr="00F60034" w:rsidRDefault="00027230" w:rsidP="008F39E2">
            <w:pPr>
              <w:spacing w:after="0" w:line="240" w:lineRule="auto"/>
              <w:ind w:left="180"/>
              <w:rPr>
                <w:rFonts w:ascii="Arial" w:hAnsi="Arial" w:cs="Arial"/>
                <w:szCs w:val="20"/>
              </w:rPr>
            </w:pPr>
            <w:r>
              <w:rPr>
                <w:rFonts w:ascii="Arial" w:hAnsi="Arial" w:cs="Arial"/>
                <w:szCs w:val="20"/>
              </w:rPr>
              <w:t>Total liabilities</w:t>
            </w:r>
          </w:p>
        </w:tc>
        <w:tc>
          <w:tcPr>
            <w:tcW w:w="1236" w:type="dxa"/>
            <w:vAlign w:val="bottom"/>
          </w:tcPr>
          <w:p w14:paraId="710FFF82" w14:textId="409EB3B0" w:rsidR="00027230" w:rsidRPr="00F60034" w:rsidRDefault="009D70DA" w:rsidP="00023821">
            <w:pPr>
              <w:pStyle w:val="Header"/>
              <w:tabs>
                <w:tab w:val="left" w:pos="990"/>
              </w:tabs>
              <w:ind w:left="86" w:right="90" w:hanging="86"/>
              <w:jc w:val="right"/>
              <w:rPr>
                <w:rFonts w:ascii="Arial" w:hAnsi="Arial" w:cs="Arial"/>
                <w:szCs w:val="20"/>
              </w:rPr>
            </w:pPr>
            <w:r>
              <w:rPr>
                <w:rFonts w:ascii="Arial" w:hAnsi="Arial" w:cs="Arial"/>
                <w:szCs w:val="20"/>
              </w:rPr>
              <w:t>4,999,244</w:t>
            </w:r>
          </w:p>
        </w:tc>
        <w:tc>
          <w:tcPr>
            <w:tcW w:w="1374" w:type="dxa"/>
            <w:vAlign w:val="bottom"/>
          </w:tcPr>
          <w:p w14:paraId="0DCA05DB" w14:textId="28748E48" w:rsidR="00027230" w:rsidRPr="00F60034" w:rsidRDefault="009D70DA" w:rsidP="008F39E2">
            <w:pPr>
              <w:pStyle w:val="Header"/>
              <w:ind w:left="86" w:right="180" w:hanging="86"/>
              <w:jc w:val="right"/>
              <w:rPr>
                <w:rFonts w:ascii="Arial" w:hAnsi="Arial" w:cs="Arial"/>
                <w:szCs w:val="20"/>
              </w:rPr>
            </w:pPr>
            <w:r>
              <w:rPr>
                <w:rFonts w:ascii="Arial" w:hAnsi="Arial" w:cs="Arial"/>
                <w:szCs w:val="20"/>
              </w:rPr>
              <w:t>1,219,176</w:t>
            </w:r>
          </w:p>
        </w:tc>
        <w:tc>
          <w:tcPr>
            <w:tcW w:w="1350" w:type="dxa"/>
          </w:tcPr>
          <w:p w14:paraId="582DFCAA" w14:textId="07119730" w:rsidR="00027230" w:rsidRDefault="00027230" w:rsidP="008F39E2">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1A4F5E21" w14:textId="4F3F96D0" w:rsidR="00027230" w:rsidRDefault="009D70DA" w:rsidP="00023821">
            <w:pPr>
              <w:pStyle w:val="Header"/>
              <w:ind w:left="86" w:right="288" w:hanging="86"/>
              <w:jc w:val="right"/>
              <w:rPr>
                <w:rFonts w:ascii="Arial" w:hAnsi="Arial" w:cs="Arial"/>
                <w:szCs w:val="20"/>
              </w:rPr>
            </w:pPr>
            <w:r>
              <w:rPr>
                <w:rFonts w:ascii="Arial" w:hAnsi="Arial" w:cs="Arial"/>
                <w:szCs w:val="20"/>
              </w:rPr>
              <w:t>6,218,420</w:t>
            </w:r>
          </w:p>
        </w:tc>
      </w:tr>
      <w:tr w:rsidR="00027230" w:rsidRPr="00F60034" w14:paraId="516C9AF3" w14:textId="77777777" w:rsidTr="00027230">
        <w:trPr>
          <w:trHeight w:hRule="exact" w:val="115"/>
        </w:trPr>
        <w:tc>
          <w:tcPr>
            <w:tcW w:w="3420" w:type="dxa"/>
          </w:tcPr>
          <w:p w14:paraId="421D2188" w14:textId="77777777" w:rsidR="00027230" w:rsidRPr="00F60034" w:rsidRDefault="00027230" w:rsidP="008F39E2">
            <w:pPr>
              <w:spacing w:after="0" w:line="240" w:lineRule="auto"/>
              <w:rPr>
                <w:rFonts w:ascii="Arial" w:hAnsi="Arial" w:cs="Arial"/>
                <w:szCs w:val="20"/>
              </w:rPr>
            </w:pPr>
          </w:p>
        </w:tc>
        <w:tc>
          <w:tcPr>
            <w:tcW w:w="1236" w:type="dxa"/>
          </w:tcPr>
          <w:p w14:paraId="729C3791"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374" w:type="dxa"/>
          </w:tcPr>
          <w:p w14:paraId="6E0CBBB8"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350" w:type="dxa"/>
          </w:tcPr>
          <w:p w14:paraId="60120E01"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440" w:type="dxa"/>
          </w:tcPr>
          <w:p w14:paraId="798A8065" w14:textId="7742FDDD" w:rsidR="00027230" w:rsidRPr="00F60034" w:rsidRDefault="00027230" w:rsidP="008F39E2">
            <w:pPr>
              <w:spacing w:after="0" w:line="240" w:lineRule="auto"/>
              <w:ind w:right="29"/>
              <w:jc w:val="right"/>
              <w:rPr>
                <w:rStyle w:val="HeadNoteTitle"/>
                <w:rFonts w:cs="Arial"/>
                <w:b w:val="0"/>
                <w:bCs/>
                <w:sz w:val="20"/>
                <w:szCs w:val="20"/>
              </w:rPr>
            </w:pPr>
          </w:p>
        </w:tc>
      </w:tr>
      <w:tr w:rsidR="00027230" w:rsidRPr="00F60034" w14:paraId="6F7E124B" w14:textId="77777777" w:rsidTr="00027230">
        <w:tc>
          <w:tcPr>
            <w:tcW w:w="3420" w:type="dxa"/>
          </w:tcPr>
          <w:p w14:paraId="4E814AA5" w14:textId="675522A1" w:rsidR="00027230" w:rsidRPr="004620AD" w:rsidRDefault="00027230" w:rsidP="006E41F5">
            <w:pPr>
              <w:spacing w:after="0" w:line="240" w:lineRule="auto"/>
              <w:rPr>
                <w:rFonts w:ascii="Arial" w:hAnsi="Arial" w:cs="Arial"/>
                <w:b/>
                <w:szCs w:val="20"/>
              </w:rPr>
            </w:pPr>
            <w:r w:rsidRPr="004620AD">
              <w:rPr>
                <w:rFonts w:ascii="Arial" w:hAnsi="Arial" w:cs="Arial"/>
                <w:b/>
                <w:szCs w:val="20"/>
              </w:rPr>
              <w:t xml:space="preserve">As at </w:t>
            </w:r>
            <w:r>
              <w:rPr>
                <w:rFonts w:ascii="Arial" w:hAnsi="Arial" w:cs="Arial"/>
                <w:b/>
                <w:szCs w:val="20"/>
              </w:rPr>
              <w:t>February 1,</w:t>
            </w:r>
            <w:r w:rsidRPr="004620AD">
              <w:rPr>
                <w:rFonts w:ascii="Arial" w:hAnsi="Arial" w:cs="Arial"/>
                <w:b/>
                <w:szCs w:val="20"/>
              </w:rPr>
              <w:t xml:space="preserve"> 2</w:t>
            </w:r>
            <w:r>
              <w:rPr>
                <w:rFonts w:ascii="Arial" w:hAnsi="Arial" w:cs="Arial"/>
                <w:b/>
                <w:szCs w:val="20"/>
              </w:rPr>
              <w:t>018</w:t>
            </w:r>
          </w:p>
        </w:tc>
        <w:tc>
          <w:tcPr>
            <w:tcW w:w="1236" w:type="dxa"/>
            <w:vAlign w:val="bottom"/>
          </w:tcPr>
          <w:p w14:paraId="51198B22" w14:textId="77777777" w:rsidR="00027230" w:rsidRPr="00F60034" w:rsidRDefault="00027230" w:rsidP="008F39E2">
            <w:pPr>
              <w:pStyle w:val="Header"/>
              <w:tabs>
                <w:tab w:val="left" w:pos="990"/>
              </w:tabs>
              <w:ind w:left="86" w:right="90" w:hanging="86"/>
              <w:jc w:val="right"/>
              <w:rPr>
                <w:rFonts w:ascii="Arial" w:hAnsi="Arial" w:cs="Arial"/>
                <w:szCs w:val="20"/>
              </w:rPr>
            </w:pPr>
          </w:p>
        </w:tc>
        <w:tc>
          <w:tcPr>
            <w:tcW w:w="1374" w:type="dxa"/>
            <w:vAlign w:val="bottom"/>
          </w:tcPr>
          <w:p w14:paraId="5BFB8678" w14:textId="77777777" w:rsidR="00027230" w:rsidRPr="00F60034" w:rsidRDefault="00027230" w:rsidP="008F39E2">
            <w:pPr>
              <w:pStyle w:val="Header"/>
              <w:ind w:left="86" w:right="180" w:hanging="86"/>
              <w:jc w:val="right"/>
              <w:rPr>
                <w:rFonts w:ascii="Arial" w:hAnsi="Arial" w:cs="Arial"/>
                <w:szCs w:val="20"/>
              </w:rPr>
            </w:pPr>
          </w:p>
        </w:tc>
        <w:tc>
          <w:tcPr>
            <w:tcW w:w="1350" w:type="dxa"/>
          </w:tcPr>
          <w:p w14:paraId="14BA7340" w14:textId="77777777" w:rsidR="00027230" w:rsidRPr="00F60034" w:rsidRDefault="00027230" w:rsidP="008F39E2">
            <w:pPr>
              <w:pStyle w:val="Header"/>
              <w:ind w:left="86" w:right="288" w:hanging="86"/>
              <w:jc w:val="right"/>
              <w:rPr>
                <w:rFonts w:ascii="Arial" w:hAnsi="Arial" w:cs="Arial"/>
                <w:szCs w:val="20"/>
              </w:rPr>
            </w:pPr>
          </w:p>
        </w:tc>
        <w:tc>
          <w:tcPr>
            <w:tcW w:w="1440" w:type="dxa"/>
            <w:vAlign w:val="bottom"/>
          </w:tcPr>
          <w:p w14:paraId="5B6291BE" w14:textId="2FB02CFB" w:rsidR="00027230" w:rsidRPr="00F60034" w:rsidRDefault="00027230" w:rsidP="008F39E2">
            <w:pPr>
              <w:pStyle w:val="Header"/>
              <w:ind w:left="86" w:right="288" w:hanging="86"/>
              <w:jc w:val="right"/>
              <w:rPr>
                <w:rFonts w:ascii="Arial" w:hAnsi="Arial" w:cs="Arial"/>
                <w:szCs w:val="20"/>
              </w:rPr>
            </w:pPr>
          </w:p>
        </w:tc>
      </w:tr>
      <w:tr w:rsidR="00027230" w:rsidRPr="00F60034" w14:paraId="34626B96" w14:textId="77777777" w:rsidTr="00027230">
        <w:trPr>
          <w:trHeight w:val="135"/>
        </w:trPr>
        <w:tc>
          <w:tcPr>
            <w:tcW w:w="3420" w:type="dxa"/>
          </w:tcPr>
          <w:p w14:paraId="5290B324" w14:textId="67FEB470" w:rsidR="00027230" w:rsidRPr="00F60034" w:rsidRDefault="00027230" w:rsidP="008F39E2">
            <w:pPr>
              <w:spacing w:after="0" w:line="240" w:lineRule="auto"/>
              <w:ind w:left="180"/>
              <w:rPr>
                <w:rFonts w:ascii="Arial" w:hAnsi="Arial" w:cs="Arial"/>
                <w:szCs w:val="20"/>
              </w:rPr>
            </w:pPr>
            <w:r>
              <w:rPr>
                <w:rFonts w:ascii="Arial" w:hAnsi="Arial" w:cs="Arial"/>
                <w:szCs w:val="20"/>
              </w:rPr>
              <w:t>Total assets</w:t>
            </w:r>
          </w:p>
        </w:tc>
        <w:tc>
          <w:tcPr>
            <w:tcW w:w="1236" w:type="dxa"/>
            <w:vAlign w:val="bottom"/>
          </w:tcPr>
          <w:p w14:paraId="14355B80" w14:textId="75953D40" w:rsidR="00027230" w:rsidRPr="00F60034" w:rsidRDefault="00027230" w:rsidP="008F39E2">
            <w:pPr>
              <w:pStyle w:val="Header"/>
              <w:tabs>
                <w:tab w:val="left" w:pos="990"/>
              </w:tabs>
              <w:ind w:left="86" w:right="90" w:hanging="86"/>
              <w:jc w:val="right"/>
              <w:rPr>
                <w:rFonts w:ascii="Arial" w:hAnsi="Arial" w:cs="Arial"/>
                <w:szCs w:val="20"/>
              </w:rPr>
            </w:pPr>
            <w:r>
              <w:rPr>
                <w:rFonts w:ascii="Arial" w:hAnsi="Arial" w:cs="Arial"/>
                <w:szCs w:val="20"/>
              </w:rPr>
              <w:t>471,826</w:t>
            </w:r>
          </w:p>
        </w:tc>
        <w:tc>
          <w:tcPr>
            <w:tcW w:w="1374" w:type="dxa"/>
            <w:vAlign w:val="bottom"/>
          </w:tcPr>
          <w:p w14:paraId="5E03F4CC" w14:textId="77777777" w:rsidR="00027230" w:rsidRPr="00F60034" w:rsidRDefault="00027230" w:rsidP="008F39E2">
            <w:pPr>
              <w:pStyle w:val="Header"/>
              <w:ind w:left="86" w:right="180" w:hanging="86"/>
              <w:jc w:val="right"/>
              <w:rPr>
                <w:rFonts w:ascii="Arial" w:hAnsi="Arial" w:cs="Arial"/>
                <w:szCs w:val="20"/>
              </w:rPr>
            </w:pPr>
            <w:r w:rsidRPr="00F60034">
              <w:rPr>
                <w:rFonts w:ascii="Arial" w:hAnsi="Arial" w:cs="Arial"/>
                <w:szCs w:val="20"/>
              </w:rPr>
              <w:t>–</w:t>
            </w:r>
          </w:p>
        </w:tc>
        <w:tc>
          <w:tcPr>
            <w:tcW w:w="1350" w:type="dxa"/>
          </w:tcPr>
          <w:p w14:paraId="7D718841" w14:textId="48E1BBB8" w:rsidR="00027230" w:rsidRDefault="00027230" w:rsidP="008F39E2">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58D311E5" w14:textId="4FE41E77" w:rsidR="00027230" w:rsidRDefault="00027230" w:rsidP="008F39E2">
            <w:pPr>
              <w:pStyle w:val="Header"/>
              <w:ind w:left="86" w:right="288" w:hanging="86"/>
              <w:jc w:val="right"/>
              <w:rPr>
                <w:rFonts w:ascii="Arial" w:hAnsi="Arial" w:cs="Arial"/>
                <w:szCs w:val="20"/>
              </w:rPr>
            </w:pPr>
            <w:r>
              <w:rPr>
                <w:rFonts w:ascii="Arial" w:hAnsi="Arial" w:cs="Arial"/>
                <w:szCs w:val="20"/>
              </w:rPr>
              <w:t>471,826</w:t>
            </w:r>
          </w:p>
        </w:tc>
      </w:tr>
      <w:tr w:rsidR="00027230" w:rsidRPr="00F60034" w14:paraId="42BF8AFE" w14:textId="77777777" w:rsidTr="00027230">
        <w:tc>
          <w:tcPr>
            <w:tcW w:w="3420" w:type="dxa"/>
          </w:tcPr>
          <w:p w14:paraId="3EC63AD3" w14:textId="5A0F4C5C" w:rsidR="00027230" w:rsidRPr="00F60034" w:rsidRDefault="00027230" w:rsidP="008F39E2">
            <w:pPr>
              <w:spacing w:after="0" w:line="240" w:lineRule="auto"/>
              <w:ind w:left="180"/>
              <w:rPr>
                <w:rFonts w:ascii="Arial" w:hAnsi="Arial" w:cs="Arial"/>
                <w:szCs w:val="20"/>
              </w:rPr>
            </w:pPr>
            <w:r>
              <w:rPr>
                <w:rFonts w:ascii="Arial" w:hAnsi="Arial" w:cs="Arial"/>
                <w:szCs w:val="20"/>
              </w:rPr>
              <w:t>Total liabilities</w:t>
            </w:r>
          </w:p>
        </w:tc>
        <w:tc>
          <w:tcPr>
            <w:tcW w:w="1236" w:type="dxa"/>
            <w:vAlign w:val="bottom"/>
          </w:tcPr>
          <w:p w14:paraId="55CB889E" w14:textId="521C8DA5" w:rsidR="00027230" w:rsidRPr="00F60034" w:rsidRDefault="00027230" w:rsidP="008F39E2">
            <w:pPr>
              <w:pStyle w:val="Header"/>
              <w:tabs>
                <w:tab w:val="left" w:pos="990"/>
              </w:tabs>
              <w:ind w:left="86" w:right="90" w:hanging="86"/>
              <w:jc w:val="right"/>
              <w:rPr>
                <w:rFonts w:ascii="Arial" w:hAnsi="Arial" w:cs="Arial"/>
                <w:szCs w:val="20"/>
              </w:rPr>
            </w:pPr>
            <w:r>
              <w:rPr>
                <w:rFonts w:ascii="Arial" w:hAnsi="Arial" w:cs="Arial"/>
                <w:szCs w:val="20"/>
              </w:rPr>
              <w:t>527,618</w:t>
            </w:r>
          </w:p>
        </w:tc>
        <w:tc>
          <w:tcPr>
            <w:tcW w:w="1374" w:type="dxa"/>
            <w:vAlign w:val="bottom"/>
          </w:tcPr>
          <w:p w14:paraId="7C44F8AD" w14:textId="5F034976" w:rsidR="00027230" w:rsidRPr="00F60034" w:rsidRDefault="00027230" w:rsidP="008F39E2">
            <w:pPr>
              <w:pStyle w:val="Header"/>
              <w:ind w:left="86" w:right="180" w:hanging="86"/>
              <w:jc w:val="right"/>
              <w:rPr>
                <w:rFonts w:ascii="Arial" w:hAnsi="Arial" w:cs="Arial"/>
                <w:szCs w:val="20"/>
              </w:rPr>
            </w:pPr>
            <w:r w:rsidRPr="00F60034">
              <w:rPr>
                <w:rFonts w:ascii="Arial" w:hAnsi="Arial" w:cs="Arial"/>
                <w:szCs w:val="20"/>
              </w:rPr>
              <w:t>–</w:t>
            </w:r>
          </w:p>
        </w:tc>
        <w:tc>
          <w:tcPr>
            <w:tcW w:w="1350" w:type="dxa"/>
          </w:tcPr>
          <w:p w14:paraId="187626C8" w14:textId="16EB4CED" w:rsidR="00027230" w:rsidRDefault="00027230" w:rsidP="008F39E2">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7D04F889" w14:textId="07851B54" w:rsidR="00027230" w:rsidRDefault="00027230" w:rsidP="008F39E2">
            <w:pPr>
              <w:pStyle w:val="Header"/>
              <w:ind w:left="86" w:right="288" w:hanging="86"/>
              <w:jc w:val="right"/>
              <w:rPr>
                <w:rFonts w:ascii="Arial" w:hAnsi="Arial" w:cs="Arial"/>
                <w:szCs w:val="20"/>
              </w:rPr>
            </w:pPr>
            <w:r>
              <w:rPr>
                <w:rFonts w:ascii="Arial" w:hAnsi="Arial" w:cs="Arial"/>
                <w:szCs w:val="20"/>
              </w:rPr>
              <w:t>527,618</w:t>
            </w:r>
          </w:p>
        </w:tc>
      </w:tr>
      <w:tr w:rsidR="00027230" w:rsidRPr="00F60034" w14:paraId="707A89E6" w14:textId="77777777" w:rsidTr="00027230">
        <w:trPr>
          <w:trHeight w:hRule="exact" w:val="115"/>
        </w:trPr>
        <w:tc>
          <w:tcPr>
            <w:tcW w:w="3420" w:type="dxa"/>
            <w:tcBorders>
              <w:bottom w:val="single" w:sz="2" w:space="0" w:color="auto"/>
            </w:tcBorders>
          </w:tcPr>
          <w:p w14:paraId="740F6B21" w14:textId="77777777" w:rsidR="00027230" w:rsidRPr="00F60034" w:rsidRDefault="00027230" w:rsidP="008F39E2">
            <w:pPr>
              <w:spacing w:after="0" w:line="240" w:lineRule="auto"/>
              <w:rPr>
                <w:rFonts w:ascii="Arial" w:hAnsi="Arial" w:cs="Arial"/>
                <w:szCs w:val="20"/>
              </w:rPr>
            </w:pPr>
          </w:p>
        </w:tc>
        <w:tc>
          <w:tcPr>
            <w:tcW w:w="1236" w:type="dxa"/>
            <w:tcBorders>
              <w:bottom w:val="single" w:sz="2" w:space="0" w:color="auto"/>
            </w:tcBorders>
          </w:tcPr>
          <w:p w14:paraId="0E8DC7C1"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374" w:type="dxa"/>
            <w:tcBorders>
              <w:bottom w:val="single" w:sz="2" w:space="0" w:color="auto"/>
            </w:tcBorders>
          </w:tcPr>
          <w:p w14:paraId="7034E6D7"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350" w:type="dxa"/>
            <w:tcBorders>
              <w:bottom w:val="single" w:sz="2" w:space="0" w:color="auto"/>
            </w:tcBorders>
          </w:tcPr>
          <w:p w14:paraId="191FCE30"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440" w:type="dxa"/>
            <w:tcBorders>
              <w:bottom w:val="single" w:sz="2" w:space="0" w:color="auto"/>
            </w:tcBorders>
          </w:tcPr>
          <w:p w14:paraId="3888BAFF" w14:textId="07BA8227" w:rsidR="00027230" w:rsidRPr="00F60034" w:rsidRDefault="00027230" w:rsidP="008F39E2">
            <w:pPr>
              <w:spacing w:after="0" w:line="240" w:lineRule="auto"/>
              <w:ind w:right="29"/>
              <w:jc w:val="right"/>
              <w:rPr>
                <w:rStyle w:val="HeadNoteTitle"/>
                <w:rFonts w:cs="Arial"/>
                <w:b w:val="0"/>
                <w:bCs/>
                <w:sz w:val="20"/>
                <w:szCs w:val="20"/>
              </w:rPr>
            </w:pPr>
          </w:p>
        </w:tc>
      </w:tr>
    </w:tbl>
    <w:p w14:paraId="4477C57E" w14:textId="77777777" w:rsidR="00850E6C" w:rsidRDefault="00850E6C" w:rsidP="00A219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743C8B5C" w14:textId="41D426FC" w:rsidR="00A219A1" w:rsidRDefault="004E594E" w:rsidP="00A219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Pr>
          <w:rFonts w:ascii="Arial" w:hAnsi="Arial" w:cs="Arial"/>
          <w:b/>
          <w:szCs w:val="20"/>
        </w:rPr>
        <w:t>2</w:t>
      </w:r>
      <w:r w:rsidR="001761C7">
        <w:rPr>
          <w:rFonts w:ascii="Arial" w:hAnsi="Arial" w:cs="Arial"/>
          <w:b/>
          <w:szCs w:val="20"/>
        </w:rPr>
        <w:t>1</w:t>
      </w:r>
      <w:r w:rsidR="00A219A1" w:rsidRPr="002C07FA">
        <w:rPr>
          <w:rFonts w:ascii="Arial" w:hAnsi="Arial" w:cs="Arial"/>
          <w:b/>
          <w:szCs w:val="20"/>
        </w:rPr>
        <w:t>.</w:t>
      </w:r>
      <w:r w:rsidR="00A219A1" w:rsidRPr="002C07FA">
        <w:rPr>
          <w:rFonts w:ascii="Arial" w:hAnsi="Arial" w:cs="Arial"/>
          <w:b/>
          <w:szCs w:val="20"/>
        </w:rPr>
        <w:tab/>
      </w:r>
      <w:r w:rsidR="00A219A1">
        <w:rPr>
          <w:rFonts w:ascii="Arial" w:hAnsi="Arial" w:cs="Arial"/>
          <w:b/>
          <w:szCs w:val="20"/>
        </w:rPr>
        <w:t>Management</w:t>
      </w:r>
      <w:r w:rsidR="00554D4C">
        <w:rPr>
          <w:rFonts w:ascii="Arial" w:hAnsi="Arial" w:cs="Arial"/>
          <w:b/>
          <w:szCs w:val="20"/>
        </w:rPr>
        <w:t xml:space="preserve"> of Financial Risk</w:t>
      </w:r>
    </w:p>
    <w:p w14:paraId="65C9F139" w14:textId="77777777" w:rsidR="00A219A1" w:rsidRDefault="00A219A1" w:rsidP="00F15B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0E62685C" w14:textId="2BB0CB3D" w:rsidR="00554D4C" w:rsidRDefault="00A93EB0" w:rsidP="00554D4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Pr>
          <w:rFonts w:ascii="Arial" w:hAnsi="Arial" w:cs="Arial"/>
          <w:szCs w:val="20"/>
        </w:rPr>
        <w:t xml:space="preserve">The Company’s financial instruments are exposed to certain risks, including credit risk, interest rate risk, liquidity risk and </w:t>
      </w:r>
      <w:r w:rsidR="00EA65FB">
        <w:rPr>
          <w:rFonts w:ascii="Arial" w:hAnsi="Arial" w:cs="Arial"/>
          <w:szCs w:val="20"/>
        </w:rPr>
        <w:t>currency</w:t>
      </w:r>
      <w:r>
        <w:rPr>
          <w:rFonts w:ascii="Arial" w:hAnsi="Arial" w:cs="Arial"/>
          <w:szCs w:val="20"/>
        </w:rPr>
        <w:t xml:space="preserve"> risk.</w:t>
      </w:r>
    </w:p>
    <w:p w14:paraId="76FB11DC" w14:textId="77777777" w:rsidR="00A93EB0" w:rsidRDefault="00A93EB0" w:rsidP="00554D4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42E8F24E" w14:textId="7CCB779E" w:rsidR="00A93EB0" w:rsidRDefault="00A93EB0" w:rsidP="00CF1342">
      <w:pPr>
        <w:pStyle w:val="ListParagraph"/>
        <w:numPr>
          <w:ilvl w:val="0"/>
          <w:numId w:val="3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szCs w:val="20"/>
        </w:rPr>
        <w:t>Credit risk</w:t>
      </w:r>
    </w:p>
    <w:p w14:paraId="6256296C" w14:textId="77777777" w:rsidR="00A93EB0" w:rsidRDefault="00A93EB0" w:rsidP="00A93EB0">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2EACA221" w14:textId="1F412E3E" w:rsidR="00A93EB0" w:rsidRDefault="00A93EB0" w:rsidP="00DB7415">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r>
        <w:rPr>
          <w:rFonts w:ascii="Arial" w:hAnsi="Arial" w:cs="Arial"/>
          <w:szCs w:val="20"/>
        </w:rPr>
        <w:t>Credit risk is the risk of loss if a customer or third party to a financial instrument fails to meet its contractual obligations.  The Company’s cash is held through reputable financial institutions in Canada and the U.S.  The Company’s amounts receivable consists of Goods and Services Tax due from the</w:t>
      </w:r>
      <w:r w:rsidR="00C21FEB">
        <w:rPr>
          <w:rFonts w:ascii="Arial" w:hAnsi="Arial" w:cs="Arial"/>
          <w:szCs w:val="20"/>
        </w:rPr>
        <w:t xml:space="preserve"> federal government of Canada. </w:t>
      </w:r>
      <w:r w:rsidR="00B94972">
        <w:rPr>
          <w:rFonts w:ascii="Arial" w:hAnsi="Arial" w:cs="Arial"/>
          <w:szCs w:val="20"/>
        </w:rPr>
        <w:t>Loan receivable consist</w:t>
      </w:r>
      <w:r w:rsidR="00951DC9">
        <w:rPr>
          <w:rFonts w:ascii="Arial" w:hAnsi="Arial" w:cs="Arial"/>
          <w:szCs w:val="20"/>
        </w:rPr>
        <w:t>s</w:t>
      </w:r>
      <w:r w:rsidR="00B94972">
        <w:rPr>
          <w:rFonts w:ascii="Arial" w:hAnsi="Arial" w:cs="Arial"/>
          <w:szCs w:val="20"/>
        </w:rPr>
        <w:t xml:space="preserve"> of a loan with a third party.  </w:t>
      </w:r>
      <w:r w:rsidR="00DB7415">
        <w:rPr>
          <w:rFonts w:ascii="Arial" w:hAnsi="Arial" w:cs="Arial"/>
          <w:szCs w:val="20"/>
        </w:rPr>
        <w:t>The carrying amount of cash</w:t>
      </w:r>
      <w:r w:rsidR="00B94972">
        <w:rPr>
          <w:rFonts w:ascii="Arial" w:hAnsi="Arial" w:cs="Arial"/>
          <w:szCs w:val="20"/>
        </w:rPr>
        <w:t xml:space="preserve">, </w:t>
      </w:r>
      <w:r w:rsidR="00DB7415" w:rsidRPr="00DB7415">
        <w:rPr>
          <w:rFonts w:ascii="Arial" w:hAnsi="Arial" w:cs="Arial"/>
          <w:szCs w:val="20"/>
        </w:rPr>
        <w:t>amounts</w:t>
      </w:r>
      <w:r w:rsidR="00DB7415">
        <w:rPr>
          <w:rFonts w:ascii="Arial" w:hAnsi="Arial" w:cs="Arial"/>
          <w:szCs w:val="20"/>
        </w:rPr>
        <w:t xml:space="preserve"> </w:t>
      </w:r>
      <w:r w:rsidR="00DB7415" w:rsidRPr="00DB7415">
        <w:rPr>
          <w:rFonts w:ascii="Arial" w:hAnsi="Arial" w:cs="Arial"/>
          <w:szCs w:val="20"/>
        </w:rPr>
        <w:t xml:space="preserve">receivable </w:t>
      </w:r>
      <w:r w:rsidR="00B94972">
        <w:rPr>
          <w:rFonts w:ascii="Arial" w:hAnsi="Arial" w:cs="Arial"/>
          <w:szCs w:val="20"/>
        </w:rPr>
        <w:t xml:space="preserve">and loan receivable </w:t>
      </w:r>
      <w:r w:rsidR="00DB7415" w:rsidRPr="00DB7415">
        <w:rPr>
          <w:rFonts w:ascii="Arial" w:hAnsi="Arial" w:cs="Arial"/>
          <w:szCs w:val="20"/>
        </w:rPr>
        <w:t xml:space="preserve">represent the </w:t>
      </w:r>
      <w:r w:rsidR="00D05E2A">
        <w:rPr>
          <w:rFonts w:ascii="Arial" w:hAnsi="Arial" w:cs="Arial"/>
          <w:szCs w:val="20"/>
        </w:rPr>
        <w:t>maximum exposure to credit risk.  A</w:t>
      </w:r>
      <w:r w:rsidR="00DB7415" w:rsidRPr="00DB7415">
        <w:rPr>
          <w:rFonts w:ascii="Arial" w:hAnsi="Arial" w:cs="Arial"/>
          <w:szCs w:val="20"/>
        </w:rPr>
        <w:t xml:space="preserve">s at </w:t>
      </w:r>
      <w:r w:rsidR="00B94972">
        <w:rPr>
          <w:rFonts w:ascii="Arial" w:hAnsi="Arial" w:cs="Arial"/>
          <w:szCs w:val="20"/>
        </w:rPr>
        <w:t>October</w:t>
      </w:r>
      <w:r w:rsidR="00C21FEB">
        <w:rPr>
          <w:rFonts w:ascii="Arial" w:hAnsi="Arial" w:cs="Arial"/>
          <w:szCs w:val="20"/>
        </w:rPr>
        <w:t xml:space="preserve"> 31</w:t>
      </w:r>
      <w:r w:rsidR="00DB7415" w:rsidRPr="00DB7415">
        <w:rPr>
          <w:rFonts w:ascii="Arial" w:hAnsi="Arial" w:cs="Arial"/>
          <w:szCs w:val="20"/>
        </w:rPr>
        <w:t>, 2019, this amounted to $</w:t>
      </w:r>
      <w:r w:rsidR="00B94972">
        <w:rPr>
          <w:rFonts w:ascii="Arial" w:hAnsi="Arial" w:cs="Arial"/>
          <w:szCs w:val="20"/>
        </w:rPr>
        <w:t>6,008,067</w:t>
      </w:r>
      <w:r w:rsidR="006E41F5">
        <w:rPr>
          <w:rFonts w:ascii="Arial" w:hAnsi="Arial" w:cs="Arial"/>
          <w:szCs w:val="20"/>
        </w:rPr>
        <w:t xml:space="preserve"> (</w:t>
      </w:r>
      <w:r w:rsidR="00E60B54">
        <w:rPr>
          <w:rFonts w:ascii="Arial" w:hAnsi="Arial" w:cs="Arial"/>
          <w:szCs w:val="20"/>
        </w:rPr>
        <w:t>January 31, 2019 - $</w:t>
      </w:r>
      <w:r w:rsidR="00C21FEB">
        <w:rPr>
          <w:rFonts w:ascii="Arial" w:hAnsi="Arial" w:cs="Arial"/>
          <w:szCs w:val="20"/>
        </w:rPr>
        <w:t>119,289</w:t>
      </w:r>
      <w:r w:rsidR="00E60B54">
        <w:rPr>
          <w:rFonts w:ascii="Arial" w:hAnsi="Arial" w:cs="Arial"/>
          <w:szCs w:val="20"/>
        </w:rPr>
        <w:t>; February 1, 2018 - $</w:t>
      </w:r>
      <w:r w:rsidR="00C21FEB">
        <w:rPr>
          <w:rFonts w:ascii="Arial" w:hAnsi="Arial" w:cs="Arial"/>
          <w:szCs w:val="20"/>
        </w:rPr>
        <w:t>84,426)</w:t>
      </w:r>
      <w:r w:rsidR="00E60B54">
        <w:rPr>
          <w:rFonts w:ascii="Arial" w:hAnsi="Arial" w:cs="Arial"/>
          <w:szCs w:val="20"/>
        </w:rPr>
        <w:t>.</w:t>
      </w:r>
    </w:p>
    <w:p w14:paraId="0ED97AAE" w14:textId="7C17214E" w:rsidR="00A93EB0" w:rsidRDefault="00A93EB0" w:rsidP="00A93EB0">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3D142377" w14:textId="77777777" w:rsidR="00B94972" w:rsidRDefault="00B94972" w:rsidP="00B9497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713A84B4" w14:textId="77777777" w:rsidR="00B94972" w:rsidRDefault="00B94972" w:rsidP="00B9497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3CE202EA" w14:textId="48A15B5B" w:rsidR="00B94972" w:rsidRPr="00850E6C" w:rsidRDefault="00B94972" w:rsidP="00B9497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b/>
          <w:szCs w:val="20"/>
        </w:rPr>
        <w:lastRenderedPageBreak/>
        <w:t>21</w:t>
      </w:r>
      <w:r w:rsidRPr="002C07FA">
        <w:rPr>
          <w:rFonts w:ascii="Arial" w:hAnsi="Arial" w:cs="Arial"/>
          <w:b/>
          <w:szCs w:val="20"/>
        </w:rPr>
        <w:t>.</w:t>
      </w:r>
      <w:r w:rsidRPr="002C07FA">
        <w:rPr>
          <w:rFonts w:ascii="Arial" w:hAnsi="Arial" w:cs="Arial"/>
          <w:b/>
          <w:szCs w:val="20"/>
        </w:rPr>
        <w:tab/>
      </w:r>
      <w:r>
        <w:rPr>
          <w:rFonts w:ascii="Arial" w:hAnsi="Arial" w:cs="Arial"/>
          <w:b/>
          <w:szCs w:val="20"/>
        </w:rPr>
        <w:t xml:space="preserve">Management of Financial Risk </w:t>
      </w:r>
      <w:r>
        <w:rPr>
          <w:rFonts w:ascii="Arial" w:hAnsi="Arial" w:cs="Arial"/>
          <w:szCs w:val="20"/>
        </w:rPr>
        <w:t>(continued)</w:t>
      </w:r>
    </w:p>
    <w:p w14:paraId="1E65A7C5" w14:textId="77777777" w:rsidR="00B94972" w:rsidRDefault="00B94972" w:rsidP="00A93EB0">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484417B6" w14:textId="60FB2466" w:rsidR="00A93EB0" w:rsidRDefault="00A93EB0" w:rsidP="00CF1342">
      <w:pPr>
        <w:pStyle w:val="ListParagraph"/>
        <w:numPr>
          <w:ilvl w:val="0"/>
          <w:numId w:val="3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szCs w:val="20"/>
        </w:rPr>
        <w:t>Interest rate risk</w:t>
      </w:r>
    </w:p>
    <w:p w14:paraId="1DB05697" w14:textId="77777777" w:rsidR="00A93EB0" w:rsidRDefault="00A93EB0" w:rsidP="00A93EB0">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10F6AA29" w14:textId="702EB41E" w:rsidR="00A93EB0" w:rsidRDefault="00A93EB0" w:rsidP="00A93EB0">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r>
        <w:rPr>
          <w:rFonts w:ascii="Arial" w:hAnsi="Arial" w:cs="Arial"/>
          <w:szCs w:val="20"/>
        </w:rPr>
        <w:t>Interest rate risk is the risk that fair values of future cash flows of a financial instrument will fluctuate because of changes in market interest rates.  The Company is</w:t>
      </w:r>
      <w:r w:rsidR="00E60B54">
        <w:rPr>
          <w:rFonts w:ascii="Arial" w:hAnsi="Arial" w:cs="Arial"/>
          <w:szCs w:val="20"/>
        </w:rPr>
        <w:t xml:space="preserve"> not</w:t>
      </w:r>
      <w:r>
        <w:rPr>
          <w:rFonts w:ascii="Arial" w:hAnsi="Arial" w:cs="Arial"/>
          <w:szCs w:val="20"/>
        </w:rPr>
        <w:t xml:space="preserve"> exposed to interest rate risk</w:t>
      </w:r>
      <w:r w:rsidR="00AF3F1A">
        <w:rPr>
          <w:rFonts w:ascii="Arial" w:hAnsi="Arial" w:cs="Arial"/>
          <w:szCs w:val="20"/>
        </w:rPr>
        <w:t>.</w:t>
      </w:r>
    </w:p>
    <w:p w14:paraId="54555B4D" w14:textId="77777777" w:rsidR="00850E6C" w:rsidRDefault="00850E6C" w:rsidP="00D97DF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70B045B6" w14:textId="6398E369" w:rsidR="00AF3F1A" w:rsidRDefault="00AF3F1A" w:rsidP="00CF1342">
      <w:pPr>
        <w:pStyle w:val="ListParagraph"/>
        <w:numPr>
          <w:ilvl w:val="0"/>
          <w:numId w:val="3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szCs w:val="20"/>
        </w:rPr>
        <w:t>Liquidity risk</w:t>
      </w:r>
    </w:p>
    <w:p w14:paraId="7269E591" w14:textId="77777777" w:rsidR="00AF3F1A" w:rsidRDefault="00AF3F1A" w:rsidP="00AF3F1A">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7B59172C" w14:textId="7A477D1A" w:rsidR="00AF3F1A" w:rsidRDefault="00AF3F1A" w:rsidP="00AF3F1A">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r w:rsidRPr="00AF3F1A">
        <w:rPr>
          <w:rFonts w:ascii="Arial" w:hAnsi="Arial" w:cs="Arial"/>
          <w:szCs w:val="20"/>
        </w:rPr>
        <w:t xml:space="preserve">Liquidity risk is the risk that the Company will not be able to meet is financial obligations as they come due.  The Company </w:t>
      </w:r>
      <w:r>
        <w:rPr>
          <w:rFonts w:ascii="Arial" w:hAnsi="Arial" w:cs="Arial"/>
          <w:szCs w:val="20"/>
        </w:rPr>
        <w:t>manages liquidity risk through the management o</w:t>
      </w:r>
      <w:r w:rsidR="00E60B54">
        <w:rPr>
          <w:rFonts w:ascii="Arial" w:hAnsi="Arial" w:cs="Arial"/>
          <w:szCs w:val="20"/>
        </w:rPr>
        <w:t>f its capital structure (Note 2</w:t>
      </w:r>
      <w:r w:rsidR="00B94972">
        <w:rPr>
          <w:rFonts w:ascii="Arial" w:hAnsi="Arial" w:cs="Arial"/>
          <w:szCs w:val="20"/>
        </w:rPr>
        <w:t>2</w:t>
      </w:r>
      <w:r>
        <w:rPr>
          <w:rFonts w:ascii="Arial" w:hAnsi="Arial" w:cs="Arial"/>
          <w:szCs w:val="20"/>
        </w:rPr>
        <w:t>)</w:t>
      </w:r>
      <w:r w:rsidRPr="00AF3F1A">
        <w:rPr>
          <w:rFonts w:ascii="Arial" w:hAnsi="Arial" w:cs="Arial"/>
          <w:szCs w:val="20"/>
        </w:rPr>
        <w:t>.</w:t>
      </w:r>
      <w:r>
        <w:rPr>
          <w:rFonts w:ascii="Arial" w:hAnsi="Arial" w:cs="Arial"/>
          <w:szCs w:val="20"/>
        </w:rPr>
        <w:t xml:space="preserve">  </w:t>
      </w:r>
      <w:r w:rsidRPr="00AF3F1A">
        <w:rPr>
          <w:rFonts w:ascii="Arial" w:hAnsi="Arial" w:cs="Arial"/>
          <w:szCs w:val="20"/>
        </w:rPr>
        <w:t>Accounts payable and accrued liabilities</w:t>
      </w:r>
      <w:r w:rsidR="00E60B54">
        <w:rPr>
          <w:rFonts w:ascii="Arial" w:hAnsi="Arial" w:cs="Arial"/>
          <w:szCs w:val="20"/>
        </w:rPr>
        <w:t xml:space="preserve"> and due to related parties </w:t>
      </w:r>
      <w:r w:rsidRPr="00AF3F1A">
        <w:rPr>
          <w:rFonts w:ascii="Arial" w:hAnsi="Arial" w:cs="Arial"/>
          <w:szCs w:val="20"/>
        </w:rPr>
        <w:t>are due within the current operating period</w:t>
      </w:r>
      <w:r w:rsidR="00EA65FB">
        <w:rPr>
          <w:rFonts w:ascii="Arial" w:hAnsi="Arial" w:cs="Arial"/>
          <w:szCs w:val="20"/>
        </w:rPr>
        <w:t>.</w:t>
      </w:r>
    </w:p>
    <w:p w14:paraId="123E8E75" w14:textId="77777777" w:rsidR="00E92D5A" w:rsidRDefault="00E92D5A" w:rsidP="00E92D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19096073" w14:textId="05C4CBE4" w:rsidR="00EA65FB" w:rsidRDefault="00EA65FB" w:rsidP="00CF1342">
      <w:pPr>
        <w:pStyle w:val="ListParagraph"/>
        <w:numPr>
          <w:ilvl w:val="0"/>
          <w:numId w:val="3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szCs w:val="20"/>
        </w:rPr>
        <w:t>Currency risk</w:t>
      </w:r>
    </w:p>
    <w:p w14:paraId="7210B38B" w14:textId="77777777" w:rsidR="00EA65FB" w:rsidRDefault="00EA65FB" w:rsidP="00EA65FB">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69CEAEFC" w14:textId="139C810B" w:rsidR="00EA65FB" w:rsidRDefault="00EA65FB" w:rsidP="00EA65FB">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r w:rsidRPr="00EA65FB">
        <w:rPr>
          <w:rFonts w:ascii="Arial" w:hAnsi="Arial" w:cs="Arial"/>
          <w:szCs w:val="20"/>
        </w:rPr>
        <w:t>Currency risk is the risk of loss due to fluctuation of foreign exchange rates and the effects of these fluctuations on foreign currency denominated mon</w:t>
      </w:r>
      <w:r>
        <w:rPr>
          <w:rFonts w:ascii="Arial" w:hAnsi="Arial" w:cs="Arial"/>
          <w:szCs w:val="20"/>
        </w:rPr>
        <w:t>etary assets and liabilities.  The Company is not exposed to significant currency risk as the parent entity and subsidiaries primarily transact in their functional currencies.  The Company does not invest in derivatives to mitigate these risks.</w:t>
      </w:r>
    </w:p>
    <w:p w14:paraId="2C0CC91C" w14:textId="55A4CF2C" w:rsidR="00A219A1" w:rsidRDefault="00A219A1" w:rsidP="00A93EB0">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b/>
          <w:szCs w:val="20"/>
        </w:rPr>
      </w:pPr>
    </w:p>
    <w:p w14:paraId="1B0046E5" w14:textId="7F68FFC5" w:rsidR="00A219A1" w:rsidRDefault="00FF5082" w:rsidP="00A219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Pr>
          <w:rFonts w:ascii="Arial" w:hAnsi="Arial" w:cs="Arial"/>
          <w:b/>
          <w:szCs w:val="20"/>
        </w:rPr>
        <w:t>2</w:t>
      </w:r>
      <w:r w:rsidR="00B94972">
        <w:rPr>
          <w:rFonts w:ascii="Arial" w:hAnsi="Arial" w:cs="Arial"/>
          <w:b/>
          <w:szCs w:val="20"/>
        </w:rPr>
        <w:t>2</w:t>
      </w:r>
      <w:r w:rsidR="00A219A1" w:rsidRPr="002C07FA">
        <w:rPr>
          <w:rFonts w:ascii="Arial" w:hAnsi="Arial" w:cs="Arial"/>
          <w:b/>
          <w:szCs w:val="20"/>
        </w:rPr>
        <w:t>.</w:t>
      </w:r>
      <w:r w:rsidR="00A219A1" w:rsidRPr="002C07FA">
        <w:rPr>
          <w:rFonts w:ascii="Arial" w:hAnsi="Arial" w:cs="Arial"/>
          <w:b/>
          <w:szCs w:val="20"/>
        </w:rPr>
        <w:tab/>
      </w:r>
      <w:r w:rsidR="00A219A1">
        <w:rPr>
          <w:rFonts w:ascii="Arial" w:hAnsi="Arial" w:cs="Arial"/>
          <w:b/>
          <w:szCs w:val="20"/>
        </w:rPr>
        <w:t>Management of Capital</w:t>
      </w:r>
    </w:p>
    <w:p w14:paraId="4772D272" w14:textId="77777777" w:rsidR="00A219A1" w:rsidRDefault="00A219A1" w:rsidP="00F15B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44ADD817" w14:textId="7A93DC46" w:rsidR="00A219A1" w:rsidRDefault="007B5B1C" w:rsidP="007B5B1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Pr>
          <w:rFonts w:ascii="Arial" w:hAnsi="Arial" w:cs="Arial"/>
          <w:szCs w:val="20"/>
        </w:rPr>
        <w:t xml:space="preserve">The Company’s objectives when managing capital are to safeguard the Company’s ability to continue as a going concern in order to pursue the </w:t>
      </w:r>
      <w:r w:rsidRPr="007B5B1C">
        <w:rPr>
          <w:rFonts w:ascii="Arial" w:hAnsi="Arial" w:cs="Arial"/>
          <w:szCs w:val="20"/>
        </w:rPr>
        <w:t>development and commercialization of patented, differentiated and premium quality cannabinoid-based nutraceuticals and pharmaceuticals</w:t>
      </w:r>
      <w:r>
        <w:rPr>
          <w:rFonts w:ascii="Arial" w:hAnsi="Arial" w:cs="Arial"/>
          <w:szCs w:val="20"/>
        </w:rPr>
        <w:t xml:space="preserve">, and to maintain a flexible capital structure.  The Company considers its capital to be its </w:t>
      </w:r>
      <w:r w:rsidR="00E60B54">
        <w:rPr>
          <w:rFonts w:ascii="Arial" w:hAnsi="Arial" w:cs="Arial"/>
          <w:szCs w:val="20"/>
        </w:rPr>
        <w:t>shareholders’</w:t>
      </w:r>
      <w:r>
        <w:rPr>
          <w:rFonts w:ascii="Arial" w:hAnsi="Arial" w:cs="Arial"/>
          <w:szCs w:val="20"/>
        </w:rPr>
        <w:t xml:space="preserve"> equity.</w:t>
      </w:r>
    </w:p>
    <w:p w14:paraId="5A839C10" w14:textId="77777777" w:rsidR="007B5B1C" w:rsidRDefault="007B5B1C" w:rsidP="007B5B1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55F7EFE5" w14:textId="0CBDD292" w:rsidR="007B5B1C" w:rsidRDefault="007B5B1C" w:rsidP="007B5B1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Pr>
          <w:rFonts w:ascii="Arial" w:hAnsi="Arial" w:cs="Arial"/>
          <w:szCs w:val="20"/>
        </w:rPr>
        <w:t xml:space="preserve">The Company manages its capital structure and makes adjustments to it in light of changes in economic conditions and the risk characteristics of its assets.  To maintain or adjust its capital structure, the Company may issue new common </w:t>
      </w:r>
      <w:r w:rsidR="00F07391">
        <w:rPr>
          <w:rFonts w:ascii="Arial" w:hAnsi="Arial" w:cs="Arial"/>
          <w:szCs w:val="20"/>
        </w:rPr>
        <w:t>shares</w:t>
      </w:r>
      <w:r>
        <w:rPr>
          <w:rFonts w:ascii="Arial" w:hAnsi="Arial" w:cs="Arial"/>
          <w:szCs w:val="20"/>
        </w:rPr>
        <w:t xml:space="preserve"> or debenture, acquire or dispose of assets or adjust the amount of cash.</w:t>
      </w:r>
    </w:p>
    <w:p w14:paraId="1EBB9000" w14:textId="77777777" w:rsidR="007B5B1C" w:rsidRDefault="007B5B1C" w:rsidP="007B5B1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1C900A26" w14:textId="211CBBD9" w:rsidR="007B5B1C" w:rsidRPr="007B5B1C" w:rsidRDefault="007B5B1C" w:rsidP="007B5B1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sidRPr="007B5B1C">
        <w:rPr>
          <w:rFonts w:ascii="Arial" w:hAnsi="Arial" w:cs="Arial"/>
          <w:szCs w:val="20"/>
        </w:rPr>
        <w:t>In order to facilitate the management of its capital requirements, the Company prepares expenditure budgets that are updated as necessary depending on various factors, including successful capital deployment and general industry conditions.  In order to maximize ongoing development efforts, the Company does not pay out dividends.</w:t>
      </w:r>
      <w:r>
        <w:rPr>
          <w:rFonts w:ascii="Arial" w:hAnsi="Arial" w:cs="Arial"/>
          <w:szCs w:val="20"/>
        </w:rPr>
        <w:t xml:space="preserve"> There are no external restrictions on the Company’s capital.</w:t>
      </w:r>
    </w:p>
    <w:p w14:paraId="018C0C12" w14:textId="77777777" w:rsidR="00A219A1" w:rsidRDefault="00A219A1" w:rsidP="00F15B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202A6993" w14:textId="19BFEBDD" w:rsidR="00E3748C" w:rsidRPr="00CB1B9F" w:rsidRDefault="00BD31CE" w:rsidP="00F15B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sidRPr="00CB1B9F">
        <w:rPr>
          <w:rFonts w:ascii="Arial" w:hAnsi="Arial" w:cs="Arial"/>
          <w:b/>
          <w:szCs w:val="20"/>
        </w:rPr>
        <w:t>2</w:t>
      </w:r>
      <w:r w:rsidR="00B94972" w:rsidRPr="00CB1B9F">
        <w:rPr>
          <w:rFonts w:ascii="Arial" w:hAnsi="Arial" w:cs="Arial"/>
          <w:b/>
          <w:szCs w:val="20"/>
        </w:rPr>
        <w:t>3</w:t>
      </w:r>
      <w:r w:rsidR="00E3748C" w:rsidRPr="00CB1B9F">
        <w:rPr>
          <w:rFonts w:ascii="Arial" w:hAnsi="Arial" w:cs="Arial"/>
          <w:b/>
          <w:szCs w:val="20"/>
        </w:rPr>
        <w:t>.</w:t>
      </w:r>
      <w:r w:rsidR="00E3748C" w:rsidRPr="00CB1B9F">
        <w:rPr>
          <w:rFonts w:ascii="Arial" w:hAnsi="Arial" w:cs="Arial"/>
          <w:b/>
          <w:szCs w:val="20"/>
        </w:rPr>
        <w:tab/>
        <w:t>Events</w:t>
      </w:r>
      <w:r w:rsidR="00012E41" w:rsidRPr="00CB1B9F">
        <w:rPr>
          <w:rFonts w:ascii="Arial" w:hAnsi="Arial" w:cs="Arial"/>
          <w:b/>
          <w:szCs w:val="20"/>
        </w:rPr>
        <w:t xml:space="preserve"> After the Reporting Date</w:t>
      </w:r>
    </w:p>
    <w:p w14:paraId="03933425" w14:textId="77777777" w:rsidR="00C174F9" w:rsidRPr="00CB1B9F" w:rsidRDefault="00C174F9" w:rsidP="00F15B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6226A49A" w14:textId="7B82928D" w:rsidR="00716A93" w:rsidRPr="00CB1B9F" w:rsidRDefault="00CB1B9F" w:rsidP="00CB1B9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sidRPr="00CB1B9F">
        <w:rPr>
          <w:rFonts w:ascii="Arial" w:hAnsi="Arial" w:cs="Arial"/>
          <w:szCs w:val="20"/>
        </w:rPr>
        <w:t>In</w:t>
      </w:r>
      <w:r w:rsidR="00716A93" w:rsidRPr="00CB1B9F">
        <w:rPr>
          <w:rFonts w:ascii="Arial" w:hAnsi="Arial" w:cs="Arial"/>
          <w:szCs w:val="20"/>
        </w:rPr>
        <w:t xml:space="preserve"> </w:t>
      </w:r>
      <w:r w:rsidRPr="00CB1B9F">
        <w:rPr>
          <w:rFonts w:ascii="Arial" w:hAnsi="Arial" w:cs="Arial"/>
          <w:szCs w:val="20"/>
        </w:rPr>
        <w:t>November 2019</w:t>
      </w:r>
      <w:r w:rsidR="00716A93" w:rsidRPr="00CB1B9F">
        <w:rPr>
          <w:rFonts w:ascii="Arial" w:hAnsi="Arial" w:cs="Arial"/>
          <w:szCs w:val="20"/>
        </w:rPr>
        <w:t xml:space="preserve">, </w:t>
      </w:r>
      <w:r w:rsidRPr="00CB1B9F">
        <w:rPr>
          <w:rFonts w:ascii="Arial" w:hAnsi="Arial" w:cs="Arial"/>
          <w:szCs w:val="20"/>
        </w:rPr>
        <w:t>2,725</w:t>
      </w:r>
      <w:r w:rsidR="00716A93" w:rsidRPr="00CB1B9F">
        <w:rPr>
          <w:rFonts w:ascii="Arial" w:hAnsi="Arial" w:cs="Arial"/>
          <w:szCs w:val="20"/>
        </w:rPr>
        <w:t>,000 share purchase options</w:t>
      </w:r>
      <w:r w:rsidRPr="00CB1B9F">
        <w:rPr>
          <w:rFonts w:ascii="Arial" w:hAnsi="Arial" w:cs="Arial"/>
          <w:szCs w:val="20"/>
        </w:rPr>
        <w:t>,</w:t>
      </w:r>
      <w:r w:rsidR="00716A93" w:rsidRPr="00CB1B9F">
        <w:rPr>
          <w:rFonts w:ascii="Arial" w:hAnsi="Arial" w:cs="Arial"/>
          <w:szCs w:val="20"/>
        </w:rPr>
        <w:t xml:space="preserve"> with exercise price</w:t>
      </w:r>
      <w:r w:rsidRPr="00CB1B9F">
        <w:rPr>
          <w:rFonts w:ascii="Arial" w:hAnsi="Arial" w:cs="Arial"/>
          <w:szCs w:val="20"/>
        </w:rPr>
        <w:t>s ranging between $0.15 and $0.25 and term of five years, were granted.  2,650,000 of these share purchase options were granted to officers and a director.  In addition, 2,750,000 restricted share units and 750,000 performance share units were granted to officers and directors.</w:t>
      </w:r>
    </w:p>
    <w:p w14:paraId="04C5FAA9" w14:textId="46F3C2DD" w:rsidR="00716A93" w:rsidRDefault="00716A93" w:rsidP="00716A93">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108764F1" w14:textId="64A631F1" w:rsidR="000C6772" w:rsidRPr="00CB1B9F" w:rsidRDefault="000C6772" w:rsidP="000C6772">
      <w:pPr>
        <w:pStyle w:val="ListParagraph"/>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bookmarkStart w:id="8" w:name="_Hlk27340854"/>
      <w:r w:rsidRPr="0091030B">
        <w:rPr>
          <w:rFonts w:ascii="Arial" w:hAnsi="Arial" w:cs="Arial"/>
          <w:szCs w:val="20"/>
        </w:rPr>
        <w:t>In December 2019, the Company acquired 100% interest in IAMHEALTH CBD UG, a corporation incorporated under the laws of Germany.  Consideration for the acquisition will include the issuance of 517,817 common shares of the Company</w:t>
      </w:r>
      <w:bookmarkEnd w:id="8"/>
      <w:r w:rsidRPr="0091030B">
        <w:rPr>
          <w:rFonts w:ascii="Arial" w:hAnsi="Arial" w:cs="Arial"/>
          <w:szCs w:val="20"/>
        </w:rPr>
        <w:t>.</w:t>
      </w:r>
    </w:p>
    <w:p w14:paraId="56FBFB58" w14:textId="77777777" w:rsidR="00A841E0" w:rsidRPr="00A841E0" w:rsidRDefault="00A841E0" w:rsidP="00A841E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p>
    <w:p w14:paraId="48F4A191" w14:textId="77777777" w:rsidR="00B94972" w:rsidRDefault="00B94972">
      <w:pPr>
        <w:rPr>
          <w:rFonts w:ascii="Arial" w:hAnsi="Arial" w:cs="Arial"/>
          <w:b/>
          <w:szCs w:val="20"/>
        </w:rPr>
      </w:pPr>
      <w:r>
        <w:rPr>
          <w:rFonts w:ascii="Arial" w:hAnsi="Arial" w:cs="Arial"/>
          <w:b/>
          <w:szCs w:val="20"/>
        </w:rPr>
        <w:br w:type="page"/>
      </w:r>
    </w:p>
    <w:p w14:paraId="4F5408A2" w14:textId="06B781A1" w:rsidR="00012E41" w:rsidRPr="00012E41" w:rsidRDefault="00BD31CE" w:rsidP="00012E4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sidRPr="003A3456">
        <w:rPr>
          <w:rFonts w:ascii="Arial" w:hAnsi="Arial" w:cs="Arial"/>
          <w:b/>
          <w:szCs w:val="20"/>
        </w:rPr>
        <w:lastRenderedPageBreak/>
        <w:t>2</w:t>
      </w:r>
      <w:r w:rsidR="00B94972">
        <w:rPr>
          <w:rFonts w:ascii="Arial" w:hAnsi="Arial" w:cs="Arial"/>
          <w:b/>
          <w:szCs w:val="20"/>
        </w:rPr>
        <w:t>4</w:t>
      </w:r>
      <w:r w:rsidR="00012E41" w:rsidRPr="003A3456">
        <w:rPr>
          <w:rFonts w:ascii="Arial" w:hAnsi="Arial" w:cs="Arial"/>
          <w:b/>
          <w:szCs w:val="20"/>
        </w:rPr>
        <w:t>.</w:t>
      </w:r>
      <w:r w:rsidR="00012E41" w:rsidRPr="003A3456">
        <w:rPr>
          <w:rFonts w:ascii="Arial" w:hAnsi="Arial" w:cs="Arial"/>
          <w:b/>
          <w:szCs w:val="20"/>
        </w:rPr>
        <w:tab/>
        <w:t>Transition to IFRS</w:t>
      </w:r>
    </w:p>
    <w:p w14:paraId="65DC0026" w14:textId="77777777" w:rsidR="00012E41" w:rsidRPr="00012E41" w:rsidRDefault="00012E41" w:rsidP="00012E4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0A962C96" w14:textId="1EA90E3F" w:rsidR="00020199" w:rsidRDefault="00020199" w:rsidP="007B5B1C">
      <w:pPr>
        <w:pStyle w:val="ListParagraph"/>
        <w:spacing w:after="0" w:line="240" w:lineRule="auto"/>
        <w:ind w:left="450" w:right="75"/>
        <w:jc w:val="both"/>
        <w:rPr>
          <w:rFonts w:ascii="Arial" w:hAnsi="Arial" w:cs="Arial"/>
          <w:szCs w:val="20"/>
        </w:rPr>
      </w:pPr>
      <w:r>
        <w:rPr>
          <w:rFonts w:ascii="Arial" w:hAnsi="Arial" w:cs="Arial"/>
          <w:szCs w:val="20"/>
        </w:rPr>
        <w:t xml:space="preserve">The accounting policies set out in Note 2 have been consistently applied in preparing the interim financial statements for the three and </w:t>
      </w:r>
      <w:r w:rsidR="00B94972">
        <w:rPr>
          <w:rFonts w:ascii="Arial" w:hAnsi="Arial" w:cs="Arial"/>
          <w:szCs w:val="20"/>
        </w:rPr>
        <w:t>nine</w:t>
      </w:r>
      <w:r>
        <w:rPr>
          <w:rFonts w:ascii="Arial" w:hAnsi="Arial" w:cs="Arial"/>
          <w:szCs w:val="20"/>
        </w:rPr>
        <w:t xml:space="preserve"> months ended </w:t>
      </w:r>
      <w:r w:rsidR="00B94972">
        <w:rPr>
          <w:rFonts w:ascii="Arial" w:hAnsi="Arial" w:cs="Arial"/>
          <w:szCs w:val="20"/>
        </w:rPr>
        <w:t>October</w:t>
      </w:r>
      <w:r>
        <w:rPr>
          <w:rFonts w:ascii="Arial" w:hAnsi="Arial" w:cs="Arial"/>
          <w:szCs w:val="20"/>
        </w:rPr>
        <w:t xml:space="preserve"> 31, 2019, the comparative information presented in these interim financial statements for both three and </w:t>
      </w:r>
      <w:r w:rsidR="00B94972">
        <w:rPr>
          <w:rFonts w:ascii="Arial" w:hAnsi="Arial" w:cs="Arial"/>
          <w:szCs w:val="20"/>
        </w:rPr>
        <w:t>nine</w:t>
      </w:r>
      <w:r>
        <w:rPr>
          <w:rFonts w:ascii="Arial" w:hAnsi="Arial" w:cs="Arial"/>
          <w:szCs w:val="20"/>
        </w:rPr>
        <w:t xml:space="preserve"> months ended </w:t>
      </w:r>
      <w:r w:rsidR="00B94972">
        <w:rPr>
          <w:rFonts w:ascii="Arial" w:hAnsi="Arial" w:cs="Arial"/>
          <w:szCs w:val="20"/>
        </w:rPr>
        <w:t>October</w:t>
      </w:r>
      <w:r>
        <w:rPr>
          <w:rFonts w:ascii="Arial" w:hAnsi="Arial" w:cs="Arial"/>
          <w:szCs w:val="20"/>
        </w:rPr>
        <w:t xml:space="preserve"> 31, 2018 and year ended January 31, 2019, and in the preparation of an opening IFRS statement of financial position at February 1, 2018 (“Transition Date”).</w:t>
      </w:r>
    </w:p>
    <w:p w14:paraId="3FD520BF" w14:textId="77777777" w:rsidR="00020199" w:rsidRDefault="00020199" w:rsidP="007B5B1C">
      <w:pPr>
        <w:pStyle w:val="ListParagraph"/>
        <w:spacing w:after="0" w:line="240" w:lineRule="auto"/>
        <w:ind w:left="450" w:right="75"/>
        <w:jc w:val="both"/>
        <w:rPr>
          <w:rFonts w:ascii="Arial" w:hAnsi="Arial" w:cs="Arial"/>
          <w:szCs w:val="20"/>
        </w:rPr>
      </w:pPr>
    </w:p>
    <w:p w14:paraId="6E5614E1" w14:textId="785FAD91" w:rsidR="00020199" w:rsidRDefault="00020199" w:rsidP="00020199">
      <w:pPr>
        <w:pStyle w:val="ListParagraph"/>
        <w:spacing w:after="0" w:line="240" w:lineRule="auto"/>
        <w:ind w:left="450" w:right="75"/>
        <w:jc w:val="both"/>
        <w:rPr>
          <w:rFonts w:ascii="Arial" w:hAnsi="Arial" w:cs="Arial"/>
          <w:szCs w:val="20"/>
        </w:rPr>
      </w:pPr>
      <w:r w:rsidRPr="00020199">
        <w:rPr>
          <w:rFonts w:ascii="Arial" w:hAnsi="Arial" w:cs="Arial"/>
          <w:szCs w:val="20"/>
        </w:rPr>
        <w:t xml:space="preserve">In preparing its opening </w:t>
      </w:r>
      <w:r>
        <w:rPr>
          <w:rFonts w:ascii="Arial" w:hAnsi="Arial" w:cs="Arial"/>
          <w:szCs w:val="20"/>
        </w:rPr>
        <w:t xml:space="preserve">and comparative </w:t>
      </w:r>
      <w:r w:rsidRPr="00020199">
        <w:rPr>
          <w:rFonts w:ascii="Arial" w:hAnsi="Arial" w:cs="Arial"/>
          <w:szCs w:val="20"/>
        </w:rPr>
        <w:t xml:space="preserve">IFRS statement of financial position, </w:t>
      </w:r>
      <w:r>
        <w:rPr>
          <w:rFonts w:ascii="Arial" w:hAnsi="Arial" w:cs="Arial"/>
          <w:szCs w:val="20"/>
        </w:rPr>
        <w:t>the Company</w:t>
      </w:r>
      <w:r w:rsidRPr="00020199">
        <w:rPr>
          <w:rFonts w:ascii="Arial" w:hAnsi="Arial" w:cs="Arial"/>
          <w:szCs w:val="20"/>
        </w:rPr>
        <w:t xml:space="preserve"> has adjusted amounts reported</w:t>
      </w:r>
      <w:r>
        <w:rPr>
          <w:rFonts w:ascii="Arial" w:hAnsi="Arial" w:cs="Arial"/>
          <w:szCs w:val="20"/>
        </w:rPr>
        <w:t xml:space="preserve"> </w:t>
      </w:r>
      <w:r w:rsidRPr="00020199">
        <w:rPr>
          <w:rFonts w:ascii="Arial" w:hAnsi="Arial" w:cs="Arial"/>
          <w:szCs w:val="20"/>
        </w:rPr>
        <w:t xml:space="preserve">previously in financial statements prepared in accordance with </w:t>
      </w:r>
      <w:r>
        <w:rPr>
          <w:rFonts w:ascii="Arial" w:hAnsi="Arial" w:cs="Arial"/>
          <w:szCs w:val="20"/>
        </w:rPr>
        <w:t>U.S.</w:t>
      </w:r>
      <w:r w:rsidRPr="00020199">
        <w:rPr>
          <w:rFonts w:ascii="Arial" w:hAnsi="Arial" w:cs="Arial"/>
          <w:szCs w:val="20"/>
        </w:rPr>
        <w:t xml:space="preserve"> GAAP</w:t>
      </w:r>
      <w:r>
        <w:rPr>
          <w:rFonts w:ascii="Arial" w:hAnsi="Arial" w:cs="Arial"/>
          <w:szCs w:val="20"/>
        </w:rPr>
        <w:t xml:space="preserve"> (“U.S.</w:t>
      </w:r>
      <w:r w:rsidRPr="00020199">
        <w:rPr>
          <w:rFonts w:ascii="Arial" w:hAnsi="Arial" w:cs="Arial"/>
          <w:szCs w:val="20"/>
        </w:rPr>
        <w:t xml:space="preserve"> GAAP</w:t>
      </w:r>
      <w:r>
        <w:rPr>
          <w:rFonts w:ascii="Arial" w:hAnsi="Arial" w:cs="Arial"/>
          <w:szCs w:val="20"/>
        </w:rPr>
        <w:t>”</w:t>
      </w:r>
      <w:r w:rsidRPr="00020199">
        <w:rPr>
          <w:rFonts w:ascii="Arial" w:hAnsi="Arial" w:cs="Arial"/>
          <w:szCs w:val="20"/>
        </w:rPr>
        <w:t>). Explanations</w:t>
      </w:r>
      <w:r>
        <w:rPr>
          <w:rFonts w:ascii="Arial" w:hAnsi="Arial" w:cs="Arial"/>
          <w:szCs w:val="20"/>
        </w:rPr>
        <w:t xml:space="preserve"> </w:t>
      </w:r>
      <w:r w:rsidRPr="00020199">
        <w:rPr>
          <w:rFonts w:ascii="Arial" w:hAnsi="Arial" w:cs="Arial"/>
          <w:szCs w:val="20"/>
        </w:rPr>
        <w:t xml:space="preserve">of how the transition from </w:t>
      </w:r>
      <w:r>
        <w:rPr>
          <w:rFonts w:ascii="Arial" w:hAnsi="Arial" w:cs="Arial"/>
          <w:szCs w:val="20"/>
        </w:rPr>
        <w:t>U.S.</w:t>
      </w:r>
      <w:r w:rsidRPr="00020199">
        <w:rPr>
          <w:rFonts w:ascii="Arial" w:hAnsi="Arial" w:cs="Arial"/>
          <w:szCs w:val="20"/>
        </w:rPr>
        <w:t xml:space="preserve"> GAAP to IFRS has affected the Company’s equity and its</w:t>
      </w:r>
      <w:r>
        <w:rPr>
          <w:rFonts w:ascii="Arial" w:hAnsi="Arial" w:cs="Arial"/>
          <w:szCs w:val="20"/>
        </w:rPr>
        <w:t xml:space="preserve"> </w:t>
      </w:r>
      <w:r w:rsidRPr="00020199">
        <w:rPr>
          <w:rFonts w:ascii="Arial" w:hAnsi="Arial" w:cs="Arial"/>
          <w:szCs w:val="20"/>
        </w:rPr>
        <w:t>comprehensive income (loss) are set out in the following reconciliations and the notes that accompany them.</w:t>
      </w:r>
    </w:p>
    <w:p w14:paraId="275CFDB0" w14:textId="77777777" w:rsidR="00020199" w:rsidRDefault="00020199" w:rsidP="00020199">
      <w:pPr>
        <w:pStyle w:val="ListParagraph"/>
        <w:spacing w:after="0" w:line="240" w:lineRule="auto"/>
        <w:ind w:left="450" w:right="75"/>
        <w:jc w:val="both"/>
        <w:rPr>
          <w:rFonts w:ascii="Arial" w:hAnsi="Arial" w:cs="Arial"/>
          <w:szCs w:val="20"/>
        </w:rPr>
      </w:pPr>
    </w:p>
    <w:p w14:paraId="357D10A5" w14:textId="1DF9F51F" w:rsidR="00020199" w:rsidRPr="007B5B1C" w:rsidRDefault="00020199" w:rsidP="00020199">
      <w:pPr>
        <w:pStyle w:val="ListParagraph"/>
        <w:spacing w:after="0" w:line="240" w:lineRule="auto"/>
        <w:ind w:left="450" w:right="75"/>
        <w:jc w:val="both"/>
        <w:rPr>
          <w:rFonts w:ascii="Arial" w:hAnsi="Arial" w:cs="Arial"/>
          <w:szCs w:val="20"/>
        </w:rPr>
      </w:pPr>
      <w:r w:rsidRPr="00020199">
        <w:rPr>
          <w:rFonts w:ascii="Arial" w:hAnsi="Arial" w:cs="Arial"/>
          <w:szCs w:val="20"/>
        </w:rPr>
        <w:t>The changes made to the consolidated statements of income (loss), comprehensive income (loss) and the</w:t>
      </w:r>
      <w:r>
        <w:rPr>
          <w:rFonts w:ascii="Arial" w:hAnsi="Arial" w:cs="Arial"/>
          <w:szCs w:val="20"/>
        </w:rPr>
        <w:t xml:space="preserve"> </w:t>
      </w:r>
      <w:r w:rsidRPr="00020199">
        <w:rPr>
          <w:rFonts w:ascii="Arial" w:hAnsi="Arial" w:cs="Arial"/>
          <w:szCs w:val="20"/>
        </w:rPr>
        <w:t>consolidated statements of financial position have resulted in reclassification of various amounts on the</w:t>
      </w:r>
      <w:r>
        <w:rPr>
          <w:rFonts w:ascii="Arial" w:hAnsi="Arial" w:cs="Arial"/>
          <w:szCs w:val="20"/>
        </w:rPr>
        <w:t xml:space="preserve"> </w:t>
      </w:r>
      <w:r w:rsidRPr="00020199">
        <w:rPr>
          <w:rFonts w:ascii="Arial" w:hAnsi="Arial" w:cs="Arial"/>
          <w:szCs w:val="20"/>
        </w:rPr>
        <w:t>statements of cash flows, however as there have been no changes to the net cash flows, no reconciliations</w:t>
      </w:r>
      <w:r>
        <w:rPr>
          <w:rFonts w:ascii="Arial" w:hAnsi="Arial" w:cs="Arial"/>
          <w:szCs w:val="20"/>
        </w:rPr>
        <w:t xml:space="preserve"> </w:t>
      </w:r>
      <w:r w:rsidRPr="00020199">
        <w:rPr>
          <w:rFonts w:ascii="Arial" w:hAnsi="Arial" w:cs="Arial"/>
          <w:szCs w:val="20"/>
        </w:rPr>
        <w:t>have been prepared.</w:t>
      </w:r>
    </w:p>
    <w:p w14:paraId="3CD5017A" w14:textId="77777777" w:rsidR="007B5B1C" w:rsidRPr="007B5B1C" w:rsidRDefault="007B5B1C" w:rsidP="007B5B1C">
      <w:pPr>
        <w:pStyle w:val="ListParagraph"/>
        <w:spacing w:after="0" w:line="240" w:lineRule="auto"/>
        <w:ind w:left="450" w:right="75"/>
        <w:jc w:val="both"/>
        <w:rPr>
          <w:rFonts w:ascii="Arial" w:hAnsi="Arial" w:cs="Arial"/>
          <w:szCs w:val="20"/>
        </w:rPr>
      </w:pPr>
    </w:p>
    <w:p w14:paraId="52A68168" w14:textId="76D8E57C" w:rsidR="007B5B1C" w:rsidRPr="007B5B1C" w:rsidRDefault="00020199" w:rsidP="00020199">
      <w:pPr>
        <w:pStyle w:val="ListParagraph"/>
        <w:spacing w:after="0" w:line="240" w:lineRule="auto"/>
        <w:ind w:left="450" w:right="75"/>
        <w:jc w:val="both"/>
        <w:rPr>
          <w:rFonts w:ascii="Arial" w:hAnsi="Arial" w:cs="Arial"/>
          <w:szCs w:val="20"/>
        </w:rPr>
      </w:pPr>
      <w:r w:rsidRPr="00020199">
        <w:rPr>
          <w:rFonts w:ascii="Arial" w:hAnsi="Arial" w:cs="Arial"/>
          <w:szCs w:val="20"/>
        </w:rPr>
        <w:t xml:space="preserve">Pursuant to IFRS 1, </w:t>
      </w:r>
      <w:r>
        <w:rPr>
          <w:rFonts w:ascii="Arial" w:hAnsi="Arial" w:cs="Arial"/>
          <w:szCs w:val="20"/>
        </w:rPr>
        <w:t xml:space="preserve">the Company </w:t>
      </w:r>
      <w:r w:rsidRPr="00020199">
        <w:rPr>
          <w:rFonts w:ascii="Arial" w:hAnsi="Arial" w:cs="Arial"/>
          <w:szCs w:val="20"/>
        </w:rPr>
        <w:t>has</w:t>
      </w:r>
      <w:r>
        <w:rPr>
          <w:rFonts w:ascii="Arial" w:hAnsi="Arial" w:cs="Arial"/>
          <w:szCs w:val="20"/>
        </w:rPr>
        <w:t xml:space="preserve"> </w:t>
      </w:r>
      <w:r w:rsidRPr="00020199">
        <w:rPr>
          <w:rFonts w:ascii="Arial" w:hAnsi="Arial" w:cs="Arial"/>
          <w:szCs w:val="20"/>
        </w:rPr>
        <w:t>applied IFRS on a retrospective basis, subject to the following relevant mandatory exceptions and voluntary</w:t>
      </w:r>
      <w:r>
        <w:rPr>
          <w:rFonts w:ascii="Arial" w:hAnsi="Arial" w:cs="Arial"/>
          <w:szCs w:val="20"/>
        </w:rPr>
        <w:t xml:space="preserve"> </w:t>
      </w:r>
      <w:r w:rsidRPr="00020199">
        <w:rPr>
          <w:rFonts w:ascii="Arial" w:hAnsi="Arial" w:cs="Arial"/>
          <w:szCs w:val="20"/>
        </w:rPr>
        <w:t>exemptions to retrospective application of IFRS.</w:t>
      </w:r>
      <w:r w:rsidR="007B5B1C" w:rsidRPr="007B5B1C">
        <w:rPr>
          <w:rFonts w:ascii="Arial" w:hAnsi="Arial" w:cs="Arial"/>
          <w:szCs w:val="20"/>
        </w:rPr>
        <w:t xml:space="preserve">  </w:t>
      </w:r>
    </w:p>
    <w:p w14:paraId="58BF55AF" w14:textId="77777777" w:rsidR="007B5B1C" w:rsidRDefault="007B5B1C" w:rsidP="007B5B1C">
      <w:pPr>
        <w:pStyle w:val="ListParagraph"/>
        <w:spacing w:after="0" w:line="240" w:lineRule="auto"/>
        <w:ind w:left="450" w:right="75"/>
        <w:jc w:val="both"/>
        <w:rPr>
          <w:rFonts w:ascii="Arial" w:hAnsi="Arial" w:cs="Arial"/>
          <w:szCs w:val="20"/>
        </w:rPr>
      </w:pPr>
    </w:p>
    <w:p w14:paraId="2482257C" w14:textId="6532B662" w:rsidR="007B5B1C" w:rsidRDefault="00020199" w:rsidP="007B5B1C">
      <w:pPr>
        <w:pStyle w:val="ListParagraph"/>
        <w:spacing w:after="0" w:line="240" w:lineRule="auto"/>
        <w:ind w:left="450" w:right="75"/>
        <w:jc w:val="both"/>
        <w:rPr>
          <w:rFonts w:ascii="Arial" w:hAnsi="Arial" w:cs="Arial"/>
          <w:szCs w:val="20"/>
        </w:rPr>
      </w:pPr>
      <w:r>
        <w:rPr>
          <w:rFonts w:ascii="Arial" w:hAnsi="Arial" w:cs="Arial"/>
          <w:szCs w:val="20"/>
        </w:rPr>
        <w:t xml:space="preserve">The Company </w:t>
      </w:r>
      <w:r w:rsidRPr="00020199">
        <w:rPr>
          <w:rFonts w:ascii="Arial" w:hAnsi="Arial" w:cs="Arial"/>
          <w:szCs w:val="20"/>
        </w:rPr>
        <w:t>has applied the following mandatory exceptions in its first IFRS financial statements:</w:t>
      </w:r>
    </w:p>
    <w:p w14:paraId="658BAB09" w14:textId="77777777" w:rsidR="00020199" w:rsidRDefault="00020199" w:rsidP="007B5B1C">
      <w:pPr>
        <w:pStyle w:val="ListParagraph"/>
        <w:spacing w:after="0" w:line="240" w:lineRule="auto"/>
        <w:ind w:left="450" w:right="75"/>
        <w:jc w:val="both"/>
        <w:rPr>
          <w:rFonts w:ascii="Arial" w:hAnsi="Arial" w:cs="Arial"/>
          <w:szCs w:val="20"/>
        </w:rPr>
      </w:pPr>
    </w:p>
    <w:p w14:paraId="6E36AD7D" w14:textId="21038B9A" w:rsidR="00020199" w:rsidRPr="00020199" w:rsidRDefault="00020199" w:rsidP="007B5B1C">
      <w:pPr>
        <w:pStyle w:val="ListParagraph"/>
        <w:spacing w:after="0" w:line="240" w:lineRule="auto"/>
        <w:ind w:left="450" w:right="75"/>
        <w:jc w:val="both"/>
        <w:rPr>
          <w:rFonts w:ascii="Arial" w:hAnsi="Arial" w:cs="Arial"/>
          <w:szCs w:val="20"/>
          <w:u w:val="single"/>
        </w:rPr>
      </w:pPr>
      <w:r>
        <w:rPr>
          <w:rFonts w:ascii="Arial" w:hAnsi="Arial" w:cs="Arial"/>
          <w:szCs w:val="20"/>
          <w:u w:val="single"/>
        </w:rPr>
        <w:t>Estimates</w:t>
      </w:r>
    </w:p>
    <w:p w14:paraId="5929D28A" w14:textId="1D129DA6" w:rsidR="00020199" w:rsidRDefault="00020199" w:rsidP="007B5B1C">
      <w:pPr>
        <w:pStyle w:val="ListParagraph"/>
        <w:spacing w:after="0" w:line="240" w:lineRule="auto"/>
        <w:ind w:left="450" w:right="75"/>
        <w:jc w:val="both"/>
        <w:rPr>
          <w:rFonts w:ascii="Arial" w:hAnsi="Arial" w:cs="Arial"/>
          <w:szCs w:val="20"/>
        </w:rPr>
      </w:pPr>
      <w:r w:rsidRPr="00020199">
        <w:rPr>
          <w:rFonts w:ascii="Arial" w:hAnsi="Arial" w:cs="Arial"/>
          <w:szCs w:val="20"/>
        </w:rPr>
        <w:t>In accordance with IFRS 1, an entity’s estimates under IFRS at the date of transition to IFRS must be consistent with estimates made for the same date under previous GAAP unless there is objective evidence that those estimates were made in error.  The Company’s IFRS estimates as at the Transition Date are consistent with its U.S. GAAP estimates as at that date.</w:t>
      </w:r>
    </w:p>
    <w:p w14:paraId="73102C7F" w14:textId="77777777" w:rsidR="00020199" w:rsidRPr="007B5B1C" w:rsidRDefault="00020199" w:rsidP="007B5B1C">
      <w:pPr>
        <w:pStyle w:val="ListParagraph"/>
        <w:spacing w:after="0" w:line="240" w:lineRule="auto"/>
        <w:ind w:left="450" w:right="75"/>
        <w:jc w:val="both"/>
        <w:rPr>
          <w:rFonts w:ascii="Arial" w:hAnsi="Arial" w:cs="Arial"/>
          <w:szCs w:val="20"/>
        </w:rPr>
      </w:pPr>
    </w:p>
    <w:p w14:paraId="2E2247E2" w14:textId="1049E00F" w:rsidR="007B5B1C" w:rsidRPr="00020199" w:rsidRDefault="00020199" w:rsidP="00020199">
      <w:pPr>
        <w:pStyle w:val="ListParagraph"/>
        <w:spacing w:after="0" w:line="240" w:lineRule="auto"/>
        <w:ind w:left="450" w:right="75"/>
        <w:jc w:val="both"/>
        <w:rPr>
          <w:rFonts w:ascii="Arial" w:hAnsi="Arial" w:cs="Arial"/>
          <w:szCs w:val="20"/>
        </w:rPr>
      </w:pPr>
      <w:r w:rsidRPr="00020199">
        <w:rPr>
          <w:rFonts w:ascii="Arial" w:hAnsi="Arial" w:cs="Arial"/>
          <w:szCs w:val="20"/>
        </w:rPr>
        <w:t xml:space="preserve">In accordance with IFRS 1, </w:t>
      </w:r>
      <w:r>
        <w:rPr>
          <w:rFonts w:ascii="Arial" w:hAnsi="Arial" w:cs="Arial"/>
          <w:szCs w:val="20"/>
        </w:rPr>
        <w:t>the Company</w:t>
      </w:r>
      <w:r w:rsidRPr="00020199">
        <w:rPr>
          <w:rFonts w:ascii="Arial" w:hAnsi="Arial" w:cs="Arial"/>
          <w:szCs w:val="20"/>
        </w:rPr>
        <w:t xml:space="preserve"> has applied the following voluntary exemptions in the</w:t>
      </w:r>
      <w:r>
        <w:rPr>
          <w:rFonts w:ascii="Arial" w:hAnsi="Arial" w:cs="Arial"/>
          <w:szCs w:val="20"/>
        </w:rPr>
        <w:t xml:space="preserve"> </w:t>
      </w:r>
      <w:r w:rsidRPr="00020199">
        <w:rPr>
          <w:rFonts w:ascii="Arial" w:hAnsi="Arial" w:cs="Arial"/>
          <w:szCs w:val="20"/>
        </w:rPr>
        <w:t xml:space="preserve">conversion from </w:t>
      </w:r>
      <w:r>
        <w:rPr>
          <w:rFonts w:ascii="Arial" w:hAnsi="Arial" w:cs="Arial"/>
          <w:szCs w:val="20"/>
        </w:rPr>
        <w:t>U.S.</w:t>
      </w:r>
      <w:r w:rsidRPr="00020199">
        <w:rPr>
          <w:rFonts w:ascii="Arial" w:hAnsi="Arial" w:cs="Arial"/>
          <w:szCs w:val="20"/>
        </w:rPr>
        <w:t xml:space="preserve"> GAAP to IFRS</w:t>
      </w:r>
      <w:r w:rsidR="007B5B1C" w:rsidRPr="00020199">
        <w:rPr>
          <w:rFonts w:ascii="Arial" w:hAnsi="Arial" w:cs="Arial"/>
          <w:szCs w:val="20"/>
        </w:rPr>
        <w:t>:</w:t>
      </w:r>
    </w:p>
    <w:p w14:paraId="742C8689" w14:textId="77777777" w:rsidR="007B5B1C" w:rsidRPr="007B5B1C" w:rsidRDefault="007B5B1C" w:rsidP="007B5B1C">
      <w:pPr>
        <w:pStyle w:val="ListParagraph"/>
        <w:spacing w:after="0" w:line="240" w:lineRule="auto"/>
        <w:ind w:left="450" w:right="75"/>
        <w:jc w:val="both"/>
        <w:rPr>
          <w:rFonts w:ascii="Arial" w:hAnsi="Arial" w:cs="Arial"/>
          <w:szCs w:val="20"/>
        </w:rPr>
      </w:pPr>
    </w:p>
    <w:p w14:paraId="6B322303" w14:textId="34228A02" w:rsidR="007B5B1C" w:rsidRPr="00241B10" w:rsidRDefault="007B5B1C" w:rsidP="007C0FF2">
      <w:pPr>
        <w:pStyle w:val="ListParagraph"/>
        <w:spacing w:after="0" w:line="240" w:lineRule="auto"/>
        <w:ind w:left="900" w:right="75" w:hanging="450"/>
        <w:jc w:val="both"/>
        <w:rPr>
          <w:rFonts w:ascii="Arial" w:hAnsi="Arial" w:cs="Arial"/>
          <w:szCs w:val="20"/>
          <w:u w:val="single"/>
        </w:rPr>
      </w:pPr>
      <w:r w:rsidRPr="00241B10">
        <w:rPr>
          <w:rFonts w:ascii="Arial" w:hAnsi="Arial" w:cs="Arial"/>
          <w:szCs w:val="20"/>
          <w:u w:val="single"/>
        </w:rPr>
        <w:t>Business combinations</w:t>
      </w:r>
    </w:p>
    <w:p w14:paraId="384FDBDB" w14:textId="4482B765" w:rsidR="007B5B1C" w:rsidRPr="007B5B1C" w:rsidRDefault="00241B10" w:rsidP="00241B10">
      <w:pPr>
        <w:pStyle w:val="ListParagraph"/>
        <w:spacing w:after="0" w:line="240" w:lineRule="auto"/>
        <w:ind w:left="450" w:right="75"/>
        <w:jc w:val="both"/>
        <w:rPr>
          <w:rFonts w:ascii="Arial" w:hAnsi="Arial" w:cs="Arial"/>
          <w:szCs w:val="20"/>
        </w:rPr>
      </w:pPr>
      <w:r>
        <w:rPr>
          <w:rFonts w:ascii="Arial" w:hAnsi="Arial" w:cs="Arial"/>
          <w:szCs w:val="20"/>
        </w:rPr>
        <w:t>I</w:t>
      </w:r>
      <w:r w:rsidR="007B5B1C" w:rsidRPr="007B5B1C">
        <w:rPr>
          <w:rFonts w:ascii="Arial" w:hAnsi="Arial" w:cs="Arial"/>
          <w:szCs w:val="20"/>
        </w:rPr>
        <w:t xml:space="preserve">FRS 1 indicates that a first-time adopter may elect not to apply IFRS 3 Business Combinations retrospectively to business combinations that occurred before the date of transition to IFRS.  The Company has elected to apply IFRS 3 to only those business combinations that occurred on or after the Transition Date and such business combinations have not been restated.  As a result of this election, no adjustments were required to the Company’s </w:t>
      </w:r>
      <w:r w:rsidR="007C0FF2">
        <w:rPr>
          <w:rFonts w:ascii="Arial" w:hAnsi="Arial" w:cs="Arial"/>
          <w:szCs w:val="20"/>
        </w:rPr>
        <w:t xml:space="preserve">consolidated </w:t>
      </w:r>
      <w:r w:rsidR="007B5B1C" w:rsidRPr="007B5B1C">
        <w:rPr>
          <w:rFonts w:ascii="Arial" w:hAnsi="Arial" w:cs="Arial"/>
          <w:szCs w:val="20"/>
        </w:rPr>
        <w:t>statement of financial position as at the Transition Date.</w:t>
      </w:r>
    </w:p>
    <w:p w14:paraId="6AB241E3" w14:textId="77777777" w:rsidR="007B5B1C" w:rsidRDefault="007B5B1C" w:rsidP="007B5B1C">
      <w:pPr>
        <w:pStyle w:val="ListParagraph"/>
        <w:spacing w:after="0" w:line="240" w:lineRule="auto"/>
        <w:ind w:left="450" w:right="75"/>
        <w:jc w:val="both"/>
        <w:rPr>
          <w:rFonts w:ascii="Arial" w:hAnsi="Arial" w:cs="Arial"/>
          <w:szCs w:val="20"/>
        </w:rPr>
      </w:pPr>
    </w:p>
    <w:p w14:paraId="53969FCB" w14:textId="68520760" w:rsidR="007B5B1C" w:rsidRPr="00241B10" w:rsidRDefault="007B5B1C" w:rsidP="007C0FF2">
      <w:pPr>
        <w:pStyle w:val="ListParagraph"/>
        <w:spacing w:after="0" w:line="240" w:lineRule="auto"/>
        <w:ind w:left="900" w:right="75" w:hanging="450"/>
        <w:jc w:val="both"/>
        <w:rPr>
          <w:rFonts w:ascii="Arial" w:hAnsi="Arial" w:cs="Arial"/>
          <w:szCs w:val="20"/>
          <w:u w:val="single"/>
        </w:rPr>
      </w:pPr>
      <w:r w:rsidRPr="00241B10">
        <w:rPr>
          <w:rFonts w:ascii="Arial" w:hAnsi="Arial" w:cs="Arial"/>
          <w:szCs w:val="20"/>
          <w:u w:val="single"/>
        </w:rPr>
        <w:t>Share-based payment transactions</w:t>
      </w:r>
    </w:p>
    <w:p w14:paraId="5D2963DE" w14:textId="77777777" w:rsidR="007B5B1C" w:rsidRPr="007B5B1C" w:rsidRDefault="007B5B1C" w:rsidP="00241B10">
      <w:pPr>
        <w:pStyle w:val="ListParagraph"/>
        <w:spacing w:after="0" w:line="240" w:lineRule="auto"/>
        <w:ind w:left="450" w:right="75"/>
        <w:jc w:val="both"/>
        <w:rPr>
          <w:rFonts w:ascii="Arial" w:hAnsi="Arial" w:cs="Arial"/>
          <w:szCs w:val="20"/>
        </w:rPr>
      </w:pPr>
      <w:r w:rsidRPr="007B5B1C">
        <w:rPr>
          <w:rFonts w:ascii="Arial" w:hAnsi="Arial" w:cs="Arial"/>
          <w:szCs w:val="20"/>
        </w:rPr>
        <w:t>IFRS 1 encourages, but does not require, first-time adopters to apply IFRS 2 Share-based Payment to equity instruments that were granted on or before November 7, 2002, or equity instruments that were granted subsequent to November 7, 2002 and vested before the later of the date of transition to IFRS and January 1, 2005.  The Company has elected not to apply IFRS 2 to awards that vested prior to the Transition Date.</w:t>
      </w:r>
    </w:p>
    <w:p w14:paraId="17E926E0" w14:textId="77777777" w:rsidR="007B5B1C" w:rsidRDefault="007B5B1C" w:rsidP="007B5B1C">
      <w:pPr>
        <w:pStyle w:val="ListParagraph"/>
        <w:spacing w:after="0" w:line="240" w:lineRule="auto"/>
        <w:ind w:left="450" w:right="75"/>
        <w:jc w:val="both"/>
        <w:rPr>
          <w:rFonts w:ascii="Arial" w:hAnsi="Arial" w:cs="Arial"/>
          <w:szCs w:val="20"/>
        </w:rPr>
      </w:pPr>
    </w:p>
    <w:p w14:paraId="2DF1EA55" w14:textId="70563655" w:rsidR="00241B10" w:rsidRPr="007B5B1C" w:rsidRDefault="00241B10" w:rsidP="00241B10">
      <w:pPr>
        <w:pStyle w:val="ListParagraph"/>
        <w:spacing w:after="0" w:line="240" w:lineRule="auto"/>
        <w:ind w:left="450" w:right="75"/>
        <w:jc w:val="both"/>
        <w:rPr>
          <w:rFonts w:ascii="Arial" w:hAnsi="Arial" w:cs="Arial"/>
          <w:szCs w:val="20"/>
        </w:rPr>
      </w:pPr>
      <w:r w:rsidRPr="00241B10">
        <w:rPr>
          <w:rFonts w:ascii="Arial" w:hAnsi="Arial" w:cs="Arial"/>
          <w:szCs w:val="20"/>
        </w:rPr>
        <w:t>The Company has not elected to adopt the remaining voluntary exemptions under IFRS 1 or has</w:t>
      </w:r>
      <w:r>
        <w:rPr>
          <w:rFonts w:ascii="Arial" w:hAnsi="Arial" w:cs="Arial"/>
          <w:szCs w:val="20"/>
        </w:rPr>
        <w:t xml:space="preserve"> </w:t>
      </w:r>
      <w:r w:rsidRPr="00241B10">
        <w:rPr>
          <w:rFonts w:ascii="Arial" w:hAnsi="Arial" w:cs="Arial"/>
          <w:szCs w:val="20"/>
        </w:rPr>
        <w:t>determined that they do not apply to the Company</w:t>
      </w:r>
      <w:r>
        <w:rPr>
          <w:rFonts w:ascii="Arial" w:hAnsi="Arial" w:cs="Arial"/>
          <w:szCs w:val="20"/>
        </w:rPr>
        <w:t>.</w:t>
      </w:r>
    </w:p>
    <w:p w14:paraId="1186DCD4" w14:textId="77777777" w:rsidR="00B94972" w:rsidRDefault="00B94972">
      <w:pPr>
        <w:rPr>
          <w:rFonts w:ascii="Arial" w:hAnsi="Arial" w:cs="Arial"/>
          <w:b/>
          <w:szCs w:val="20"/>
        </w:rPr>
      </w:pPr>
      <w:r>
        <w:rPr>
          <w:rFonts w:ascii="Arial" w:hAnsi="Arial" w:cs="Arial"/>
          <w:b/>
          <w:szCs w:val="20"/>
        </w:rPr>
        <w:br w:type="page"/>
      </w:r>
    </w:p>
    <w:p w14:paraId="40F9BA96" w14:textId="56944779" w:rsidR="009E7452" w:rsidRPr="008F39E2" w:rsidRDefault="009E7452" w:rsidP="009E745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b/>
          <w:szCs w:val="20"/>
        </w:rPr>
        <w:lastRenderedPageBreak/>
        <w:t>2</w:t>
      </w:r>
      <w:r w:rsidR="00B94972">
        <w:rPr>
          <w:rFonts w:ascii="Arial" w:hAnsi="Arial" w:cs="Arial"/>
          <w:b/>
          <w:szCs w:val="20"/>
        </w:rPr>
        <w:t>4</w:t>
      </w:r>
      <w:r w:rsidRPr="00012E41">
        <w:rPr>
          <w:rFonts w:ascii="Arial" w:hAnsi="Arial" w:cs="Arial"/>
          <w:b/>
          <w:szCs w:val="20"/>
        </w:rPr>
        <w:t>.</w:t>
      </w:r>
      <w:r w:rsidRPr="00012E41">
        <w:rPr>
          <w:rFonts w:ascii="Arial" w:hAnsi="Arial" w:cs="Arial"/>
          <w:b/>
          <w:szCs w:val="20"/>
        </w:rPr>
        <w:tab/>
      </w:r>
      <w:r>
        <w:rPr>
          <w:rFonts w:ascii="Arial" w:hAnsi="Arial" w:cs="Arial"/>
          <w:b/>
          <w:szCs w:val="20"/>
        </w:rPr>
        <w:t xml:space="preserve">Transition to IFRS </w:t>
      </w:r>
      <w:r>
        <w:rPr>
          <w:rFonts w:ascii="Arial" w:hAnsi="Arial" w:cs="Arial"/>
          <w:szCs w:val="20"/>
        </w:rPr>
        <w:t>(continued)</w:t>
      </w:r>
    </w:p>
    <w:p w14:paraId="799E1788" w14:textId="77777777" w:rsidR="009E7452" w:rsidRDefault="009E7452" w:rsidP="007B5B1C">
      <w:pPr>
        <w:pStyle w:val="ListParagraph"/>
        <w:spacing w:after="0" w:line="240" w:lineRule="auto"/>
        <w:ind w:left="450" w:right="75"/>
        <w:jc w:val="both"/>
        <w:rPr>
          <w:rFonts w:ascii="Arial" w:hAnsi="Arial" w:cs="Arial"/>
          <w:szCs w:val="20"/>
          <w:u w:val="single"/>
        </w:rPr>
      </w:pPr>
    </w:p>
    <w:p w14:paraId="1EB6D0E9" w14:textId="47DC3698" w:rsidR="00241B10" w:rsidRDefault="00241B10" w:rsidP="007B5B1C">
      <w:pPr>
        <w:pStyle w:val="ListParagraph"/>
        <w:spacing w:after="0" w:line="240" w:lineRule="auto"/>
        <w:ind w:left="450" w:right="75"/>
        <w:jc w:val="both"/>
        <w:rPr>
          <w:rFonts w:ascii="Arial" w:hAnsi="Arial" w:cs="Arial"/>
          <w:b/>
          <w:szCs w:val="20"/>
        </w:rPr>
      </w:pPr>
      <w:r w:rsidRPr="00241B10">
        <w:rPr>
          <w:rFonts w:ascii="Arial" w:hAnsi="Arial" w:cs="Arial"/>
          <w:b/>
          <w:szCs w:val="20"/>
        </w:rPr>
        <w:t>Reconciliation of equity</w:t>
      </w:r>
    </w:p>
    <w:tbl>
      <w:tblPr>
        <w:tblW w:w="8895" w:type="dxa"/>
        <w:tblInd w:w="450" w:type="dxa"/>
        <w:tblLayout w:type="fixed"/>
        <w:tblCellMar>
          <w:left w:w="0" w:type="dxa"/>
          <w:bottom w:w="29" w:type="dxa"/>
          <w:right w:w="0" w:type="dxa"/>
        </w:tblCellMar>
        <w:tblLook w:val="0000" w:firstRow="0" w:lastRow="0" w:firstColumn="0" w:lastColumn="0" w:noHBand="0" w:noVBand="0"/>
      </w:tblPr>
      <w:tblGrid>
        <w:gridCol w:w="4140"/>
        <w:gridCol w:w="1585"/>
        <w:gridCol w:w="1585"/>
        <w:gridCol w:w="1585"/>
      </w:tblGrid>
      <w:tr w:rsidR="00241B10" w:rsidRPr="006D4677" w14:paraId="09CA31E3" w14:textId="77777777" w:rsidTr="00241B10">
        <w:tc>
          <w:tcPr>
            <w:tcW w:w="4140" w:type="dxa"/>
            <w:tcBorders>
              <w:bottom w:val="single" w:sz="2" w:space="0" w:color="auto"/>
            </w:tcBorders>
            <w:vAlign w:val="bottom"/>
          </w:tcPr>
          <w:p w14:paraId="1507E50B" w14:textId="77777777" w:rsidR="00241B10" w:rsidRPr="006D4677" w:rsidRDefault="00241B10" w:rsidP="00241B10">
            <w:pPr>
              <w:tabs>
                <w:tab w:val="left" w:pos="7272"/>
                <w:tab w:val="decimal" w:pos="8136"/>
                <w:tab w:val="left" w:pos="8496"/>
                <w:tab w:val="decimal" w:pos="9360"/>
              </w:tabs>
              <w:spacing w:after="0"/>
              <w:rPr>
                <w:rFonts w:ascii="Arial" w:hAnsi="Arial" w:cs="Arial"/>
                <w:szCs w:val="20"/>
              </w:rPr>
            </w:pPr>
          </w:p>
        </w:tc>
        <w:tc>
          <w:tcPr>
            <w:tcW w:w="1585" w:type="dxa"/>
            <w:tcBorders>
              <w:bottom w:val="single" w:sz="2" w:space="0" w:color="auto"/>
            </w:tcBorders>
            <w:vAlign w:val="bottom"/>
          </w:tcPr>
          <w:p w14:paraId="69AF4C15" w14:textId="503B62CE" w:rsidR="00241B10" w:rsidRPr="00444871" w:rsidRDefault="00241B10" w:rsidP="00241B10">
            <w:pPr>
              <w:spacing w:after="0" w:line="240" w:lineRule="auto"/>
              <w:jc w:val="center"/>
              <w:rPr>
                <w:rFonts w:ascii="Arial" w:hAnsi="Arial" w:cs="Arial"/>
                <w:szCs w:val="20"/>
              </w:rPr>
            </w:pPr>
            <w:r>
              <w:rPr>
                <w:rFonts w:ascii="Arial" w:hAnsi="Arial" w:cs="Arial"/>
                <w:szCs w:val="20"/>
              </w:rPr>
              <w:t>January</w:t>
            </w:r>
            <w:r w:rsidRPr="00444871">
              <w:rPr>
                <w:rFonts w:ascii="Arial" w:hAnsi="Arial" w:cs="Arial"/>
                <w:szCs w:val="20"/>
              </w:rPr>
              <w:t xml:space="preserve"> 31,</w:t>
            </w:r>
          </w:p>
          <w:p w14:paraId="0506AA88" w14:textId="77777777" w:rsidR="00241B10" w:rsidRPr="00444871" w:rsidRDefault="00241B10" w:rsidP="00241B10">
            <w:pPr>
              <w:spacing w:after="0" w:line="240" w:lineRule="auto"/>
              <w:jc w:val="center"/>
              <w:rPr>
                <w:rFonts w:ascii="Arial" w:hAnsi="Arial" w:cs="Arial"/>
                <w:szCs w:val="20"/>
              </w:rPr>
            </w:pPr>
            <w:r w:rsidRPr="00444871">
              <w:rPr>
                <w:rFonts w:ascii="Arial" w:hAnsi="Arial" w:cs="Arial"/>
                <w:szCs w:val="20"/>
              </w:rPr>
              <w:t>2019</w:t>
            </w:r>
          </w:p>
          <w:p w14:paraId="7EB86B6F" w14:textId="6BC8E245" w:rsidR="00241B10" w:rsidRPr="00444871" w:rsidRDefault="00241B10" w:rsidP="00241B10">
            <w:pPr>
              <w:spacing w:after="0" w:line="240" w:lineRule="auto"/>
              <w:jc w:val="center"/>
              <w:rPr>
                <w:rFonts w:ascii="Arial" w:hAnsi="Arial" w:cs="Arial"/>
                <w:szCs w:val="20"/>
              </w:rPr>
            </w:pPr>
            <w:r w:rsidRPr="00444871">
              <w:rPr>
                <w:rFonts w:ascii="Arial" w:hAnsi="Arial" w:cs="Arial"/>
                <w:szCs w:val="20"/>
              </w:rPr>
              <w:t>$</w:t>
            </w:r>
          </w:p>
        </w:tc>
        <w:tc>
          <w:tcPr>
            <w:tcW w:w="1585" w:type="dxa"/>
            <w:tcBorders>
              <w:bottom w:val="single" w:sz="2" w:space="0" w:color="auto"/>
            </w:tcBorders>
            <w:vAlign w:val="bottom"/>
          </w:tcPr>
          <w:p w14:paraId="6AEA84A0" w14:textId="3F8C1631" w:rsidR="00241B10" w:rsidRPr="00CE65C1" w:rsidRDefault="00B94972" w:rsidP="00241B10">
            <w:pPr>
              <w:spacing w:after="0" w:line="240" w:lineRule="auto"/>
              <w:jc w:val="center"/>
              <w:rPr>
                <w:rFonts w:ascii="Arial" w:hAnsi="Arial" w:cs="Arial"/>
                <w:szCs w:val="20"/>
              </w:rPr>
            </w:pPr>
            <w:r w:rsidRPr="00CE65C1">
              <w:rPr>
                <w:rFonts w:ascii="Arial" w:hAnsi="Arial" w:cs="Arial"/>
                <w:szCs w:val="20"/>
              </w:rPr>
              <w:t>October</w:t>
            </w:r>
            <w:r w:rsidR="00241B10" w:rsidRPr="00CE65C1">
              <w:rPr>
                <w:rFonts w:ascii="Arial" w:hAnsi="Arial" w:cs="Arial"/>
                <w:szCs w:val="20"/>
              </w:rPr>
              <w:t xml:space="preserve"> 31,</w:t>
            </w:r>
          </w:p>
          <w:p w14:paraId="41EEDFB7" w14:textId="6DA86D9E" w:rsidR="00241B10" w:rsidRPr="00CE65C1" w:rsidRDefault="00241B10" w:rsidP="00241B10">
            <w:pPr>
              <w:spacing w:after="0" w:line="240" w:lineRule="auto"/>
              <w:jc w:val="center"/>
              <w:rPr>
                <w:rFonts w:ascii="Arial" w:hAnsi="Arial" w:cs="Arial"/>
                <w:szCs w:val="20"/>
              </w:rPr>
            </w:pPr>
            <w:r w:rsidRPr="00CE65C1">
              <w:rPr>
                <w:rFonts w:ascii="Arial" w:hAnsi="Arial" w:cs="Arial"/>
                <w:szCs w:val="20"/>
              </w:rPr>
              <w:t>2018</w:t>
            </w:r>
          </w:p>
          <w:p w14:paraId="04095769" w14:textId="77777777" w:rsidR="00241B10" w:rsidRPr="00CE65C1" w:rsidRDefault="00241B10" w:rsidP="00241B10">
            <w:pPr>
              <w:tabs>
                <w:tab w:val="left" w:pos="7272"/>
                <w:tab w:val="decimal" w:pos="8136"/>
                <w:tab w:val="left" w:pos="8496"/>
                <w:tab w:val="decimal" w:pos="9360"/>
              </w:tabs>
              <w:spacing w:after="0"/>
              <w:ind w:right="29"/>
              <w:jc w:val="center"/>
              <w:rPr>
                <w:rFonts w:ascii="Arial" w:hAnsi="Arial" w:cs="Arial"/>
                <w:szCs w:val="20"/>
              </w:rPr>
            </w:pPr>
            <w:r w:rsidRPr="00CE65C1">
              <w:rPr>
                <w:rFonts w:ascii="Arial" w:hAnsi="Arial" w:cs="Arial"/>
                <w:szCs w:val="20"/>
              </w:rPr>
              <w:t>$</w:t>
            </w:r>
          </w:p>
        </w:tc>
        <w:tc>
          <w:tcPr>
            <w:tcW w:w="1585" w:type="dxa"/>
            <w:tcBorders>
              <w:bottom w:val="single" w:sz="2" w:space="0" w:color="auto"/>
            </w:tcBorders>
            <w:vAlign w:val="bottom"/>
          </w:tcPr>
          <w:p w14:paraId="26246BB4" w14:textId="6C1745A1" w:rsidR="00241B10" w:rsidRDefault="00241B10" w:rsidP="00241B10">
            <w:pPr>
              <w:spacing w:after="0" w:line="240" w:lineRule="auto"/>
              <w:jc w:val="center"/>
              <w:rPr>
                <w:rFonts w:ascii="Arial" w:hAnsi="Arial" w:cs="Arial"/>
                <w:szCs w:val="20"/>
              </w:rPr>
            </w:pPr>
            <w:r>
              <w:rPr>
                <w:rFonts w:ascii="Arial" w:hAnsi="Arial" w:cs="Arial"/>
                <w:szCs w:val="20"/>
              </w:rPr>
              <w:t>February 1,</w:t>
            </w:r>
          </w:p>
          <w:p w14:paraId="53D73177" w14:textId="46B6002D" w:rsidR="00241B10" w:rsidRPr="00EC4ECB" w:rsidRDefault="00241B10" w:rsidP="00241B10">
            <w:pPr>
              <w:spacing w:after="0" w:line="240" w:lineRule="auto"/>
              <w:jc w:val="center"/>
              <w:rPr>
                <w:rFonts w:ascii="Arial" w:hAnsi="Arial" w:cs="Arial"/>
                <w:szCs w:val="20"/>
              </w:rPr>
            </w:pPr>
            <w:r>
              <w:rPr>
                <w:rFonts w:ascii="Arial" w:hAnsi="Arial" w:cs="Arial"/>
                <w:szCs w:val="20"/>
              </w:rPr>
              <w:t>2018</w:t>
            </w:r>
          </w:p>
          <w:p w14:paraId="5E44A065" w14:textId="77777777" w:rsidR="00241B10" w:rsidRPr="00EC4ECB" w:rsidRDefault="00241B10" w:rsidP="00241B10">
            <w:pPr>
              <w:tabs>
                <w:tab w:val="left" w:pos="7272"/>
                <w:tab w:val="decimal" w:pos="8136"/>
                <w:tab w:val="left" w:pos="8496"/>
                <w:tab w:val="decimal" w:pos="9360"/>
              </w:tabs>
              <w:spacing w:after="0"/>
              <w:ind w:right="29"/>
              <w:jc w:val="center"/>
              <w:rPr>
                <w:rFonts w:ascii="Arial" w:hAnsi="Arial" w:cs="Arial"/>
                <w:szCs w:val="20"/>
              </w:rPr>
            </w:pPr>
            <w:r w:rsidRPr="00EC4ECB">
              <w:rPr>
                <w:rFonts w:ascii="Arial" w:hAnsi="Arial" w:cs="Arial"/>
                <w:szCs w:val="20"/>
              </w:rPr>
              <w:t>$</w:t>
            </w:r>
          </w:p>
        </w:tc>
      </w:tr>
      <w:tr w:rsidR="00241B10" w:rsidRPr="006D4677" w14:paraId="65E015F7" w14:textId="77777777" w:rsidTr="00241B10">
        <w:tc>
          <w:tcPr>
            <w:tcW w:w="4140" w:type="dxa"/>
            <w:tcBorders>
              <w:top w:val="single" w:sz="2" w:space="0" w:color="auto"/>
            </w:tcBorders>
            <w:vAlign w:val="bottom"/>
          </w:tcPr>
          <w:p w14:paraId="2CE89A39" w14:textId="0191855D" w:rsidR="00241B10" w:rsidRPr="006D4677" w:rsidRDefault="00241B10" w:rsidP="00241B10">
            <w:pPr>
              <w:tabs>
                <w:tab w:val="left" w:pos="7272"/>
                <w:tab w:val="decimal" w:pos="8136"/>
                <w:tab w:val="left" w:pos="8496"/>
                <w:tab w:val="decimal" w:pos="9360"/>
              </w:tabs>
              <w:spacing w:before="120" w:after="0"/>
              <w:rPr>
                <w:rFonts w:ascii="Arial" w:hAnsi="Arial" w:cs="Arial"/>
                <w:szCs w:val="20"/>
              </w:rPr>
            </w:pPr>
            <w:r>
              <w:rPr>
                <w:rFonts w:ascii="Arial" w:hAnsi="Arial" w:cs="Arial"/>
                <w:szCs w:val="20"/>
              </w:rPr>
              <w:t>Equity under U.S. GAAP</w:t>
            </w:r>
          </w:p>
        </w:tc>
        <w:tc>
          <w:tcPr>
            <w:tcW w:w="1585" w:type="dxa"/>
            <w:tcBorders>
              <w:top w:val="single" w:sz="2" w:space="0" w:color="auto"/>
            </w:tcBorders>
          </w:tcPr>
          <w:p w14:paraId="554EAEB4" w14:textId="63E5F55C" w:rsidR="00241B10" w:rsidRPr="00444871" w:rsidRDefault="00241B10" w:rsidP="00241B10">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3,509,632</w:t>
            </w:r>
          </w:p>
        </w:tc>
        <w:tc>
          <w:tcPr>
            <w:tcW w:w="1585" w:type="dxa"/>
            <w:tcBorders>
              <w:top w:val="single" w:sz="2" w:space="0" w:color="auto"/>
            </w:tcBorders>
          </w:tcPr>
          <w:p w14:paraId="72713E7E" w14:textId="4FE3C5FA" w:rsidR="00241B10" w:rsidRPr="00CE65C1" w:rsidRDefault="00241B10" w:rsidP="00241B10">
            <w:pPr>
              <w:tabs>
                <w:tab w:val="left" w:pos="7272"/>
                <w:tab w:val="decimal" w:pos="8136"/>
                <w:tab w:val="left" w:pos="8496"/>
                <w:tab w:val="decimal" w:pos="9360"/>
              </w:tabs>
              <w:spacing w:before="120" w:after="0"/>
              <w:ind w:right="29"/>
              <w:jc w:val="right"/>
              <w:rPr>
                <w:rFonts w:ascii="Arial" w:hAnsi="Arial" w:cs="Arial"/>
                <w:szCs w:val="20"/>
              </w:rPr>
            </w:pPr>
            <w:r w:rsidRPr="00CE65C1">
              <w:rPr>
                <w:rFonts w:ascii="Arial" w:hAnsi="Arial" w:cs="Arial"/>
                <w:szCs w:val="20"/>
              </w:rPr>
              <w:t>4,</w:t>
            </w:r>
            <w:r w:rsidR="00CA2D3D">
              <w:rPr>
                <w:rFonts w:ascii="Arial" w:hAnsi="Arial" w:cs="Arial"/>
                <w:szCs w:val="20"/>
              </w:rPr>
              <w:t>542,024</w:t>
            </w:r>
          </w:p>
        </w:tc>
        <w:tc>
          <w:tcPr>
            <w:tcW w:w="1585" w:type="dxa"/>
            <w:tcBorders>
              <w:top w:val="single" w:sz="2" w:space="0" w:color="auto"/>
            </w:tcBorders>
          </w:tcPr>
          <w:p w14:paraId="7D77540B" w14:textId="0D984770" w:rsidR="00241B10" w:rsidRPr="006D4677" w:rsidRDefault="00241B10" w:rsidP="00241B10">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(55,792)</w:t>
            </w:r>
          </w:p>
        </w:tc>
      </w:tr>
      <w:tr w:rsidR="00241B10" w:rsidRPr="006D4677" w14:paraId="7C47E1A5" w14:textId="77777777" w:rsidTr="00241B10">
        <w:tc>
          <w:tcPr>
            <w:tcW w:w="4140" w:type="dxa"/>
            <w:vAlign w:val="bottom"/>
          </w:tcPr>
          <w:p w14:paraId="6603B7FF" w14:textId="05F9F1F9" w:rsidR="00241B10" w:rsidRPr="006D4677" w:rsidRDefault="00241B10" w:rsidP="00241B10">
            <w:pPr>
              <w:tabs>
                <w:tab w:val="left" w:pos="7272"/>
                <w:tab w:val="decimal" w:pos="8136"/>
                <w:tab w:val="left" w:pos="8496"/>
                <w:tab w:val="decimal" w:pos="9360"/>
              </w:tabs>
              <w:spacing w:after="0"/>
              <w:rPr>
                <w:rFonts w:ascii="Arial" w:hAnsi="Arial" w:cs="Arial"/>
                <w:szCs w:val="20"/>
              </w:rPr>
            </w:pPr>
            <w:r>
              <w:rPr>
                <w:rFonts w:ascii="Arial" w:hAnsi="Arial" w:cs="Arial"/>
                <w:szCs w:val="20"/>
              </w:rPr>
              <w:t>IFRS adjustments to equity</w:t>
            </w:r>
            <w:r w:rsidRPr="006D4677">
              <w:rPr>
                <w:rFonts w:ascii="Arial" w:hAnsi="Arial" w:cs="Arial"/>
                <w:szCs w:val="20"/>
              </w:rPr>
              <w:t>:</w:t>
            </w:r>
          </w:p>
        </w:tc>
        <w:tc>
          <w:tcPr>
            <w:tcW w:w="1585" w:type="dxa"/>
          </w:tcPr>
          <w:p w14:paraId="710D6B6D" w14:textId="77777777" w:rsidR="00241B10" w:rsidRPr="00444871" w:rsidRDefault="00241B10" w:rsidP="00241B10">
            <w:pPr>
              <w:tabs>
                <w:tab w:val="left" w:pos="7272"/>
                <w:tab w:val="decimal" w:pos="8136"/>
                <w:tab w:val="left" w:pos="8496"/>
                <w:tab w:val="decimal" w:pos="9360"/>
              </w:tabs>
              <w:spacing w:after="0"/>
              <w:ind w:right="29"/>
              <w:jc w:val="right"/>
              <w:rPr>
                <w:rFonts w:ascii="Arial" w:hAnsi="Arial" w:cs="Arial"/>
                <w:szCs w:val="20"/>
              </w:rPr>
            </w:pPr>
          </w:p>
        </w:tc>
        <w:tc>
          <w:tcPr>
            <w:tcW w:w="1585" w:type="dxa"/>
          </w:tcPr>
          <w:p w14:paraId="37B68F99" w14:textId="3B601B8B" w:rsidR="00241B10" w:rsidRPr="00CE65C1" w:rsidRDefault="00241B10" w:rsidP="00241B10">
            <w:pPr>
              <w:tabs>
                <w:tab w:val="left" w:pos="7272"/>
                <w:tab w:val="decimal" w:pos="8136"/>
                <w:tab w:val="left" w:pos="8496"/>
                <w:tab w:val="decimal" w:pos="9360"/>
              </w:tabs>
              <w:spacing w:after="0"/>
              <w:ind w:right="29"/>
              <w:jc w:val="right"/>
              <w:rPr>
                <w:rFonts w:ascii="Arial" w:hAnsi="Arial" w:cs="Arial"/>
                <w:szCs w:val="20"/>
              </w:rPr>
            </w:pPr>
          </w:p>
        </w:tc>
        <w:tc>
          <w:tcPr>
            <w:tcW w:w="1585" w:type="dxa"/>
          </w:tcPr>
          <w:p w14:paraId="71AFB1E0" w14:textId="77777777" w:rsidR="00241B10" w:rsidRPr="006D4677" w:rsidRDefault="00241B10" w:rsidP="00241B10">
            <w:pPr>
              <w:tabs>
                <w:tab w:val="left" w:pos="7272"/>
                <w:tab w:val="decimal" w:pos="8136"/>
                <w:tab w:val="left" w:pos="8496"/>
                <w:tab w:val="decimal" w:pos="9360"/>
              </w:tabs>
              <w:spacing w:after="0"/>
              <w:ind w:right="29"/>
              <w:jc w:val="right"/>
              <w:rPr>
                <w:rFonts w:ascii="Arial" w:hAnsi="Arial" w:cs="Arial"/>
                <w:szCs w:val="20"/>
              </w:rPr>
            </w:pPr>
          </w:p>
        </w:tc>
      </w:tr>
      <w:tr w:rsidR="00241B10" w:rsidRPr="00EC4ECB" w14:paraId="7C1A596A" w14:textId="77777777" w:rsidTr="00241B10">
        <w:tc>
          <w:tcPr>
            <w:tcW w:w="4140" w:type="dxa"/>
          </w:tcPr>
          <w:p w14:paraId="6CA88022" w14:textId="4949F5CD" w:rsidR="00241B10" w:rsidRPr="00EC4ECB" w:rsidRDefault="00241B10" w:rsidP="00241B10">
            <w:pPr>
              <w:tabs>
                <w:tab w:val="left" w:pos="7272"/>
                <w:tab w:val="decimal" w:pos="8136"/>
                <w:tab w:val="left" w:pos="8496"/>
                <w:tab w:val="decimal" w:pos="9360"/>
              </w:tabs>
              <w:spacing w:after="0"/>
              <w:ind w:left="144"/>
              <w:rPr>
                <w:rFonts w:ascii="Arial" w:hAnsi="Arial" w:cs="Arial"/>
                <w:szCs w:val="20"/>
              </w:rPr>
            </w:pPr>
            <w:r>
              <w:rPr>
                <w:rFonts w:ascii="Arial" w:hAnsi="Arial" w:cs="Arial"/>
              </w:rPr>
              <w:t>Leases</w:t>
            </w:r>
            <w:r w:rsidR="00172BB0">
              <w:rPr>
                <w:rFonts w:ascii="Arial" w:hAnsi="Arial" w:cs="Arial"/>
              </w:rPr>
              <w:t xml:space="preserve"> </w:t>
            </w:r>
            <w:r w:rsidR="00713140">
              <w:rPr>
                <w:rFonts w:ascii="Arial" w:hAnsi="Arial" w:cs="Arial"/>
              </w:rPr>
              <w:t>(Note 2</w:t>
            </w:r>
            <w:r w:rsidR="00240084">
              <w:rPr>
                <w:rFonts w:ascii="Arial" w:hAnsi="Arial" w:cs="Arial"/>
              </w:rPr>
              <w:t>4</w:t>
            </w:r>
            <w:r w:rsidR="00172BB0">
              <w:rPr>
                <w:rFonts w:ascii="Arial" w:hAnsi="Arial" w:cs="Arial"/>
              </w:rPr>
              <w:t>(a)</w:t>
            </w:r>
            <w:r w:rsidR="00713140">
              <w:rPr>
                <w:rFonts w:ascii="Arial" w:hAnsi="Arial" w:cs="Arial"/>
              </w:rPr>
              <w:t>)</w:t>
            </w:r>
          </w:p>
        </w:tc>
        <w:tc>
          <w:tcPr>
            <w:tcW w:w="1585" w:type="dxa"/>
            <w:vAlign w:val="bottom"/>
          </w:tcPr>
          <w:p w14:paraId="4C61979A" w14:textId="722807DA" w:rsidR="00241B10" w:rsidRPr="00444871" w:rsidRDefault="00172BB0" w:rsidP="00241B10">
            <w:pPr>
              <w:tabs>
                <w:tab w:val="left" w:pos="1170"/>
                <w:tab w:val="left" w:pos="7272"/>
                <w:tab w:val="decimal" w:pos="8136"/>
                <w:tab w:val="left" w:pos="8496"/>
                <w:tab w:val="decimal" w:pos="9360"/>
              </w:tabs>
              <w:spacing w:after="0"/>
              <w:ind w:right="29"/>
              <w:jc w:val="right"/>
              <w:rPr>
                <w:rFonts w:ascii="Arial" w:hAnsi="Arial" w:cs="Arial"/>
                <w:szCs w:val="20"/>
              </w:rPr>
            </w:pPr>
            <w:r>
              <w:rPr>
                <w:rFonts w:ascii="Arial" w:hAnsi="Arial" w:cs="Arial"/>
                <w:szCs w:val="20"/>
              </w:rPr>
              <w:t>(61,122)</w:t>
            </w:r>
          </w:p>
        </w:tc>
        <w:tc>
          <w:tcPr>
            <w:tcW w:w="1585" w:type="dxa"/>
            <w:vAlign w:val="bottom"/>
          </w:tcPr>
          <w:p w14:paraId="174888AC" w14:textId="4A6E1D7A" w:rsidR="00241B10" w:rsidRPr="00CE65C1" w:rsidRDefault="00172BB0" w:rsidP="00241B10">
            <w:pPr>
              <w:tabs>
                <w:tab w:val="left" w:pos="1170"/>
                <w:tab w:val="left" w:pos="7272"/>
                <w:tab w:val="decimal" w:pos="8136"/>
                <w:tab w:val="left" w:pos="8496"/>
                <w:tab w:val="decimal" w:pos="9360"/>
              </w:tabs>
              <w:spacing w:after="0"/>
              <w:ind w:right="29"/>
              <w:jc w:val="right"/>
              <w:rPr>
                <w:rFonts w:ascii="Arial" w:hAnsi="Arial" w:cs="Arial"/>
                <w:szCs w:val="20"/>
              </w:rPr>
            </w:pPr>
            <w:r w:rsidRPr="00CE65C1">
              <w:rPr>
                <w:rFonts w:ascii="Arial" w:hAnsi="Arial" w:cs="Arial"/>
                <w:szCs w:val="20"/>
              </w:rPr>
              <w:t>(</w:t>
            </w:r>
            <w:r w:rsidR="00CE65C1" w:rsidRPr="00CE65C1">
              <w:rPr>
                <w:rFonts w:ascii="Arial" w:hAnsi="Arial" w:cs="Arial"/>
                <w:szCs w:val="20"/>
              </w:rPr>
              <w:t>45,897</w:t>
            </w:r>
            <w:r w:rsidRPr="00CE65C1">
              <w:rPr>
                <w:rFonts w:ascii="Arial" w:hAnsi="Arial" w:cs="Arial"/>
                <w:szCs w:val="20"/>
              </w:rPr>
              <w:t>)</w:t>
            </w:r>
          </w:p>
        </w:tc>
        <w:tc>
          <w:tcPr>
            <w:tcW w:w="1585" w:type="dxa"/>
            <w:vAlign w:val="bottom"/>
          </w:tcPr>
          <w:p w14:paraId="54AFECC0" w14:textId="6C9E0290" w:rsidR="00241B10" w:rsidRPr="00EC4ECB" w:rsidRDefault="00241B10" w:rsidP="00241B10">
            <w:pPr>
              <w:tabs>
                <w:tab w:val="left" w:pos="7272"/>
                <w:tab w:val="decimal" w:pos="8136"/>
                <w:tab w:val="left" w:pos="8496"/>
                <w:tab w:val="decimal" w:pos="9360"/>
              </w:tabs>
              <w:spacing w:after="0"/>
              <w:ind w:right="52"/>
              <w:jc w:val="right"/>
              <w:rPr>
                <w:rFonts w:ascii="Arial" w:hAnsi="Arial" w:cs="Arial"/>
                <w:szCs w:val="20"/>
              </w:rPr>
            </w:pPr>
            <w:r w:rsidRPr="00444871">
              <w:rPr>
                <w:rFonts w:ascii="Arial" w:hAnsi="Arial" w:cs="Arial"/>
                <w:szCs w:val="20"/>
              </w:rPr>
              <w:t>–</w:t>
            </w:r>
          </w:p>
        </w:tc>
      </w:tr>
      <w:tr w:rsidR="00241B10" w:rsidRPr="00EC4ECB" w14:paraId="2120DA2B" w14:textId="77777777" w:rsidTr="00241B10">
        <w:tc>
          <w:tcPr>
            <w:tcW w:w="4140" w:type="dxa"/>
            <w:tcBorders>
              <w:bottom w:val="single" w:sz="4" w:space="0" w:color="auto"/>
            </w:tcBorders>
          </w:tcPr>
          <w:p w14:paraId="19E52548" w14:textId="601B4649" w:rsidR="00241B10" w:rsidRPr="00EC4ECB" w:rsidRDefault="00172BB0" w:rsidP="00713140">
            <w:pPr>
              <w:tabs>
                <w:tab w:val="left" w:pos="7272"/>
                <w:tab w:val="decimal" w:pos="8136"/>
                <w:tab w:val="left" w:pos="8496"/>
                <w:tab w:val="decimal" w:pos="9360"/>
              </w:tabs>
              <w:spacing w:after="0"/>
              <w:ind w:left="144"/>
              <w:rPr>
                <w:rFonts w:ascii="Arial" w:hAnsi="Arial" w:cs="Arial"/>
                <w:szCs w:val="20"/>
              </w:rPr>
            </w:pPr>
            <w:r>
              <w:rPr>
                <w:rFonts w:ascii="Arial" w:hAnsi="Arial" w:cs="Arial"/>
              </w:rPr>
              <w:t>Convertible debentures</w:t>
            </w:r>
            <w:r w:rsidR="00713140">
              <w:rPr>
                <w:rFonts w:ascii="Arial" w:hAnsi="Arial" w:cs="Arial"/>
              </w:rPr>
              <w:t xml:space="preserve"> (Note 2</w:t>
            </w:r>
            <w:r w:rsidR="00240084">
              <w:rPr>
                <w:rFonts w:ascii="Arial" w:hAnsi="Arial" w:cs="Arial"/>
              </w:rPr>
              <w:t>4</w:t>
            </w:r>
            <w:r>
              <w:rPr>
                <w:rFonts w:ascii="Arial" w:hAnsi="Arial" w:cs="Arial"/>
              </w:rPr>
              <w:t>(b)</w:t>
            </w:r>
            <w:r w:rsidR="00713140">
              <w:rPr>
                <w:rFonts w:ascii="Arial" w:hAnsi="Arial" w:cs="Arial"/>
              </w:rPr>
              <w:t>)</w:t>
            </w:r>
          </w:p>
        </w:tc>
        <w:tc>
          <w:tcPr>
            <w:tcW w:w="1585" w:type="dxa"/>
            <w:tcBorders>
              <w:bottom w:val="single" w:sz="4" w:space="0" w:color="auto"/>
            </w:tcBorders>
            <w:vAlign w:val="bottom"/>
          </w:tcPr>
          <w:p w14:paraId="7DA2949B" w14:textId="038AB673" w:rsidR="00241B10" w:rsidRPr="00444871" w:rsidRDefault="00172BB0" w:rsidP="00241B10">
            <w:pPr>
              <w:tabs>
                <w:tab w:val="left" w:pos="1170"/>
                <w:tab w:val="left" w:pos="7272"/>
                <w:tab w:val="decimal" w:pos="8136"/>
                <w:tab w:val="left" w:pos="8496"/>
                <w:tab w:val="decimal" w:pos="9360"/>
              </w:tabs>
              <w:spacing w:after="0"/>
              <w:ind w:right="29"/>
              <w:jc w:val="right"/>
              <w:rPr>
                <w:rFonts w:ascii="Arial" w:hAnsi="Arial" w:cs="Arial"/>
                <w:szCs w:val="20"/>
              </w:rPr>
            </w:pPr>
            <w:r>
              <w:rPr>
                <w:rFonts w:ascii="Arial" w:hAnsi="Arial" w:cs="Arial"/>
                <w:szCs w:val="20"/>
              </w:rPr>
              <w:t>51,103</w:t>
            </w:r>
          </w:p>
        </w:tc>
        <w:tc>
          <w:tcPr>
            <w:tcW w:w="1585" w:type="dxa"/>
            <w:tcBorders>
              <w:bottom w:val="single" w:sz="4" w:space="0" w:color="auto"/>
            </w:tcBorders>
            <w:vAlign w:val="bottom"/>
          </w:tcPr>
          <w:p w14:paraId="06D3F2AF" w14:textId="24B390DB" w:rsidR="00241B10" w:rsidRPr="00CE65C1" w:rsidRDefault="00CA2D3D" w:rsidP="00241B10">
            <w:pPr>
              <w:tabs>
                <w:tab w:val="left" w:pos="1170"/>
                <w:tab w:val="left" w:pos="7272"/>
                <w:tab w:val="decimal" w:pos="8136"/>
                <w:tab w:val="left" w:pos="8496"/>
                <w:tab w:val="decimal" w:pos="9360"/>
              </w:tabs>
              <w:spacing w:after="0"/>
              <w:ind w:right="29"/>
              <w:jc w:val="right"/>
              <w:rPr>
                <w:rFonts w:ascii="Arial" w:hAnsi="Arial" w:cs="Arial"/>
                <w:szCs w:val="20"/>
              </w:rPr>
            </w:pPr>
            <w:r>
              <w:rPr>
                <w:rFonts w:ascii="Arial" w:hAnsi="Arial" w:cs="Arial"/>
                <w:szCs w:val="20"/>
              </w:rPr>
              <w:t>281,970</w:t>
            </w:r>
          </w:p>
        </w:tc>
        <w:tc>
          <w:tcPr>
            <w:tcW w:w="1585" w:type="dxa"/>
            <w:tcBorders>
              <w:bottom w:val="single" w:sz="4" w:space="0" w:color="auto"/>
            </w:tcBorders>
            <w:vAlign w:val="bottom"/>
          </w:tcPr>
          <w:p w14:paraId="0C11C78B" w14:textId="02C25747" w:rsidR="00241B10" w:rsidRPr="00EC4ECB" w:rsidRDefault="00241B10" w:rsidP="00241B10">
            <w:pPr>
              <w:tabs>
                <w:tab w:val="left" w:pos="7272"/>
                <w:tab w:val="decimal" w:pos="8136"/>
                <w:tab w:val="left" w:pos="8496"/>
                <w:tab w:val="decimal" w:pos="9360"/>
              </w:tabs>
              <w:spacing w:after="0"/>
              <w:ind w:right="52"/>
              <w:jc w:val="right"/>
              <w:rPr>
                <w:rFonts w:ascii="Arial" w:hAnsi="Arial" w:cs="Arial"/>
                <w:szCs w:val="20"/>
              </w:rPr>
            </w:pPr>
            <w:r w:rsidRPr="00444871">
              <w:rPr>
                <w:rFonts w:ascii="Arial" w:hAnsi="Arial" w:cs="Arial"/>
                <w:szCs w:val="20"/>
              </w:rPr>
              <w:t>–</w:t>
            </w:r>
          </w:p>
        </w:tc>
      </w:tr>
      <w:tr w:rsidR="00241B10" w:rsidRPr="006D4677" w14:paraId="7AD29D67" w14:textId="77777777" w:rsidTr="00241B10">
        <w:tc>
          <w:tcPr>
            <w:tcW w:w="4140" w:type="dxa"/>
            <w:tcBorders>
              <w:top w:val="single" w:sz="4" w:space="0" w:color="auto"/>
              <w:bottom w:val="single" w:sz="4" w:space="0" w:color="auto"/>
            </w:tcBorders>
            <w:vAlign w:val="bottom"/>
          </w:tcPr>
          <w:p w14:paraId="24E5563A" w14:textId="7A4EB9C4" w:rsidR="00241B10" w:rsidRPr="006D4677" w:rsidRDefault="00241B10" w:rsidP="00241B10">
            <w:pPr>
              <w:tabs>
                <w:tab w:val="left" w:pos="7272"/>
                <w:tab w:val="decimal" w:pos="8136"/>
                <w:tab w:val="left" w:pos="8496"/>
                <w:tab w:val="decimal" w:pos="9360"/>
              </w:tabs>
              <w:spacing w:before="120" w:after="0"/>
              <w:rPr>
                <w:rFonts w:ascii="Arial" w:hAnsi="Arial" w:cs="Arial"/>
                <w:szCs w:val="20"/>
              </w:rPr>
            </w:pPr>
            <w:r>
              <w:rPr>
                <w:rFonts w:ascii="Arial" w:hAnsi="Arial" w:cs="Arial"/>
                <w:szCs w:val="20"/>
              </w:rPr>
              <w:t>Total IFRS adjustments to equity</w:t>
            </w:r>
          </w:p>
        </w:tc>
        <w:tc>
          <w:tcPr>
            <w:tcW w:w="1585" w:type="dxa"/>
            <w:tcBorders>
              <w:top w:val="single" w:sz="4" w:space="0" w:color="auto"/>
              <w:bottom w:val="single" w:sz="4" w:space="0" w:color="auto"/>
            </w:tcBorders>
          </w:tcPr>
          <w:p w14:paraId="0D29A46C" w14:textId="371E2C12" w:rsidR="00241B10" w:rsidRPr="00444871" w:rsidRDefault="00172BB0" w:rsidP="00172BB0">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(10,019)</w:t>
            </w:r>
          </w:p>
        </w:tc>
        <w:tc>
          <w:tcPr>
            <w:tcW w:w="1585" w:type="dxa"/>
            <w:tcBorders>
              <w:top w:val="single" w:sz="4" w:space="0" w:color="auto"/>
              <w:bottom w:val="single" w:sz="4" w:space="0" w:color="auto"/>
            </w:tcBorders>
          </w:tcPr>
          <w:p w14:paraId="1195834D" w14:textId="6FCCDC4F" w:rsidR="00241B10" w:rsidRPr="00CE65C1" w:rsidRDefault="00CA2D3D" w:rsidP="00241B10">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236,073</w:t>
            </w:r>
          </w:p>
        </w:tc>
        <w:tc>
          <w:tcPr>
            <w:tcW w:w="1585" w:type="dxa"/>
            <w:tcBorders>
              <w:top w:val="single" w:sz="4" w:space="0" w:color="auto"/>
              <w:bottom w:val="single" w:sz="4" w:space="0" w:color="auto"/>
            </w:tcBorders>
          </w:tcPr>
          <w:p w14:paraId="2FDAE010" w14:textId="3026A1B1" w:rsidR="00241B10" w:rsidRPr="006D4677" w:rsidRDefault="00241B10" w:rsidP="00241B10">
            <w:pPr>
              <w:tabs>
                <w:tab w:val="left" w:pos="7272"/>
                <w:tab w:val="decimal" w:pos="8136"/>
                <w:tab w:val="left" w:pos="8496"/>
                <w:tab w:val="decimal" w:pos="9360"/>
              </w:tabs>
              <w:spacing w:before="120" w:after="0"/>
              <w:ind w:right="29"/>
              <w:jc w:val="right"/>
              <w:rPr>
                <w:rFonts w:ascii="Arial" w:hAnsi="Arial" w:cs="Arial"/>
                <w:szCs w:val="20"/>
              </w:rPr>
            </w:pPr>
            <w:r w:rsidRPr="00444871">
              <w:rPr>
                <w:rFonts w:ascii="Arial" w:hAnsi="Arial" w:cs="Arial"/>
                <w:szCs w:val="20"/>
              </w:rPr>
              <w:t>–</w:t>
            </w:r>
          </w:p>
        </w:tc>
      </w:tr>
      <w:tr w:rsidR="00241B10" w:rsidRPr="00EC4ECB" w14:paraId="5B3137BD" w14:textId="77777777" w:rsidTr="00241B10">
        <w:tc>
          <w:tcPr>
            <w:tcW w:w="4140" w:type="dxa"/>
            <w:tcBorders>
              <w:top w:val="single" w:sz="4" w:space="0" w:color="auto"/>
              <w:bottom w:val="single" w:sz="12" w:space="0" w:color="auto"/>
            </w:tcBorders>
          </w:tcPr>
          <w:p w14:paraId="4E9CCF76" w14:textId="036666E9" w:rsidR="00241B10" w:rsidRPr="00EC4ECB" w:rsidRDefault="00241B10" w:rsidP="00241B10">
            <w:pPr>
              <w:tabs>
                <w:tab w:val="left" w:pos="7272"/>
                <w:tab w:val="decimal" w:pos="8136"/>
                <w:tab w:val="left" w:pos="8496"/>
                <w:tab w:val="decimal" w:pos="9360"/>
              </w:tabs>
              <w:spacing w:before="120" w:after="0"/>
              <w:rPr>
                <w:rFonts w:ascii="Arial" w:hAnsi="Arial" w:cs="Arial"/>
              </w:rPr>
            </w:pPr>
            <w:r>
              <w:rPr>
                <w:rFonts w:ascii="Arial" w:hAnsi="Arial" w:cs="Arial"/>
              </w:rPr>
              <w:t>Total equity under IFRS</w:t>
            </w:r>
          </w:p>
        </w:tc>
        <w:tc>
          <w:tcPr>
            <w:tcW w:w="1585" w:type="dxa"/>
            <w:tcBorders>
              <w:top w:val="single" w:sz="4" w:space="0" w:color="auto"/>
              <w:bottom w:val="single" w:sz="12" w:space="0" w:color="auto"/>
            </w:tcBorders>
            <w:vAlign w:val="bottom"/>
          </w:tcPr>
          <w:p w14:paraId="557026EB" w14:textId="21537BC3" w:rsidR="00241B10" w:rsidRPr="00444871" w:rsidRDefault="00172BB0" w:rsidP="00241B10">
            <w:pPr>
              <w:tabs>
                <w:tab w:val="left" w:pos="1170"/>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3,499,613</w:t>
            </w:r>
          </w:p>
        </w:tc>
        <w:tc>
          <w:tcPr>
            <w:tcW w:w="1585" w:type="dxa"/>
            <w:tcBorders>
              <w:top w:val="single" w:sz="4" w:space="0" w:color="auto"/>
              <w:bottom w:val="single" w:sz="12" w:space="0" w:color="auto"/>
            </w:tcBorders>
            <w:vAlign w:val="bottom"/>
          </w:tcPr>
          <w:p w14:paraId="70CFCA51" w14:textId="486CC138" w:rsidR="00241B10" w:rsidRPr="00CE65C1" w:rsidRDefault="00CE65C1" w:rsidP="00241B10">
            <w:pPr>
              <w:tabs>
                <w:tab w:val="left" w:pos="1170"/>
                <w:tab w:val="left" w:pos="7272"/>
                <w:tab w:val="decimal" w:pos="8136"/>
                <w:tab w:val="left" w:pos="8496"/>
                <w:tab w:val="decimal" w:pos="9360"/>
              </w:tabs>
              <w:spacing w:before="120" w:after="0"/>
              <w:ind w:right="29"/>
              <w:jc w:val="right"/>
              <w:rPr>
                <w:rFonts w:ascii="Arial" w:hAnsi="Arial" w:cs="Arial"/>
                <w:szCs w:val="20"/>
              </w:rPr>
            </w:pPr>
            <w:r w:rsidRPr="00CE65C1">
              <w:rPr>
                <w:rFonts w:ascii="Arial" w:hAnsi="Arial" w:cs="Arial"/>
                <w:szCs w:val="20"/>
              </w:rPr>
              <w:t>4,778,09</w:t>
            </w:r>
            <w:r w:rsidR="00CA2D3D">
              <w:rPr>
                <w:rFonts w:ascii="Arial" w:hAnsi="Arial" w:cs="Arial"/>
                <w:szCs w:val="20"/>
              </w:rPr>
              <w:t>7</w:t>
            </w:r>
          </w:p>
        </w:tc>
        <w:tc>
          <w:tcPr>
            <w:tcW w:w="1585" w:type="dxa"/>
            <w:tcBorders>
              <w:top w:val="single" w:sz="4" w:space="0" w:color="auto"/>
              <w:bottom w:val="single" w:sz="12" w:space="0" w:color="auto"/>
            </w:tcBorders>
            <w:vAlign w:val="bottom"/>
          </w:tcPr>
          <w:p w14:paraId="6E916734" w14:textId="5E0DEB94" w:rsidR="00241B10" w:rsidRPr="00EC4ECB" w:rsidRDefault="00241B10" w:rsidP="00241B10">
            <w:pPr>
              <w:tabs>
                <w:tab w:val="left" w:pos="7272"/>
                <w:tab w:val="decimal" w:pos="8136"/>
                <w:tab w:val="left" w:pos="8496"/>
                <w:tab w:val="decimal" w:pos="9360"/>
              </w:tabs>
              <w:spacing w:before="120" w:after="0"/>
              <w:ind w:right="52"/>
              <w:jc w:val="right"/>
              <w:rPr>
                <w:rFonts w:ascii="Arial" w:hAnsi="Arial" w:cs="Arial"/>
                <w:szCs w:val="20"/>
              </w:rPr>
            </w:pPr>
            <w:r>
              <w:rPr>
                <w:rFonts w:ascii="Arial" w:hAnsi="Arial" w:cs="Arial"/>
                <w:szCs w:val="20"/>
              </w:rPr>
              <w:t>(55,792)</w:t>
            </w:r>
          </w:p>
        </w:tc>
      </w:tr>
    </w:tbl>
    <w:p w14:paraId="0A3445A0" w14:textId="77777777" w:rsidR="00241B10" w:rsidRDefault="00241B10" w:rsidP="00241B10">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p>
    <w:p w14:paraId="3AC683A0" w14:textId="78F12C4A" w:rsidR="007F24B8" w:rsidRDefault="00172BB0" w:rsidP="007F24B8">
      <w:pPr>
        <w:spacing w:after="0" w:line="240" w:lineRule="auto"/>
        <w:ind w:left="450" w:right="75"/>
        <w:jc w:val="both"/>
        <w:rPr>
          <w:rFonts w:ascii="Arial" w:hAnsi="Arial" w:cs="Arial"/>
          <w:szCs w:val="20"/>
          <w:lang w:eastAsia="en-CA"/>
        </w:rPr>
      </w:pPr>
      <w:r w:rsidRPr="00241B10">
        <w:rPr>
          <w:rFonts w:ascii="Arial" w:hAnsi="Arial" w:cs="Arial"/>
          <w:b/>
          <w:szCs w:val="20"/>
        </w:rPr>
        <w:t xml:space="preserve">Reconciliation of </w:t>
      </w:r>
      <w:r>
        <w:rPr>
          <w:rFonts w:ascii="Arial" w:hAnsi="Arial" w:cs="Arial"/>
          <w:b/>
          <w:szCs w:val="20"/>
        </w:rPr>
        <w:t>comprehensive loss</w:t>
      </w:r>
    </w:p>
    <w:tbl>
      <w:tblPr>
        <w:tblW w:w="8895" w:type="dxa"/>
        <w:tblInd w:w="450" w:type="dxa"/>
        <w:tblLayout w:type="fixed"/>
        <w:tblCellMar>
          <w:left w:w="0" w:type="dxa"/>
          <w:bottom w:w="29" w:type="dxa"/>
          <w:right w:w="0" w:type="dxa"/>
        </w:tblCellMar>
        <w:tblLook w:val="0000" w:firstRow="0" w:lastRow="0" w:firstColumn="0" w:lastColumn="0" w:noHBand="0" w:noVBand="0"/>
      </w:tblPr>
      <w:tblGrid>
        <w:gridCol w:w="4140"/>
        <w:gridCol w:w="1585"/>
        <w:gridCol w:w="1585"/>
        <w:gridCol w:w="1585"/>
      </w:tblGrid>
      <w:tr w:rsidR="00172BB0" w:rsidRPr="006D4677" w14:paraId="27E09C0E" w14:textId="77777777" w:rsidTr="00CE65C1">
        <w:tc>
          <w:tcPr>
            <w:tcW w:w="4140" w:type="dxa"/>
            <w:tcBorders>
              <w:bottom w:val="single" w:sz="2" w:space="0" w:color="auto"/>
            </w:tcBorders>
            <w:vAlign w:val="bottom"/>
          </w:tcPr>
          <w:p w14:paraId="5ADD545C" w14:textId="77777777" w:rsidR="00172BB0" w:rsidRPr="006D4677" w:rsidRDefault="00172BB0" w:rsidP="00677109">
            <w:pPr>
              <w:tabs>
                <w:tab w:val="left" w:pos="7272"/>
                <w:tab w:val="decimal" w:pos="8136"/>
                <w:tab w:val="left" w:pos="8496"/>
                <w:tab w:val="decimal" w:pos="9360"/>
              </w:tabs>
              <w:spacing w:after="0"/>
              <w:rPr>
                <w:rFonts w:ascii="Arial" w:hAnsi="Arial" w:cs="Arial"/>
                <w:szCs w:val="20"/>
              </w:rPr>
            </w:pPr>
          </w:p>
        </w:tc>
        <w:tc>
          <w:tcPr>
            <w:tcW w:w="1585" w:type="dxa"/>
            <w:tcBorders>
              <w:bottom w:val="single" w:sz="2" w:space="0" w:color="auto"/>
            </w:tcBorders>
            <w:vAlign w:val="bottom"/>
          </w:tcPr>
          <w:p w14:paraId="7D800101" w14:textId="60E8B9A5" w:rsidR="00172BB0" w:rsidRDefault="00172BB0" w:rsidP="00677109">
            <w:pPr>
              <w:spacing w:after="0" w:line="240" w:lineRule="auto"/>
              <w:jc w:val="center"/>
              <w:rPr>
                <w:rFonts w:ascii="Arial" w:hAnsi="Arial" w:cs="Arial"/>
                <w:szCs w:val="20"/>
              </w:rPr>
            </w:pPr>
            <w:r>
              <w:rPr>
                <w:rFonts w:ascii="Arial" w:hAnsi="Arial" w:cs="Arial"/>
                <w:szCs w:val="20"/>
              </w:rPr>
              <w:t>Year Ended</w:t>
            </w:r>
          </w:p>
          <w:p w14:paraId="77FA3BDD" w14:textId="77777777" w:rsidR="00172BB0" w:rsidRPr="00444871" w:rsidRDefault="00172BB0" w:rsidP="00677109">
            <w:pPr>
              <w:spacing w:after="0" w:line="240" w:lineRule="auto"/>
              <w:jc w:val="center"/>
              <w:rPr>
                <w:rFonts w:ascii="Arial" w:hAnsi="Arial" w:cs="Arial"/>
                <w:szCs w:val="20"/>
              </w:rPr>
            </w:pPr>
            <w:r>
              <w:rPr>
                <w:rFonts w:ascii="Arial" w:hAnsi="Arial" w:cs="Arial"/>
                <w:szCs w:val="20"/>
              </w:rPr>
              <w:t>January</w:t>
            </w:r>
            <w:r w:rsidRPr="00444871">
              <w:rPr>
                <w:rFonts w:ascii="Arial" w:hAnsi="Arial" w:cs="Arial"/>
                <w:szCs w:val="20"/>
              </w:rPr>
              <w:t xml:space="preserve"> 31,</w:t>
            </w:r>
          </w:p>
          <w:p w14:paraId="55D78372" w14:textId="77777777" w:rsidR="00172BB0" w:rsidRPr="00444871" w:rsidRDefault="00172BB0" w:rsidP="00677109">
            <w:pPr>
              <w:spacing w:after="0" w:line="240" w:lineRule="auto"/>
              <w:jc w:val="center"/>
              <w:rPr>
                <w:rFonts w:ascii="Arial" w:hAnsi="Arial" w:cs="Arial"/>
                <w:szCs w:val="20"/>
              </w:rPr>
            </w:pPr>
            <w:r w:rsidRPr="00444871">
              <w:rPr>
                <w:rFonts w:ascii="Arial" w:hAnsi="Arial" w:cs="Arial"/>
                <w:szCs w:val="20"/>
              </w:rPr>
              <w:t>2019</w:t>
            </w:r>
          </w:p>
          <w:p w14:paraId="47DA977D" w14:textId="77777777" w:rsidR="00172BB0" w:rsidRPr="00444871" w:rsidRDefault="00172BB0" w:rsidP="00677109">
            <w:pPr>
              <w:spacing w:after="0" w:line="240" w:lineRule="auto"/>
              <w:jc w:val="center"/>
              <w:rPr>
                <w:rFonts w:ascii="Arial" w:hAnsi="Arial" w:cs="Arial"/>
                <w:szCs w:val="20"/>
              </w:rPr>
            </w:pPr>
            <w:r w:rsidRPr="00444871">
              <w:rPr>
                <w:rFonts w:ascii="Arial" w:hAnsi="Arial" w:cs="Arial"/>
                <w:szCs w:val="20"/>
              </w:rPr>
              <w:t>$</w:t>
            </w:r>
          </w:p>
        </w:tc>
        <w:tc>
          <w:tcPr>
            <w:tcW w:w="1585" w:type="dxa"/>
            <w:tcBorders>
              <w:bottom w:val="single" w:sz="2" w:space="0" w:color="auto"/>
            </w:tcBorders>
            <w:shd w:val="clear" w:color="auto" w:fill="auto"/>
            <w:vAlign w:val="bottom"/>
          </w:tcPr>
          <w:p w14:paraId="5B26D0F2" w14:textId="77777777" w:rsidR="00172BB0" w:rsidRPr="00CE65C1" w:rsidRDefault="00172BB0" w:rsidP="00677109">
            <w:pPr>
              <w:spacing w:after="0" w:line="240" w:lineRule="auto"/>
              <w:jc w:val="center"/>
              <w:rPr>
                <w:rFonts w:ascii="Arial" w:hAnsi="Arial" w:cs="Arial"/>
                <w:szCs w:val="20"/>
              </w:rPr>
            </w:pPr>
          </w:p>
          <w:p w14:paraId="354824F1" w14:textId="0371940F" w:rsidR="00172BB0" w:rsidRPr="00CE65C1" w:rsidRDefault="00B94972" w:rsidP="00677109">
            <w:pPr>
              <w:spacing w:after="0" w:line="240" w:lineRule="auto"/>
              <w:jc w:val="center"/>
              <w:rPr>
                <w:rFonts w:ascii="Arial" w:hAnsi="Arial" w:cs="Arial"/>
                <w:szCs w:val="20"/>
              </w:rPr>
            </w:pPr>
            <w:r w:rsidRPr="00CE65C1">
              <w:rPr>
                <w:rFonts w:ascii="Arial" w:hAnsi="Arial" w:cs="Arial"/>
                <w:szCs w:val="20"/>
              </w:rPr>
              <w:t>Nine</w:t>
            </w:r>
            <w:r w:rsidR="00172BB0" w:rsidRPr="00CE65C1">
              <w:rPr>
                <w:rFonts w:ascii="Arial" w:hAnsi="Arial" w:cs="Arial"/>
                <w:szCs w:val="20"/>
              </w:rPr>
              <w:t xml:space="preserve"> Months</w:t>
            </w:r>
          </w:p>
          <w:p w14:paraId="70BA27FB" w14:textId="77777777" w:rsidR="00172BB0" w:rsidRPr="00CE65C1" w:rsidRDefault="00172BB0" w:rsidP="00677109">
            <w:pPr>
              <w:spacing w:after="0" w:line="240" w:lineRule="auto"/>
              <w:jc w:val="center"/>
              <w:rPr>
                <w:rFonts w:ascii="Arial" w:hAnsi="Arial" w:cs="Arial"/>
                <w:szCs w:val="20"/>
              </w:rPr>
            </w:pPr>
            <w:r w:rsidRPr="00CE65C1">
              <w:rPr>
                <w:rFonts w:ascii="Arial" w:hAnsi="Arial" w:cs="Arial"/>
                <w:szCs w:val="20"/>
              </w:rPr>
              <w:t>Ended</w:t>
            </w:r>
          </w:p>
          <w:p w14:paraId="27F25F8B" w14:textId="60D574ED" w:rsidR="00172BB0" w:rsidRPr="00CE65C1" w:rsidRDefault="00B94972" w:rsidP="00677109">
            <w:pPr>
              <w:spacing w:after="0" w:line="240" w:lineRule="auto"/>
              <w:jc w:val="center"/>
              <w:rPr>
                <w:rFonts w:ascii="Arial" w:hAnsi="Arial" w:cs="Arial"/>
                <w:szCs w:val="20"/>
              </w:rPr>
            </w:pPr>
            <w:r w:rsidRPr="00CE65C1">
              <w:rPr>
                <w:rFonts w:ascii="Arial" w:hAnsi="Arial" w:cs="Arial"/>
                <w:szCs w:val="20"/>
              </w:rPr>
              <w:t>October</w:t>
            </w:r>
            <w:r w:rsidR="00172BB0" w:rsidRPr="00CE65C1">
              <w:rPr>
                <w:rFonts w:ascii="Arial" w:hAnsi="Arial" w:cs="Arial"/>
                <w:szCs w:val="20"/>
              </w:rPr>
              <w:t xml:space="preserve"> 31,</w:t>
            </w:r>
          </w:p>
          <w:p w14:paraId="184815C4" w14:textId="77777777" w:rsidR="00172BB0" w:rsidRPr="00CE65C1" w:rsidRDefault="00172BB0" w:rsidP="00677109">
            <w:pPr>
              <w:spacing w:after="0" w:line="240" w:lineRule="auto"/>
              <w:jc w:val="center"/>
              <w:rPr>
                <w:rFonts w:ascii="Arial" w:hAnsi="Arial" w:cs="Arial"/>
                <w:szCs w:val="20"/>
              </w:rPr>
            </w:pPr>
            <w:r w:rsidRPr="00CE65C1">
              <w:rPr>
                <w:rFonts w:ascii="Arial" w:hAnsi="Arial" w:cs="Arial"/>
                <w:szCs w:val="20"/>
              </w:rPr>
              <w:t>2018</w:t>
            </w:r>
          </w:p>
          <w:p w14:paraId="2077B182" w14:textId="77777777" w:rsidR="00172BB0" w:rsidRPr="00CE65C1" w:rsidRDefault="00172BB0" w:rsidP="00677109">
            <w:pPr>
              <w:tabs>
                <w:tab w:val="left" w:pos="7272"/>
                <w:tab w:val="decimal" w:pos="8136"/>
                <w:tab w:val="left" w:pos="8496"/>
                <w:tab w:val="decimal" w:pos="9360"/>
              </w:tabs>
              <w:spacing w:after="0"/>
              <w:ind w:right="29"/>
              <w:jc w:val="center"/>
              <w:rPr>
                <w:rFonts w:ascii="Arial" w:hAnsi="Arial" w:cs="Arial"/>
                <w:szCs w:val="20"/>
              </w:rPr>
            </w:pPr>
            <w:r w:rsidRPr="00CE65C1">
              <w:rPr>
                <w:rFonts w:ascii="Arial" w:hAnsi="Arial" w:cs="Arial"/>
                <w:szCs w:val="20"/>
              </w:rPr>
              <w:t>$</w:t>
            </w:r>
          </w:p>
        </w:tc>
        <w:tc>
          <w:tcPr>
            <w:tcW w:w="1585" w:type="dxa"/>
            <w:tcBorders>
              <w:bottom w:val="single" w:sz="2" w:space="0" w:color="auto"/>
            </w:tcBorders>
            <w:shd w:val="clear" w:color="auto" w:fill="auto"/>
            <w:vAlign w:val="bottom"/>
          </w:tcPr>
          <w:p w14:paraId="2A5017AA" w14:textId="4D0B1328" w:rsidR="00172BB0" w:rsidRPr="00CE65C1" w:rsidRDefault="00172BB0" w:rsidP="00677109">
            <w:pPr>
              <w:spacing w:after="0" w:line="240" w:lineRule="auto"/>
              <w:jc w:val="center"/>
              <w:rPr>
                <w:rFonts w:ascii="Arial" w:hAnsi="Arial" w:cs="Arial"/>
                <w:szCs w:val="20"/>
              </w:rPr>
            </w:pPr>
            <w:r w:rsidRPr="00CE65C1">
              <w:rPr>
                <w:rFonts w:ascii="Arial" w:hAnsi="Arial" w:cs="Arial"/>
                <w:szCs w:val="20"/>
              </w:rPr>
              <w:t>Three Months</w:t>
            </w:r>
          </w:p>
          <w:p w14:paraId="3CEAD374" w14:textId="0E05CC2A" w:rsidR="00172BB0" w:rsidRPr="00CE65C1" w:rsidRDefault="00172BB0" w:rsidP="00677109">
            <w:pPr>
              <w:spacing w:after="0" w:line="240" w:lineRule="auto"/>
              <w:jc w:val="center"/>
              <w:rPr>
                <w:rFonts w:ascii="Arial" w:hAnsi="Arial" w:cs="Arial"/>
                <w:szCs w:val="20"/>
              </w:rPr>
            </w:pPr>
            <w:r w:rsidRPr="00CE65C1">
              <w:rPr>
                <w:rFonts w:ascii="Arial" w:hAnsi="Arial" w:cs="Arial"/>
                <w:szCs w:val="20"/>
              </w:rPr>
              <w:t>Ended</w:t>
            </w:r>
          </w:p>
          <w:p w14:paraId="0F7626CD" w14:textId="57AD8C15" w:rsidR="00172BB0" w:rsidRPr="00CE65C1" w:rsidRDefault="00B94972" w:rsidP="00677109">
            <w:pPr>
              <w:spacing w:after="0" w:line="240" w:lineRule="auto"/>
              <w:jc w:val="center"/>
              <w:rPr>
                <w:rFonts w:ascii="Arial" w:hAnsi="Arial" w:cs="Arial"/>
                <w:szCs w:val="20"/>
              </w:rPr>
            </w:pPr>
            <w:r w:rsidRPr="00CE65C1">
              <w:rPr>
                <w:rFonts w:ascii="Arial" w:hAnsi="Arial" w:cs="Arial"/>
                <w:szCs w:val="20"/>
              </w:rPr>
              <w:t>October</w:t>
            </w:r>
            <w:r w:rsidR="00172BB0" w:rsidRPr="00CE65C1">
              <w:rPr>
                <w:rFonts w:ascii="Arial" w:hAnsi="Arial" w:cs="Arial"/>
                <w:szCs w:val="20"/>
              </w:rPr>
              <w:t xml:space="preserve"> 31,</w:t>
            </w:r>
          </w:p>
          <w:p w14:paraId="545111EB" w14:textId="3FBC2373" w:rsidR="00172BB0" w:rsidRPr="00CE65C1" w:rsidRDefault="00172BB0" w:rsidP="00677109">
            <w:pPr>
              <w:spacing w:after="0" w:line="240" w:lineRule="auto"/>
              <w:jc w:val="center"/>
              <w:rPr>
                <w:rFonts w:ascii="Arial" w:hAnsi="Arial" w:cs="Arial"/>
                <w:szCs w:val="20"/>
              </w:rPr>
            </w:pPr>
            <w:r w:rsidRPr="00CE65C1">
              <w:rPr>
                <w:rFonts w:ascii="Arial" w:hAnsi="Arial" w:cs="Arial"/>
                <w:szCs w:val="20"/>
              </w:rPr>
              <w:t>2018</w:t>
            </w:r>
          </w:p>
          <w:p w14:paraId="5DA8981E" w14:textId="77777777" w:rsidR="00172BB0" w:rsidRPr="00CE65C1" w:rsidRDefault="00172BB0" w:rsidP="00677109">
            <w:pPr>
              <w:tabs>
                <w:tab w:val="left" w:pos="7272"/>
                <w:tab w:val="decimal" w:pos="8136"/>
                <w:tab w:val="left" w:pos="8496"/>
                <w:tab w:val="decimal" w:pos="9360"/>
              </w:tabs>
              <w:spacing w:after="0"/>
              <w:ind w:right="29"/>
              <w:jc w:val="center"/>
              <w:rPr>
                <w:rFonts w:ascii="Arial" w:hAnsi="Arial" w:cs="Arial"/>
                <w:szCs w:val="20"/>
              </w:rPr>
            </w:pPr>
            <w:r w:rsidRPr="00CE65C1">
              <w:rPr>
                <w:rFonts w:ascii="Arial" w:hAnsi="Arial" w:cs="Arial"/>
                <w:szCs w:val="20"/>
              </w:rPr>
              <w:t>$</w:t>
            </w:r>
          </w:p>
        </w:tc>
      </w:tr>
      <w:tr w:rsidR="00172BB0" w:rsidRPr="006D4677" w14:paraId="445436DA" w14:textId="77777777" w:rsidTr="00677109">
        <w:tc>
          <w:tcPr>
            <w:tcW w:w="4140" w:type="dxa"/>
            <w:tcBorders>
              <w:top w:val="single" w:sz="2" w:space="0" w:color="auto"/>
            </w:tcBorders>
            <w:vAlign w:val="bottom"/>
          </w:tcPr>
          <w:p w14:paraId="6ECF80CD" w14:textId="03ED48C2" w:rsidR="00172BB0" w:rsidRPr="006D4677" w:rsidRDefault="00172BB0" w:rsidP="00677109">
            <w:pPr>
              <w:tabs>
                <w:tab w:val="left" w:pos="7272"/>
                <w:tab w:val="decimal" w:pos="8136"/>
                <w:tab w:val="left" w:pos="8496"/>
                <w:tab w:val="decimal" w:pos="9360"/>
              </w:tabs>
              <w:spacing w:before="120" w:after="0"/>
              <w:rPr>
                <w:rFonts w:ascii="Arial" w:hAnsi="Arial" w:cs="Arial"/>
                <w:szCs w:val="20"/>
              </w:rPr>
            </w:pPr>
            <w:r>
              <w:rPr>
                <w:rFonts w:ascii="Arial" w:hAnsi="Arial" w:cs="Arial"/>
                <w:szCs w:val="20"/>
              </w:rPr>
              <w:t>Comprehensive loss under U.S. GAAP</w:t>
            </w:r>
          </w:p>
        </w:tc>
        <w:tc>
          <w:tcPr>
            <w:tcW w:w="1585" w:type="dxa"/>
            <w:tcBorders>
              <w:top w:val="single" w:sz="2" w:space="0" w:color="auto"/>
            </w:tcBorders>
          </w:tcPr>
          <w:p w14:paraId="298D2FC3" w14:textId="75389DED" w:rsidR="00172BB0" w:rsidRPr="00444871" w:rsidRDefault="00172BB0" w:rsidP="00677109">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9,022,942</w:t>
            </w:r>
          </w:p>
        </w:tc>
        <w:tc>
          <w:tcPr>
            <w:tcW w:w="1585" w:type="dxa"/>
            <w:tcBorders>
              <w:top w:val="single" w:sz="2" w:space="0" w:color="auto"/>
            </w:tcBorders>
          </w:tcPr>
          <w:p w14:paraId="286E05E9" w14:textId="15B2A925" w:rsidR="00172BB0" w:rsidRPr="00444871" w:rsidRDefault="00CA2D3D" w:rsidP="0037016A">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7,635,861</w:t>
            </w:r>
          </w:p>
        </w:tc>
        <w:tc>
          <w:tcPr>
            <w:tcW w:w="1585" w:type="dxa"/>
            <w:tcBorders>
              <w:top w:val="single" w:sz="2" w:space="0" w:color="auto"/>
            </w:tcBorders>
          </w:tcPr>
          <w:p w14:paraId="1FE58CB8" w14:textId="73BFB4A6" w:rsidR="00172BB0" w:rsidRPr="006D4677" w:rsidRDefault="00CA2D3D" w:rsidP="005045E3">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3,769,548</w:t>
            </w:r>
          </w:p>
        </w:tc>
      </w:tr>
      <w:tr w:rsidR="00172BB0" w:rsidRPr="006D4677" w14:paraId="79E9F92C" w14:textId="77777777" w:rsidTr="00677109">
        <w:tc>
          <w:tcPr>
            <w:tcW w:w="4140" w:type="dxa"/>
            <w:vAlign w:val="bottom"/>
          </w:tcPr>
          <w:p w14:paraId="6DC91206" w14:textId="77777777" w:rsidR="00172BB0" w:rsidRPr="006D4677" w:rsidRDefault="00172BB0" w:rsidP="00677109">
            <w:pPr>
              <w:tabs>
                <w:tab w:val="left" w:pos="7272"/>
                <w:tab w:val="decimal" w:pos="8136"/>
                <w:tab w:val="left" w:pos="8496"/>
                <w:tab w:val="decimal" w:pos="9360"/>
              </w:tabs>
              <w:spacing w:after="0"/>
              <w:rPr>
                <w:rFonts w:ascii="Arial" w:hAnsi="Arial" w:cs="Arial"/>
                <w:szCs w:val="20"/>
              </w:rPr>
            </w:pPr>
            <w:r>
              <w:rPr>
                <w:rFonts w:ascii="Arial" w:hAnsi="Arial" w:cs="Arial"/>
                <w:szCs w:val="20"/>
              </w:rPr>
              <w:t>IFRS adjustments to equity</w:t>
            </w:r>
            <w:r w:rsidRPr="006D4677">
              <w:rPr>
                <w:rFonts w:ascii="Arial" w:hAnsi="Arial" w:cs="Arial"/>
                <w:szCs w:val="20"/>
              </w:rPr>
              <w:t>:</w:t>
            </w:r>
          </w:p>
        </w:tc>
        <w:tc>
          <w:tcPr>
            <w:tcW w:w="1585" w:type="dxa"/>
          </w:tcPr>
          <w:p w14:paraId="55C55F4C" w14:textId="77777777" w:rsidR="00172BB0" w:rsidRPr="00444871" w:rsidRDefault="00172BB0" w:rsidP="00677109">
            <w:pPr>
              <w:tabs>
                <w:tab w:val="left" w:pos="7272"/>
                <w:tab w:val="decimal" w:pos="8136"/>
                <w:tab w:val="left" w:pos="8496"/>
                <w:tab w:val="decimal" w:pos="9360"/>
              </w:tabs>
              <w:spacing w:after="0"/>
              <w:ind w:right="29"/>
              <w:jc w:val="right"/>
              <w:rPr>
                <w:rFonts w:ascii="Arial" w:hAnsi="Arial" w:cs="Arial"/>
                <w:szCs w:val="20"/>
              </w:rPr>
            </w:pPr>
          </w:p>
        </w:tc>
        <w:tc>
          <w:tcPr>
            <w:tcW w:w="1585" w:type="dxa"/>
          </w:tcPr>
          <w:p w14:paraId="0FE5CED6" w14:textId="77777777" w:rsidR="00172BB0" w:rsidRPr="00444871" w:rsidRDefault="00172BB0" w:rsidP="00677109">
            <w:pPr>
              <w:tabs>
                <w:tab w:val="left" w:pos="7272"/>
                <w:tab w:val="decimal" w:pos="8136"/>
                <w:tab w:val="left" w:pos="8496"/>
                <w:tab w:val="decimal" w:pos="9360"/>
              </w:tabs>
              <w:spacing w:after="0"/>
              <w:ind w:right="29"/>
              <w:jc w:val="right"/>
              <w:rPr>
                <w:rFonts w:ascii="Arial" w:hAnsi="Arial" w:cs="Arial"/>
                <w:szCs w:val="20"/>
              </w:rPr>
            </w:pPr>
          </w:p>
        </w:tc>
        <w:tc>
          <w:tcPr>
            <w:tcW w:w="1585" w:type="dxa"/>
          </w:tcPr>
          <w:p w14:paraId="7E3CB49D" w14:textId="77777777" w:rsidR="00172BB0" w:rsidRPr="006D4677" w:rsidRDefault="00172BB0" w:rsidP="00677109">
            <w:pPr>
              <w:tabs>
                <w:tab w:val="left" w:pos="7272"/>
                <w:tab w:val="decimal" w:pos="8136"/>
                <w:tab w:val="left" w:pos="8496"/>
                <w:tab w:val="decimal" w:pos="9360"/>
              </w:tabs>
              <w:spacing w:after="0"/>
              <w:ind w:right="29"/>
              <w:jc w:val="right"/>
              <w:rPr>
                <w:rFonts w:ascii="Arial" w:hAnsi="Arial" w:cs="Arial"/>
                <w:szCs w:val="20"/>
              </w:rPr>
            </w:pPr>
          </w:p>
        </w:tc>
      </w:tr>
      <w:tr w:rsidR="00172BB0" w:rsidRPr="00EC4ECB" w14:paraId="085B4CA7" w14:textId="77777777" w:rsidTr="00677109">
        <w:tc>
          <w:tcPr>
            <w:tcW w:w="4140" w:type="dxa"/>
          </w:tcPr>
          <w:p w14:paraId="2008FCDB" w14:textId="51118235" w:rsidR="00172BB0" w:rsidRPr="00EC4ECB" w:rsidRDefault="00172BB0" w:rsidP="00677109">
            <w:pPr>
              <w:tabs>
                <w:tab w:val="left" w:pos="7272"/>
                <w:tab w:val="decimal" w:pos="8136"/>
                <w:tab w:val="left" w:pos="8496"/>
                <w:tab w:val="decimal" w:pos="9360"/>
              </w:tabs>
              <w:spacing w:after="0"/>
              <w:ind w:left="144"/>
              <w:rPr>
                <w:rFonts w:ascii="Arial" w:hAnsi="Arial" w:cs="Arial"/>
                <w:szCs w:val="20"/>
              </w:rPr>
            </w:pPr>
            <w:r>
              <w:rPr>
                <w:rFonts w:ascii="Arial" w:hAnsi="Arial" w:cs="Arial"/>
              </w:rPr>
              <w:t xml:space="preserve">Leases </w:t>
            </w:r>
            <w:r w:rsidR="003D40ED">
              <w:rPr>
                <w:rFonts w:ascii="Arial" w:hAnsi="Arial" w:cs="Arial"/>
              </w:rPr>
              <w:t>(Note 2</w:t>
            </w:r>
            <w:r w:rsidR="00240084">
              <w:rPr>
                <w:rFonts w:ascii="Arial" w:hAnsi="Arial" w:cs="Arial"/>
              </w:rPr>
              <w:t>4</w:t>
            </w:r>
            <w:r>
              <w:rPr>
                <w:rFonts w:ascii="Arial" w:hAnsi="Arial" w:cs="Arial"/>
              </w:rPr>
              <w:t>(a)</w:t>
            </w:r>
            <w:r w:rsidR="003D40ED">
              <w:rPr>
                <w:rFonts w:ascii="Arial" w:hAnsi="Arial" w:cs="Arial"/>
              </w:rPr>
              <w:t>)</w:t>
            </w:r>
          </w:p>
        </w:tc>
        <w:tc>
          <w:tcPr>
            <w:tcW w:w="1585" w:type="dxa"/>
            <w:vAlign w:val="bottom"/>
          </w:tcPr>
          <w:p w14:paraId="13D91861" w14:textId="627A8371" w:rsidR="00172BB0" w:rsidRPr="00444871" w:rsidRDefault="00172BB0" w:rsidP="009E6943">
            <w:pPr>
              <w:tabs>
                <w:tab w:val="left" w:pos="1170"/>
                <w:tab w:val="left" w:pos="7272"/>
                <w:tab w:val="decimal" w:pos="8136"/>
                <w:tab w:val="left" w:pos="8496"/>
                <w:tab w:val="decimal" w:pos="9360"/>
              </w:tabs>
              <w:spacing w:after="0"/>
              <w:ind w:right="29"/>
              <w:jc w:val="right"/>
              <w:rPr>
                <w:rFonts w:ascii="Arial" w:hAnsi="Arial" w:cs="Arial"/>
                <w:szCs w:val="20"/>
              </w:rPr>
            </w:pPr>
            <w:r>
              <w:rPr>
                <w:rFonts w:ascii="Arial" w:hAnsi="Arial" w:cs="Arial"/>
                <w:szCs w:val="20"/>
              </w:rPr>
              <w:t>61,122</w:t>
            </w:r>
          </w:p>
        </w:tc>
        <w:tc>
          <w:tcPr>
            <w:tcW w:w="1585" w:type="dxa"/>
            <w:vAlign w:val="bottom"/>
          </w:tcPr>
          <w:p w14:paraId="0A890B45" w14:textId="68D41364" w:rsidR="00172BB0" w:rsidRPr="00444871" w:rsidRDefault="00CE65C1" w:rsidP="00DC2FC0">
            <w:pPr>
              <w:tabs>
                <w:tab w:val="left" w:pos="1170"/>
                <w:tab w:val="left" w:pos="7272"/>
                <w:tab w:val="decimal" w:pos="8136"/>
                <w:tab w:val="left" w:pos="8496"/>
                <w:tab w:val="decimal" w:pos="9360"/>
              </w:tabs>
              <w:spacing w:after="0"/>
              <w:ind w:right="29"/>
              <w:jc w:val="right"/>
              <w:rPr>
                <w:rFonts w:ascii="Arial" w:hAnsi="Arial" w:cs="Arial"/>
                <w:szCs w:val="20"/>
              </w:rPr>
            </w:pPr>
            <w:r>
              <w:rPr>
                <w:rFonts w:ascii="Arial" w:hAnsi="Arial" w:cs="Arial"/>
                <w:szCs w:val="20"/>
              </w:rPr>
              <w:t>45,897</w:t>
            </w:r>
          </w:p>
        </w:tc>
        <w:tc>
          <w:tcPr>
            <w:tcW w:w="1585" w:type="dxa"/>
            <w:vAlign w:val="bottom"/>
          </w:tcPr>
          <w:p w14:paraId="46821B3A" w14:textId="1AC3CFFD" w:rsidR="00172BB0" w:rsidRPr="00EC4ECB" w:rsidRDefault="00CE65C1" w:rsidP="00677109">
            <w:pPr>
              <w:tabs>
                <w:tab w:val="left" w:pos="7272"/>
                <w:tab w:val="decimal" w:pos="8136"/>
                <w:tab w:val="left" w:pos="8496"/>
                <w:tab w:val="decimal" w:pos="9360"/>
              </w:tabs>
              <w:spacing w:after="0"/>
              <w:ind w:right="52"/>
              <w:jc w:val="right"/>
              <w:rPr>
                <w:rFonts w:ascii="Arial" w:hAnsi="Arial" w:cs="Arial"/>
                <w:szCs w:val="20"/>
              </w:rPr>
            </w:pPr>
            <w:r>
              <w:rPr>
                <w:rFonts w:ascii="Arial" w:hAnsi="Arial" w:cs="Arial"/>
                <w:szCs w:val="20"/>
              </w:rPr>
              <w:t>36,754</w:t>
            </w:r>
          </w:p>
        </w:tc>
      </w:tr>
      <w:tr w:rsidR="00172BB0" w:rsidRPr="00EC4ECB" w14:paraId="669F0B45" w14:textId="77777777" w:rsidTr="00677109">
        <w:tc>
          <w:tcPr>
            <w:tcW w:w="4140" w:type="dxa"/>
            <w:tcBorders>
              <w:bottom w:val="single" w:sz="4" w:space="0" w:color="auto"/>
            </w:tcBorders>
          </w:tcPr>
          <w:p w14:paraId="31984835" w14:textId="1BACA20C" w:rsidR="00172BB0" w:rsidRPr="00EC4ECB" w:rsidRDefault="00172BB0" w:rsidP="00677109">
            <w:pPr>
              <w:tabs>
                <w:tab w:val="left" w:pos="7272"/>
                <w:tab w:val="decimal" w:pos="8136"/>
                <w:tab w:val="left" w:pos="8496"/>
                <w:tab w:val="decimal" w:pos="9360"/>
              </w:tabs>
              <w:spacing w:after="0"/>
              <w:ind w:left="144"/>
              <w:rPr>
                <w:rFonts w:ascii="Arial" w:hAnsi="Arial" w:cs="Arial"/>
                <w:szCs w:val="20"/>
              </w:rPr>
            </w:pPr>
            <w:r>
              <w:rPr>
                <w:rFonts w:ascii="Arial" w:hAnsi="Arial" w:cs="Arial"/>
              </w:rPr>
              <w:t xml:space="preserve">Convertible debentures </w:t>
            </w:r>
            <w:r w:rsidR="003D40ED">
              <w:rPr>
                <w:rFonts w:ascii="Arial" w:hAnsi="Arial" w:cs="Arial"/>
              </w:rPr>
              <w:t>(Note 2</w:t>
            </w:r>
            <w:r w:rsidR="00240084">
              <w:rPr>
                <w:rFonts w:ascii="Arial" w:hAnsi="Arial" w:cs="Arial"/>
              </w:rPr>
              <w:t>4</w:t>
            </w:r>
            <w:r>
              <w:rPr>
                <w:rFonts w:ascii="Arial" w:hAnsi="Arial" w:cs="Arial"/>
              </w:rPr>
              <w:t>(b</w:t>
            </w:r>
            <w:r w:rsidR="003D40ED">
              <w:rPr>
                <w:rFonts w:ascii="Arial" w:hAnsi="Arial" w:cs="Arial"/>
              </w:rPr>
              <w:t>)</w:t>
            </w:r>
            <w:r>
              <w:rPr>
                <w:rFonts w:ascii="Arial" w:hAnsi="Arial" w:cs="Arial"/>
              </w:rPr>
              <w:t>)</w:t>
            </w:r>
          </w:p>
        </w:tc>
        <w:tc>
          <w:tcPr>
            <w:tcW w:w="1585" w:type="dxa"/>
            <w:tcBorders>
              <w:bottom w:val="single" w:sz="4" w:space="0" w:color="auto"/>
            </w:tcBorders>
            <w:vAlign w:val="bottom"/>
          </w:tcPr>
          <w:p w14:paraId="3A16F32B" w14:textId="111182A9" w:rsidR="00172BB0" w:rsidRPr="00444871" w:rsidRDefault="00172BB0" w:rsidP="00677109">
            <w:pPr>
              <w:tabs>
                <w:tab w:val="left" w:pos="1170"/>
                <w:tab w:val="left" w:pos="7272"/>
                <w:tab w:val="decimal" w:pos="8136"/>
                <w:tab w:val="left" w:pos="8496"/>
                <w:tab w:val="decimal" w:pos="9360"/>
              </w:tabs>
              <w:spacing w:after="0"/>
              <w:ind w:right="29"/>
              <w:jc w:val="right"/>
              <w:rPr>
                <w:rFonts w:ascii="Arial" w:hAnsi="Arial" w:cs="Arial"/>
                <w:szCs w:val="20"/>
              </w:rPr>
            </w:pPr>
            <w:r>
              <w:rPr>
                <w:rFonts w:ascii="Arial" w:hAnsi="Arial" w:cs="Arial"/>
                <w:szCs w:val="20"/>
              </w:rPr>
              <w:t>43,560</w:t>
            </w:r>
          </w:p>
        </w:tc>
        <w:tc>
          <w:tcPr>
            <w:tcW w:w="1585" w:type="dxa"/>
            <w:tcBorders>
              <w:bottom w:val="single" w:sz="4" w:space="0" w:color="auto"/>
            </w:tcBorders>
            <w:vAlign w:val="bottom"/>
          </w:tcPr>
          <w:p w14:paraId="1D7B9144" w14:textId="24136592" w:rsidR="00172BB0" w:rsidRPr="00444871" w:rsidRDefault="00EE54DD" w:rsidP="005A2885">
            <w:pPr>
              <w:tabs>
                <w:tab w:val="left" w:pos="1170"/>
                <w:tab w:val="left" w:pos="7272"/>
                <w:tab w:val="decimal" w:pos="8136"/>
                <w:tab w:val="left" w:pos="8496"/>
                <w:tab w:val="decimal" w:pos="9360"/>
              </w:tabs>
              <w:spacing w:after="0"/>
              <w:ind w:right="29"/>
              <w:jc w:val="right"/>
              <w:rPr>
                <w:rFonts w:ascii="Arial" w:hAnsi="Arial" w:cs="Arial"/>
                <w:szCs w:val="20"/>
              </w:rPr>
            </w:pPr>
            <w:r>
              <w:rPr>
                <w:rFonts w:ascii="Arial" w:hAnsi="Arial" w:cs="Arial"/>
                <w:szCs w:val="20"/>
              </w:rPr>
              <w:t>(</w:t>
            </w:r>
            <w:r w:rsidR="00CA2D3D">
              <w:rPr>
                <w:rFonts w:ascii="Arial" w:hAnsi="Arial" w:cs="Arial"/>
                <w:szCs w:val="20"/>
              </w:rPr>
              <w:t>187,307</w:t>
            </w:r>
            <w:r>
              <w:rPr>
                <w:rFonts w:ascii="Arial" w:hAnsi="Arial" w:cs="Arial"/>
                <w:szCs w:val="20"/>
              </w:rPr>
              <w:t>)</w:t>
            </w:r>
          </w:p>
        </w:tc>
        <w:tc>
          <w:tcPr>
            <w:tcW w:w="1585" w:type="dxa"/>
            <w:tcBorders>
              <w:bottom w:val="single" w:sz="4" w:space="0" w:color="auto"/>
            </w:tcBorders>
            <w:vAlign w:val="bottom"/>
          </w:tcPr>
          <w:p w14:paraId="28808C9C" w14:textId="038E40F4" w:rsidR="00172BB0" w:rsidRPr="00EC4ECB" w:rsidRDefault="00EE54DD" w:rsidP="005A2885">
            <w:pPr>
              <w:tabs>
                <w:tab w:val="left" w:pos="7272"/>
                <w:tab w:val="decimal" w:pos="8136"/>
                <w:tab w:val="left" w:pos="8496"/>
                <w:tab w:val="decimal" w:pos="9360"/>
              </w:tabs>
              <w:spacing w:after="0"/>
              <w:ind w:right="52"/>
              <w:jc w:val="right"/>
              <w:rPr>
                <w:rFonts w:ascii="Arial" w:hAnsi="Arial" w:cs="Arial"/>
                <w:szCs w:val="20"/>
              </w:rPr>
            </w:pPr>
            <w:r>
              <w:rPr>
                <w:rFonts w:ascii="Arial" w:hAnsi="Arial" w:cs="Arial"/>
                <w:szCs w:val="20"/>
              </w:rPr>
              <w:t>(</w:t>
            </w:r>
            <w:r w:rsidR="00CA2D3D">
              <w:rPr>
                <w:rFonts w:ascii="Arial" w:hAnsi="Arial" w:cs="Arial"/>
                <w:szCs w:val="20"/>
              </w:rPr>
              <w:t>193,558</w:t>
            </w:r>
            <w:r>
              <w:rPr>
                <w:rFonts w:ascii="Arial" w:hAnsi="Arial" w:cs="Arial"/>
                <w:szCs w:val="20"/>
              </w:rPr>
              <w:t>)</w:t>
            </w:r>
          </w:p>
        </w:tc>
      </w:tr>
      <w:tr w:rsidR="00172BB0" w:rsidRPr="006D4677" w14:paraId="45913635" w14:textId="77777777" w:rsidTr="00677109">
        <w:tc>
          <w:tcPr>
            <w:tcW w:w="4140" w:type="dxa"/>
            <w:tcBorders>
              <w:top w:val="single" w:sz="4" w:space="0" w:color="auto"/>
              <w:bottom w:val="single" w:sz="4" w:space="0" w:color="auto"/>
            </w:tcBorders>
            <w:vAlign w:val="bottom"/>
          </w:tcPr>
          <w:p w14:paraId="7E8044A8" w14:textId="00CFB3B8" w:rsidR="00172BB0" w:rsidRPr="006D4677" w:rsidRDefault="00172BB0" w:rsidP="00677109">
            <w:pPr>
              <w:tabs>
                <w:tab w:val="left" w:pos="7272"/>
                <w:tab w:val="decimal" w:pos="8136"/>
                <w:tab w:val="left" w:pos="8496"/>
                <w:tab w:val="decimal" w:pos="9360"/>
              </w:tabs>
              <w:spacing w:before="120" w:after="0"/>
              <w:rPr>
                <w:rFonts w:ascii="Arial" w:hAnsi="Arial" w:cs="Arial"/>
                <w:szCs w:val="20"/>
              </w:rPr>
            </w:pPr>
            <w:r>
              <w:rPr>
                <w:rFonts w:ascii="Arial" w:hAnsi="Arial" w:cs="Arial"/>
                <w:szCs w:val="20"/>
              </w:rPr>
              <w:t xml:space="preserve">Total IFRS adjustments to </w:t>
            </w:r>
            <w:r w:rsidR="00CA2D3D">
              <w:rPr>
                <w:rFonts w:ascii="Arial" w:hAnsi="Arial" w:cs="Arial"/>
                <w:szCs w:val="20"/>
              </w:rPr>
              <w:t>comprehensive loss</w:t>
            </w:r>
          </w:p>
        </w:tc>
        <w:tc>
          <w:tcPr>
            <w:tcW w:w="1585" w:type="dxa"/>
            <w:tcBorders>
              <w:top w:val="single" w:sz="4" w:space="0" w:color="auto"/>
              <w:bottom w:val="single" w:sz="4" w:space="0" w:color="auto"/>
            </w:tcBorders>
          </w:tcPr>
          <w:p w14:paraId="19D6E522" w14:textId="67CE437E" w:rsidR="00172BB0" w:rsidRPr="00444871" w:rsidRDefault="00172BB0" w:rsidP="00172BB0">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104,682</w:t>
            </w:r>
          </w:p>
        </w:tc>
        <w:tc>
          <w:tcPr>
            <w:tcW w:w="1585" w:type="dxa"/>
            <w:tcBorders>
              <w:top w:val="single" w:sz="4" w:space="0" w:color="auto"/>
              <w:bottom w:val="single" w:sz="4" w:space="0" w:color="auto"/>
            </w:tcBorders>
          </w:tcPr>
          <w:p w14:paraId="642105D1" w14:textId="5A6716EF" w:rsidR="00172BB0" w:rsidRPr="00444871" w:rsidRDefault="00EE54DD" w:rsidP="005A2885">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w:t>
            </w:r>
            <w:r w:rsidR="00CA2D3D">
              <w:rPr>
                <w:rFonts w:ascii="Arial" w:hAnsi="Arial" w:cs="Arial"/>
                <w:szCs w:val="20"/>
              </w:rPr>
              <w:t>141,410</w:t>
            </w:r>
            <w:r>
              <w:rPr>
                <w:rFonts w:ascii="Arial" w:hAnsi="Arial" w:cs="Arial"/>
                <w:szCs w:val="20"/>
              </w:rPr>
              <w:t>)</w:t>
            </w:r>
          </w:p>
        </w:tc>
        <w:tc>
          <w:tcPr>
            <w:tcW w:w="1585" w:type="dxa"/>
            <w:tcBorders>
              <w:top w:val="single" w:sz="4" w:space="0" w:color="auto"/>
              <w:bottom w:val="single" w:sz="4" w:space="0" w:color="auto"/>
            </w:tcBorders>
          </w:tcPr>
          <w:p w14:paraId="61E9132B" w14:textId="02134ABF" w:rsidR="00172BB0" w:rsidRPr="006D4677" w:rsidRDefault="00C71782" w:rsidP="005A2885">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w:t>
            </w:r>
            <w:r w:rsidR="00CA2D3D">
              <w:rPr>
                <w:rFonts w:ascii="Arial" w:hAnsi="Arial" w:cs="Arial"/>
                <w:szCs w:val="20"/>
              </w:rPr>
              <w:t>156,804</w:t>
            </w:r>
            <w:r>
              <w:rPr>
                <w:rFonts w:ascii="Arial" w:hAnsi="Arial" w:cs="Arial"/>
                <w:szCs w:val="20"/>
              </w:rPr>
              <w:t>)</w:t>
            </w:r>
          </w:p>
        </w:tc>
      </w:tr>
      <w:tr w:rsidR="00172BB0" w:rsidRPr="00EC4ECB" w14:paraId="3A49CF76" w14:textId="77777777" w:rsidTr="00677109">
        <w:tc>
          <w:tcPr>
            <w:tcW w:w="4140" w:type="dxa"/>
            <w:tcBorders>
              <w:top w:val="single" w:sz="4" w:space="0" w:color="auto"/>
              <w:bottom w:val="single" w:sz="12" w:space="0" w:color="auto"/>
            </w:tcBorders>
          </w:tcPr>
          <w:p w14:paraId="6ED96412" w14:textId="38525A4C" w:rsidR="00172BB0" w:rsidRPr="00EC4ECB" w:rsidRDefault="00CA2D3D" w:rsidP="00677109">
            <w:pPr>
              <w:tabs>
                <w:tab w:val="left" w:pos="7272"/>
                <w:tab w:val="decimal" w:pos="8136"/>
                <w:tab w:val="left" w:pos="8496"/>
                <w:tab w:val="decimal" w:pos="9360"/>
              </w:tabs>
              <w:spacing w:before="120" w:after="0"/>
              <w:rPr>
                <w:rFonts w:ascii="Arial" w:hAnsi="Arial" w:cs="Arial"/>
              </w:rPr>
            </w:pPr>
            <w:r>
              <w:rPr>
                <w:rFonts w:ascii="Arial" w:hAnsi="Arial" w:cs="Arial"/>
              </w:rPr>
              <w:t>Comprehensive loss</w:t>
            </w:r>
            <w:r w:rsidR="00172BB0">
              <w:rPr>
                <w:rFonts w:ascii="Arial" w:hAnsi="Arial" w:cs="Arial"/>
              </w:rPr>
              <w:t xml:space="preserve"> under IFRS</w:t>
            </w:r>
          </w:p>
        </w:tc>
        <w:tc>
          <w:tcPr>
            <w:tcW w:w="1585" w:type="dxa"/>
            <w:tcBorders>
              <w:top w:val="single" w:sz="4" w:space="0" w:color="auto"/>
              <w:bottom w:val="single" w:sz="12" w:space="0" w:color="auto"/>
            </w:tcBorders>
            <w:vAlign w:val="bottom"/>
          </w:tcPr>
          <w:p w14:paraId="24E0F80F" w14:textId="2E02EAC9" w:rsidR="00172BB0" w:rsidRPr="00444871" w:rsidRDefault="00172BB0" w:rsidP="00677109">
            <w:pPr>
              <w:tabs>
                <w:tab w:val="left" w:pos="1170"/>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9,127,624</w:t>
            </w:r>
          </w:p>
        </w:tc>
        <w:tc>
          <w:tcPr>
            <w:tcW w:w="1585" w:type="dxa"/>
            <w:tcBorders>
              <w:top w:val="single" w:sz="4" w:space="0" w:color="auto"/>
              <w:bottom w:val="single" w:sz="12" w:space="0" w:color="auto"/>
            </w:tcBorders>
            <w:vAlign w:val="bottom"/>
          </w:tcPr>
          <w:p w14:paraId="6599121E" w14:textId="2F68742B" w:rsidR="00172BB0" w:rsidRPr="00444871" w:rsidRDefault="00CE65C1" w:rsidP="005A2885">
            <w:pPr>
              <w:tabs>
                <w:tab w:val="left" w:pos="1170"/>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7,494,45</w:t>
            </w:r>
            <w:r w:rsidR="00CA2D3D">
              <w:rPr>
                <w:rFonts w:ascii="Arial" w:hAnsi="Arial" w:cs="Arial"/>
                <w:szCs w:val="20"/>
              </w:rPr>
              <w:t>1</w:t>
            </w:r>
          </w:p>
        </w:tc>
        <w:tc>
          <w:tcPr>
            <w:tcW w:w="1585" w:type="dxa"/>
            <w:tcBorders>
              <w:top w:val="single" w:sz="4" w:space="0" w:color="auto"/>
              <w:bottom w:val="single" w:sz="12" w:space="0" w:color="auto"/>
            </w:tcBorders>
            <w:vAlign w:val="bottom"/>
          </w:tcPr>
          <w:p w14:paraId="3C58EB5B" w14:textId="3A81E7A0" w:rsidR="00172BB0" w:rsidRPr="00EC4ECB" w:rsidRDefault="00CE65C1" w:rsidP="005A2885">
            <w:pPr>
              <w:tabs>
                <w:tab w:val="left" w:pos="7272"/>
                <w:tab w:val="decimal" w:pos="8136"/>
                <w:tab w:val="left" w:pos="8496"/>
                <w:tab w:val="decimal" w:pos="9360"/>
              </w:tabs>
              <w:spacing w:before="120" w:after="0"/>
              <w:ind w:right="52"/>
              <w:jc w:val="right"/>
              <w:rPr>
                <w:rFonts w:ascii="Arial" w:hAnsi="Arial" w:cs="Arial"/>
                <w:szCs w:val="20"/>
              </w:rPr>
            </w:pPr>
            <w:r>
              <w:rPr>
                <w:rFonts w:ascii="Arial" w:hAnsi="Arial" w:cs="Arial"/>
                <w:szCs w:val="20"/>
              </w:rPr>
              <w:t>3,612,744</w:t>
            </w:r>
          </w:p>
        </w:tc>
      </w:tr>
    </w:tbl>
    <w:p w14:paraId="18AF78B7" w14:textId="77777777" w:rsidR="00241B10" w:rsidRDefault="00241B10" w:rsidP="007F24B8">
      <w:pPr>
        <w:spacing w:after="0" w:line="240" w:lineRule="auto"/>
        <w:ind w:left="450" w:right="75"/>
        <w:jc w:val="both"/>
        <w:rPr>
          <w:rFonts w:ascii="Arial" w:hAnsi="Arial" w:cs="Arial"/>
          <w:szCs w:val="20"/>
          <w:lang w:eastAsia="en-CA"/>
        </w:rPr>
      </w:pPr>
    </w:p>
    <w:p w14:paraId="2E1C589C" w14:textId="229BEA4C" w:rsidR="00172BB0" w:rsidRDefault="00172BB0" w:rsidP="00172BB0">
      <w:pPr>
        <w:spacing w:after="0" w:line="240" w:lineRule="auto"/>
        <w:ind w:left="450" w:right="75"/>
        <w:jc w:val="both"/>
        <w:rPr>
          <w:rFonts w:ascii="Arial" w:hAnsi="Arial" w:cs="Arial"/>
          <w:szCs w:val="20"/>
          <w:lang w:eastAsia="en-CA"/>
        </w:rPr>
      </w:pPr>
      <w:r>
        <w:rPr>
          <w:rFonts w:ascii="Arial" w:hAnsi="Arial" w:cs="Arial"/>
          <w:b/>
          <w:szCs w:val="20"/>
        </w:rPr>
        <w:t>Notes to the reconciliations</w:t>
      </w:r>
    </w:p>
    <w:p w14:paraId="6CB46498" w14:textId="77777777" w:rsidR="007F24B8" w:rsidRDefault="007F24B8" w:rsidP="007F24B8">
      <w:pPr>
        <w:spacing w:after="0" w:line="240" w:lineRule="auto"/>
        <w:ind w:left="450" w:right="75"/>
        <w:jc w:val="both"/>
        <w:rPr>
          <w:rFonts w:ascii="Arial" w:hAnsi="Arial" w:cs="Arial"/>
          <w:szCs w:val="20"/>
          <w:lang w:eastAsia="en-CA"/>
        </w:rPr>
      </w:pPr>
    </w:p>
    <w:p w14:paraId="5278302A" w14:textId="73576AE9" w:rsidR="00172BB0" w:rsidRDefault="00172BB0" w:rsidP="007F24B8">
      <w:pPr>
        <w:spacing w:after="0" w:line="240" w:lineRule="auto"/>
        <w:ind w:left="450" w:right="75"/>
        <w:jc w:val="both"/>
        <w:rPr>
          <w:rFonts w:ascii="Arial" w:hAnsi="Arial" w:cs="Arial"/>
          <w:szCs w:val="20"/>
          <w:lang w:eastAsia="en-CA"/>
        </w:rPr>
      </w:pPr>
      <w:r>
        <w:rPr>
          <w:rFonts w:ascii="Arial" w:hAnsi="Arial" w:cs="Arial"/>
          <w:szCs w:val="20"/>
          <w:lang w:eastAsia="en-CA"/>
        </w:rPr>
        <w:t>The following notes should be read in conjunction with the accounting policies contained in Note 2.</w:t>
      </w:r>
    </w:p>
    <w:p w14:paraId="7BAD5C49" w14:textId="77777777" w:rsidR="00172BB0" w:rsidRDefault="00172BB0" w:rsidP="007F24B8">
      <w:pPr>
        <w:spacing w:after="0" w:line="240" w:lineRule="auto"/>
        <w:ind w:left="450" w:right="75"/>
        <w:jc w:val="both"/>
        <w:rPr>
          <w:rFonts w:ascii="Arial" w:hAnsi="Arial" w:cs="Arial"/>
          <w:szCs w:val="20"/>
          <w:lang w:eastAsia="en-CA"/>
        </w:rPr>
      </w:pPr>
    </w:p>
    <w:p w14:paraId="44BA4F3C" w14:textId="538A9FE9" w:rsidR="00172BB0" w:rsidRDefault="00172BB0" w:rsidP="00172BB0">
      <w:pPr>
        <w:pStyle w:val="ListParagraph"/>
        <w:numPr>
          <w:ilvl w:val="0"/>
          <w:numId w:val="41"/>
        </w:numPr>
        <w:spacing w:after="0" w:line="240" w:lineRule="auto"/>
        <w:ind w:right="75"/>
        <w:jc w:val="both"/>
        <w:rPr>
          <w:rFonts w:ascii="Arial" w:hAnsi="Arial" w:cs="Arial"/>
          <w:szCs w:val="20"/>
          <w:lang w:eastAsia="en-CA"/>
        </w:rPr>
      </w:pPr>
      <w:r>
        <w:rPr>
          <w:rFonts w:ascii="Arial" w:hAnsi="Arial" w:cs="Arial"/>
          <w:szCs w:val="20"/>
          <w:lang w:eastAsia="en-CA"/>
        </w:rPr>
        <w:t>Leases</w:t>
      </w:r>
    </w:p>
    <w:p w14:paraId="004433FA" w14:textId="77777777" w:rsidR="00172BB0" w:rsidRDefault="00172BB0" w:rsidP="00172BB0">
      <w:pPr>
        <w:pStyle w:val="ListParagraph"/>
        <w:spacing w:after="0" w:line="240" w:lineRule="auto"/>
        <w:ind w:left="810" w:right="75"/>
        <w:jc w:val="both"/>
        <w:rPr>
          <w:rFonts w:ascii="Arial" w:hAnsi="Arial" w:cs="Arial"/>
          <w:szCs w:val="20"/>
          <w:lang w:eastAsia="en-CA"/>
        </w:rPr>
      </w:pPr>
    </w:p>
    <w:p w14:paraId="3F8F0865" w14:textId="45A6CE1F" w:rsidR="00210B4A" w:rsidRDefault="00210B4A" w:rsidP="00172BB0">
      <w:pPr>
        <w:pStyle w:val="ListParagraph"/>
        <w:spacing w:after="0" w:line="240" w:lineRule="auto"/>
        <w:ind w:left="810" w:right="75"/>
        <w:jc w:val="both"/>
        <w:rPr>
          <w:rFonts w:ascii="Arial" w:hAnsi="Arial" w:cs="Arial"/>
          <w:szCs w:val="20"/>
          <w:lang w:eastAsia="en-CA"/>
        </w:rPr>
      </w:pPr>
      <w:r>
        <w:rPr>
          <w:rFonts w:ascii="Arial" w:hAnsi="Arial" w:cs="Arial"/>
          <w:szCs w:val="20"/>
          <w:lang w:eastAsia="en-CA"/>
        </w:rPr>
        <w:t xml:space="preserve">Under U.S. GAAP, the Company </w:t>
      </w:r>
      <w:r w:rsidR="004A2A4F" w:rsidRPr="004A2A4F">
        <w:rPr>
          <w:rFonts w:ascii="Arial" w:hAnsi="Arial" w:cs="Arial"/>
          <w:szCs w:val="20"/>
          <w:lang w:eastAsia="en-CA"/>
        </w:rPr>
        <w:t>adopted ASC 842</w:t>
      </w:r>
      <w:r w:rsidR="004A2A4F">
        <w:rPr>
          <w:rFonts w:ascii="Arial" w:hAnsi="Arial" w:cs="Arial"/>
          <w:szCs w:val="20"/>
          <w:lang w:eastAsia="en-CA"/>
        </w:rPr>
        <w:t>, Leases,</w:t>
      </w:r>
      <w:r w:rsidR="004A2A4F" w:rsidRPr="004A2A4F">
        <w:rPr>
          <w:rFonts w:ascii="Arial" w:hAnsi="Arial" w:cs="Arial"/>
          <w:szCs w:val="20"/>
          <w:lang w:eastAsia="en-CA"/>
        </w:rPr>
        <w:t xml:space="preserve"> using the modified retrospective transition approach, which applies the provisions of the new guidance at the effective date without adjusting the comparative periods presented.</w:t>
      </w:r>
      <w:r w:rsidR="004A2A4F">
        <w:rPr>
          <w:rFonts w:ascii="Arial" w:hAnsi="Arial" w:cs="Arial"/>
          <w:szCs w:val="20"/>
          <w:lang w:eastAsia="en-CA"/>
        </w:rPr>
        <w:t xml:space="preserve">  Under IFRS, the Company is required to recognize ROU assets and lease liabilities as at its Transition Date.   </w:t>
      </w:r>
    </w:p>
    <w:p w14:paraId="0825A04A" w14:textId="77777777" w:rsidR="00172BB0" w:rsidRDefault="00172BB0" w:rsidP="00172BB0">
      <w:pPr>
        <w:pStyle w:val="ListParagraph"/>
        <w:spacing w:after="0" w:line="240" w:lineRule="auto"/>
        <w:ind w:left="810" w:right="75"/>
        <w:jc w:val="both"/>
        <w:rPr>
          <w:rFonts w:ascii="Arial" w:hAnsi="Arial" w:cs="Arial"/>
          <w:szCs w:val="20"/>
          <w:lang w:eastAsia="en-CA"/>
        </w:rPr>
      </w:pPr>
    </w:p>
    <w:p w14:paraId="2682F54D" w14:textId="1F14D6C5" w:rsidR="00172BB0" w:rsidRDefault="00172BB0" w:rsidP="00172BB0">
      <w:pPr>
        <w:pStyle w:val="ListParagraph"/>
        <w:numPr>
          <w:ilvl w:val="0"/>
          <w:numId w:val="41"/>
        </w:numPr>
        <w:spacing w:after="0" w:line="240" w:lineRule="auto"/>
        <w:ind w:right="75"/>
        <w:jc w:val="both"/>
        <w:rPr>
          <w:rFonts w:ascii="Arial" w:hAnsi="Arial" w:cs="Arial"/>
          <w:szCs w:val="20"/>
          <w:lang w:eastAsia="en-CA"/>
        </w:rPr>
      </w:pPr>
      <w:r>
        <w:rPr>
          <w:rFonts w:ascii="Arial" w:hAnsi="Arial" w:cs="Arial"/>
          <w:szCs w:val="20"/>
          <w:lang w:eastAsia="en-CA"/>
        </w:rPr>
        <w:t>Convertible debentures</w:t>
      </w:r>
    </w:p>
    <w:p w14:paraId="21F069BA" w14:textId="77777777" w:rsidR="00172BB0" w:rsidRDefault="00172BB0" w:rsidP="00172BB0">
      <w:pPr>
        <w:pStyle w:val="ListParagraph"/>
        <w:spacing w:after="0" w:line="240" w:lineRule="auto"/>
        <w:ind w:left="810" w:right="75"/>
        <w:jc w:val="both"/>
        <w:rPr>
          <w:rFonts w:ascii="Arial" w:hAnsi="Arial" w:cs="Arial"/>
          <w:szCs w:val="20"/>
          <w:lang w:eastAsia="en-CA"/>
        </w:rPr>
      </w:pPr>
    </w:p>
    <w:p w14:paraId="19334BD8" w14:textId="50DB482A" w:rsidR="004A2A4F" w:rsidRDefault="004A2A4F" w:rsidP="00172BB0">
      <w:pPr>
        <w:pStyle w:val="ListParagraph"/>
        <w:spacing w:after="0" w:line="240" w:lineRule="auto"/>
        <w:ind w:left="810" w:right="75"/>
        <w:jc w:val="both"/>
        <w:rPr>
          <w:rFonts w:ascii="Arial" w:hAnsi="Arial" w:cs="Arial"/>
          <w:szCs w:val="20"/>
          <w:lang w:eastAsia="en-CA"/>
        </w:rPr>
      </w:pPr>
      <w:r>
        <w:rPr>
          <w:rFonts w:ascii="Arial" w:hAnsi="Arial" w:cs="Arial"/>
          <w:szCs w:val="20"/>
          <w:lang w:eastAsia="en-CA"/>
        </w:rPr>
        <w:t xml:space="preserve">Under U.S. GAAP, the Company </w:t>
      </w:r>
      <w:r w:rsidR="00F8083D">
        <w:rPr>
          <w:rFonts w:ascii="Arial" w:hAnsi="Arial" w:cs="Arial"/>
          <w:szCs w:val="20"/>
          <w:lang w:eastAsia="en-CA"/>
        </w:rPr>
        <w:t xml:space="preserve">classified the balance of its convertible debentures as liabilities.  </w:t>
      </w:r>
      <w:r w:rsidR="00DC6304">
        <w:rPr>
          <w:rFonts w:ascii="Arial" w:hAnsi="Arial" w:cs="Arial"/>
          <w:szCs w:val="20"/>
          <w:lang w:eastAsia="en-CA"/>
        </w:rPr>
        <w:t>The Company evaluated its convertible debentures under IFRS and determined that a residual amount is required to be assigned to an equity component.</w:t>
      </w:r>
    </w:p>
    <w:sectPr w:rsidR="004A2A4F" w:rsidSect="00BD7C8A">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9AD0B" w14:textId="77777777" w:rsidR="001023AB" w:rsidRDefault="001023AB" w:rsidP="00EC6AEA">
      <w:pPr>
        <w:spacing w:after="0" w:line="240" w:lineRule="auto"/>
      </w:pPr>
      <w:r>
        <w:separator/>
      </w:r>
    </w:p>
  </w:endnote>
  <w:endnote w:type="continuationSeparator" w:id="0">
    <w:p w14:paraId="3CE094D6" w14:textId="77777777" w:rsidR="001023AB" w:rsidRDefault="001023AB" w:rsidP="00EC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17459"/>
      <w:docPartObj>
        <w:docPartGallery w:val="Page Numbers (Bottom of Page)"/>
        <w:docPartUnique/>
      </w:docPartObj>
    </w:sdtPr>
    <w:sdtEndPr>
      <w:rPr>
        <w:noProof/>
      </w:rPr>
    </w:sdtEndPr>
    <w:sdtContent>
      <w:p w14:paraId="4BBB99D9" w14:textId="77777777" w:rsidR="001E7D46" w:rsidRDefault="001E7D46">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7709FDEF" w14:textId="77777777" w:rsidR="001E7D46" w:rsidRPr="00F01FF6" w:rsidRDefault="001E7D4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2BD0" w14:textId="77777777" w:rsidR="001023AB" w:rsidRDefault="001023AB" w:rsidP="00EC6AEA">
      <w:pPr>
        <w:spacing w:after="0" w:line="240" w:lineRule="auto"/>
        <w:rPr>
          <w:noProof/>
        </w:rPr>
      </w:pPr>
      <w:r>
        <w:rPr>
          <w:noProof/>
        </w:rPr>
        <w:separator/>
      </w:r>
    </w:p>
  </w:footnote>
  <w:footnote w:type="continuationSeparator" w:id="0">
    <w:p w14:paraId="0DFF25D9" w14:textId="77777777" w:rsidR="001023AB" w:rsidRDefault="001023AB" w:rsidP="00EC6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8604" w14:textId="77777777" w:rsidR="001E7D46" w:rsidRPr="00956F25" w:rsidRDefault="001E7D46" w:rsidP="00790828">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81D90" w14:textId="77777777" w:rsidR="001E7D46" w:rsidRPr="00431E7F" w:rsidRDefault="001E7D46" w:rsidP="00790828">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DCB1" w14:textId="5BEEDA41" w:rsidR="001E7D46" w:rsidRPr="00F81AE0" w:rsidRDefault="001E7D46" w:rsidP="00E138A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
        <w:bCs/>
        <w:sz w:val="24"/>
        <w:szCs w:val="24"/>
      </w:rPr>
    </w:pPr>
    <w:r>
      <w:rPr>
        <w:rFonts w:ascii="Arial" w:hAnsi="Arial" w:cs="Arial"/>
        <w:b/>
        <w:bCs/>
        <w:sz w:val="24"/>
      </w:rPr>
      <w:t xml:space="preserve">BETTERLIFE PHARMA INC. </w:t>
    </w:r>
    <w:r w:rsidRPr="000F2E3C">
      <w:rPr>
        <w:rFonts w:ascii="Arial" w:hAnsi="Arial" w:cs="Arial"/>
        <w:b/>
        <w:bCs/>
        <w:szCs w:val="20"/>
      </w:rPr>
      <w:t>(formerly Pivot Pharmaceuticals Inc.)</w:t>
    </w:r>
  </w:p>
  <w:p w14:paraId="54C429F9" w14:textId="77777777" w:rsidR="001E7D46" w:rsidRPr="00F81AE0" w:rsidRDefault="001E7D46" w:rsidP="00E138A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Cs/>
        <w:szCs w:val="20"/>
      </w:rPr>
    </w:pPr>
    <w:r w:rsidRPr="00F81AE0">
      <w:rPr>
        <w:rFonts w:ascii="Arial" w:hAnsi="Arial" w:cs="Arial"/>
        <w:bCs/>
        <w:szCs w:val="20"/>
      </w:rPr>
      <w:t xml:space="preserve">Notes to the </w:t>
    </w:r>
    <w:r>
      <w:rPr>
        <w:rFonts w:ascii="Arial" w:hAnsi="Arial" w:cs="Arial"/>
        <w:bCs/>
        <w:szCs w:val="20"/>
      </w:rPr>
      <w:t xml:space="preserve">Condensed Consolidated Interim </w:t>
    </w:r>
    <w:r w:rsidRPr="00F81AE0">
      <w:rPr>
        <w:rFonts w:ascii="Arial" w:hAnsi="Arial" w:cs="Arial"/>
        <w:bCs/>
        <w:szCs w:val="20"/>
      </w:rPr>
      <w:t>Financial Statements</w:t>
    </w:r>
    <w:r>
      <w:rPr>
        <w:rFonts w:ascii="Arial" w:hAnsi="Arial" w:cs="Arial"/>
        <w:bCs/>
        <w:szCs w:val="20"/>
      </w:rPr>
      <w:t xml:space="preserve"> (Unaudited)</w:t>
    </w:r>
  </w:p>
  <w:p w14:paraId="048B0DBA" w14:textId="5DDEAC6B" w:rsidR="001E7D46" w:rsidRPr="00F81AE0" w:rsidRDefault="001E7D46" w:rsidP="00E138A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Cs/>
        <w:szCs w:val="20"/>
      </w:rPr>
    </w:pPr>
    <w:r>
      <w:rPr>
        <w:rFonts w:ascii="Arial" w:hAnsi="Arial" w:cs="Arial"/>
        <w:bCs/>
        <w:szCs w:val="20"/>
      </w:rPr>
      <w:t>Three and nine months</w:t>
    </w:r>
    <w:r w:rsidRPr="00F81AE0">
      <w:rPr>
        <w:rFonts w:ascii="Arial" w:hAnsi="Arial" w:cs="Arial"/>
        <w:bCs/>
        <w:szCs w:val="20"/>
      </w:rPr>
      <w:t xml:space="preserve"> ended </w:t>
    </w:r>
    <w:r>
      <w:rPr>
        <w:rFonts w:ascii="Arial" w:hAnsi="Arial" w:cs="Arial"/>
        <w:bCs/>
        <w:szCs w:val="20"/>
      </w:rPr>
      <w:t>October 31, 2019</w:t>
    </w:r>
  </w:p>
  <w:p w14:paraId="659A4AFF" w14:textId="77777777" w:rsidR="001E7D46" w:rsidRDefault="001E7D46" w:rsidP="00E138AF">
    <w:pPr>
      <w:pStyle w:val="Header"/>
      <w:rPr>
        <w:rFonts w:ascii="Arial" w:hAnsi="Arial" w:cs="Arial"/>
        <w:bCs/>
        <w:szCs w:val="20"/>
      </w:rPr>
    </w:pPr>
    <w:r w:rsidRPr="00F81AE0">
      <w:rPr>
        <w:rFonts w:ascii="Arial" w:hAnsi="Arial" w:cs="Arial"/>
        <w:bCs/>
        <w:szCs w:val="20"/>
      </w:rPr>
      <w:t xml:space="preserve">(Expressed in </w:t>
    </w:r>
    <w:r>
      <w:rPr>
        <w:rFonts w:ascii="Arial" w:hAnsi="Arial" w:cs="Arial"/>
        <w:bCs/>
        <w:szCs w:val="20"/>
      </w:rPr>
      <w:t>Canadian</w:t>
    </w:r>
    <w:r w:rsidRPr="00F81AE0">
      <w:rPr>
        <w:rFonts w:ascii="Arial" w:hAnsi="Arial" w:cs="Arial"/>
        <w:bCs/>
        <w:szCs w:val="20"/>
      </w:rPr>
      <w:t xml:space="preserve"> dollars)</w:t>
    </w:r>
  </w:p>
  <w:p w14:paraId="1D2FE158" w14:textId="77777777" w:rsidR="001E7D46" w:rsidRPr="00431E7F" w:rsidRDefault="001E7D46" w:rsidP="00790828">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620E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514AC5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C0471C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2CCDB9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7E2A83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9849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664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E2DC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06C30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B2E0E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C7A6E"/>
    <w:multiLevelType w:val="hybridMultilevel"/>
    <w:tmpl w:val="3F24D9CE"/>
    <w:lvl w:ilvl="0" w:tplc="6270F6A8">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1" w15:restartNumberingAfterBreak="0">
    <w:nsid w:val="0BCC4BC5"/>
    <w:multiLevelType w:val="hybridMultilevel"/>
    <w:tmpl w:val="68029ABA"/>
    <w:lvl w:ilvl="0" w:tplc="4F76EEEC">
      <w:start w:val="1"/>
      <w:numFmt w:val="lowerLetter"/>
      <w:lvlText w:val="(%1)"/>
      <w:lvlJc w:val="left"/>
      <w:pPr>
        <w:tabs>
          <w:tab w:val="num" w:pos="1620"/>
        </w:tabs>
        <w:ind w:left="1620" w:hanging="360"/>
      </w:pPr>
      <w:rPr>
        <w:rFonts w:cs="Times New Roman" w:hint="default"/>
      </w:rPr>
    </w:lvl>
    <w:lvl w:ilvl="1" w:tplc="A70AA5E8">
      <w:start w:val="10"/>
      <w:numFmt w:val="decimal"/>
      <w:lvlText w:val="%2."/>
      <w:lvlJc w:val="left"/>
      <w:pPr>
        <w:tabs>
          <w:tab w:val="num" w:pos="2052"/>
        </w:tabs>
        <w:ind w:left="2052" w:hanging="360"/>
      </w:pPr>
      <w:rPr>
        <w:rFonts w:cs="Times New Roman" w:hint="default"/>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12" w15:restartNumberingAfterBreak="0">
    <w:nsid w:val="17B53720"/>
    <w:multiLevelType w:val="hybridMultilevel"/>
    <w:tmpl w:val="53043132"/>
    <w:lvl w:ilvl="0" w:tplc="F9F25A16">
      <w:start w:val="1"/>
      <w:numFmt w:val="low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3" w15:restartNumberingAfterBreak="0">
    <w:nsid w:val="1A17105F"/>
    <w:multiLevelType w:val="hybridMultilevel"/>
    <w:tmpl w:val="5D4C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176A0"/>
    <w:multiLevelType w:val="hybridMultilevel"/>
    <w:tmpl w:val="91363390"/>
    <w:lvl w:ilvl="0" w:tplc="4FC00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E73499"/>
    <w:multiLevelType w:val="hybridMultilevel"/>
    <w:tmpl w:val="2A9C2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3808FE"/>
    <w:multiLevelType w:val="hybridMultilevel"/>
    <w:tmpl w:val="4D48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718F7"/>
    <w:multiLevelType w:val="hybridMultilevel"/>
    <w:tmpl w:val="1F7A151A"/>
    <w:lvl w:ilvl="0" w:tplc="E138C98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3483165"/>
    <w:multiLevelType w:val="hybridMultilevel"/>
    <w:tmpl w:val="8224FED0"/>
    <w:lvl w:ilvl="0" w:tplc="B490699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8D407A9"/>
    <w:multiLevelType w:val="hybridMultilevel"/>
    <w:tmpl w:val="3B28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C8152C"/>
    <w:multiLevelType w:val="hybridMultilevel"/>
    <w:tmpl w:val="E94CC8C8"/>
    <w:lvl w:ilvl="0" w:tplc="709A27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A0376ED"/>
    <w:multiLevelType w:val="hybridMultilevel"/>
    <w:tmpl w:val="67CA0C40"/>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2" w15:restartNumberingAfterBreak="0">
    <w:nsid w:val="2A391A8D"/>
    <w:multiLevelType w:val="hybridMultilevel"/>
    <w:tmpl w:val="93800542"/>
    <w:lvl w:ilvl="0" w:tplc="7848B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13BD7"/>
    <w:multiLevelType w:val="hybridMultilevel"/>
    <w:tmpl w:val="12C0BEBA"/>
    <w:lvl w:ilvl="0" w:tplc="56FC8E5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2D70658D"/>
    <w:multiLevelType w:val="hybridMultilevel"/>
    <w:tmpl w:val="3FA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92DE1"/>
    <w:multiLevelType w:val="hybridMultilevel"/>
    <w:tmpl w:val="1FE0436A"/>
    <w:lvl w:ilvl="0" w:tplc="E144A79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6" w15:restartNumberingAfterBreak="0">
    <w:nsid w:val="31BA5E9E"/>
    <w:multiLevelType w:val="hybridMultilevel"/>
    <w:tmpl w:val="85D6E2B8"/>
    <w:lvl w:ilvl="0" w:tplc="C8DAEFA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378A7065"/>
    <w:multiLevelType w:val="hybridMultilevel"/>
    <w:tmpl w:val="3348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0D798E"/>
    <w:multiLevelType w:val="hybridMultilevel"/>
    <w:tmpl w:val="40C2A73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9" w15:restartNumberingAfterBreak="0">
    <w:nsid w:val="38D1632C"/>
    <w:multiLevelType w:val="hybridMultilevel"/>
    <w:tmpl w:val="D6F8A242"/>
    <w:lvl w:ilvl="0" w:tplc="DA24370E">
      <w:start w:val="5"/>
      <w:numFmt w:val="lowerLetter"/>
      <w:lvlText w:val="(%1)"/>
      <w:lvlJc w:val="left"/>
      <w:pPr>
        <w:ind w:left="792" w:hanging="360"/>
      </w:pPr>
      <w:rPr>
        <w:rFonts w:cs="Times New Roman" w:hint="default"/>
      </w:rPr>
    </w:lvl>
    <w:lvl w:ilvl="1" w:tplc="8042EE18">
      <w:start w:val="2"/>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9CA2D8A"/>
    <w:multiLevelType w:val="hybridMultilevel"/>
    <w:tmpl w:val="A046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055D79"/>
    <w:multiLevelType w:val="hybridMultilevel"/>
    <w:tmpl w:val="8D36BDBC"/>
    <w:lvl w:ilvl="0" w:tplc="2DEE62CC">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2" w15:restartNumberingAfterBreak="0">
    <w:nsid w:val="3E922DAC"/>
    <w:multiLevelType w:val="hybridMultilevel"/>
    <w:tmpl w:val="4076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582BCA"/>
    <w:multiLevelType w:val="hybridMultilevel"/>
    <w:tmpl w:val="03842394"/>
    <w:lvl w:ilvl="0" w:tplc="E79CFCE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821355"/>
    <w:multiLevelType w:val="hybridMultilevel"/>
    <w:tmpl w:val="EA94DEB0"/>
    <w:lvl w:ilvl="0" w:tplc="937A54C8">
      <w:start w:val="1"/>
      <w:numFmt w:val="lowerLetter"/>
      <w:lvlText w:val="(%1)"/>
      <w:lvlJc w:val="left"/>
      <w:pPr>
        <w:ind w:left="842" w:hanging="396"/>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4F6236D9"/>
    <w:multiLevelType w:val="hybridMultilevel"/>
    <w:tmpl w:val="C58E8F8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6" w15:restartNumberingAfterBreak="0">
    <w:nsid w:val="513F31F4"/>
    <w:multiLevelType w:val="hybridMultilevel"/>
    <w:tmpl w:val="59662B1C"/>
    <w:lvl w:ilvl="0" w:tplc="F9F25A16">
      <w:start w:val="1"/>
      <w:numFmt w:val="low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7" w15:restartNumberingAfterBreak="0">
    <w:nsid w:val="5D60073E"/>
    <w:multiLevelType w:val="hybridMultilevel"/>
    <w:tmpl w:val="99EC93CE"/>
    <w:lvl w:ilvl="0" w:tplc="F634B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611282"/>
    <w:multiLevelType w:val="hybridMultilevel"/>
    <w:tmpl w:val="8BBACF16"/>
    <w:lvl w:ilvl="0" w:tplc="FFFADF5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9" w15:restartNumberingAfterBreak="0">
    <w:nsid w:val="74523B1D"/>
    <w:multiLevelType w:val="hybridMultilevel"/>
    <w:tmpl w:val="990E3D42"/>
    <w:lvl w:ilvl="0" w:tplc="E4CC16CA">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0" w15:restartNumberingAfterBreak="0">
    <w:nsid w:val="74886420"/>
    <w:multiLevelType w:val="hybridMultilevel"/>
    <w:tmpl w:val="45AE99F8"/>
    <w:lvl w:ilvl="0" w:tplc="F9F25A16">
      <w:start w:val="1"/>
      <w:numFmt w:val="low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41" w15:restartNumberingAfterBreak="0">
    <w:nsid w:val="77857F26"/>
    <w:multiLevelType w:val="hybridMultilevel"/>
    <w:tmpl w:val="33467F14"/>
    <w:lvl w:ilvl="0" w:tplc="9612BC08">
      <w:start w:val="1"/>
      <w:numFmt w:val="low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abstractNumId w:val="10"/>
  </w:num>
  <w:num w:numId="2">
    <w:abstractNumId w:val="33"/>
  </w:num>
  <w:num w:numId="3">
    <w:abstractNumId w:val="28"/>
  </w:num>
  <w:num w:numId="4">
    <w:abstractNumId w:val="39"/>
  </w:num>
  <w:num w:numId="5">
    <w:abstractNumId w:val="25"/>
  </w:num>
  <w:num w:numId="6">
    <w:abstractNumId w:val="41"/>
  </w:num>
  <w:num w:numId="7">
    <w:abstractNumId w:val="38"/>
  </w:num>
  <w:num w:numId="8">
    <w:abstractNumId w:val="31"/>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4"/>
  </w:num>
  <w:num w:numId="22">
    <w:abstractNumId w:val="32"/>
  </w:num>
  <w:num w:numId="23">
    <w:abstractNumId w:val="22"/>
  </w:num>
  <w:num w:numId="24">
    <w:abstractNumId w:val="30"/>
  </w:num>
  <w:num w:numId="25">
    <w:abstractNumId w:val="27"/>
  </w:num>
  <w:num w:numId="26">
    <w:abstractNumId w:val="19"/>
  </w:num>
  <w:num w:numId="27">
    <w:abstractNumId w:val="15"/>
  </w:num>
  <w:num w:numId="28">
    <w:abstractNumId w:val="13"/>
  </w:num>
  <w:num w:numId="29">
    <w:abstractNumId w:val="21"/>
  </w:num>
  <w:num w:numId="30">
    <w:abstractNumId w:val="35"/>
  </w:num>
  <w:num w:numId="31">
    <w:abstractNumId w:val="37"/>
  </w:num>
  <w:num w:numId="32">
    <w:abstractNumId w:val="17"/>
  </w:num>
  <w:num w:numId="33">
    <w:abstractNumId w:val="34"/>
  </w:num>
  <w:num w:numId="34">
    <w:abstractNumId w:val="14"/>
  </w:num>
  <w:num w:numId="35">
    <w:abstractNumId w:val="23"/>
  </w:num>
  <w:num w:numId="36">
    <w:abstractNumId w:val="40"/>
  </w:num>
  <w:num w:numId="37">
    <w:abstractNumId w:val="36"/>
  </w:num>
  <w:num w:numId="38">
    <w:abstractNumId w:val="29"/>
  </w:num>
  <w:num w:numId="39">
    <w:abstractNumId w:val="26"/>
  </w:num>
  <w:num w:numId="40">
    <w:abstractNumId w:val="16"/>
  </w:num>
  <w:num w:numId="41">
    <w:abstractNumId w:val="18"/>
  </w:num>
  <w:num w:numId="42">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AEA"/>
    <w:rsid w:val="00000339"/>
    <w:rsid w:val="0000091E"/>
    <w:rsid w:val="000030D9"/>
    <w:rsid w:val="00003A43"/>
    <w:rsid w:val="00004217"/>
    <w:rsid w:val="00005F13"/>
    <w:rsid w:val="00006301"/>
    <w:rsid w:val="00006861"/>
    <w:rsid w:val="00006C19"/>
    <w:rsid w:val="00007225"/>
    <w:rsid w:val="00007823"/>
    <w:rsid w:val="00010277"/>
    <w:rsid w:val="00011D39"/>
    <w:rsid w:val="00012E41"/>
    <w:rsid w:val="00015176"/>
    <w:rsid w:val="00020199"/>
    <w:rsid w:val="0002044C"/>
    <w:rsid w:val="00023502"/>
    <w:rsid w:val="00023821"/>
    <w:rsid w:val="00027230"/>
    <w:rsid w:val="00027448"/>
    <w:rsid w:val="00033D06"/>
    <w:rsid w:val="000359C6"/>
    <w:rsid w:val="00036EC0"/>
    <w:rsid w:val="00040621"/>
    <w:rsid w:val="0004100F"/>
    <w:rsid w:val="00044EC7"/>
    <w:rsid w:val="00045254"/>
    <w:rsid w:val="00046282"/>
    <w:rsid w:val="00046C6A"/>
    <w:rsid w:val="00050398"/>
    <w:rsid w:val="000503C5"/>
    <w:rsid w:val="000505C1"/>
    <w:rsid w:val="00050A32"/>
    <w:rsid w:val="00052783"/>
    <w:rsid w:val="00052907"/>
    <w:rsid w:val="0005379A"/>
    <w:rsid w:val="0005598A"/>
    <w:rsid w:val="00056C41"/>
    <w:rsid w:val="000621E8"/>
    <w:rsid w:val="000645D8"/>
    <w:rsid w:val="000649C4"/>
    <w:rsid w:val="00064E39"/>
    <w:rsid w:val="00065843"/>
    <w:rsid w:val="00067D79"/>
    <w:rsid w:val="0007122C"/>
    <w:rsid w:val="000714B2"/>
    <w:rsid w:val="000719ED"/>
    <w:rsid w:val="00072396"/>
    <w:rsid w:val="0007294D"/>
    <w:rsid w:val="00073DC2"/>
    <w:rsid w:val="000745D5"/>
    <w:rsid w:val="00076864"/>
    <w:rsid w:val="00081A2B"/>
    <w:rsid w:val="00082D54"/>
    <w:rsid w:val="00082D5F"/>
    <w:rsid w:val="000857B2"/>
    <w:rsid w:val="000871B8"/>
    <w:rsid w:val="000879A7"/>
    <w:rsid w:val="00087D4F"/>
    <w:rsid w:val="000905CC"/>
    <w:rsid w:val="0009219F"/>
    <w:rsid w:val="00094D28"/>
    <w:rsid w:val="00097619"/>
    <w:rsid w:val="00097BC0"/>
    <w:rsid w:val="000A03D4"/>
    <w:rsid w:val="000A04A1"/>
    <w:rsid w:val="000A31FC"/>
    <w:rsid w:val="000A512E"/>
    <w:rsid w:val="000A5F3F"/>
    <w:rsid w:val="000A6CA9"/>
    <w:rsid w:val="000A7712"/>
    <w:rsid w:val="000B086F"/>
    <w:rsid w:val="000B1002"/>
    <w:rsid w:val="000B6283"/>
    <w:rsid w:val="000B70C3"/>
    <w:rsid w:val="000B735A"/>
    <w:rsid w:val="000B745C"/>
    <w:rsid w:val="000B7BAD"/>
    <w:rsid w:val="000C0253"/>
    <w:rsid w:val="000C0A6F"/>
    <w:rsid w:val="000C1816"/>
    <w:rsid w:val="000C1ABF"/>
    <w:rsid w:val="000C2904"/>
    <w:rsid w:val="000C2D35"/>
    <w:rsid w:val="000C3F08"/>
    <w:rsid w:val="000C3F6E"/>
    <w:rsid w:val="000C3FBA"/>
    <w:rsid w:val="000C5D5D"/>
    <w:rsid w:val="000C652B"/>
    <w:rsid w:val="000C6772"/>
    <w:rsid w:val="000C7C43"/>
    <w:rsid w:val="000D067E"/>
    <w:rsid w:val="000D52F8"/>
    <w:rsid w:val="000D5591"/>
    <w:rsid w:val="000D6933"/>
    <w:rsid w:val="000D6DE6"/>
    <w:rsid w:val="000D7E8A"/>
    <w:rsid w:val="000E00BF"/>
    <w:rsid w:val="000E054E"/>
    <w:rsid w:val="000E1ED1"/>
    <w:rsid w:val="000E4AC4"/>
    <w:rsid w:val="000E4D35"/>
    <w:rsid w:val="000E65F4"/>
    <w:rsid w:val="000F1B4E"/>
    <w:rsid w:val="000F2E3C"/>
    <w:rsid w:val="000F4278"/>
    <w:rsid w:val="000F4A2F"/>
    <w:rsid w:val="000F5611"/>
    <w:rsid w:val="00101C2E"/>
    <w:rsid w:val="001023AB"/>
    <w:rsid w:val="00106BAE"/>
    <w:rsid w:val="001135F5"/>
    <w:rsid w:val="00114F87"/>
    <w:rsid w:val="00115CE0"/>
    <w:rsid w:val="00116C80"/>
    <w:rsid w:val="00116DA9"/>
    <w:rsid w:val="00120F4C"/>
    <w:rsid w:val="00121C26"/>
    <w:rsid w:val="00124321"/>
    <w:rsid w:val="0012455C"/>
    <w:rsid w:val="00126145"/>
    <w:rsid w:val="0012713A"/>
    <w:rsid w:val="001276E2"/>
    <w:rsid w:val="00130402"/>
    <w:rsid w:val="00134BEE"/>
    <w:rsid w:val="00134CF6"/>
    <w:rsid w:val="00141AEB"/>
    <w:rsid w:val="00142D92"/>
    <w:rsid w:val="00144BB0"/>
    <w:rsid w:val="001460A2"/>
    <w:rsid w:val="0014748B"/>
    <w:rsid w:val="001475D5"/>
    <w:rsid w:val="00150E99"/>
    <w:rsid w:val="00154604"/>
    <w:rsid w:val="0015486F"/>
    <w:rsid w:val="00156184"/>
    <w:rsid w:val="00157022"/>
    <w:rsid w:val="00157C2E"/>
    <w:rsid w:val="001600B5"/>
    <w:rsid w:val="00160540"/>
    <w:rsid w:val="00161751"/>
    <w:rsid w:val="0016277F"/>
    <w:rsid w:val="0016383B"/>
    <w:rsid w:val="00163E9C"/>
    <w:rsid w:val="001704A9"/>
    <w:rsid w:val="00170927"/>
    <w:rsid w:val="00172193"/>
    <w:rsid w:val="00172BB0"/>
    <w:rsid w:val="00174090"/>
    <w:rsid w:val="001741C2"/>
    <w:rsid w:val="0017508D"/>
    <w:rsid w:val="001760F7"/>
    <w:rsid w:val="001761C7"/>
    <w:rsid w:val="00180C0E"/>
    <w:rsid w:val="00181AEB"/>
    <w:rsid w:val="0018207D"/>
    <w:rsid w:val="00185473"/>
    <w:rsid w:val="00186C74"/>
    <w:rsid w:val="00187785"/>
    <w:rsid w:val="00190BAA"/>
    <w:rsid w:val="00192CBC"/>
    <w:rsid w:val="00193171"/>
    <w:rsid w:val="0019407B"/>
    <w:rsid w:val="00194A15"/>
    <w:rsid w:val="00196CF2"/>
    <w:rsid w:val="001A051C"/>
    <w:rsid w:val="001A0D50"/>
    <w:rsid w:val="001A1300"/>
    <w:rsid w:val="001A1A63"/>
    <w:rsid w:val="001A2022"/>
    <w:rsid w:val="001A230A"/>
    <w:rsid w:val="001A3B5B"/>
    <w:rsid w:val="001A588C"/>
    <w:rsid w:val="001A5DCA"/>
    <w:rsid w:val="001B00F0"/>
    <w:rsid w:val="001B2362"/>
    <w:rsid w:val="001B2D5E"/>
    <w:rsid w:val="001B321B"/>
    <w:rsid w:val="001B369C"/>
    <w:rsid w:val="001B4793"/>
    <w:rsid w:val="001B791A"/>
    <w:rsid w:val="001B7B70"/>
    <w:rsid w:val="001C0B64"/>
    <w:rsid w:val="001C19D4"/>
    <w:rsid w:val="001C41AF"/>
    <w:rsid w:val="001C50E4"/>
    <w:rsid w:val="001C5CA7"/>
    <w:rsid w:val="001C5F07"/>
    <w:rsid w:val="001D0259"/>
    <w:rsid w:val="001D0C05"/>
    <w:rsid w:val="001D1EF9"/>
    <w:rsid w:val="001D4C2A"/>
    <w:rsid w:val="001D529F"/>
    <w:rsid w:val="001D5728"/>
    <w:rsid w:val="001E2113"/>
    <w:rsid w:val="001E2D2E"/>
    <w:rsid w:val="001E6154"/>
    <w:rsid w:val="001E7D46"/>
    <w:rsid w:val="001F13E0"/>
    <w:rsid w:val="001F23CE"/>
    <w:rsid w:val="001F3110"/>
    <w:rsid w:val="001F3769"/>
    <w:rsid w:val="001F500E"/>
    <w:rsid w:val="0020050E"/>
    <w:rsid w:val="0020072D"/>
    <w:rsid w:val="002055A7"/>
    <w:rsid w:val="00206CFB"/>
    <w:rsid w:val="002079B5"/>
    <w:rsid w:val="00210B4A"/>
    <w:rsid w:val="00214FD0"/>
    <w:rsid w:val="00215D5C"/>
    <w:rsid w:val="00215DB8"/>
    <w:rsid w:val="00216126"/>
    <w:rsid w:val="0022262B"/>
    <w:rsid w:val="002233ED"/>
    <w:rsid w:val="00223D67"/>
    <w:rsid w:val="00224C63"/>
    <w:rsid w:val="00231071"/>
    <w:rsid w:val="00232BF1"/>
    <w:rsid w:val="00235786"/>
    <w:rsid w:val="0023615C"/>
    <w:rsid w:val="00240084"/>
    <w:rsid w:val="00240976"/>
    <w:rsid w:val="00241B10"/>
    <w:rsid w:val="00243230"/>
    <w:rsid w:val="002436F7"/>
    <w:rsid w:val="0024523C"/>
    <w:rsid w:val="00245FCC"/>
    <w:rsid w:val="002460B7"/>
    <w:rsid w:val="0024793E"/>
    <w:rsid w:val="00251406"/>
    <w:rsid w:val="002520DA"/>
    <w:rsid w:val="00253C0E"/>
    <w:rsid w:val="00254400"/>
    <w:rsid w:val="002605DD"/>
    <w:rsid w:val="002605F4"/>
    <w:rsid w:val="00260A8B"/>
    <w:rsid w:val="00262405"/>
    <w:rsid w:val="002632E9"/>
    <w:rsid w:val="002638D5"/>
    <w:rsid w:val="00264AC4"/>
    <w:rsid w:val="00265BCD"/>
    <w:rsid w:val="00266525"/>
    <w:rsid w:val="00267D4E"/>
    <w:rsid w:val="00271193"/>
    <w:rsid w:val="00271367"/>
    <w:rsid w:val="00272E40"/>
    <w:rsid w:val="0027526D"/>
    <w:rsid w:val="0028265B"/>
    <w:rsid w:val="002839C5"/>
    <w:rsid w:val="00283E48"/>
    <w:rsid w:val="00284032"/>
    <w:rsid w:val="002877D7"/>
    <w:rsid w:val="002903B8"/>
    <w:rsid w:val="002907A5"/>
    <w:rsid w:val="002910AC"/>
    <w:rsid w:val="0029273C"/>
    <w:rsid w:val="00292B0D"/>
    <w:rsid w:val="00294022"/>
    <w:rsid w:val="0029433C"/>
    <w:rsid w:val="002943F8"/>
    <w:rsid w:val="00294CF3"/>
    <w:rsid w:val="002956D7"/>
    <w:rsid w:val="002973ED"/>
    <w:rsid w:val="002A3767"/>
    <w:rsid w:val="002A45FC"/>
    <w:rsid w:val="002A52EA"/>
    <w:rsid w:val="002A5577"/>
    <w:rsid w:val="002A6A1E"/>
    <w:rsid w:val="002B17E4"/>
    <w:rsid w:val="002B1A73"/>
    <w:rsid w:val="002B2A75"/>
    <w:rsid w:val="002B3324"/>
    <w:rsid w:val="002B3E36"/>
    <w:rsid w:val="002B4E7C"/>
    <w:rsid w:val="002B6B28"/>
    <w:rsid w:val="002C07FA"/>
    <w:rsid w:val="002C27FB"/>
    <w:rsid w:val="002C29B0"/>
    <w:rsid w:val="002C6254"/>
    <w:rsid w:val="002C689B"/>
    <w:rsid w:val="002C6FD4"/>
    <w:rsid w:val="002C75FF"/>
    <w:rsid w:val="002C7CE1"/>
    <w:rsid w:val="002D1AA7"/>
    <w:rsid w:val="002D2039"/>
    <w:rsid w:val="002D31F4"/>
    <w:rsid w:val="002D72CC"/>
    <w:rsid w:val="002E070C"/>
    <w:rsid w:val="002E1DC1"/>
    <w:rsid w:val="002E23AB"/>
    <w:rsid w:val="002E464B"/>
    <w:rsid w:val="002E4E43"/>
    <w:rsid w:val="002E64C0"/>
    <w:rsid w:val="002E68AF"/>
    <w:rsid w:val="002E7FF0"/>
    <w:rsid w:val="002F1000"/>
    <w:rsid w:val="002F4983"/>
    <w:rsid w:val="002F6504"/>
    <w:rsid w:val="002F67B0"/>
    <w:rsid w:val="002F6967"/>
    <w:rsid w:val="002F7241"/>
    <w:rsid w:val="00300468"/>
    <w:rsid w:val="00301B70"/>
    <w:rsid w:val="00302750"/>
    <w:rsid w:val="0030276B"/>
    <w:rsid w:val="003029CF"/>
    <w:rsid w:val="00302F03"/>
    <w:rsid w:val="00303283"/>
    <w:rsid w:val="00305088"/>
    <w:rsid w:val="0031096E"/>
    <w:rsid w:val="00311BCA"/>
    <w:rsid w:val="0031268E"/>
    <w:rsid w:val="003131A7"/>
    <w:rsid w:val="00313492"/>
    <w:rsid w:val="00315B0D"/>
    <w:rsid w:val="0031658C"/>
    <w:rsid w:val="00320A49"/>
    <w:rsid w:val="00320D7D"/>
    <w:rsid w:val="00321182"/>
    <w:rsid w:val="003225E6"/>
    <w:rsid w:val="00324652"/>
    <w:rsid w:val="003247F2"/>
    <w:rsid w:val="00324DBF"/>
    <w:rsid w:val="00331DD0"/>
    <w:rsid w:val="00340EFD"/>
    <w:rsid w:val="003412A9"/>
    <w:rsid w:val="0034139B"/>
    <w:rsid w:val="00341411"/>
    <w:rsid w:val="00341942"/>
    <w:rsid w:val="00341EF3"/>
    <w:rsid w:val="00342F50"/>
    <w:rsid w:val="0034301C"/>
    <w:rsid w:val="00343874"/>
    <w:rsid w:val="00345447"/>
    <w:rsid w:val="0034568B"/>
    <w:rsid w:val="003546BF"/>
    <w:rsid w:val="00357C18"/>
    <w:rsid w:val="00360B15"/>
    <w:rsid w:val="0036401C"/>
    <w:rsid w:val="00364E20"/>
    <w:rsid w:val="003667AE"/>
    <w:rsid w:val="0037016A"/>
    <w:rsid w:val="00370EC4"/>
    <w:rsid w:val="003723A3"/>
    <w:rsid w:val="00372FE1"/>
    <w:rsid w:val="00374BAF"/>
    <w:rsid w:val="0037534F"/>
    <w:rsid w:val="003753BF"/>
    <w:rsid w:val="0037662D"/>
    <w:rsid w:val="003815CD"/>
    <w:rsid w:val="00385742"/>
    <w:rsid w:val="00385FE5"/>
    <w:rsid w:val="003861B1"/>
    <w:rsid w:val="003868F0"/>
    <w:rsid w:val="00387E42"/>
    <w:rsid w:val="003920EF"/>
    <w:rsid w:val="00392C6B"/>
    <w:rsid w:val="00394535"/>
    <w:rsid w:val="00395B54"/>
    <w:rsid w:val="00395C2C"/>
    <w:rsid w:val="00396C15"/>
    <w:rsid w:val="0039749D"/>
    <w:rsid w:val="00397EA0"/>
    <w:rsid w:val="00397EDD"/>
    <w:rsid w:val="003A01F2"/>
    <w:rsid w:val="003A0E6B"/>
    <w:rsid w:val="003A1B9E"/>
    <w:rsid w:val="003A1CD6"/>
    <w:rsid w:val="003A3437"/>
    <w:rsid w:val="003A3456"/>
    <w:rsid w:val="003A3A45"/>
    <w:rsid w:val="003A5972"/>
    <w:rsid w:val="003A7AED"/>
    <w:rsid w:val="003B06E0"/>
    <w:rsid w:val="003B1236"/>
    <w:rsid w:val="003B2100"/>
    <w:rsid w:val="003B24BC"/>
    <w:rsid w:val="003B31FD"/>
    <w:rsid w:val="003B3721"/>
    <w:rsid w:val="003B4911"/>
    <w:rsid w:val="003B4BF1"/>
    <w:rsid w:val="003B5961"/>
    <w:rsid w:val="003B5BAA"/>
    <w:rsid w:val="003B5C21"/>
    <w:rsid w:val="003B5D19"/>
    <w:rsid w:val="003C037F"/>
    <w:rsid w:val="003C0B9C"/>
    <w:rsid w:val="003C0E77"/>
    <w:rsid w:val="003C2629"/>
    <w:rsid w:val="003C2EBF"/>
    <w:rsid w:val="003C2EF4"/>
    <w:rsid w:val="003C420B"/>
    <w:rsid w:val="003C621C"/>
    <w:rsid w:val="003C6FED"/>
    <w:rsid w:val="003D40ED"/>
    <w:rsid w:val="003D43D8"/>
    <w:rsid w:val="003D4476"/>
    <w:rsid w:val="003D5206"/>
    <w:rsid w:val="003D5D40"/>
    <w:rsid w:val="003D61F8"/>
    <w:rsid w:val="003E0637"/>
    <w:rsid w:val="003E1BD6"/>
    <w:rsid w:val="003E1DBC"/>
    <w:rsid w:val="003E31AE"/>
    <w:rsid w:val="003E3602"/>
    <w:rsid w:val="003E6446"/>
    <w:rsid w:val="003E7327"/>
    <w:rsid w:val="003E7448"/>
    <w:rsid w:val="003F0E70"/>
    <w:rsid w:val="003F33F4"/>
    <w:rsid w:val="003F3B26"/>
    <w:rsid w:val="003F632A"/>
    <w:rsid w:val="00402ACB"/>
    <w:rsid w:val="00402C76"/>
    <w:rsid w:val="00403313"/>
    <w:rsid w:val="00403BDC"/>
    <w:rsid w:val="00404408"/>
    <w:rsid w:val="00404DC6"/>
    <w:rsid w:val="004056B2"/>
    <w:rsid w:val="00406100"/>
    <w:rsid w:val="00410E8F"/>
    <w:rsid w:val="0041197B"/>
    <w:rsid w:val="004138D7"/>
    <w:rsid w:val="00420755"/>
    <w:rsid w:val="00420D51"/>
    <w:rsid w:val="00422076"/>
    <w:rsid w:val="004222A4"/>
    <w:rsid w:val="004238C2"/>
    <w:rsid w:val="004252DF"/>
    <w:rsid w:val="0043029C"/>
    <w:rsid w:val="004327B3"/>
    <w:rsid w:val="00433008"/>
    <w:rsid w:val="00435246"/>
    <w:rsid w:val="004361C5"/>
    <w:rsid w:val="00444871"/>
    <w:rsid w:val="0044517B"/>
    <w:rsid w:val="00445C11"/>
    <w:rsid w:val="00446E47"/>
    <w:rsid w:val="00450193"/>
    <w:rsid w:val="0045032F"/>
    <w:rsid w:val="00450DF5"/>
    <w:rsid w:val="00450E9E"/>
    <w:rsid w:val="00452E02"/>
    <w:rsid w:val="00453961"/>
    <w:rsid w:val="00455009"/>
    <w:rsid w:val="0045723A"/>
    <w:rsid w:val="00457384"/>
    <w:rsid w:val="0045782B"/>
    <w:rsid w:val="0046105F"/>
    <w:rsid w:val="00461E57"/>
    <w:rsid w:val="004620AD"/>
    <w:rsid w:val="00462C06"/>
    <w:rsid w:val="00462EBD"/>
    <w:rsid w:val="004652D5"/>
    <w:rsid w:val="00472163"/>
    <w:rsid w:val="00472772"/>
    <w:rsid w:val="00474113"/>
    <w:rsid w:val="004759B5"/>
    <w:rsid w:val="00476E9B"/>
    <w:rsid w:val="00477BAF"/>
    <w:rsid w:val="00482EFC"/>
    <w:rsid w:val="00484678"/>
    <w:rsid w:val="00484DEE"/>
    <w:rsid w:val="00485EAB"/>
    <w:rsid w:val="00491BB3"/>
    <w:rsid w:val="004934F9"/>
    <w:rsid w:val="00493E8E"/>
    <w:rsid w:val="00494A17"/>
    <w:rsid w:val="004956A3"/>
    <w:rsid w:val="00495B39"/>
    <w:rsid w:val="00496385"/>
    <w:rsid w:val="00497709"/>
    <w:rsid w:val="004A171F"/>
    <w:rsid w:val="004A22F7"/>
    <w:rsid w:val="004A2908"/>
    <w:rsid w:val="004A2A4F"/>
    <w:rsid w:val="004A379A"/>
    <w:rsid w:val="004A40E8"/>
    <w:rsid w:val="004A733F"/>
    <w:rsid w:val="004B0073"/>
    <w:rsid w:val="004B01A5"/>
    <w:rsid w:val="004B1F41"/>
    <w:rsid w:val="004B6CC5"/>
    <w:rsid w:val="004C11DF"/>
    <w:rsid w:val="004C644B"/>
    <w:rsid w:val="004C7DE6"/>
    <w:rsid w:val="004D0022"/>
    <w:rsid w:val="004D11B9"/>
    <w:rsid w:val="004D1EB1"/>
    <w:rsid w:val="004D3755"/>
    <w:rsid w:val="004D396C"/>
    <w:rsid w:val="004D6B34"/>
    <w:rsid w:val="004D7D3E"/>
    <w:rsid w:val="004E53DF"/>
    <w:rsid w:val="004E594E"/>
    <w:rsid w:val="004E5AFC"/>
    <w:rsid w:val="004E7D66"/>
    <w:rsid w:val="004F1F64"/>
    <w:rsid w:val="004F1F79"/>
    <w:rsid w:val="004F51E9"/>
    <w:rsid w:val="004F5A64"/>
    <w:rsid w:val="004F6910"/>
    <w:rsid w:val="0050081F"/>
    <w:rsid w:val="00503CB4"/>
    <w:rsid w:val="00503CC5"/>
    <w:rsid w:val="005045E3"/>
    <w:rsid w:val="0050541C"/>
    <w:rsid w:val="00506758"/>
    <w:rsid w:val="00511CCF"/>
    <w:rsid w:val="00513759"/>
    <w:rsid w:val="00513FDA"/>
    <w:rsid w:val="00514FCC"/>
    <w:rsid w:val="00516896"/>
    <w:rsid w:val="00516E17"/>
    <w:rsid w:val="00517DED"/>
    <w:rsid w:val="0052113E"/>
    <w:rsid w:val="00522A9F"/>
    <w:rsid w:val="00523241"/>
    <w:rsid w:val="00524166"/>
    <w:rsid w:val="005241D0"/>
    <w:rsid w:val="00524627"/>
    <w:rsid w:val="00525CC5"/>
    <w:rsid w:val="00527C2A"/>
    <w:rsid w:val="00530B99"/>
    <w:rsid w:val="0053178D"/>
    <w:rsid w:val="00532F4E"/>
    <w:rsid w:val="00535B7A"/>
    <w:rsid w:val="00535EBA"/>
    <w:rsid w:val="0053697F"/>
    <w:rsid w:val="0054049E"/>
    <w:rsid w:val="00540DEF"/>
    <w:rsid w:val="0054646E"/>
    <w:rsid w:val="005464FE"/>
    <w:rsid w:val="0055499D"/>
    <w:rsid w:val="00554D4C"/>
    <w:rsid w:val="00554F43"/>
    <w:rsid w:val="00555018"/>
    <w:rsid w:val="00555362"/>
    <w:rsid w:val="005554B3"/>
    <w:rsid w:val="00562405"/>
    <w:rsid w:val="0056368C"/>
    <w:rsid w:val="005639E1"/>
    <w:rsid w:val="00564285"/>
    <w:rsid w:val="00565487"/>
    <w:rsid w:val="005703D6"/>
    <w:rsid w:val="005703EE"/>
    <w:rsid w:val="0057063C"/>
    <w:rsid w:val="005711BE"/>
    <w:rsid w:val="005714D2"/>
    <w:rsid w:val="0057255B"/>
    <w:rsid w:val="00572F2E"/>
    <w:rsid w:val="00574DB0"/>
    <w:rsid w:val="00577329"/>
    <w:rsid w:val="005778E8"/>
    <w:rsid w:val="00580723"/>
    <w:rsid w:val="0058159E"/>
    <w:rsid w:val="00582BB6"/>
    <w:rsid w:val="00586475"/>
    <w:rsid w:val="005870D5"/>
    <w:rsid w:val="00587B35"/>
    <w:rsid w:val="00593156"/>
    <w:rsid w:val="00593478"/>
    <w:rsid w:val="0059369D"/>
    <w:rsid w:val="00594F90"/>
    <w:rsid w:val="005958EA"/>
    <w:rsid w:val="005959CC"/>
    <w:rsid w:val="00596259"/>
    <w:rsid w:val="005979B3"/>
    <w:rsid w:val="005A0619"/>
    <w:rsid w:val="005A2885"/>
    <w:rsid w:val="005A5201"/>
    <w:rsid w:val="005A56C1"/>
    <w:rsid w:val="005A62CA"/>
    <w:rsid w:val="005A75EF"/>
    <w:rsid w:val="005A7687"/>
    <w:rsid w:val="005B01B3"/>
    <w:rsid w:val="005B2329"/>
    <w:rsid w:val="005B4DB3"/>
    <w:rsid w:val="005B6A90"/>
    <w:rsid w:val="005C278F"/>
    <w:rsid w:val="005C4628"/>
    <w:rsid w:val="005C6FC1"/>
    <w:rsid w:val="005D09A3"/>
    <w:rsid w:val="005D1DE5"/>
    <w:rsid w:val="005D24AE"/>
    <w:rsid w:val="005D32E6"/>
    <w:rsid w:val="005D3D9E"/>
    <w:rsid w:val="005D3F93"/>
    <w:rsid w:val="005D5605"/>
    <w:rsid w:val="005D5D4C"/>
    <w:rsid w:val="005E1695"/>
    <w:rsid w:val="005E7A4B"/>
    <w:rsid w:val="005E7F51"/>
    <w:rsid w:val="005F3B6F"/>
    <w:rsid w:val="005F40A9"/>
    <w:rsid w:val="005F6D78"/>
    <w:rsid w:val="006000E2"/>
    <w:rsid w:val="006001E6"/>
    <w:rsid w:val="00602051"/>
    <w:rsid w:val="006023CF"/>
    <w:rsid w:val="00606F5E"/>
    <w:rsid w:val="0061036C"/>
    <w:rsid w:val="00611DA0"/>
    <w:rsid w:val="00612687"/>
    <w:rsid w:val="006156BF"/>
    <w:rsid w:val="00620114"/>
    <w:rsid w:val="006205FE"/>
    <w:rsid w:val="00623A81"/>
    <w:rsid w:val="00625239"/>
    <w:rsid w:val="006302B5"/>
    <w:rsid w:val="0063107F"/>
    <w:rsid w:val="006312E7"/>
    <w:rsid w:val="0063154E"/>
    <w:rsid w:val="00631D2B"/>
    <w:rsid w:val="00632F00"/>
    <w:rsid w:val="006359BD"/>
    <w:rsid w:val="00640699"/>
    <w:rsid w:val="006411C6"/>
    <w:rsid w:val="00642A87"/>
    <w:rsid w:val="00642C03"/>
    <w:rsid w:val="00642D24"/>
    <w:rsid w:val="00642D88"/>
    <w:rsid w:val="00643996"/>
    <w:rsid w:val="00646E7B"/>
    <w:rsid w:val="00651D30"/>
    <w:rsid w:val="006540B0"/>
    <w:rsid w:val="00656C85"/>
    <w:rsid w:val="00657E91"/>
    <w:rsid w:val="00660EBC"/>
    <w:rsid w:val="00660F61"/>
    <w:rsid w:val="00664E69"/>
    <w:rsid w:val="00665E66"/>
    <w:rsid w:val="00670337"/>
    <w:rsid w:val="006711D0"/>
    <w:rsid w:val="00671615"/>
    <w:rsid w:val="00672D4B"/>
    <w:rsid w:val="00673291"/>
    <w:rsid w:val="006743C8"/>
    <w:rsid w:val="00674DA2"/>
    <w:rsid w:val="0067672B"/>
    <w:rsid w:val="00676829"/>
    <w:rsid w:val="00677109"/>
    <w:rsid w:val="00681427"/>
    <w:rsid w:val="00681D49"/>
    <w:rsid w:val="00682227"/>
    <w:rsid w:val="00682C3D"/>
    <w:rsid w:val="00690095"/>
    <w:rsid w:val="0069275D"/>
    <w:rsid w:val="00692D89"/>
    <w:rsid w:val="00693D43"/>
    <w:rsid w:val="00694BDE"/>
    <w:rsid w:val="00694CE2"/>
    <w:rsid w:val="0069516C"/>
    <w:rsid w:val="0069656F"/>
    <w:rsid w:val="00697A08"/>
    <w:rsid w:val="006A1EFE"/>
    <w:rsid w:val="006A20DB"/>
    <w:rsid w:val="006A45A3"/>
    <w:rsid w:val="006A49BC"/>
    <w:rsid w:val="006A4B4B"/>
    <w:rsid w:val="006A5B48"/>
    <w:rsid w:val="006A60D9"/>
    <w:rsid w:val="006A62FC"/>
    <w:rsid w:val="006A7714"/>
    <w:rsid w:val="006A7FBA"/>
    <w:rsid w:val="006B025F"/>
    <w:rsid w:val="006B3B01"/>
    <w:rsid w:val="006B66DE"/>
    <w:rsid w:val="006C2D6B"/>
    <w:rsid w:val="006C4211"/>
    <w:rsid w:val="006C69B1"/>
    <w:rsid w:val="006C6EA8"/>
    <w:rsid w:val="006D090D"/>
    <w:rsid w:val="006D0E0C"/>
    <w:rsid w:val="006D252E"/>
    <w:rsid w:val="006D2AE1"/>
    <w:rsid w:val="006D37F0"/>
    <w:rsid w:val="006D43F0"/>
    <w:rsid w:val="006D4677"/>
    <w:rsid w:val="006D51E4"/>
    <w:rsid w:val="006D5927"/>
    <w:rsid w:val="006E0977"/>
    <w:rsid w:val="006E132F"/>
    <w:rsid w:val="006E41F5"/>
    <w:rsid w:val="006E53A3"/>
    <w:rsid w:val="006E562B"/>
    <w:rsid w:val="006E6A6F"/>
    <w:rsid w:val="006E6BF8"/>
    <w:rsid w:val="006E7B16"/>
    <w:rsid w:val="006F1C18"/>
    <w:rsid w:val="006F1E57"/>
    <w:rsid w:val="006F2161"/>
    <w:rsid w:val="006F2C52"/>
    <w:rsid w:val="006F321B"/>
    <w:rsid w:val="006F3E07"/>
    <w:rsid w:val="006F4590"/>
    <w:rsid w:val="006F4C0B"/>
    <w:rsid w:val="006F5BA4"/>
    <w:rsid w:val="006F6436"/>
    <w:rsid w:val="006F7479"/>
    <w:rsid w:val="00700F14"/>
    <w:rsid w:val="0070129B"/>
    <w:rsid w:val="007019E2"/>
    <w:rsid w:val="00702982"/>
    <w:rsid w:val="00702F45"/>
    <w:rsid w:val="007059A3"/>
    <w:rsid w:val="00705A2C"/>
    <w:rsid w:val="00705A65"/>
    <w:rsid w:val="0070656C"/>
    <w:rsid w:val="00710303"/>
    <w:rsid w:val="00710430"/>
    <w:rsid w:val="0071111A"/>
    <w:rsid w:val="00712A8E"/>
    <w:rsid w:val="00713140"/>
    <w:rsid w:val="00714A27"/>
    <w:rsid w:val="00714B3F"/>
    <w:rsid w:val="00716A93"/>
    <w:rsid w:val="00720186"/>
    <w:rsid w:val="00722614"/>
    <w:rsid w:val="0072347F"/>
    <w:rsid w:val="00726904"/>
    <w:rsid w:val="00726B3F"/>
    <w:rsid w:val="007277DB"/>
    <w:rsid w:val="0073018E"/>
    <w:rsid w:val="007315E5"/>
    <w:rsid w:val="00731D7B"/>
    <w:rsid w:val="00732103"/>
    <w:rsid w:val="0073421F"/>
    <w:rsid w:val="00734962"/>
    <w:rsid w:val="007349F0"/>
    <w:rsid w:val="0073708C"/>
    <w:rsid w:val="00737529"/>
    <w:rsid w:val="00744CF4"/>
    <w:rsid w:val="007453A0"/>
    <w:rsid w:val="00745B10"/>
    <w:rsid w:val="007464E3"/>
    <w:rsid w:val="00747374"/>
    <w:rsid w:val="00752543"/>
    <w:rsid w:val="00757533"/>
    <w:rsid w:val="007579A3"/>
    <w:rsid w:val="0076087B"/>
    <w:rsid w:val="00760AFC"/>
    <w:rsid w:val="007619C6"/>
    <w:rsid w:val="00761C2B"/>
    <w:rsid w:val="007704E5"/>
    <w:rsid w:val="00770C01"/>
    <w:rsid w:val="00770F59"/>
    <w:rsid w:val="00771D71"/>
    <w:rsid w:val="00772195"/>
    <w:rsid w:val="007751E2"/>
    <w:rsid w:val="007754B3"/>
    <w:rsid w:val="00777544"/>
    <w:rsid w:val="00781945"/>
    <w:rsid w:val="00781D03"/>
    <w:rsid w:val="00784916"/>
    <w:rsid w:val="007858FD"/>
    <w:rsid w:val="007874B5"/>
    <w:rsid w:val="00787613"/>
    <w:rsid w:val="00790828"/>
    <w:rsid w:val="0079093C"/>
    <w:rsid w:val="00791122"/>
    <w:rsid w:val="00792169"/>
    <w:rsid w:val="00794E9B"/>
    <w:rsid w:val="00795B15"/>
    <w:rsid w:val="007975AC"/>
    <w:rsid w:val="00797DFA"/>
    <w:rsid w:val="007A088D"/>
    <w:rsid w:val="007A44BD"/>
    <w:rsid w:val="007A5CAC"/>
    <w:rsid w:val="007A72F6"/>
    <w:rsid w:val="007A78C8"/>
    <w:rsid w:val="007B06B3"/>
    <w:rsid w:val="007B1E9D"/>
    <w:rsid w:val="007B24D9"/>
    <w:rsid w:val="007B4037"/>
    <w:rsid w:val="007B5092"/>
    <w:rsid w:val="007B5B1C"/>
    <w:rsid w:val="007B696A"/>
    <w:rsid w:val="007B6ECB"/>
    <w:rsid w:val="007C015C"/>
    <w:rsid w:val="007C09AB"/>
    <w:rsid w:val="007C0E97"/>
    <w:rsid w:val="007C0FF2"/>
    <w:rsid w:val="007C61F6"/>
    <w:rsid w:val="007D0ABA"/>
    <w:rsid w:val="007D3DF9"/>
    <w:rsid w:val="007D5845"/>
    <w:rsid w:val="007D64AD"/>
    <w:rsid w:val="007D67BA"/>
    <w:rsid w:val="007D7A5A"/>
    <w:rsid w:val="007E1951"/>
    <w:rsid w:val="007E341C"/>
    <w:rsid w:val="007E41F2"/>
    <w:rsid w:val="007E4DDA"/>
    <w:rsid w:val="007E6179"/>
    <w:rsid w:val="007F1A74"/>
    <w:rsid w:val="007F24B8"/>
    <w:rsid w:val="007F2E91"/>
    <w:rsid w:val="007F3ABF"/>
    <w:rsid w:val="007F66A0"/>
    <w:rsid w:val="0080303F"/>
    <w:rsid w:val="0080444B"/>
    <w:rsid w:val="00805889"/>
    <w:rsid w:val="00805F91"/>
    <w:rsid w:val="00810F54"/>
    <w:rsid w:val="00811FD0"/>
    <w:rsid w:val="008122BD"/>
    <w:rsid w:val="00813C15"/>
    <w:rsid w:val="008141E9"/>
    <w:rsid w:val="00816155"/>
    <w:rsid w:val="0081697A"/>
    <w:rsid w:val="00817468"/>
    <w:rsid w:val="0082150A"/>
    <w:rsid w:val="00824168"/>
    <w:rsid w:val="00824EC0"/>
    <w:rsid w:val="00826396"/>
    <w:rsid w:val="0082773C"/>
    <w:rsid w:val="00833CE1"/>
    <w:rsid w:val="00834EBC"/>
    <w:rsid w:val="00836E93"/>
    <w:rsid w:val="00840854"/>
    <w:rsid w:val="00841294"/>
    <w:rsid w:val="00843670"/>
    <w:rsid w:val="00843FBB"/>
    <w:rsid w:val="008444E7"/>
    <w:rsid w:val="00846028"/>
    <w:rsid w:val="00847138"/>
    <w:rsid w:val="00847420"/>
    <w:rsid w:val="00850E6C"/>
    <w:rsid w:val="00853DAA"/>
    <w:rsid w:val="00856618"/>
    <w:rsid w:val="008568A1"/>
    <w:rsid w:val="00860687"/>
    <w:rsid w:val="00860822"/>
    <w:rsid w:val="008614A7"/>
    <w:rsid w:val="008627E3"/>
    <w:rsid w:val="00862D99"/>
    <w:rsid w:val="00864115"/>
    <w:rsid w:val="0086532E"/>
    <w:rsid w:val="008653A8"/>
    <w:rsid w:val="00866D6E"/>
    <w:rsid w:val="00867219"/>
    <w:rsid w:val="00871308"/>
    <w:rsid w:val="00873380"/>
    <w:rsid w:val="00874039"/>
    <w:rsid w:val="0087441E"/>
    <w:rsid w:val="00882382"/>
    <w:rsid w:val="0088319F"/>
    <w:rsid w:val="00886237"/>
    <w:rsid w:val="00886952"/>
    <w:rsid w:val="00891675"/>
    <w:rsid w:val="00891AC3"/>
    <w:rsid w:val="008920C4"/>
    <w:rsid w:val="00894AEA"/>
    <w:rsid w:val="00894F02"/>
    <w:rsid w:val="0089508D"/>
    <w:rsid w:val="00897369"/>
    <w:rsid w:val="008A0385"/>
    <w:rsid w:val="008A07DF"/>
    <w:rsid w:val="008A3BDB"/>
    <w:rsid w:val="008A54C4"/>
    <w:rsid w:val="008A5808"/>
    <w:rsid w:val="008A59C6"/>
    <w:rsid w:val="008B1D74"/>
    <w:rsid w:val="008B2A71"/>
    <w:rsid w:val="008B346B"/>
    <w:rsid w:val="008B41B2"/>
    <w:rsid w:val="008B4AE2"/>
    <w:rsid w:val="008B680A"/>
    <w:rsid w:val="008B765A"/>
    <w:rsid w:val="008B790A"/>
    <w:rsid w:val="008C08DD"/>
    <w:rsid w:val="008C20CE"/>
    <w:rsid w:val="008C28D9"/>
    <w:rsid w:val="008C2EE6"/>
    <w:rsid w:val="008C2FE3"/>
    <w:rsid w:val="008C750E"/>
    <w:rsid w:val="008D0916"/>
    <w:rsid w:val="008D1A09"/>
    <w:rsid w:val="008D203D"/>
    <w:rsid w:val="008D2F66"/>
    <w:rsid w:val="008D393E"/>
    <w:rsid w:val="008D4D05"/>
    <w:rsid w:val="008D7E2C"/>
    <w:rsid w:val="008E0B92"/>
    <w:rsid w:val="008E2BE7"/>
    <w:rsid w:val="008E2C02"/>
    <w:rsid w:val="008E54EB"/>
    <w:rsid w:val="008E5D99"/>
    <w:rsid w:val="008E7C6B"/>
    <w:rsid w:val="008F1521"/>
    <w:rsid w:val="008F19B3"/>
    <w:rsid w:val="008F2B20"/>
    <w:rsid w:val="008F39E2"/>
    <w:rsid w:val="008F3B5C"/>
    <w:rsid w:val="008F5904"/>
    <w:rsid w:val="008F71AC"/>
    <w:rsid w:val="008F7CD3"/>
    <w:rsid w:val="00900307"/>
    <w:rsid w:val="00900ADD"/>
    <w:rsid w:val="00904B26"/>
    <w:rsid w:val="009055E5"/>
    <w:rsid w:val="0091030B"/>
    <w:rsid w:val="009123B0"/>
    <w:rsid w:val="009129D8"/>
    <w:rsid w:val="0091336D"/>
    <w:rsid w:val="0091420C"/>
    <w:rsid w:val="009157AB"/>
    <w:rsid w:val="00915DE4"/>
    <w:rsid w:val="009177B9"/>
    <w:rsid w:val="0092260C"/>
    <w:rsid w:val="0092358E"/>
    <w:rsid w:val="009239C3"/>
    <w:rsid w:val="00925A93"/>
    <w:rsid w:val="00925D9E"/>
    <w:rsid w:val="009262C7"/>
    <w:rsid w:val="009311A9"/>
    <w:rsid w:val="0093147D"/>
    <w:rsid w:val="009336BE"/>
    <w:rsid w:val="009358AC"/>
    <w:rsid w:val="00935A84"/>
    <w:rsid w:val="0093678E"/>
    <w:rsid w:val="009408D2"/>
    <w:rsid w:val="00940D23"/>
    <w:rsid w:val="00944358"/>
    <w:rsid w:val="00951DC9"/>
    <w:rsid w:val="00951E06"/>
    <w:rsid w:val="00952559"/>
    <w:rsid w:val="0095449C"/>
    <w:rsid w:val="00954C03"/>
    <w:rsid w:val="00954E2C"/>
    <w:rsid w:val="0095501B"/>
    <w:rsid w:val="009556AF"/>
    <w:rsid w:val="00955AE4"/>
    <w:rsid w:val="00962455"/>
    <w:rsid w:val="00962B04"/>
    <w:rsid w:val="00962F71"/>
    <w:rsid w:val="009630D4"/>
    <w:rsid w:val="00970592"/>
    <w:rsid w:val="00971CE3"/>
    <w:rsid w:val="009727AD"/>
    <w:rsid w:val="00973A32"/>
    <w:rsid w:val="00974068"/>
    <w:rsid w:val="009768E1"/>
    <w:rsid w:val="00981CF0"/>
    <w:rsid w:val="009833A0"/>
    <w:rsid w:val="00983DC2"/>
    <w:rsid w:val="00983F3F"/>
    <w:rsid w:val="009858B0"/>
    <w:rsid w:val="009859D7"/>
    <w:rsid w:val="00985FCA"/>
    <w:rsid w:val="009862B6"/>
    <w:rsid w:val="0098731C"/>
    <w:rsid w:val="00987A88"/>
    <w:rsid w:val="00991E5D"/>
    <w:rsid w:val="00995E1A"/>
    <w:rsid w:val="009A08B3"/>
    <w:rsid w:val="009A3250"/>
    <w:rsid w:val="009A42BC"/>
    <w:rsid w:val="009A5CC8"/>
    <w:rsid w:val="009B0C97"/>
    <w:rsid w:val="009B15FB"/>
    <w:rsid w:val="009B31E5"/>
    <w:rsid w:val="009B3244"/>
    <w:rsid w:val="009B6E57"/>
    <w:rsid w:val="009B6F21"/>
    <w:rsid w:val="009C016B"/>
    <w:rsid w:val="009C11EC"/>
    <w:rsid w:val="009C184A"/>
    <w:rsid w:val="009C23BE"/>
    <w:rsid w:val="009C2547"/>
    <w:rsid w:val="009C5E2C"/>
    <w:rsid w:val="009C6082"/>
    <w:rsid w:val="009C60FD"/>
    <w:rsid w:val="009C715B"/>
    <w:rsid w:val="009D40F3"/>
    <w:rsid w:val="009D4AE5"/>
    <w:rsid w:val="009D514A"/>
    <w:rsid w:val="009D5A2F"/>
    <w:rsid w:val="009D5ACB"/>
    <w:rsid w:val="009D70DA"/>
    <w:rsid w:val="009E4CAD"/>
    <w:rsid w:val="009E6759"/>
    <w:rsid w:val="009E6943"/>
    <w:rsid w:val="009E6C52"/>
    <w:rsid w:val="009E7452"/>
    <w:rsid w:val="009F51CD"/>
    <w:rsid w:val="009F5892"/>
    <w:rsid w:val="009F6105"/>
    <w:rsid w:val="009F7170"/>
    <w:rsid w:val="009F77A7"/>
    <w:rsid w:val="009F7875"/>
    <w:rsid w:val="00A00BE3"/>
    <w:rsid w:val="00A02721"/>
    <w:rsid w:val="00A0313B"/>
    <w:rsid w:val="00A06F01"/>
    <w:rsid w:val="00A07070"/>
    <w:rsid w:val="00A07A8B"/>
    <w:rsid w:val="00A103FD"/>
    <w:rsid w:val="00A13032"/>
    <w:rsid w:val="00A14A61"/>
    <w:rsid w:val="00A204B5"/>
    <w:rsid w:val="00A219A1"/>
    <w:rsid w:val="00A24C4A"/>
    <w:rsid w:val="00A27C03"/>
    <w:rsid w:val="00A30227"/>
    <w:rsid w:val="00A30C3D"/>
    <w:rsid w:val="00A30D0E"/>
    <w:rsid w:val="00A322D9"/>
    <w:rsid w:val="00A326AF"/>
    <w:rsid w:val="00A32B84"/>
    <w:rsid w:val="00A44919"/>
    <w:rsid w:val="00A4493F"/>
    <w:rsid w:val="00A4553B"/>
    <w:rsid w:val="00A503DB"/>
    <w:rsid w:val="00A514F4"/>
    <w:rsid w:val="00A53447"/>
    <w:rsid w:val="00A549E2"/>
    <w:rsid w:val="00A54D86"/>
    <w:rsid w:val="00A560B2"/>
    <w:rsid w:val="00A573EE"/>
    <w:rsid w:val="00A57DA7"/>
    <w:rsid w:val="00A6008E"/>
    <w:rsid w:val="00A61862"/>
    <w:rsid w:val="00A619C7"/>
    <w:rsid w:val="00A626A4"/>
    <w:rsid w:val="00A631F3"/>
    <w:rsid w:val="00A633BC"/>
    <w:rsid w:val="00A65BFE"/>
    <w:rsid w:val="00A72010"/>
    <w:rsid w:val="00A720BA"/>
    <w:rsid w:val="00A72F04"/>
    <w:rsid w:val="00A734F6"/>
    <w:rsid w:val="00A77D36"/>
    <w:rsid w:val="00A809F9"/>
    <w:rsid w:val="00A81BEF"/>
    <w:rsid w:val="00A81C39"/>
    <w:rsid w:val="00A8257C"/>
    <w:rsid w:val="00A82705"/>
    <w:rsid w:val="00A841E0"/>
    <w:rsid w:val="00A85DA1"/>
    <w:rsid w:val="00A914FC"/>
    <w:rsid w:val="00A9392E"/>
    <w:rsid w:val="00A93EB0"/>
    <w:rsid w:val="00A94D64"/>
    <w:rsid w:val="00A957CF"/>
    <w:rsid w:val="00A9635B"/>
    <w:rsid w:val="00A96E0A"/>
    <w:rsid w:val="00AA0C36"/>
    <w:rsid w:val="00AA34E4"/>
    <w:rsid w:val="00AA494E"/>
    <w:rsid w:val="00AA53D2"/>
    <w:rsid w:val="00AA57D9"/>
    <w:rsid w:val="00AA612E"/>
    <w:rsid w:val="00AB15CB"/>
    <w:rsid w:val="00AB620F"/>
    <w:rsid w:val="00AB6E4F"/>
    <w:rsid w:val="00AC0867"/>
    <w:rsid w:val="00AC348C"/>
    <w:rsid w:val="00AC3730"/>
    <w:rsid w:val="00AC37B3"/>
    <w:rsid w:val="00AC3D88"/>
    <w:rsid w:val="00AC664C"/>
    <w:rsid w:val="00AC7C3C"/>
    <w:rsid w:val="00AD1E4D"/>
    <w:rsid w:val="00AD1F47"/>
    <w:rsid w:val="00AD220B"/>
    <w:rsid w:val="00AD24EE"/>
    <w:rsid w:val="00AD3813"/>
    <w:rsid w:val="00AD4C4F"/>
    <w:rsid w:val="00AD5E49"/>
    <w:rsid w:val="00AD623C"/>
    <w:rsid w:val="00AE6CB4"/>
    <w:rsid w:val="00AF052F"/>
    <w:rsid w:val="00AF2B51"/>
    <w:rsid w:val="00AF38B9"/>
    <w:rsid w:val="00AF3DD7"/>
    <w:rsid w:val="00AF3F1A"/>
    <w:rsid w:val="00AF484F"/>
    <w:rsid w:val="00B0034C"/>
    <w:rsid w:val="00B00FF2"/>
    <w:rsid w:val="00B02DF3"/>
    <w:rsid w:val="00B061AA"/>
    <w:rsid w:val="00B11840"/>
    <w:rsid w:val="00B15DC0"/>
    <w:rsid w:val="00B17EAF"/>
    <w:rsid w:val="00B20208"/>
    <w:rsid w:val="00B21B03"/>
    <w:rsid w:val="00B21C1E"/>
    <w:rsid w:val="00B21E0A"/>
    <w:rsid w:val="00B23045"/>
    <w:rsid w:val="00B2504F"/>
    <w:rsid w:val="00B2553D"/>
    <w:rsid w:val="00B256C2"/>
    <w:rsid w:val="00B26B41"/>
    <w:rsid w:val="00B31C91"/>
    <w:rsid w:val="00B32377"/>
    <w:rsid w:val="00B35340"/>
    <w:rsid w:val="00B35AC6"/>
    <w:rsid w:val="00B36FFC"/>
    <w:rsid w:val="00B420E5"/>
    <w:rsid w:val="00B43F48"/>
    <w:rsid w:val="00B44366"/>
    <w:rsid w:val="00B44CE2"/>
    <w:rsid w:val="00B44D03"/>
    <w:rsid w:val="00B451F3"/>
    <w:rsid w:val="00B46934"/>
    <w:rsid w:val="00B469AC"/>
    <w:rsid w:val="00B50D38"/>
    <w:rsid w:val="00B5493F"/>
    <w:rsid w:val="00B567AB"/>
    <w:rsid w:val="00B56FFD"/>
    <w:rsid w:val="00B61911"/>
    <w:rsid w:val="00B61BE9"/>
    <w:rsid w:val="00B624E3"/>
    <w:rsid w:val="00B636E4"/>
    <w:rsid w:val="00B6456C"/>
    <w:rsid w:val="00B64AC9"/>
    <w:rsid w:val="00B6773D"/>
    <w:rsid w:val="00B67CF8"/>
    <w:rsid w:val="00B700F4"/>
    <w:rsid w:val="00B7144B"/>
    <w:rsid w:val="00B7507C"/>
    <w:rsid w:val="00B819C3"/>
    <w:rsid w:val="00B81CCF"/>
    <w:rsid w:val="00B8215F"/>
    <w:rsid w:val="00B82428"/>
    <w:rsid w:val="00B83303"/>
    <w:rsid w:val="00B84C5B"/>
    <w:rsid w:val="00B8642C"/>
    <w:rsid w:val="00B878C5"/>
    <w:rsid w:val="00B904E4"/>
    <w:rsid w:val="00B94972"/>
    <w:rsid w:val="00B95198"/>
    <w:rsid w:val="00B9643D"/>
    <w:rsid w:val="00BA0832"/>
    <w:rsid w:val="00BA22EF"/>
    <w:rsid w:val="00BA252F"/>
    <w:rsid w:val="00BA285C"/>
    <w:rsid w:val="00BA4AE0"/>
    <w:rsid w:val="00BA56F7"/>
    <w:rsid w:val="00BA67BA"/>
    <w:rsid w:val="00BA6A0D"/>
    <w:rsid w:val="00BA76C2"/>
    <w:rsid w:val="00BB4629"/>
    <w:rsid w:val="00BB4C29"/>
    <w:rsid w:val="00BB63B0"/>
    <w:rsid w:val="00BB6430"/>
    <w:rsid w:val="00BC2D49"/>
    <w:rsid w:val="00BC3E90"/>
    <w:rsid w:val="00BC519C"/>
    <w:rsid w:val="00BC6800"/>
    <w:rsid w:val="00BC7388"/>
    <w:rsid w:val="00BC793B"/>
    <w:rsid w:val="00BC7E4F"/>
    <w:rsid w:val="00BD07CE"/>
    <w:rsid w:val="00BD2CCC"/>
    <w:rsid w:val="00BD3189"/>
    <w:rsid w:val="00BD31CE"/>
    <w:rsid w:val="00BD40C6"/>
    <w:rsid w:val="00BD6D43"/>
    <w:rsid w:val="00BD6EC3"/>
    <w:rsid w:val="00BD7C8A"/>
    <w:rsid w:val="00BE57AC"/>
    <w:rsid w:val="00BE6300"/>
    <w:rsid w:val="00BE6E79"/>
    <w:rsid w:val="00BF1F22"/>
    <w:rsid w:val="00BF4B07"/>
    <w:rsid w:val="00BF5183"/>
    <w:rsid w:val="00BF5312"/>
    <w:rsid w:val="00BF7373"/>
    <w:rsid w:val="00BF7844"/>
    <w:rsid w:val="00C00DAC"/>
    <w:rsid w:val="00C050C2"/>
    <w:rsid w:val="00C06332"/>
    <w:rsid w:val="00C0729F"/>
    <w:rsid w:val="00C115EC"/>
    <w:rsid w:val="00C1180F"/>
    <w:rsid w:val="00C118CA"/>
    <w:rsid w:val="00C135E2"/>
    <w:rsid w:val="00C16BBC"/>
    <w:rsid w:val="00C16C42"/>
    <w:rsid w:val="00C174F9"/>
    <w:rsid w:val="00C214EB"/>
    <w:rsid w:val="00C21621"/>
    <w:rsid w:val="00C21CCD"/>
    <w:rsid w:val="00C21FEB"/>
    <w:rsid w:val="00C23BFD"/>
    <w:rsid w:val="00C241ED"/>
    <w:rsid w:val="00C246A2"/>
    <w:rsid w:val="00C2516D"/>
    <w:rsid w:val="00C26917"/>
    <w:rsid w:val="00C2714A"/>
    <w:rsid w:val="00C27446"/>
    <w:rsid w:val="00C27BCB"/>
    <w:rsid w:val="00C30D1B"/>
    <w:rsid w:val="00C31151"/>
    <w:rsid w:val="00C324E2"/>
    <w:rsid w:val="00C34FEE"/>
    <w:rsid w:val="00C3549A"/>
    <w:rsid w:val="00C35C49"/>
    <w:rsid w:val="00C36440"/>
    <w:rsid w:val="00C37DE0"/>
    <w:rsid w:val="00C40205"/>
    <w:rsid w:val="00C409F0"/>
    <w:rsid w:val="00C41678"/>
    <w:rsid w:val="00C421E5"/>
    <w:rsid w:val="00C43756"/>
    <w:rsid w:val="00C46748"/>
    <w:rsid w:val="00C46934"/>
    <w:rsid w:val="00C47CBE"/>
    <w:rsid w:val="00C5307E"/>
    <w:rsid w:val="00C532FD"/>
    <w:rsid w:val="00C60852"/>
    <w:rsid w:val="00C6313F"/>
    <w:rsid w:val="00C634FA"/>
    <w:rsid w:val="00C649B7"/>
    <w:rsid w:val="00C64D03"/>
    <w:rsid w:val="00C64E44"/>
    <w:rsid w:val="00C6517F"/>
    <w:rsid w:val="00C660F0"/>
    <w:rsid w:val="00C66BB4"/>
    <w:rsid w:val="00C67938"/>
    <w:rsid w:val="00C67E13"/>
    <w:rsid w:val="00C67F7E"/>
    <w:rsid w:val="00C7024A"/>
    <w:rsid w:val="00C7081F"/>
    <w:rsid w:val="00C71250"/>
    <w:rsid w:val="00C71782"/>
    <w:rsid w:val="00C717FD"/>
    <w:rsid w:val="00C74354"/>
    <w:rsid w:val="00C75109"/>
    <w:rsid w:val="00C755FA"/>
    <w:rsid w:val="00C76B6E"/>
    <w:rsid w:val="00C76D48"/>
    <w:rsid w:val="00C812EF"/>
    <w:rsid w:val="00C819E3"/>
    <w:rsid w:val="00C83188"/>
    <w:rsid w:val="00C83768"/>
    <w:rsid w:val="00C83CD4"/>
    <w:rsid w:val="00C8569E"/>
    <w:rsid w:val="00C94484"/>
    <w:rsid w:val="00CA0AD2"/>
    <w:rsid w:val="00CA2D3D"/>
    <w:rsid w:val="00CA4544"/>
    <w:rsid w:val="00CA4953"/>
    <w:rsid w:val="00CA4B1D"/>
    <w:rsid w:val="00CA4E31"/>
    <w:rsid w:val="00CA606A"/>
    <w:rsid w:val="00CA6268"/>
    <w:rsid w:val="00CA6670"/>
    <w:rsid w:val="00CA68B9"/>
    <w:rsid w:val="00CA69DA"/>
    <w:rsid w:val="00CA73A7"/>
    <w:rsid w:val="00CB02DC"/>
    <w:rsid w:val="00CB18AA"/>
    <w:rsid w:val="00CB1A02"/>
    <w:rsid w:val="00CB1B9F"/>
    <w:rsid w:val="00CB346C"/>
    <w:rsid w:val="00CB3782"/>
    <w:rsid w:val="00CB3D3B"/>
    <w:rsid w:val="00CB3ED3"/>
    <w:rsid w:val="00CB4660"/>
    <w:rsid w:val="00CB5CA6"/>
    <w:rsid w:val="00CB7642"/>
    <w:rsid w:val="00CC425A"/>
    <w:rsid w:val="00CC66CF"/>
    <w:rsid w:val="00CD11CD"/>
    <w:rsid w:val="00CD2111"/>
    <w:rsid w:val="00CD21AD"/>
    <w:rsid w:val="00CD5A4C"/>
    <w:rsid w:val="00CD6733"/>
    <w:rsid w:val="00CD67B3"/>
    <w:rsid w:val="00CD70E7"/>
    <w:rsid w:val="00CD7244"/>
    <w:rsid w:val="00CD7559"/>
    <w:rsid w:val="00CE073D"/>
    <w:rsid w:val="00CE1266"/>
    <w:rsid w:val="00CE1344"/>
    <w:rsid w:val="00CE14F7"/>
    <w:rsid w:val="00CE3E4D"/>
    <w:rsid w:val="00CE5E98"/>
    <w:rsid w:val="00CE65C1"/>
    <w:rsid w:val="00CE682E"/>
    <w:rsid w:val="00CE6BA6"/>
    <w:rsid w:val="00CE7CC3"/>
    <w:rsid w:val="00CF0D95"/>
    <w:rsid w:val="00CF1342"/>
    <w:rsid w:val="00CF1877"/>
    <w:rsid w:val="00CF1F57"/>
    <w:rsid w:val="00CF25B9"/>
    <w:rsid w:val="00CF3129"/>
    <w:rsid w:val="00CF5305"/>
    <w:rsid w:val="00CF5789"/>
    <w:rsid w:val="00CF6266"/>
    <w:rsid w:val="00D001F0"/>
    <w:rsid w:val="00D011D8"/>
    <w:rsid w:val="00D030B3"/>
    <w:rsid w:val="00D04F76"/>
    <w:rsid w:val="00D05E2A"/>
    <w:rsid w:val="00D0623F"/>
    <w:rsid w:val="00D10600"/>
    <w:rsid w:val="00D1225A"/>
    <w:rsid w:val="00D14E03"/>
    <w:rsid w:val="00D15368"/>
    <w:rsid w:val="00D15856"/>
    <w:rsid w:val="00D169A3"/>
    <w:rsid w:val="00D2021C"/>
    <w:rsid w:val="00D20BB4"/>
    <w:rsid w:val="00D2131E"/>
    <w:rsid w:val="00D214C7"/>
    <w:rsid w:val="00D23D47"/>
    <w:rsid w:val="00D2525D"/>
    <w:rsid w:val="00D263D9"/>
    <w:rsid w:val="00D27568"/>
    <w:rsid w:val="00D30068"/>
    <w:rsid w:val="00D30DC5"/>
    <w:rsid w:val="00D31233"/>
    <w:rsid w:val="00D322AA"/>
    <w:rsid w:val="00D32874"/>
    <w:rsid w:val="00D33831"/>
    <w:rsid w:val="00D34626"/>
    <w:rsid w:val="00D352C6"/>
    <w:rsid w:val="00D355AD"/>
    <w:rsid w:val="00D362C1"/>
    <w:rsid w:val="00D3745A"/>
    <w:rsid w:val="00D40C41"/>
    <w:rsid w:val="00D413EF"/>
    <w:rsid w:val="00D41CEC"/>
    <w:rsid w:val="00D425F8"/>
    <w:rsid w:val="00D462FC"/>
    <w:rsid w:val="00D46560"/>
    <w:rsid w:val="00D46D1E"/>
    <w:rsid w:val="00D47FA5"/>
    <w:rsid w:val="00D52929"/>
    <w:rsid w:val="00D53CEF"/>
    <w:rsid w:val="00D53E3B"/>
    <w:rsid w:val="00D5439A"/>
    <w:rsid w:val="00D55C7A"/>
    <w:rsid w:val="00D56980"/>
    <w:rsid w:val="00D57F4E"/>
    <w:rsid w:val="00D60424"/>
    <w:rsid w:val="00D61549"/>
    <w:rsid w:val="00D6348C"/>
    <w:rsid w:val="00D637B4"/>
    <w:rsid w:val="00D63F27"/>
    <w:rsid w:val="00D65584"/>
    <w:rsid w:val="00D70891"/>
    <w:rsid w:val="00D75CEB"/>
    <w:rsid w:val="00D75DB2"/>
    <w:rsid w:val="00D7677F"/>
    <w:rsid w:val="00D77F82"/>
    <w:rsid w:val="00D801DF"/>
    <w:rsid w:val="00D803A5"/>
    <w:rsid w:val="00D82394"/>
    <w:rsid w:val="00D8374B"/>
    <w:rsid w:val="00D83F78"/>
    <w:rsid w:val="00D84ACB"/>
    <w:rsid w:val="00D86266"/>
    <w:rsid w:val="00D86EF0"/>
    <w:rsid w:val="00D90A45"/>
    <w:rsid w:val="00D92EC6"/>
    <w:rsid w:val="00D93354"/>
    <w:rsid w:val="00D936B8"/>
    <w:rsid w:val="00D9371D"/>
    <w:rsid w:val="00D93736"/>
    <w:rsid w:val="00D94334"/>
    <w:rsid w:val="00D947D4"/>
    <w:rsid w:val="00D960D2"/>
    <w:rsid w:val="00D97CED"/>
    <w:rsid w:val="00D97DF6"/>
    <w:rsid w:val="00DA0E53"/>
    <w:rsid w:val="00DA0EDF"/>
    <w:rsid w:val="00DA2635"/>
    <w:rsid w:val="00DA4576"/>
    <w:rsid w:val="00DA6D02"/>
    <w:rsid w:val="00DA73EC"/>
    <w:rsid w:val="00DB1C3C"/>
    <w:rsid w:val="00DB1F6E"/>
    <w:rsid w:val="00DB296E"/>
    <w:rsid w:val="00DB3C6D"/>
    <w:rsid w:val="00DB3EFB"/>
    <w:rsid w:val="00DB4111"/>
    <w:rsid w:val="00DB4D6F"/>
    <w:rsid w:val="00DB5BF7"/>
    <w:rsid w:val="00DB6179"/>
    <w:rsid w:val="00DB7415"/>
    <w:rsid w:val="00DC183E"/>
    <w:rsid w:val="00DC2098"/>
    <w:rsid w:val="00DC2FC0"/>
    <w:rsid w:val="00DC3927"/>
    <w:rsid w:val="00DC5F2C"/>
    <w:rsid w:val="00DC6304"/>
    <w:rsid w:val="00DC7BB2"/>
    <w:rsid w:val="00DD083F"/>
    <w:rsid w:val="00DD0DFF"/>
    <w:rsid w:val="00DD20F5"/>
    <w:rsid w:val="00DD2D64"/>
    <w:rsid w:val="00DD3BFE"/>
    <w:rsid w:val="00DD7567"/>
    <w:rsid w:val="00DD7661"/>
    <w:rsid w:val="00DD7DCE"/>
    <w:rsid w:val="00DE1965"/>
    <w:rsid w:val="00DE28B6"/>
    <w:rsid w:val="00DE2D61"/>
    <w:rsid w:val="00DE3076"/>
    <w:rsid w:val="00DE31EB"/>
    <w:rsid w:val="00DE57B5"/>
    <w:rsid w:val="00DE6096"/>
    <w:rsid w:val="00DF12B1"/>
    <w:rsid w:val="00DF3718"/>
    <w:rsid w:val="00DF3BCF"/>
    <w:rsid w:val="00DF3F28"/>
    <w:rsid w:val="00DF5969"/>
    <w:rsid w:val="00DF5A72"/>
    <w:rsid w:val="00DF61B4"/>
    <w:rsid w:val="00DF63D0"/>
    <w:rsid w:val="00DF6E05"/>
    <w:rsid w:val="00E00710"/>
    <w:rsid w:val="00E02B6E"/>
    <w:rsid w:val="00E04665"/>
    <w:rsid w:val="00E050EF"/>
    <w:rsid w:val="00E06EB2"/>
    <w:rsid w:val="00E10C65"/>
    <w:rsid w:val="00E12D0E"/>
    <w:rsid w:val="00E1310E"/>
    <w:rsid w:val="00E138AF"/>
    <w:rsid w:val="00E13F53"/>
    <w:rsid w:val="00E151F0"/>
    <w:rsid w:val="00E15CCA"/>
    <w:rsid w:val="00E15D4B"/>
    <w:rsid w:val="00E17358"/>
    <w:rsid w:val="00E1772A"/>
    <w:rsid w:val="00E20895"/>
    <w:rsid w:val="00E20A98"/>
    <w:rsid w:val="00E21410"/>
    <w:rsid w:val="00E21F62"/>
    <w:rsid w:val="00E24776"/>
    <w:rsid w:val="00E25448"/>
    <w:rsid w:val="00E26373"/>
    <w:rsid w:val="00E26400"/>
    <w:rsid w:val="00E27E51"/>
    <w:rsid w:val="00E31A99"/>
    <w:rsid w:val="00E32CC2"/>
    <w:rsid w:val="00E34E8E"/>
    <w:rsid w:val="00E35D6B"/>
    <w:rsid w:val="00E3748C"/>
    <w:rsid w:val="00E40138"/>
    <w:rsid w:val="00E41752"/>
    <w:rsid w:val="00E430D2"/>
    <w:rsid w:val="00E4453A"/>
    <w:rsid w:val="00E44DAE"/>
    <w:rsid w:val="00E45CBE"/>
    <w:rsid w:val="00E46B2D"/>
    <w:rsid w:val="00E470AA"/>
    <w:rsid w:val="00E504AC"/>
    <w:rsid w:val="00E53873"/>
    <w:rsid w:val="00E53E5C"/>
    <w:rsid w:val="00E53EC8"/>
    <w:rsid w:val="00E54527"/>
    <w:rsid w:val="00E54973"/>
    <w:rsid w:val="00E5497C"/>
    <w:rsid w:val="00E54C87"/>
    <w:rsid w:val="00E565BC"/>
    <w:rsid w:val="00E6002E"/>
    <w:rsid w:val="00E6042B"/>
    <w:rsid w:val="00E60A82"/>
    <w:rsid w:val="00E60B54"/>
    <w:rsid w:val="00E60D82"/>
    <w:rsid w:val="00E61C78"/>
    <w:rsid w:val="00E61CEA"/>
    <w:rsid w:val="00E6221F"/>
    <w:rsid w:val="00E65D25"/>
    <w:rsid w:val="00E6701B"/>
    <w:rsid w:val="00E7012B"/>
    <w:rsid w:val="00E73338"/>
    <w:rsid w:val="00E73956"/>
    <w:rsid w:val="00E73C26"/>
    <w:rsid w:val="00E75B73"/>
    <w:rsid w:val="00E77189"/>
    <w:rsid w:val="00E831F9"/>
    <w:rsid w:val="00E85175"/>
    <w:rsid w:val="00E85470"/>
    <w:rsid w:val="00E86801"/>
    <w:rsid w:val="00E90180"/>
    <w:rsid w:val="00E91B15"/>
    <w:rsid w:val="00E92D5A"/>
    <w:rsid w:val="00E9790A"/>
    <w:rsid w:val="00E97B5A"/>
    <w:rsid w:val="00EA1905"/>
    <w:rsid w:val="00EA4465"/>
    <w:rsid w:val="00EA4F44"/>
    <w:rsid w:val="00EA65FB"/>
    <w:rsid w:val="00EA7251"/>
    <w:rsid w:val="00EB0315"/>
    <w:rsid w:val="00EB25B2"/>
    <w:rsid w:val="00EB3482"/>
    <w:rsid w:val="00EB462D"/>
    <w:rsid w:val="00EB4844"/>
    <w:rsid w:val="00EB7ABE"/>
    <w:rsid w:val="00EC0316"/>
    <w:rsid w:val="00EC052E"/>
    <w:rsid w:val="00EC09D8"/>
    <w:rsid w:val="00EC0F76"/>
    <w:rsid w:val="00EC1BCE"/>
    <w:rsid w:val="00EC2199"/>
    <w:rsid w:val="00EC29BE"/>
    <w:rsid w:val="00EC3BF6"/>
    <w:rsid w:val="00EC4ECB"/>
    <w:rsid w:val="00EC5911"/>
    <w:rsid w:val="00EC59D2"/>
    <w:rsid w:val="00EC6AEA"/>
    <w:rsid w:val="00ED06BA"/>
    <w:rsid w:val="00ED22C7"/>
    <w:rsid w:val="00ED2A86"/>
    <w:rsid w:val="00ED3B34"/>
    <w:rsid w:val="00ED429D"/>
    <w:rsid w:val="00ED6019"/>
    <w:rsid w:val="00ED7711"/>
    <w:rsid w:val="00ED7B37"/>
    <w:rsid w:val="00EE2FEB"/>
    <w:rsid w:val="00EE42F3"/>
    <w:rsid w:val="00EE47BA"/>
    <w:rsid w:val="00EE54DD"/>
    <w:rsid w:val="00EE5527"/>
    <w:rsid w:val="00EE6881"/>
    <w:rsid w:val="00EE7727"/>
    <w:rsid w:val="00EF01D5"/>
    <w:rsid w:val="00EF0D32"/>
    <w:rsid w:val="00EF2BF9"/>
    <w:rsid w:val="00EF3554"/>
    <w:rsid w:val="00EF43E4"/>
    <w:rsid w:val="00EF4C68"/>
    <w:rsid w:val="00F00E3A"/>
    <w:rsid w:val="00F00E81"/>
    <w:rsid w:val="00F010A8"/>
    <w:rsid w:val="00F017A9"/>
    <w:rsid w:val="00F01FF6"/>
    <w:rsid w:val="00F034CA"/>
    <w:rsid w:val="00F03E0B"/>
    <w:rsid w:val="00F0480A"/>
    <w:rsid w:val="00F04C71"/>
    <w:rsid w:val="00F05FF4"/>
    <w:rsid w:val="00F07391"/>
    <w:rsid w:val="00F0774D"/>
    <w:rsid w:val="00F07991"/>
    <w:rsid w:val="00F14C8F"/>
    <w:rsid w:val="00F15B99"/>
    <w:rsid w:val="00F1647D"/>
    <w:rsid w:val="00F22515"/>
    <w:rsid w:val="00F22B35"/>
    <w:rsid w:val="00F237B9"/>
    <w:rsid w:val="00F25DE3"/>
    <w:rsid w:val="00F300A4"/>
    <w:rsid w:val="00F314AC"/>
    <w:rsid w:val="00F323F4"/>
    <w:rsid w:val="00F33F3D"/>
    <w:rsid w:val="00F3688F"/>
    <w:rsid w:val="00F36B3E"/>
    <w:rsid w:val="00F37C1E"/>
    <w:rsid w:val="00F408E1"/>
    <w:rsid w:val="00F44917"/>
    <w:rsid w:val="00F44F31"/>
    <w:rsid w:val="00F46233"/>
    <w:rsid w:val="00F51BCC"/>
    <w:rsid w:val="00F52015"/>
    <w:rsid w:val="00F529D2"/>
    <w:rsid w:val="00F53473"/>
    <w:rsid w:val="00F546C6"/>
    <w:rsid w:val="00F54ACF"/>
    <w:rsid w:val="00F55A9C"/>
    <w:rsid w:val="00F56A88"/>
    <w:rsid w:val="00F60034"/>
    <w:rsid w:val="00F6035C"/>
    <w:rsid w:val="00F60AB1"/>
    <w:rsid w:val="00F61583"/>
    <w:rsid w:val="00F61CE2"/>
    <w:rsid w:val="00F62008"/>
    <w:rsid w:val="00F6200F"/>
    <w:rsid w:val="00F627DB"/>
    <w:rsid w:val="00F62DC5"/>
    <w:rsid w:val="00F635F0"/>
    <w:rsid w:val="00F642E0"/>
    <w:rsid w:val="00F6490F"/>
    <w:rsid w:val="00F65E70"/>
    <w:rsid w:val="00F6769F"/>
    <w:rsid w:val="00F70BF9"/>
    <w:rsid w:val="00F711D0"/>
    <w:rsid w:val="00F71257"/>
    <w:rsid w:val="00F80093"/>
    <w:rsid w:val="00F8083D"/>
    <w:rsid w:val="00F819D4"/>
    <w:rsid w:val="00F8593B"/>
    <w:rsid w:val="00F8692E"/>
    <w:rsid w:val="00F86952"/>
    <w:rsid w:val="00F870C2"/>
    <w:rsid w:val="00F90D35"/>
    <w:rsid w:val="00F91E5F"/>
    <w:rsid w:val="00F930A1"/>
    <w:rsid w:val="00F952E2"/>
    <w:rsid w:val="00FA0EBC"/>
    <w:rsid w:val="00FA0FD1"/>
    <w:rsid w:val="00FA1C25"/>
    <w:rsid w:val="00FA2B8C"/>
    <w:rsid w:val="00FA32F8"/>
    <w:rsid w:val="00FA3522"/>
    <w:rsid w:val="00FA39CC"/>
    <w:rsid w:val="00FA3B86"/>
    <w:rsid w:val="00FA6A6E"/>
    <w:rsid w:val="00FB0476"/>
    <w:rsid w:val="00FB4135"/>
    <w:rsid w:val="00FB4A31"/>
    <w:rsid w:val="00FB513F"/>
    <w:rsid w:val="00FB5587"/>
    <w:rsid w:val="00FB5F7B"/>
    <w:rsid w:val="00FB7A2C"/>
    <w:rsid w:val="00FC2197"/>
    <w:rsid w:val="00FC222C"/>
    <w:rsid w:val="00FC2FD9"/>
    <w:rsid w:val="00FC330C"/>
    <w:rsid w:val="00FC3DA8"/>
    <w:rsid w:val="00FC4DD3"/>
    <w:rsid w:val="00FC745C"/>
    <w:rsid w:val="00FC7923"/>
    <w:rsid w:val="00FC7E5F"/>
    <w:rsid w:val="00FD2109"/>
    <w:rsid w:val="00FD4E7E"/>
    <w:rsid w:val="00FD4F9F"/>
    <w:rsid w:val="00FD563A"/>
    <w:rsid w:val="00FD6080"/>
    <w:rsid w:val="00FD7572"/>
    <w:rsid w:val="00FE3577"/>
    <w:rsid w:val="00FE3DA3"/>
    <w:rsid w:val="00FE418D"/>
    <w:rsid w:val="00FE5095"/>
    <w:rsid w:val="00FE52DF"/>
    <w:rsid w:val="00FE6817"/>
    <w:rsid w:val="00FF5082"/>
    <w:rsid w:val="00FF6221"/>
    <w:rsid w:val="00FF7188"/>
    <w:rsid w:val="00FF7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51919"/>
  <w15:docId w15:val="{0B77585F-9EB3-4D09-9329-CF7BAACD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5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790828"/>
    <w:pPr>
      <w:keepNext/>
      <w:widowControl w:val="0"/>
      <w:autoSpaceDE w:val="0"/>
      <w:autoSpaceDN w:val="0"/>
      <w:adjustRightInd w:val="0"/>
      <w:spacing w:before="240" w:after="60" w:line="240" w:lineRule="auto"/>
      <w:outlineLvl w:val="3"/>
    </w:pPr>
    <w:rPr>
      <w:rFonts w:ascii="Calibri" w:eastAsia="Times New Roman" w:hAnsi="Calibri"/>
      <w:b/>
      <w:bCs/>
      <w:sz w:val="28"/>
      <w:szCs w:val="28"/>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tyle 39,Char,Char Char Char,Char Char Char Char Char Char,Char Char,Char Char Char Char,webb,Char1, webb,ClientStyle1"/>
    <w:basedOn w:val="Normal"/>
    <w:link w:val="NormalWebChar"/>
    <w:uiPriority w:val="99"/>
    <w:unhideWhenUsed/>
    <w:rsid w:val="00EC6AEA"/>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EC6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AEA"/>
  </w:style>
  <w:style w:type="paragraph" w:styleId="Footer">
    <w:name w:val="footer"/>
    <w:basedOn w:val="Normal"/>
    <w:link w:val="FooterChar"/>
    <w:uiPriority w:val="99"/>
    <w:unhideWhenUsed/>
    <w:rsid w:val="00EC6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AEA"/>
  </w:style>
  <w:style w:type="paragraph" w:customStyle="1" w:styleId="CM22">
    <w:name w:val="CM22"/>
    <w:basedOn w:val="Normal"/>
    <w:next w:val="Normal"/>
    <w:uiPriority w:val="99"/>
    <w:rsid w:val="004138D7"/>
    <w:pPr>
      <w:autoSpaceDE w:val="0"/>
      <w:autoSpaceDN w:val="0"/>
      <w:adjustRightInd w:val="0"/>
      <w:spacing w:after="0" w:line="240" w:lineRule="auto"/>
    </w:pPr>
    <w:rPr>
      <w:sz w:val="24"/>
      <w:szCs w:val="24"/>
    </w:rPr>
  </w:style>
  <w:style w:type="paragraph" w:customStyle="1" w:styleId="CM21">
    <w:name w:val="CM21"/>
    <w:basedOn w:val="Normal"/>
    <w:next w:val="Normal"/>
    <w:uiPriority w:val="99"/>
    <w:rsid w:val="004138D7"/>
    <w:pPr>
      <w:autoSpaceDE w:val="0"/>
      <w:autoSpaceDN w:val="0"/>
      <w:adjustRightInd w:val="0"/>
      <w:spacing w:after="0" w:line="240" w:lineRule="auto"/>
    </w:pPr>
    <w:rPr>
      <w:sz w:val="24"/>
      <w:szCs w:val="24"/>
    </w:rPr>
  </w:style>
  <w:style w:type="paragraph" w:styleId="BodyText">
    <w:name w:val="Body Text"/>
    <w:aliases w:val="bodytext,body text,bt,Indent,single space,Single line,Body Text FLI .5,Body Text Char2 Char Char Char Char Char Char Char Char Char Char Char Char Char Char Char Char Char Char Char,Body Text Char2 Char Char Char Char Char Char C,2,3,BT,1,Bo,a"/>
    <w:basedOn w:val="Normal"/>
    <w:link w:val="BodyTextChar"/>
    <w:uiPriority w:val="99"/>
    <w:rsid w:val="004138D7"/>
    <w:pPr>
      <w:spacing w:before="240" w:after="0" w:line="240" w:lineRule="auto"/>
    </w:pPr>
    <w:rPr>
      <w:rFonts w:eastAsia="Times New Roman"/>
      <w:sz w:val="24"/>
      <w:szCs w:val="24"/>
      <w:lang w:bidi="en-US"/>
    </w:rPr>
  </w:style>
  <w:style w:type="character" w:customStyle="1" w:styleId="BodyTextChar">
    <w:name w:val="Body Text Char"/>
    <w:aliases w:val="bodytext Char,body text Char,bt Char,Indent Char,single space Char,Single line Char,Body Text FLI .5 Char,Body Text Char2 Char Char Char Char Char Char Char Char Char Char Char Char Char Char Char Char Char Char Char Char,2 Char,3 Char"/>
    <w:basedOn w:val="DefaultParagraphFont"/>
    <w:link w:val="BodyText"/>
    <w:uiPriority w:val="99"/>
    <w:rsid w:val="004138D7"/>
    <w:rPr>
      <w:rFonts w:eastAsia="Times New Roman"/>
      <w:sz w:val="24"/>
      <w:szCs w:val="24"/>
      <w:lang w:bidi="en-US"/>
    </w:rPr>
  </w:style>
  <w:style w:type="paragraph" w:styleId="BalloonText">
    <w:name w:val="Balloon Text"/>
    <w:basedOn w:val="Normal"/>
    <w:link w:val="BalloonTextChar"/>
    <w:uiPriority w:val="99"/>
    <w:semiHidden/>
    <w:unhideWhenUsed/>
    <w:rsid w:val="0021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26"/>
    <w:rPr>
      <w:rFonts w:ascii="Tahoma" w:hAnsi="Tahoma" w:cs="Tahoma"/>
      <w:sz w:val="16"/>
      <w:szCs w:val="16"/>
    </w:rPr>
  </w:style>
  <w:style w:type="paragraph" w:styleId="ListParagraph">
    <w:name w:val="List Paragraph"/>
    <w:basedOn w:val="Normal"/>
    <w:link w:val="ListParagraphChar"/>
    <w:uiPriority w:val="34"/>
    <w:qFormat/>
    <w:rsid w:val="00305088"/>
    <w:pPr>
      <w:ind w:left="720"/>
      <w:contextualSpacing/>
    </w:pPr>
  </w:style>
  <w:style w:type="character" w:styleId="Strong">
    <w:name w:val="Strong"/>
    <w:basedOn w:val="DefaultParagraphFont"/>
    <w:uiPriority w:val="22"/>
    <w:qFormat/>
    <w:rsid w:val="005D3F93"/>
    <w:rPr>
      <w:b/>
      <w:bCs/>
    </w:rPr>
  </w:style>
  <w:style w:type="table" w:styleId="TableGrid">
    <w:name w:val="Table Grid"/>
    <w:basedOn w:val="TableNormal"/>
    <w:rsid w:val="0080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444B"/>
    <w:rPr>
      <w:sz w:val="16"/>
      <w:szCs w:val="16"/>
    </w:rPr>
  </w:style>
  <w:style w:type="paragraph" w:styleId="CommentText">
    <w:name w:val="annotation text"/>
    <w:basedOn w:val="Normal"/>
    <w:link w:val="CommentTextChar"/>
    <w:uiPriority w:val="99"/>
    <w:semiHidden/>
    <w:unhideWhenUsed/>
    <w:rsid w:val="0080444B"/>
    <w:pPr>
      <w:spacing w:line="240" w:lineRule="auto"/>
    </w:pPr>
    <w:rPr>
      <w:szCs w:val="20"/>
    </w:rPr>
  </w:style>
  <w:style w:type="character" w:customStyle="1" w:styleId="CommentTextChar">
    <w:name w:val="Comment Text Char"/>
    <w:basedOn w:val="DefaultParagraphFont"/>
    <w:link w:val="CommentText"/>
    <w:uiPriority w:val="99"/>
    <w:semiHidden/>
    <w:rsid w:val="0080444B"/>
    <w:rPr>
      <w:szCs w:val="20"/>
    </w:rPr>
  </w:style>
  <w:style w:type="paragraph" w:styleId="CommentSubject">
    <w:name w:val="annotation subject"/>
    <w:basedOn w:val="CommentText"/>
    <w:next w:val="CommentText"/>
    <w:link w:val="CommentSubjectChar"/>
    <w:uiPriority w:val="99"/>
    <w:semiHidden/>
    <w:unhideWhenUsed/>
    <w:rsid w:val="0080444B"/>
    <w:rPr>
      <w:b/>
      <w:bCs/>
    </w:rPr>
  </w:style>
  <w:style w:type="character" w:customStyle="1" w:styleId="CommentSubjectChar">
    <w:name w:val="Comment Subject Char"/>
    <w:basedOn w:val="CommentTextChar"/>
    <w:link w:val="CommentSubject"/>
    <w:uiPriority w:val="99"/>
    <w:semiHidden/>
    <w:rsid w:val="0080444B"/>
    <w:rPr>
      <w:b/>
      <w:bCs/>
      <w:szCs w:val="20"/>
    </w:rPr>
  </w:style>
  <w:style w:type="character" w:styleId="HTMLCite">
    <w:name w:val="HTML Cite"/>
    <w:basedOn w:val="DefaultParagraphFont"/>
    <w:uiPriority w:val="99"/>
    <w:semiHidden/>
    <w:unhideWhenUsed/>
    <w:rsid w:val="002B6B28"/>
    <w:rPr>
      <w:i/>
      <w:iCs/>
    </w:rPr>
  </w:style>
  <w:style w:type="character" w:customStyle="1" w:styleId="Heading1Char">
    <w:name w:val="Heading 1 Char"/>
    <w:basedOn w:val="DefaultParagraphFont"/>
    <w:link w:val="Heading1"/>
    <w:uiPriority w:val="9"/>
    <w:rsid w:val="00A65BF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53178D"/>
    <w:pPr>
      <w:tabs>
        <w:tab w:val="left" w:pos="851"/>
        <w:tab w:val="left" w:pos="9810"/>
      </w:tabs>
      <w:spacing w:after="100"/>
      <w:ind w:right="-450"/>
    </w:pPr>
  </w:style>
  <w:style w:type="character" w:styleId="Hyperlink">
    <w:name w:val="Hyperlink"/>
    <w:basedOn w:val="DefaultParagraphFont"/>
    <w:uiPriority w:val="99"/>
    <w:unhideWhenUsed/>
    <w:rsid w:val="005C278F"/>
    <w:rPr>
      <w:color w:val="0000FF" w:themeColor="hyperlink"/>
      <w:u w:val="single"/>
    </w:rPr>
  </w:style>
  <w:style w:type="paragraph" w:styleId="Revision">
    <w:name w:val="Revision"/>
    <w:hidden/>
    <w:uiPriority w:val="99"/>
    <w:semiHidden/>
    <w:rsid w:val="007464E3"/>
    <w:pPr>
      <w:spacing w:after="0" w:line="240" w:lineRule="auto"/>
    </w:pPr>
  </w:style>
  <w:style w:type="character" w:customStyle="1" w:styleId="apple-converted-space">
    <w:name w:val="apple-converted-space"/>
    <w:basedOn w:val="DefaultParagraphFont"/>
    <w:rsid w:val="004361C5"/>
  </w:style>
  <w:style w:type="paragraph" w:styleId="BodyTextIndent">
    <w:name w:val="Body Text Indent"/>
    <w:basedOn w:val="Normal"/>
    <w:link w:val="BodyTextIndentChar"/>
    <w:uiPriority w:val="99"/>
    <w:unhideWhenUsed/>
    <w:rsid w:val="00790828"/>
    <w:pPr>
      <w:spacing w:after="120"/>
      <w:ind w:left="283"/>
    </w:pPr>
  </w:style>
  <w:style w:type="character" w:customStyle="1" w:styleId="BodyTextIndentChar">
    <w:name w:val="Body Text Indent Char"/>
    <w:basedOn w:val="DefaultParagraphFont"/>
    <w:link w:val="BodyTextIndent"/>
    <w:uiPriority w:val="99"/>
    <w:rsid w:val="00790828"/>
  </w:style>
  <w:style w:type="paragraph" w:styleId="BodyTextIndent2">
    <w:name w:val="Body Text Indent 2"/>
    <w:basedOn w:val="Normal"/>
    <w:link w:val="BodyTextIndent2Char"/>
    <w:unhideWhenUsed/>
    <w:rsid w:val="00790828"/>
    <w:pPr>
      <w:spacing w:after="120" w:line="480" w:lineRule="auto"/>
      <w:ind w:left="283"/>
    </w:pPr>
  </w:style>
  <w:style w:type="character" w:customStyle="1" w:styleId="BodyTextIndent2Char">
    <w:name w:val="Body Text Indent 2 Char"/>
    <w:basedOn w:val="DefaultParagraphFont"/>
    <w:link w:val="BodyTextIndent2"/>
    <w:rsid w:val="00790828"/>
  </w:style>
  <w:style w:type="character" w:customStyle="1" w:styleId="Heading4Char">
    <w:name w:val="Heading 4 Char"/>
    <w:basedOn w:val="DefaultParagraphFont"/>
    <w:link w:val="Heading4"/>
    <w:uiPriority w:val="9"/>
    <w:rsid w:val="00790828"/>
    <w:rPr>
      <w:rFonts w:ascii="Calibri" w:eastAsia="Times New Roman" w:hAnsi="Calibri"/>
      <w:b/>
      <w:bCs/>
      <w:sz w:val="28"/>
      <w:szCs w:val="28"/>
      <w:lang w:val="en-CA" w:eastAsia="x-none"/>
    </w:rPr>
  </w:style>
  <w:style w:type="character" w:customStyle="1" w:styleId="NormalWebChar">
    <w:name w:val="Normal (Web) Char"/>
    <w:aliases w:val="Style 39 Char,Char Char1,Char Char Char Char1,Char Char Char Char Char Char Char,Char Char Char1,Char Char Char Char Char,webb Char,Char1 Char, webb Char,ClientStyle1 Char"/>
    <w:link w:val="NormalWeb"/>
    <w:uiPriority w:val="99"/>
    <w:rsid w:val="00790828"/>
    <w:rPr>
      <w:rFonts w:eastAsia="Times New Roman"/>
      <w:sz w:val="24"/>
      <w:szCs w:val="24"/>
    </w:rPr>
  </w:style>
  <w:style w:type="paragraph" w:styleId="BodyTextIndent3">
    <w:name w:val="Body Text Indent 3"/>
    <w:basedOn w:val="Normal"/>
    <w:link w:val="BodyTextIndent3Char"/>
    <w:uiPriority w:val="99"/>
    <w:rsid w:val="00790828"/>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before="160" w:after="0" w:line="240" w:lineRule="auto"/>
      <w:ind w:left="792" w:hanging="360"/>
      <w:jc w:val="both"/>
    </w:pPr>
    <w:rPr>
      <w:rFonts w:ascii="Arial" w:eastAsia="Times New Roman" w:hAnsi="Arial"/>
      <w:sz w:val="16"/>
      <w:szCs w:val="16"/>
      <w:lang w:val="x-none"/>
    </w:rPr>
  </w:style>
  <w:style w:type="character" w:customStyle="1" w:styleId="BodyTextIndent3Char">
    <w:name w:val="Body Text Indent 3 Char"/>
    <w:basedOn w:val="DefaultParagraphFont"/>
    <w:link w:val="BodyTextIndent3"/>
    <w:uiPriority w:val="99"/>
    <w:rsid w:val="00790828"/>
    <w:rPr>
      <w:rFonts w:ascii="Arial" w:eastAsia="Times New Roman" w:hAnsi="Arial"/>
      <w:sz w:val="16"/>
      <w:szCs w:val="16"/>
      <w:lang w:val="x-none"/>
    </w:rPr>
  </w:style>
  <w:style w:type="paragraph" w:styleId="BodyText2">
    <w:name w:val="Body Text 2"/>
    <w:basedOn w:val="Normal"/>
    <w:link w:val="BodyText2Char"/>
    <w:uiPriority w:val="99"/>
    <w:rsid w:val="00790828"/>
    <w:pPr>
      <w:widowControl w:val="0"/>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overflowPunct w:val="0"/>
      <w:autoSpaceDE w:val="0"/>
      <w:autoSpaceDN w:val="0"/>
      <w:adjustRightInd w:val="0"/>
      <w:spacing w:before="160" w:after="0" w:line="240" w:lineRule="auto"/>
      <w:ind w:left="432"/>
      <w:jc w:val="both"/>
      <w:textAlignment w:val="baseline"/>
    </w:pPr>
    <w:rPr>
      <w:rFonts w:ascii="Arial" w:eastAsia="Times New Roman" w:hAnsi="Arial"/>
      <w:szCs w:val="24"/>
      <w:lang w:val="x-none"/>
    </w:rPr>
  </w:style>
  <w:style w:type="character" w:customStyle="1" w:styleId="BodyText2Char">
    <w:name w:val="Body Text 2 Char"/>
    <w:basedOn w:val="DefaultParagraphFont"/>
    <w:link w:val="BodyText2"/>
    <w:uiPriority w:val="99"/>
    <w:rsid w:val="00790828"/>
    <w:rPr>
      <w:rFonts w:ascii="Arial" w:eastAsia="Times New Roman" w:hAnsi="Arial"/>
      <w:szCs w:val="24"/>
      <w:lang w:val="x-none"/>
    </w:rPr>
  </w:style>
  <w:style w:type="character" w:customStyle="1" w:styleId="HeadNoteTitle">
    <w:name w:val="Head Note Title"/>
    <w:rsid w:val="00790828"/>
    <w:rPr>
      <w:rFonts w:ascii="Arial" w:hAnsi="Arial"/>
      <w:b/>
      <w:sz w:val="22"/>
    </w:rPr>
  </w:style>
  <w:style w:type="paragraph" w:customStyle="1" w:styleId="Ne3">
    <w:name w:val="Ne3"/>
    <w:basedOn w:val="Normal"/>
    <w:next w:val="Normal"/>
    <w:rsid w:val="00790828"/>
    <w:pPr>
      <w:autoSpaceDE w:val="0"/>
      <w:autoSpaceDN w:val="0"/>
      <w:adjustRightInd w:val="0"/>
      <w:spacing w:before="120" w:after="0" w:line="240" w:lineRule="auto"/>
    </w:pPr>
    <w:rPr>
      <w:rFonts w:ascii="Arial" w:eastAsia="Times New Roman" w:hAnsi="Arial"/>
      <w:szCs w:val="24"/>
      <w:lang w:val="en-CA"/>
    </w:rPr>
  </w:style>
  <w:style w:type="paragraph" w:styleId="ListBullet">
    <w:name w:val="List Bullet"/>
    <w:basedOn w:val="Normal"/>
    <w:autoRedefine/>
    <w:uiPriority w:val="99"/>
    <w:rsid w:val="00790828"/>
    <w:pPr>
      <w:widowControl w:val="0"/>
      <w:numPr>
        <w:numId w:val="10"/>
      </w:numPr>
      <w:autoSpaceDE w:val="0"/>
      <w:autoSpaceDN w:val="0"/>
      <w:adjustRightInd w:val="0"/>
      <w:spacing w:after="0" w:line="240" w:lineRule="auto"/>
    </w:pPr>
    <w:rPr>
      <w:rFonts w:ascii="Arial" w:eastAsia="Times New Roman" w:hAnsi="Arial"/>
      <w:szCs w:val="24"/>
      <w:lang w:val="en-CA"/>
    </w:rPr>
  </w:style>
  <w:style w:type="paragraph" w:styleId="ListBullet2">
    <w:name w:val="List Bullet 2"/>
    <w:basedOn w:val="Normal"/>
    <w:autoRedefine/>
    <w:uiPriority w:val="99"/>
    <w:rsid w:val="00790828"/>
    <w:pPr>
      <w:widowControl w:val="0"/>
      <w:numPr>
        <w:numId w:val="11"/>
      </w:numPr>
      <w:autoSpaceDE w:val="0"/>
      <w:autoSpaceDN w:val="0"/>
      <w:adjustRightInd w:val="0"/>
      <w:spacing w:after="0" w:line="240" w:lineRule="auto"/>
    </w:pPr>
    <w:rPr>
      <w:rFonts w:ascii="Arial" w:eastAsia="Times New Roman" w:hAnsi="Arial"/>
      <w:szCs w:val="24"/>
      <w:lang w:val="en-CA"/>
    </w:rPr>
  </w:style>
  <w:style w:type="paragraph" w:styleId="ListBullet3">
    <w:name w:val="List Bullet 3"/>
    <w:basedOn w:val="Normal"/>
    <w:autoRedefine/>
    <w:uiPriority w:val="99"/>
    <w:rsid w:val="00790828"/>
    <w:pPr>
      <w:widowControl w:val="0"/>
      <w:numPr>
        <w:numId w:val="12"/>
      </w:numPr>
      <w:autoSpaceDE w:val="0"/>
      <w:autoSpaceDN w:val="0"/>
      <w:adjustRightInd w:val="0"/>
      <w:spacing w:after="0" w:line="240" w:lineRule="auto"/>
    </w:pPr>
    <w:rPr>
      <w:rFonts w:ascii="Arial" w:eastAsia="Times New Roman" w:hAnsi="Arial"/>
      <w:szCs w:val="24"/>
      <w:lang w:val="en-CA"/>
    </w:rPr>
  </w:style>
  <w:style w:type="paragraph" w:styleId="ListBullet4">
    <w:name w:val="List Bullet 4"/>
    <w:basedOn w:val="Normal"/>
    <w:autoRedefine/>
    <w:uiPriority w:val="99"/>
    <w:rsid w:val="00790828"/>
    <w:pPr>
      <w:widowControl w:val="0"/>
      <w:numPr>
        <w:numId w:val="13"/>
      </w:numPr>
      <w:autoSpaceDE w:val="0"/>
      <w:autoSpaceDN w:val="0"/>
      <w:adjustRightInd w:val="0"/>
      <w:spacing w:after="0" w:line="240" w:lineRule="auto"/>
    </w:pPr>
    <w:rPr>
      <w:rFonts w:ascii="Arial" w:eastAsia="Times New Roman" w:hAnsi="Arial"/>
      <w:szCs w:val="24"/>
      <w:lang w:val="en-CA"/>
    </w:rPr>
  </w:style>
  <w:style w:type="paragraph" w:styleId="ListBullet5">
    <w:name w:val="List Bullet 5"/>
    <w:basedOn w:val="Normal"/>
    <w:autoRedefine/>
    <w:uiPriority w:val="99"/>
    <w:rsid w:val="00790828"/>
    <w:pPr>
      <w:widowControl w:val="0"/>
      <w:numPr>
        <w:numId w:val="14"/>
      </w:numPr>
      <w:autoSpaceDE w:val="0"/>
      <w:autoSpaceDN w:val="0"/>
      <w:adjustRightInd w:val="0"/>
      <w:spacing w:after="0" w:line="240" w:lineRule="auto"/>
    </w:pPr>
    <w:rPr>
      <w:rFonts w:ascii="Arial" w:eastAsia="Times New Roman" w:hAnsi="Arial"/>
      <w:szCs w:val="24"/>
      <w:lang w:val="en-CA"/>
    </w:rPr>
  </w:style>
  <w:style w:type="paragraph" w:styleId="ListNumber">
    <w:name w:val="List Number"/>
    <w:basedOn w:val="Normal"/>
    <w:uiPriority w:val="99"/>
    <w:rsid w:val="00790828"/>
    <w:pPr>
      <w:widowControl w:val="0"/>
      <w:numPr>
        <w:numId w:val="15"/>
      </w:numPr>
      <w:autoSpaceDE w:val="0"/>
      <w:autoSpaceDN w:val="0"/>
      <w:adjustRightInd w:val="0"/>
      <w:spacing w:after="0" w:line="240" w:lineRule="auto"/>
    </w:pPr>
    <w:rPr>
      <w:rFonts w:ascii="Arial" w:eastAsia="Times New Roman" w:hAnsi="Arial"/>
      <w:szCs w:val="24"/>
      <w:lang w:val="en-CA"/>
    </w:rPr>
  </w:style>
  <w:style w:type="paragraph" w:styleId="ListNumber2">
    <w:name w:val="List Number 2"/>
    <w:basedOn w:val="Normal"/>
    <w:uiPriority w:val="99"/>
    <w:rsid w:val="00790828"/>
    <w:pPr>
      <w:widowControl w:val="0"/>
      <w:numPr>
        <w:numId w:val="16"/>
      </w:numPr>
      <w:autoSpaceDE w:val="0"/>
      <w:autoSpaceDN w:val="0"/>
      <w:adjustRightInd w:val="0"/>
      <w:spacing w:after="0" w:line="240" w:lineRule="auto"/>
    </w:pPr>
    <w:rPr>
      <w:rFonts w:ascii="Arial" w:eastAsia="Times New Roman" w:hAnsi="Arial"/>
      <w:szCs w:val="24"/>
      <w:lang w:val="en-CA"/>
    </w:rPr>
  </w:style>
  <w:style w:type="paragraph" w:styleId="ListNumber3">
    <w:name w:val="List Number 3"/>
    <w:basedOn w:val="Normal"/>
    <w:uiPriority w:val="99"/>
    <w:rsid w:val="00790828"/>
    <w:pPr>
      <w:widowControl w:val="0"/>
      <w:numPr>
        <w:numId w:val="17"/>
      </w:numPr>
      <w:autoSpaceDE w:val="0"/>
      <w:autoSpaceDN w:val="0"/>
      <w:adjustRightInd w:val="0"/>
      <w:spacing w:after="0" w:line="240" w:lineRule="auto"/>
    </w:pPr>
    <w:rPr>
      <w:rFonts w:ascii="Arial" w:eastAsia="Times New Roman" w:hAnsi="Arial"/>
      <w:szCs w:val="24"/>
      <w:lang w:val="en-CA"/>
    </w:rPr>
  </w:style>
  <w:style w:type="paragraph" w:styleId="ListNumber4">
    <w:name w:val="List Number 4"/>
    <w:basedOn w:val="Normal"/>
    <w:uiPriority w:val="99"/>
    <w:rsid w:val="00790828"/>
    <w:pPr>
      <w:widowControl w:val="0"/>
      <w:numPr>
        <w:numId w:val="18"/>
      </w:numPr>
      <w:autoSpaceDE w:val="0"/>
      <w:autoSpaceDN w:val="0"/>
      <w:adjustRightInd w:val="0"/>
      <w:spacing w:after="0" w:line="240" w:lineRule="auto"/>
    </w:pPr>
    <w:rPr>
      <w:rFonts w:ascii="Arial" w:eastAsia="Times New Roman" w:hAnsi="Arial"/>
      <w:szCs w:val="24"/>
      <w:lang w:val="en-CA"/>
    </w:rPr>
  </w:style>
  <w:style w:type="paragraph" w:styleId="ListNumber5">
    <w:name w:val="List Number 5"/>
    <w:basedOn w:val="Normal"/>
    <w:uiPriority w:val="99"/>
    <w:rsid w:val="00790828"/>
    <w:pPr>
      <w:widowControl w:val="0"/>
      <w:numPr>
        <w:numId w:val="19"/>
      </w:numPr>
      <w:autoSpaceDE w:val="0"/>
      <w:autoSpaceDN w:val="0"/>
      <w:adjustRightInd w:val="0"/>
      <w:spacing w:after="0" w:line="240" w:lineRule="auto"/>
    </w:pPr>
    <w:rPr>
      <w:rFonts w:ascii="Arial" w:eastAsia="Times New Roman" w:hAnsi="Arial"/>
      <w:szCs w:val="24"/>
      <w:lang w:val="en-CA"/>
    </w:rPr>
  </w:style>
  <w:style w:type="character" w:customStyle="1" w:styleId="HeadNote01">
    <w:name w:val="Head Note 01"/>
    <w:rsid w:val="00790828"/>
    <w:rPr>
      <w:rFonts w:ascii="Arial" w:hAnsi="Arial"/>
      <w:b/>
      <w:sz w:val="22"/>
    </w:rPr>
  </w:style>
  <w:style w:type="paragraph" w:styleId="HTMLPreformatted">
    <w:name w:val="HTML Preformatted"/>
    <w:basedOn w:val="Normal"/>
    <w:link w:val="HTMLPreformattedChar"/>
    <w:uiPriority w:val="99"/>
    <w:rsid w:val="007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Cs w:val="20"/>
      <w:lang w:val="x-none"/>
    </w:rPr>
  </w:style>
  <w:style w:type="character" w:customStyle="1" w:styleId="HTMLPreformattedChar">
    <w:name w:val="HTML Preformatted Char"/>
    <w:basedOn w:val="DefaultParagraphFont"/>
    <w:link w:val="HTMLPreformatted"/>
    <w:uiPriority w:val="99"/>
    <w:rsid w:val="00790828"/>
    <w:rPr>
      <w:rFonts w:ascii="Courier New" w:eastAsia="Times New Roman" w:hAnsi="Courier New"/>
      <w:szCs w:val="20"/>
      <w:lang w:val="x-none"/>
    </w:rPr>
  </w:style>
  <w:style w:type="paragraph" w:customStyle="1" w:styleId="Preformatted">
    <w:name w:val="Preformatted"/>
    <w:link w:val="PreformattedChar"/>
    <w:rsid w:val="00790828"/>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pPr>
    <w:rPr>
      <w:rFonts w:ascii="Courier New" w:eastAsia="Times New Roman" w:hAnsi="Courier New" w:cs="Courier New"/>
      <w:szCs w:val="20"/>
      <w:lang w:val="en-CA"/>
    </w:rPr>
  </w:style>
  <w:style w:type="character" w:customStyle="1" w:styleId="PreformattedChar">
    <w:name w:val="Preformatted Char"/>
    <w:link w:val="Preformatted"/>
    <w:rsid w:val="00790828"/>
    <w:rPr>
      <w:rFonts w:ascii="Courier New" w:eastAsia="Times New Roman" w:hAnsi="Courier New" w:cs="Courier New"/>
      <w:szCs w:val="20"/>
      <w:lang w:val="en-CA"/>
    </w:rPr>
  </w:style>
  <w:style w:type="paragraph" w:styleId="TOAHeading">
    <w:name w:val="toa heading"/>
    <w:basedOn w:val="Normal"/>
    <w:next w:val="Normal"/>
    <w:uiPriority w:val="99"/>
    <w:rsid w:val="00790828"/>
    <w:pPr>
      <w:keepNext/>
      <w:spacing w:before="240" w:after="0" w:line="240" w:lineRule="auto"/>
    </w:pPr>
    <w:rPr>
      <w:rFonts w:eastAsia="Times New Roman"/>
      <w:b/>
      <w:szCs w:val="20"/>
      <w:lang w:val="en-CA"/>
    </w:rPr>
  </w:style>
  <w:style w:type="paragraph" w:customStyle="1" w:styleId="Default">
    <w:name w:val="Default"/>
    <w:rsid w:val="00790828"/>
    <w:pPr>
      <w:autoSpaceDE w:val="0"/>
      <w:autoSpaceDN w:val="0"/>
      <w:adjustRightInd w:val="0"/>
      <w:spacing w:after="0" w:line="240" w:lineRule="auto"/>
    </w:pPr>
    <w:rPr>
      <w:rFonts w:ascii="Arial" w:eastAsia="Times New Roman" w:hAnsi="Arial" w:cs="Arial"/>
      <w:color w:val="000000"/>
      <w:sz w:val="24"/>
      <w:szCs w:val="24"/>
    </w:rPr>
  </w:style>
  <w:style w:type="paragraph" w:styleId="EnvelopeReturn">
    <w:name w:val="envelope return"/>
    <w:basedOn w:val="Normal"/>
    <w:uiPriority w:val="99"/>
    <w:rsid w:val="00790828"/>
    <w:pPr>
      <w:spacing w:after="0" w:line="240" w:lineRule="auto"/>
      <w:jc w:val="both"/>
    </w:pPr>
    <w:rPr>
      <w:rFonts w:ascii="Arial" w:eastAsia="Times New Roman" w:hAnsi="Arial"/>
      <w:szCs w:val="20"/>
      <w:lang w:val="en-CA"/>
    </w:rPr>
  </w:style>
  <w:style w:type="paragraph" w:customStyle="1" w:styleId="ListParagraph1">
    <w:name w:val="List Paragraph1"/>
    <w:basedOn w:val="Normal"/>
    <w:uiPriority w:val="34"/>
    <w:qFormat/>
    <w:rsid w:val="00267D4E"/>
    <w:pPr>
      <w:ind w:left="720"/>
      <w:contextualSpacing/>
    </w:pPr>
    <w:rPr>
      <w:rFonts w:eastAsia="Calibri"/>
    </w:rPr>
  </w:style>
  <w:style w:type="paragraph" w:styleId="FootnoteText">
    <w:name w:val="footnote text"/>
    <w:basedOn w:val="Normal"/>
    <w:link w:val="FootnoteTextChar"/>
    <w:uiPriority w:val="99"/>
    <w:unhideWhenUsed/>
    <w:rsid w:val="00E06EB2"/>
    <w:pPr>
      <w:spacing w:after="180" w:line="240" w:lineRule="auto"/>
      <w:jc w:val="both"/>
    </w:pPr>
    <w:rPr>
      <w:rFonts w:ascii="Arial" w:eastAsia="Times New Roman" w:hAnsi="Arial"/>
      <w:szCs w:val="20"/>
    </w:rPr>
  </w:style>
  <w:style w:type="character" w:customStyle="1" w:styleId="FootnoteTextChar">
    <w:name w:val="Footnote Text Char"/>
    <w:basedOn w:val="DefaultParagraphFont"/>
    <w:link w:val="FootnoteText"/>
    <w:uiPriority w:val="99"/>
    <w:rsid w:val="00E06EB2"/>
    <w:rPr>
      <w:rFonts w:ascii="Arial" w:eastAsia="Times New Roman" w:hAnsi="Arial"/>
      <w:szCs w:val="20"/>
    </w:rPr>
  </w:style>
  <w:style w:type="character" w:styleId="FootnoteReference">
    <w:name w:val="footnote reference"/>
    <w:uiPriority w:val="99"/>
    <w:unhideWhenUsed/>
    <w:rsid w:val="00E06EB2"/>
    <w:rPr>
      <w:vertAlign w:val="superscript"/>
    </w:rPr>
  </w:style>
  <w:style w:type="character" w:styleId="Emphasis">
    <w:name w:val="Emphasis"/>
    <w:basedOn w:val="DefaultParagraphFont"/>
    <w:qFormat/>
    <w:rsid w:val="005464FE"/>
    <w:rPr>
      <w:rFonts w:ascii="Arial" w:hAnsi="Arial"/>
      <w:i/>
      <w:iCs/>
      <w:sz w:val="20"/>
    </w:rPr>
  </w:style>
  <w:style w:type="paragraph" w:customStyle="1" w:styleId="PAParaText">
    <w:name w:val="PA_ParaText"/>
    <w:basedOn w:val="Normal"/>
    <w:rsid w:val="005464FE"/>
    <w:pPr>
      <w:spacing w:after="120" w:line="240" w:lineRule="auto"/>
      <w:jc w:val="both"/>
    </w:pPr>
    <w:rPr>
      <w:rFonts w:ascii="Arial" w:eastAsia="SimSun" w:hAnsi="Arial"/>
      <w:szCs w:val="20"/>
      <w:lang w:eastAsia="zh-CN"/>
    </w:rPr>
  </w:style>
  <w:style w:type="character" w:customStyle="1" w:styleId="ListParagraphChar">
    <w:name w:val="List Paragraph Char"/>
    <w:link w:val="ListParagraph"/>
    <w:uiPriority w:val="34"/>
    <w:locked/>
    <w:rsid w:val="0076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0710">
      <w:bodyDiv w:val="1"/>
      <w:marLeft w:val="7"/>
      <w:marRight w:val="7"/>
      <w:marTop w:val="0"/>
      <w:marBottom w:val="0"/>
      <w:divBdr>
        <w:top w:val="none" w:sz="0" w:space="0" w:color="auto"/>
        <w:left w:val="none" w:sz="0" w:space="0" w:color="auto"/>
        <w:bottom w:val="none" w:sz="0" w:space="0" w:color="auto"/>
        <w:right w:val="none" w:sz="0" w:space="0" w:color="auto"/>
      </w:divBdr>
    </w:div>
    <w:div w:id="128129672">
      <w:bodyDiv w:val="1"/>
      <w:marLeft w:val="7"/>
      <w:marRight w:val="7"/>
      <w:marTop w:val="0"/>
      <w:marBottom w:val="0"/>
      <w:divBdr>
        <w:top w:val="none" w:sz="0" w:space="0" w:color="auto"/>
        <w:left w:val="none" w:sz="0" w:space="0" w:color="auto"/>
        <w:bottom w:val="none" w:sz="0" w:space="0" w:color="auto"/>
        <w:right w:val="none" w:sz="0" w:space="0" w:color="auto"/>
      </w:divBdr>
    </w:div>
    <w:div w:id="244461213">
      <w:bodyDiv w:val="1"/>
      <w:marLeft w:val="7"/>
      <w:marRight w:val="7"/>
      <w:marTop w:val="0"/>
      <w:marBottom w:val="0"/>
      <w:divBdr>
        <w:top w:val="none" w:sz="0" w:space="0" w:color="auto"/>
        <w:left w:val="none" w:sz="0" w:space="0" w:color="auto"/>
        <w:bottom w:val="none" w:sz="0" w:space="0" w:color="auto"/>
        <w:right w:val="none" w:sz="0" w:space="0" w:color="auto"/>
      </w:divBdr>
    </w:div>
    <w:div w:id="353505976">
      <w:bodyDiv w:val="1"/>
      <w:marLeft w:val="0"/>
      <w:marRight w:val="0"/>
      <w:marTop w:val="0"/>
      <w:marBottom w:val="0"/>
      <w:divBdr>
        <w:top w:val="none" w:sz="0" w:space="0" w:color="auto"/>
        <w:left w:val="none" w:sz="0" w:space="0" w:color="auto"/>
        <w:bottom w:val="none" w:sz="0" w:space="0" w:color="auto"/>
        <w:right w:val="none" w:sz="0" w:space="0" w:color="auto"/>
      </w:divBdr>
      <w:divsChild>
        <w:div w:id="1816071530">
          <w:marLeft w:val="0"/>
          <w:marRight w:val="0"/>
          <w:marTop w:val="0"/>
          <w:marBottom w:val="0"/>
          <w:divBdr>
            <w:top w:val="none" w:sz="0" w:space="0" w:color="auto"/>
            <w:left w:val="none" w:sz="0" w:space="0" w:color="auto"/>
            <w:bottom w:val="none" w:sz="0" w:space="0" w:color="auto"/>
            <w:right w:val="none" w:sz="0" w:space="0" w:color="auto"/>
          </w:divBdr>
        </w:div>
      </w:divsChild>
    </w:div>
    <w:div w:id="647171963">
      <w:bodyDiv w:val="1"/>
      <w:marLeft w:val="7"/>
      <w:marRight w:val="7"/>
      <w:marTop w:val="0"/>
      <w:marBottom w:val="0"/>
      <w:divBdr>
        <w:top w:val="none" w:sz="0" w:space="0" w:color="auto"/>
        <w:left w:val="none" w:sz="0" w:space="0" w:color="auto"/>
        <w:bottom w:val="none" w:sz="0" w:space="0" w:color="auto"/>
        <w:right w:val="none" w:sz="0" w:space="0" w:color="auto"/>
      </w:divBdr>
    </w:div>
    <w:div w:id="789588425">
      <w:bodyDiv w:val="1"/>
      <w:marLeft w:val="7"/>
      <w:marRight w:val="7"/>
      <w:marTop w:val="0"/>
      <w:marBottom w:val="0"/>
      <w:divBdr>
        <w:top w:val="none" w:sz="0" w:space="0" w:color="auto"/>
        <w:left w:val="none" w:sz="0" w:space="0" w:color="auto"/>
        <w:bottom w:val="none" w:sz="0" w:space="0" w:color="auto"/>
        <w:right w:val="none" w:sz="0" w:space="0" w:color="auto"/>
      </w:divBdr>
    </w:div>
    <w:div w:id="873426787">
      <w:bodyDiv w:val="1"/>
      <w:marLeft w:val="7"/>
      <w:marRight w:val="7"/>
      <w:marTop w:val="0"/>
      <w:marBottom w:val="0"/>
      <w:divBdr>
        <w:top w:val="none" w:sz="0" w:space="0" w:color="auto"/>
        <w:left w:val="none" w:sz="0" w:space="0" w:color="auto"/>
        <w:bottom w:val="none" w:sz="0" w:space="0" w:color="auto"/>
        <w:right w:val="none" w:sz="0" w:space="0" w:color="auto"/>
      </w:divBdr>
    </w:div>
    <w:div w:id="1030423299">
      <w:bodyDiv w:val="1"/>
      <w:marLeft w:val="7"/>
      <w:marRight w:val="7"/>
      <w:marTop w:val="0"/>
      <w:marBottom w:val="0"/>
      <w:divBdr>
        <w:top w:val="none" w:sz="0" w:space="0" w:color="auto"/>
        <w:left w:val="none" w:sz="0" w:space="0" w:color="auto"/>
        <w:bottom w:val="none" w:sz="0" w:space="0" w:color="auto"/>
        <w:right w:val="none" w:sz="0" w:space="0" w:color="auto"/>
      </w:divBdr>
    </w:div>
    <w:div w:id="1136801179">
      <w:bodyDiv w:val="1"/>
      <w:marLeft w:val="0"/>
      <w:marRight w:val="0"/>
      <w:marTop w:val="0"/>
      <w:marBottom w:val="0"/>
      <w:divBdr>
        <w:top w:val="none" w:sz="0" w:space="0" w:color="auto"/>
        <w:left w:val="none" w:sz="0" w:space="0" w:color="auto"/>
        <w:bottom w:val="none" w:sz="0" w:space="0" w:color="auto"/>
        <w:right w:val="none" w:sz="0" w:space="0" w:color="auto"/>
      </w:divBdr>
    </w:div>
    <w:div w:id="1200900460">
      <w:bodyDiv w:val="1"/>
      <w:marLeft w:val="0"/>
      <w:marRight w:val="0"/>
      <w:marTop w:val="0"/>
      <w:marBottom w:val="0"/>
      <w:divBdr>
        <w:top w:val="none" w:sz="0" w:space="0" w:color="auto"/>
        <w:left w:val="none" w:sz="0" w:space="0" w:color="auto"/>
        <w:bottom w:val="none" w:sz="0" w:space="0" w:color="auto"/>
        <w:right w:val="none" w:sz="0" w:space="0" w:color="auto"/>
      </w:divBdr>
      <w:divsChild>
        <w:div w:id="705254885">
          <w:marLeft w:val="0"/>
          <w:marRight w:val="0"/>
          <w:marTop w:val="0"/>
          <w:marBottom w:val="0"/>
          <w:divBdr>
            <w:top w:val="none" w:sz="0" w:space="0" w:color="auto"/>
            <w:left w:val="none" w:sz="0" w:space="0" w:color="auto"/>
            <w:bottom w:val="none" w:sz="0" w:space="0" w:color="auto"/>
            <w:right w:val="none" w:sz="0" w:space="0" w:color="auto"/>
          </w:divBdr>
        </w:div>
      </w:divsChild>
    </w:div>
    <w:div w:id="1223520585">
      <w:bodyDiv w:val="1"/>
      <w:marLeft w:val="0"/>
      <w:marRight w:val="0"/>
      <w:marTop w:val="0"/>
      <w:marBottom w:val="0"/>
      <w:divBdr>
        <w:top w:val="none" w:sz="0" w:space="0" w:color="auto"/>
        <w:left w:val="none" w:sz="0" w:space="0" w:color="auto"/>
        <w:bottom w:val="none" w:sz="0" w:space="0" w:color="auto"/>
        <w:right w:val="none" w:sz="0" w:space="0" w:color="auto"/>
      </w:divBdr>
    </w:div>
    <w:div w:id="1234857936">
      <w:bodyDiv w:val="1"/>
      <w:marLeft w:val="7"/>
      <w:marRight w:val="7"/>
      <w:marTop w:val="0"/>
      <w:marBottom w:val="0"/>
      <w:divBdr>
        <w:top w:val="none" w:sz="0" w:space="0" w:color="auto"/>
        <w:left w:val="none" w:sz="0" w:space="0" w:color="auto"/>
        <w:bottom w:val="none" w:sz="0" w:space="0" w:color="auto"/>
        <w:right w:val="none" w:sz="0" w:space="0" w:color="auto"/>
      </w:divBdr>
    </w:div>
    <w:div w:id="1329289742">
      <w:bodyDiv w:val="1"/>
      <w:marLeft w:val="0"/>
      <w:marRight w:val="0"/>
      <w:marTop w:val="0"/>
      <w:marBottom w:val="0"/>
      <w:divBdr>
        <w:top w:val="none" w:sz="0" w:space="0" w:color="auto"/>
        <w:left w:val="none" w:sz="0" w:space="0" w:color="auto"/>
        <w:bottom w:val="none" w:sz="0" w:space="0" w:color="auto"/>
        <w:right w:val="none" w:sz="0" w:space="0" w:color="auto"/>
      </w:divBdr>
    </w:div>
    <w:div w:id="1418985589">
      <w:bodyDiv w:val="1"/>
      <w:marLeft w:val="0"/>
      <w:marRight w:val="0"/>
      <w:marTop w:val="0"/>
      <w:marBottom w:val="0"/>
      <w:divBdr>
        <w:top w:val="none" w:sz="0" w:space="0" w:color="auto"/>
        <w:left w:val="none" w:sz="0" w:space="0" w:color="auto"/>
        <w:bottom w:val="none" w:sz="0" w:space="0" w:color="auto"/>
        <w:right w:val="none" w:sz="0" w:space="0" w:color="auto"/>
      </w:divBdr>
    </w:div>
    <w:div w:id="1578051741">
      <w:bodyDiv w:val="1"/>
      <w:marLeft w:val="7"/>
      <w:marRight w:val="7"/>
      <w:marTop w:val="0"/>
      <w:marBottom w:val="0"/>
      <w:divBdr>
        <w:top w:val="none" w:sz="0" w:space="0" w:color="auto"/>
        <w:left w:val="none" w:sz="0" w:space="0" w:color="auto"/>
        <w:bottom w:val="none" w:sz="0" w:space="0" w:color="auto"/>
        <w:right w:val="none" w:sz="0" w:space="0" w:color="auto"/>
      </w:divBdr>
    </w:div>
    <w:div w:id="1594124896">
      <w:bodyDiv w:val="1"/>
      <w:marLeft w:val="7"/>
      <w:marRight w:val="7"/>
      <w:marTop w:val="0"/>
      <w:marBottom w:val="0"/>
      <w:divBdr>
        <w:top w:val="none" w:sz="0" w:space="0" w:color="auto"/>
        <w:left w:val="none" w:sz="0" w:space="0" w:color="auto"/>
        <w:bottom w:val="none" w:sz="0" w:space="0" w:color="auto"/>
        <w:right w:val="none" w:sz="0" w:space="0" w:color="auto"/>
      </w:divBdr>
    </w:div>
    <w:div w:id="1693997626">
      <w:bodyDiv w:val="1"/>
      <w:marLeft w:val="7"/>
      <w:marRight w:val="7"/>
      <w:marTop w:val="0"/>
      <w:marBottom w:val="0"/>
      <w:divBdr>
        <w:top w:val="none" w:sz="0" w:space="0" w:color="auto"/>
        <w:left w:val="none" w:sz="0" w:space="0" w:color="auto"/>
        <w:bottom w:val="none" w:sz="0" w:space="0" w:color="auto"/>
        <w:right w:val="none" w:sz="0" w:space="0" w:color="auto"/>
      </w:divBdr>
    </w:div>
    <w:div w:id="1854297108">
      <w:bodyDiv w:val="1"/>
      <w:marLeft w:val="0"/>
      <w:marRight w:val="0"/>
      <w:marTop w:val="0"/>
      <w:marBottom w:val="0"/>
      <w:divBdr>
        <w:top w:val="none" w:sz="0" w:space="0" w:color="auto"/>
        <w:left w:val="none" w:sz="0" w:space="0" w:color="auto"/>
        <w:bottom w:val="none" w:sz="0" w:space="0" w:color="auto"/>
        <w:right w:val="none" w:sz="0" w:space="0" w:color="auto"/>
      </w:divBdr>
      <w:divsChild>
        <w:div w:id="2136020412">
          <w:marLeft w:val="0"/>
          <w:marRight w:val="0"/>
          <w:marTop w:val="0"/>
          <w:marBottom w:val="0"/>
          <w:divBdr>
            <w:top w:val="none" w:sz="0" w:space="0" w:color="auto"/>
            <w:left w:val="none" w:sz="0" w:space="0" w:color="auto"/>
            <w:bottom w:val="none" w:sz="0" w:space="0" w:color="auto"/>
            <w:right w:val="none" w:sz="0" w:space="0" w:color="auto"/>
          </w:divBdr>
        </w:div>
        <w:div w:id="1097167389">
          <w:marLeft w:val="0"/>
          <w:marRight w:val="0"/>
          <w:marTop w:val="0"/>
          <w:marBottom w:val="0"/>
          <w:divBdr>
            <w:top w:val="none" w:sz="0" w:space="0" w:color="auto"/>
            <w:left w:val="none" w:sz="0" w:space="0" w:color="auto"/>
            <w:bottom w:val="none" w:sz="0" w:space="0" w:color="auto"/>
            <w:right w:val="none" w:sz="0" w:space="0" w:color="auto"/>
          </w:divBdr>
        </w:div>
        <w:div w:id="276916410">
          <w:marLeft w:val="0"/>
          <w:marRight w:val="0"/>
          <w:marTop w:val="0"/>
          <w:marBottom w:val="0"/>
          <w:divBdr>
            <w:top w:val="none" w:sz="0" w:space="0" w:color="auto"/>
            <w:left w:val="none" w:sz="0" w:space="0" w:color="auto"/>
            <w:bottom w:val="none" w:sz="0" w:space="0" w:color="auto"/>
            <w:right w:val="none" w:sz="0" w:space="0" w:color="auto"/>
          </w:divBdr>
        </w:div>
        <w:div w:id="812138806">
          <w:marLeft w:val="0"/>
          <w:marRight w:val="0"/>
          <w:marTop w:val="0"/>
          <w:marBottom w:val="0"/>
          <w:divBdr>
            <w:top w:val="none" w:sz="0" w:space="0" w:color="auto"/>
            <w:left w:val="none" w:sz="0" w:space="0" w:color="auto"/>
            <w:bottom w:val="none" w:sz="0" w:space="0" w:color="auto"/>
            <w:right w:val="none" w:sz="0" w:space="0" w:color="auto"/>
          </w:divBdr>
        </w:div>
        <w:div w:id="161896862">
          <w:marLeft w:val="0"/>
          <w:marRight w:val="0"/>
          <w:marTop w:val="0"/>
          <w:marBottom w:val="0"/>
          <w:divBdr>
            <w:top w:val="none" w:sz="0" w:space="0" w:color="auto"/>
            <w:left w:val="none" w:sz="0" w:space="0" w:color="auto"/>
            <w:bottom w:val="none" w:sz="0" w:space="0" w:color="auto"/>
            <w:right w:val="none" w:sz="0" w:space="0" w:color="auto"/>
          </w:divBdr>
        </w:div>
        <w:div w:id="416748607">
          <w:marLeft w:val="0"/>
          <w:marRight w:val="0"/>
          <w:marTop w:val="0"/>
          <w:marBottom w:val="0"/>
          <w:divBdr>
            <w:top w:val="none" w:sz="0" w:space="0" w:color="auto"/>
            <w:left w:val="none" w:sz="0" w:space="0" w:color="auto"/>
            <w:bottom w:val="none" w:sz="0" w:space="0" w:color="auto"/>
            <w:right w:val="none" w:sz="0" w:space="0" w:color="auto"/>
          </w:divBdr>
        </w:div>
        <w:div w:id="517932373">
          <w:marLeft w:val="0"/>
          <w:marRight w:val="0"/>
          <w:marTop w:val="0"/>
          <w:marBottom w:val="0"/>
          <w:divBdr>
            <w:top w:val="none" w:sz="0" w:space="0" w:color="auto"/>
            <w:left w:val="none" w:sz="0" w:space="0" w:color="auto"/>
            <w:bottom w:val="none" w:sz="0" w:space="0" w:color="auto"/>
            <w:right w:val="none" w:sz="0" w:space="0" w:color="auto"/>
          </w:divBdr>
        </w:div>
        <w:div w:id="550579776">
          <w:marLeft w:val="0"/>
          <w:marRight w:val="0"/>
          <w:marTop w:val="0"/>
          <w:marBottom w:val="0"/>
          <w:divBdr>
            <w:top w:val="none" w:sz="0" w:space="0" w:color="auto"/>
            <w:left w:val="none" w:sz="0" w:space="0" w:color="auto"/>
            <w:bottom w:val="none" w:sz="0" w:space="0" w:color="auto"/>
            <w:right w:val="none" w:sz="0" w:space="0" w:color="auto"/>
          </w:divBdr>
        </w:div>
        <w:div w:id="1939866764">
          <w:marLeft w:val="0"/>
          <w:marRight w:val="0"/>
          <w:marTop w:val="0"/>
          <w:marBottom w:val="0"/>
          <w:divBdr>
            <w:top w:val="none" w:sz="0" w:space="0" w:color="auto"/>
            <w:left w:val="none" w:sz="0" w:space="0" w:color="auto"/>
            <w:bottom w:val="none" w:sz="0" w:space="0" w:color="auto"/>
            <w:right w:val="none" w:sz="0" w:space="0" w:color="auto"/>
          </w:divBdr>
        </w:div>
        <w:div w:id="1143424248">
          <w:marLeft w:val="0"/>
          <w:marRight w:val="0"/>
          <w:marTop w:val="0"/>
          <w:marBottom w:val="0"/>
          <w:divBdr>
            <w:top w:val="none" w:sz="0" w:space="0" w:color="auto"/>
            <w:left w:val="none" w:sz="0" w:space="0" w:color="auto"/>
            <w:bottom w:val="none" w:sz="0" w:space="0" w:color="auto"/>
            <w:right w:val="none" w:sz="0" w:space="0" w:color="auto"/>
          </w:divBdr>
        </w:div>
        <w:div w:id="1652172174">
          <w:marLeft w:val="0"/>
          <w:marRight w:val="0"/>
          <w:marTop w:val="0"/>
          <w:marBottom w:val="0"/>
          <w:divBdr>
            <w:top w:val="none" w:sz="0" w:space="0" w:color="auto"/>
            <w:left w:val="none" w:sz="0" w:space="0" w:color="auto"/>
            <w:bottom w:val="none" w:sz="0" w:space="0" w:color="auto"/>
            <w:right w:val="none" w:sz="0" w:space="0" w:color="auto"/>
          </w:divBdr>
        </w:div>
        <w:div w:id="972903306">
          <w:marLeft w:val="0"/>
          <w:marRight w:val="0"/>
          <w:marTop w:val="0"/>
          <w:marBottom w:val="0"/>
          <w:divBdr>
            <w:top w:val="none" w:sz="0" w:space="0" w:color="auto"/>
            <w:left w:val="none" w:sz="0" w:space="0" w:color="auto"/>
            <w:bottom w:val="none" w:sz="0" w:space="0" w:color="auto"/>
            <w:right w:val="none" w:sz="0" w:space="0" w:color="auto"/>
          </w:divBdr>
        </w:div>
        <w:div w:id="1549150287">
          <w:marLeft w:val="0"/>
          <w:marRight w:val="0"/>
          <w:marTop w:val="0"/>
          <w:marBottom w:val="0"/>
          <w:divBdr>
            <w:top w:val="none" w:sz="0" w:space="0" w:color="auto"/>
            <w:left w:val="none" w:sz="0" w:space="0" w:color="auto"/>
            <w:bottom w:val="none" w:sz="0" w:space="0" w:color="auto"/>
            <w:right w:val="none" w:sz="0" w:space="0" w:color="auto"/>
          </w:divBdr>
        </w:div>
        <w:div w:id="1799452044">
          <w:marLeft w:val="0"/>
          <w:marRight w:val="0"/>
          <w:marTop w:val="0"/>
          <w:marBottom w:val="0"/>
          <w:divBdr>
            <w:top w:val="none" w:sz="0" w:space="0" w:color="auto"/>
            <w:left w:val="none" w:sz="0" w:space="0" w:color="auto"/>
            <w:bottom w:val="none" w:sz="0" w:space="0" w:color="auto"/>
            <w:right w:val="none" w:sz="0" w:space="0" w:color="auto"/>
          </w:divBdr>
        </w:div>
        <w:div w:id="395276301">
          <w:marLeft w:val="0"/>
          <w:marRight w:val="0"/>
          <w:marTop w:val="0"/>
          <w:marBottom w:val="0"/>
          <w:divBdr>
            <w:top w:val="none" w:sz="0" w:space="0" w:color="auto"/>
            <w:left w:val="none" w:sz="0" w:space="0" w:color="auto"/>
            <w:bottom w:val="none" w:sz="0" w:space="0" w:color="auto"/>
            <w:right w:val="none" w:sz="0" w:space="0" w:color="auto"/>
          </w:divBdr>
        </w:div>
        <w:div w:id="1556354837">
          <w:marLeft w:val="0"/>
          <w:marRight w:val="0"/>
          <w:marTop w:val="0"/>
          <w:marBottom w:val="0"/>
          <w:divBdr>
            <w:top w:val="none" w:sz="0" w:space="0" w:color="auto"/>
            <w:left w:val="none" w:sz="0" w:space="0" w:color="auto"/>
            <w:bottom w:val="none" w:sz="0" w:space="0" w:color="auto"/>
            <w:right w:val="none" w:sz="0" w:space="0" w:color="auto"/>
          </w:divBdr>
        </w:div>
        <w:div w:id="299770934">
          <w:marLeft w:val="0"/>
          <w:marRight w:val="0"/>
          <w:marTop w:val="0"/>
          <w:marBottom w:val="0"/>
          <w:divBdr>
            <w:top w:val="none" w:sz="0" w:space="0" w:color="auto"/>
            <w:left w:val="none" w:sz="0" w:space="0" w:color="auto"/>
            <w:bottom w:val="none" w:sz="0" w:space="0" w:color="auto"/>
            <w:right w:val="none" w:sz="0" w:space="0" w:color="auto"/>
          </w:divBdr>
        </w:div>
        <w:div w:id="1091044208">
          <w:marLeft w:val="0"/>
          <w:marRight w:val="0"/>
          <w:marTop w:val="0"/>
          <w:marBottom w:val="0"/>
          <w:divBdr>
            <w:top w:val="none" w:sz="0" w:space="0" w:color="auto"/>
            <w:left w:val="none" w:sz="0" w:space="0" w:color="auto"/>
            <w:bottom w:val="none" w:sz="0" w:space="0" w:color="auto"/>
            <w:right w:val="none" w:sz="0" w:space="0" w:color="auto"/>
          </w:divBdr>
        </w:div>
        <w:div w:id="1436289413">
          <w:marLeft w:val="0"/>
          <w:marRight w:val="0"/>
          <w:marTop w:val="0"/>
          <w:marBottom w:val="0"/>
          <w:divBdr>
            <w:top w:val="none" w:sz="0" w:space="0" w:color="auto"/>
            <w:left w:val="none" w:sz="0" w:space="0" w:color="auto"/>
            <w:bottom w:val="none" w:sz="0" w:space="0" w:color="auto"/>
            <w:right w:val="none" w:sz="0" w:space="0" w:color="auto"/>
          </w:divBdr>
        </w:div>
        <w:div w:id="1376009564">
          <w:marLeft w:val="0"/>
          <w:marRight w:val="0"/>
          <w:marTop w:val="0"/>
          <w:marBottom w:val="0"/>
          <w:divBdr>
            <w:top w:val="none" w:sz="0" w:space="0" w:color="auto"/>
            <w:left w:val="none" w:sz="0" w:space="0" w:color="auto"/>
            <w:bottom w:val="none" w:sz="0" w:space="0" w:color="auto"/>
            <w:right w:val="none" w:sz="0" w:space="0" w:color="auto"/>
          </w:divBdr>
        </w:div>
        <w:div w:id="861673249">
          <w:marLeft w:val="0"/>
          <w:marRight w:val="0"/>
          <w:marTop w:val="0"/>
          <w:marBottom w:val="0"/>
          <w:divBdr>
            <w:top w:val="none" w:sz="0" w:space="0" w:color="auto"/>
            <w:left w:val="none" w:sz="0" w:space="0" w:color="auto"/>
            <w:bottom w:val="none" w:sz="0" w:space="0" w:color="auto"/>
            <w:right w:val="none" w:sz="0" w:space="0" w:color="auto"/>
          </w:divBdr>
        </w:div>
        <w:div w:id="1904682872">
          <w:marLeft w:val="0"/>
          <w:marRight w:val="0"/>
          <w:marTop w:val="0"/>
          <w:marBottom w:val="0"/>
          <w:divBdr>
            <w:top w:val="none" w:sz="0" w:space="0" w:color="auto"/>
            <w:left w:val="none" w:sz="0" w:space="0" w:color="auto"/>
            <w:bottom w:val="none" w:sz="0" w:space="0" w:color="auto"/>
            <w:right w:val="none" w:sz="0" w:space="0" w:color="auto"/>
          </w:divBdr>
        </w:div>
        <w:div w:id="1324238459">
          <w:marLeft w:val="0"/>
          <w:marRight w:val="0"/>
          <w:marTop w:val="0"/>
          <w:marBottom w:val="0"/>
          <w:divBdr>
            <w:top w:val="none" w:sz="0" w:space="0" w:color="auto"/>
            <w:left w:val="none" w:sz="0" w:space="0" w:color="auto"/>
            <w:bottom w:val="none" w:sz="0" w:space="0" w:color="auto"/>
            <w:right w:val="none" w:sz="0" w:space="0" w:color="auto"/>
          </w:divBdr>
        </w:div>
        <w:div w:id="1244414163">
          <w:marLeft w:val="0"/>
          <w:marRight w:val="0"/>
          <w:marTop w:val="0"/>
          <w:marBottom w:val="0"/>
          <w:divBdr>
            <w:top w:val="none" w:sz="0" w:space="0" w:color="auto"/>
            <w:left w:val="none" w:sz="0" w:space="0" w:color="auto"/>
            <w:bottom w:val="none" w:sz="0" w:space="0" w:color="auto"/>
            <w:right w:val="none" w:sz="0" w:space="0" w:color="auto"/>
          </w:divBdr>
        </w:div>
      </w:divsChild>
    </w:div>
    <w:div w:id="1932658321">
      <w:bodyDiv w:val="1"/>
      <w:marLeft w:val="7"/>
      <w:marRight w:val="7"/>
      <w:marTop w:val="0"/>
      <w:marBottom w:val="0"/>
      <w:divBdr>
        <w:top w:val="none" w:sz="0" w:space="0" w:color="auto"/>
        <w:left w:val="none" w:sz="0" w:space="0" w:color="auto"/>
        <w:bottom w:val="none" w:sz="0" w:space="0" w:color="auto"/>
        <w:right w:val="none" w:sz="0" w:space="0" w:color="auto"/>
      </w:divBdr>
    </w:div>
    <w:div w:id="2069454070">
      <w:bodyDiv w:val="1"/>
      <w:marLeft w:val="7"/>
      <w:marRight w:val="7"/>
      <w:marTop w:val="0"/>
      <w:marBottom w:val="0"/>
      <w:divBdr>
        <w:top w:val="none" w:sz="0" w:space="0" w:color="auto"/>
        <w:left w:val="none" w:sz="0" w:space="0" w:color="auto"/>
        <w:bottom w:val="none" w:sz="0" w:space="0" w:color="auto"/>
        <w:right w:val="none" w:sz="0" w:space="0" w:color="auto"/>
      </w:divBdr>
    </w:div>
    <w:div w:id="2078436939">
      <w:bodyDiv w:val="1"/>
      <w:marLeft w:val="0"/>
      <w:marRight w:val="0"/>
      <w:marTop w:val="0"/>
      <w:marBottom w:val="0"/>
      <w:divBdr>
        <w:top w:val="none" w:sz="0" w:space="0" w:color="auto"/>
        <w:left w:val="none" w:sz="0" w:space="0" w:color="auto"/>
        <w:bottom w:val="none" w:sz="0" w:space="0" w:color="auto"/>
        <w:right w:val="none" w:sz="0" w:space="0" w:color="auto"/>
      </w:divBdr>
      <w:divsChild>
        <w:div w:id="14531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2BBC-CF72-48BB-AA7A-9BCF436B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10902</Words>
  <Characters>62147</Characters>
  <Application>Microsoft Office Word</Application>
  <DocSecurity>0</DocSecurity>
  <PresentationFormat>14|.DOCX</PresentationFormat>
  <Lines>517</Lines>
  <Paragraphs>145</Paragraphs>
  <ScaleCrop>false</ScaleCrop>
  <HeadingPairs>
    <vt:vector size="2" baseType="variant">
      <vt:variant>
        <vt:lpstr>Title</vt:lpstr>
      </vt:variant>
      <vt:variant>
        <vt:i4>1</vt:i4>
      </vt:variant>
    </vt:vector>
  </HeadingPairs>
  <TitlesOfParts>
    <vt:vector size="1" baseType="lpstr">
      <vt:lpstr>Pivot - Form 10-K YE Jan. 31/15 (W0273834).DOCX</vt:lpstr>
    </vt:vector>
  </TitlesOfParts>
  <Company>Grizli777</Company>
  <LinksUpToDate>false</LinksUpToDate>
  <CharactersWithSpaces>72904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Pivot - Form 10-K YE Jan. 31/15 (W0273834).DOCX</dc:title>
  <dc:subject>W0273834.DOCX</dc:subject>
  <dc:creator>Brandy Craddock</dc:creator>
  <cp:lastModifiedBy>Moira Ong</cp:lastModifiedBy>
  <cp:revision>16</cp:revision>
  <cp:lastPrinted>2017-10-20T17:06:00Z</cp:lastPrinted>
  <dcterms:created xsi:type="dcterms:W3CDTF">2019-12-16T05:05:00Z</dcterms:created>
  <dcterms:modified xsi:type="dcterms:W3CDTF">2019-12-24T17:08:00Z</dcterms:modified>
</cp:coreProperties>
</file>