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DE17" w14:textId="77777777" w:rsidR="00DE0A04" w:rsidRDefault="00DE0A04" w:rsidP="004F6500">
      <w:pPr>
        <w:spacing w:after="0" w:line="254" w:lineRule="auto"/>
        <w:jc w:val="center"/>
        <w:rPr>
          <w:rFonts w:ascii="Times New Roman" w:hAnsi="Times New Roman" w:cs="Times New Roman"/>
          <w:b/>
        </w:rPr>
      </w:pPr>
      <w:r w:rsidRPr="004F6500">
        <w:rPr>
          <w:rFonts w:ascii="Times New Roman" w:hAnsi="Times New Roman" w:cs="Times New Roman"/>
          <w:b/>
        </w:rPr>
        <w:t>MANAGEMENT'S DISCUSSION AND ANALYSIS</w:t>
      </w:r>
    </w:p>
    <w:p w14:paraId="2E7CEE86" w14:textId="75D34471" w:rsidR="008712FC" w:rsidRPr="004F6500" w:rsidRDefault="00CA0D0C" w:rsidP="004F6500">
      <w:pPr>
        <w:spacing w:after="0" w:line="254" w:lineRule="auto"/>
        <w:jc w:val="center"/>
        <w:rPr>
          <w:rFonts w:ascii="Times New Roman" w:hAnsi="Times New Roman" w:cs="Times New Roman"/>
          <w:b/>
        </w:rPr>
      </w:pPr>
      <w:r>
        <w:rPr>
          <w:rFonts w:ascii="Times New Roman" w:hAnsi="Times New Roman" w:cs="Times New Roman"/>
          <w:b/>
        </w:rPr>
        <w:t>Three and nine</w:t>
      </w:r>
      <w:r w:rsidR="008712FC">
        <w:rPr>
          <w:rFonts w:ascii="Times New Roman" w:hAnsi="Times New Roman" w:cs="Times New Roman"/>
          <w:b/>
        </w:rPr>
        <w:t xml:space="preserve"> Months Ended </w:t>
      </w:r>
      <w:r w:rsidR="00A25599">
        <w:rPr>
          <w:rFonts w:ascii="Times New Roman" w:hAnsi="Times New Roman" w:cs="Times New Roman"/>
          <w:b/>
        </w:rPr>
        <w:t>October</w:t>
      </w:r>
      <w:r w:rsidR="008712FC">
        <w:rPr>
          <w:rFonts w:ascii="Times New Roman" w:hAnsi="Times New Roman" w:cs="Times New Roman"/>
          <w:b/>
        </w:rPr>
        <w:t xml:space="preserve"> 31, 2019</w:t>
      </w:r>
    </w:p>
    <w:p w14:paraId="09D7602D" w14:textId="77777777" w:rsidR="00DE0A04" w:rsidRPr="004F6500" w:rsidRDefault="00DE0A04" w:rsidP="004F6500">
      <w:pPr>
        <w:spacing w:after="0" w:line="254" w:lineRule="auto"/>
        <w:jc w:val="both"/>
        <w:rPr>
          <w:rFonts w:ascii="Times New Roman" w:hAnsi="Times New Roman" w:cs="Times New Roman"/>
        </w:rPr>
      </w:pPr>
    </w:p>
    <w:p w14:paraId="26915B7E" w14:textId="3C5E5466" w:rsidR="0082726B" w:rsidRPr="004F6500" w:rsidRDefault="00DE0A04"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This following Management's Discussion and Analysis (“MD&amp;A”) </w:t>
      </w:r>
      <w:r w:rsidR="00B0572C">
        <w:rPr>
          <w:rFonts w:ascii="Times New Roman" w:hAnsi="Times New Roman" w:cs="Times New Roman"/>
        </w:rPr>
        <w:t xml:space="preserve">is prepared as of </w:t>
      </w:r>
      <w:r w:rsidR="00CA0D0C">
        <w:rPr>
          <w:rFonts w:ascii="Times New Roman" w:hAnsi="Times New Roman" w:cs="Times New Roman"/>
        </w:rPr>
        <w:t xml:space="preserve">December </w:t>
      </w:r>
      <w:r w:rsidR="00181DC8" w:rsidRPr="003116A0">
        <w:rPr>
          <w:rFonts w:ascii="Times New Roman" w:hAnsi="Times New Roman" w:cs="Times New Roman"/>
        </w:rPr>
        <w:t>2</w:t>
      </w:r>
      <w:r w:rsidR="00315DCB">
        <w:rPr>
          <w:rFonts w:ascii="Times New Roman" w:hAnsi="Times New Roman" w:cs="Times New Roman"/>
        </w:rPr>
        <w:t>4</w:t>
      </w:r>
      <w:bookmarkStart w:id="0" w:name="_GoBack"/>
      <w:bookmarkEnd w:id="0"/>
      <w:r w:rsidR="00B0572C" w:rsidRPr="003116A0">
        <w:rPr>
          <w:rFonts w:ascii="Times New Roman" w:hAnsi="Times New Roman" w:cs="Times New Roman"/>
        </w:rPr>
        <w:t>,</w:t>
      </w:r>
      <w:r w:rsidR="00B0572C">
        <w:rPr>
          <w:rFonts w:ascii="Times New Roman" w:hAnsi="Times New Roman" w:cs="Times New Roman"/>
        </w:rPr>
        <w:t xml:space="preserve"> 2019 and </w:t>
      </w:r>
      <w:r w:rsidRPr="004F6500">
        <w:rPr>
          <w:rFonts w:ascii="Times New Roman" w:hAnsi="Times New Roman" w:cs="Times New Roman"/>
        </w:rPr>
        <w:t xml:space="preserve">provides a review of the financial condition and results of operations for </w:t>
      </w:r>
      <w:r w:rsidR="00CA0D0C">
        <w:rPr>
          <w:rFonts w:ascii="Times New Roman" w:hAnsi="Times New Roman" w:cs="Times New Roman"/>
        </w:rPr>
        <w:t xml:space="preserve">BetterLife Pharma Inc. (formerly </w:t>
      </w:r>
      <w:r w:rsidR="00414A43">
        <w:rPr>
          <w:rFonts w:ascii="Times New Roman" w:hAnsi="Times New Roman" w:cs="Times New Roman"/>
        </w:rPr>
        <w:t>Pivot</w:t>
      </w:r>
      <w:r w:rsidRPr="004F6500">
        <w:rPr>
          <w:rFonts w:ascii="Times New Roman" w:hAnsi="Times New Roman" w:cs="Times New Roman"/>
        </w:rPr>
        <w:t xml:space="preserve"> Pharmaceuticals Inc.</w:t>
      </w:r>
      <w:r w:rsidR="00CA0D0C">
        <w:rPr>
          <w:rFonts w:ascii="Times New Roman" w:hAnsi="Times New Roman" w:cs="Times New Roman"/>
        </w:rPr>
        <w:t>)</w:t>
      </w:r>
      <w:r w:rsidRPr="004F6500">
        <w:rPr>
          <w:rFonts w:ascii="Times New Roman" w:hAnsi="Times New Roman" w:cs="Times New Roman"/>
        </w:rPr>
        <w:t xml:space="preserve"> (the "Company" or “</w:t>
      </w:r>
      <w:r w:rsidR="00CA0D0C">
        <w:rPr>
          <w:rFonts w:ascii="Times New Roman" w:hAnsi="Times New Roman" w:cs="Times New Roman"/>
        </w:rPr>
        <w:t>BetterLife</w:t>
      </w:r>
      <w:r w:rsidRPr="004F6500">
        <w:rPr>
          <w:rFonts w:ascii="Times New Roman" w:hAnsi="Times New Roman" w:cs="Times New Roman"/>
        </w:rPr>
        <w:t xml:space="preserve">”) for the three and </w:t>
      </w:r>
      <w:r w:rsidR="00CA0D0C">
        <w:rPr>
          <w:rFonts w:ascii="Times New Roman" w:hAnsi="Times New Roman" w:cs="Times New Roman"/>
        </w:rPr>
        <w:t>nine</w:t>
      </w:r>
      <w:r w:rsidRPr="004F6500">
        <w:rPr>
          <w:rFonts w:ascii="Times New Roman" w:hAnsi="Times New Roman" w:cs="Times New Roman"/>
        </w:rPr>
        <w:t xml:space="preserve"> months ended </w:t>
      </w:r>
      <w:r w:rsidR="00CA0D0C">
        <w:rPr>
          <w:rFonts w:ascii="Times New Roman" w:hAnsi="Times New Roman" w:cs="Times New Roman"/>
        </w:rPr>
        <w:t>October</w:t>
      </w:r>
      <w:r w:rsidRPr="004F6500">
        <w:rPr>
          <w:rFonts w:ascii="Times New Roman" w:hAnsi="Times New Roman" w:cs="Times New Roman"/>
        </w:rPr>
        <w:t xml:space="preserve"> 31, 2019. This MD&amp;A should be read in conjunction with the Company's unaudited condensed </w:t>
      </w:r>
      <w:r w:rsidR="00EF2CCC" w:rsidRPr="004F6500">
        <w:rPr>
          <w:rFonts w:ascii="Times New Roman" w:hAnsi="Times New Roman" w:cs="Times New Roman"/>
        </w:rPr>
        <w:t xml:space="preserve">consolidated </w:t>
      </w:r>
      <w:r w:rsidRPr="004F6500">
        <w:rPr>
          <w:rFonts w:ascii="Times New Roman" w:hAnsi="Times New Roman" w:cs="Times New Roman"/>
        </w:rPr>
        <w:t>interim financial statements and notes thereto for the three</w:t>
      </w:r>
      <w:r w:rsidR="00EF2CCC" w:rsidRPr="004F6500">
        <w:rPr>
          <w:rFonts w:ascii="Times New Roman" w:hAnsi="Times New Roman" w:cs="Times New Roman"/>
        </w:rPr>
        <w:t xml:space="preserve"> and </w:t>
      </w:r>
      <w:r w:rsidR="00CA0D0C">
        <w:rPr>
          <w:rFonts w:ascii="Times New Roman" w:hAnsi="Times New Roman" w:cs="Times New Roman"/>
        </w:rPr>
        <w:t>nine</w:t>
      </w:r>
      <w:r w:rsidRPr="004F6500">
        <w:rPr>
          <w:rFonts w:ascii="Times New Roman" w:hAnsi="Times New Roman" w:cs="Times New Roman"/>
        </w:rPr>
        <w:t xml:space="preserve"> months ended </w:t>
      </w:r>
      <w:r w:rsidR="00CA0D0C">
        <w:rPr>
          <w:rFonts w:ascii="Times New Roman" w:hAnsi="Times New Roman" w:cs="Times New Roman"/>
        </w:rPr>
        <w:t>October</w:t>
      </w:r>
      <w:r w:rsidRPr="004F6500">
        <w:rPr>
          <w:rFonts w:ascii="Times New Roman" w:hAnsi="Times New Roman" w:cs="Times New Roman"/>
        </w:rPr>
        <w:t xml:space="preserve"> 31, 2019</w:t>
      </w:r>
      <w:r w:rsidR="008712FC">
        <w:rPr>
          <w:rFonts w:ascii="Times New Roman" w:hAnsi="Times New Roman" w:cs="Times New Roman"/>
        </w:rPr>
        <w:t xml:space="preserve">, which have been prepared in accordance with </w:t>
      </w:r>
      <w:r w:rsidR="008712FC" w:rsidRPr="004F6500">
        <w:rPr>
          <w:rFonts w:ascii="Times New Roman" w:hAnsi="Times New Roman" w:cs="Times New Roman"/>
        </w:rPr>
        <w:t>International Financial Reporting Standards (“IFRS”) issued by the International Accounting Standards Board and interpretations of the International Financial Repo</w:t>
      </w:r>
      <w:r w:rsidR="00F9356C">
        <w:rPr>
          <w:rFonts w:ascii="Times New Roman" w:hAnsi="Times New Roman" w:cs="Times New Roman"/>
        </w:rPr>
        <w:t xml:space="preserve">rting Interpretations Committee.  </w:t>
      </w:r>
      <w:r w:rsidR="008712FC">
        <w:rPr>
          <w:rFonts w:ascii="Times New Roman" w:hAnsi="Times New Roman" w:cs="Times New Roman"/>
        </w:rPr>
        <w:t>A reconciliation of the previously disclosed comparative periods’ financial statements prepared in accordance with</w:t>
      </w:r>
      <w:r w:rsidR="008712FC" w:rsidRPr="008712FC">
        <w:t xml:space="preserve"> </w:t>
      </w:r>
      <w:r w:rsidR="008712FC" w:rsidRPr="008712FC">
        <w:rPr>
          <w:rFonts w:ascii="Times New Roman" w:hAnsi="Times New Roman" w:cs="Times New Roman"/>
        </w:rPr>
        <w:t>Generally Accepted Accounting Principles in the U.S</w:t>
      </w:r>
      <w:r w:rsidR="008712FC">
        <w:rPr>
          <w:rFonts w:ascii="Times New Roman" w:hAnsi="Times New Roman" w:cs="Times New Roman"/>
        </w:rPr>
        <w:t>. (“U.S. GAAP”)</w:t>
      </w:r>
      <w:r w:rsidR="00157EB9">
        <w:rPr>
          <w:rFonts w:ascii="Times New Roman" w:hAnsi="Times New Roman" w:cs="Times New Roman"/>
        </w:rPr>
        <w:t xml:space="preserve"> is set out in Note 2</w:t>
      </w:r>
      <w:r w:rsidR="003116A0">
        <w:rPr>
          <w:rFonts w:ascii="Times New Roman" w:hAnsi="Times New Roman" w:cs="Times New Roman"/>
        </w:rPr>
        <w:t>4</w:t>
      </w:r>
      <w:r w:rsidR="00157EB9">
        <w:rPr>
          <w:rFonts w:ascii="Times New Roman" w:hAnsi="Times New Roman" w:cs="Times New Roman"/>
        </w:rPr>
        <w:t xml:space="preserve"> to these </w:t>
      </w:r>
      <w:r w:rsidR="00157EB9" w:rsidRPr="004F6500">
        <w:rPr>
          <w:rFonts w:ascii="Times New Roman" w:hAnsi="Times New Roman" w:cs="Times New Roman"/>
        </w:rPr>
        <w:t>unaudited condensed consolidated interim financial statements</w:t>
      </w:r>
      <w:r w:rsidR="00157EB9">
        <w:rPr>
          <w:rFonts w:ascii="Times New Roman" w:hAnsi="Times New Roman" w:cs="Times New Roman"/>
        </w:rPr>
        <w:t>.</w:t>
      </w:r>
      <w:r w:rsidR="008712FC">
        <w:rPr>
          <w:rFonts w:ascii="Times New Roman" w:hAnsi="Times New Roman" w:cs="Times New Roman"/>
        </w:rPr>
        <w:t xml:space="preserve"> </w:t>
      </w:r>
      <w:r w:rsidR="00157EB9">
        <w:rPr>
          <w:rFonts w:ascii="Times New Roman" w:hAnsi="Times New Roman" w:cs="Times New Roman"/>
        </w:rPr>
        <w:t xml:space="preserve"> </w:t>
      </w:r>
      <w:r w:rsidRPr="004F6500">
        <w:rPr>
          <w:rFonts w:ascii="Times New Roman" w:hAnsi="Times New Roman" w:cs="Times New Roman"/>
        </w:rPr>
        <w:t>The financial information presented in</w:t>
      </w:r>
      <w:r w:rsidR="00144C30">
        <w:rPr>
          <w:rFonts w:ascii="Times New Roman" w:hAnsi="Times New Roman" w:cs="Times New Roman"/>
        </w:rPr>
        <w:t xml:space="preserve"> this MD&amp;A is derived from the </w:t>
      </w:r>
      <w:r w:rsidR="00144C30" w:rsidRPr="004F6500">
        <w:rPr>
          <w:rFonts w:ascii="Times New Roman" w:hAnsi="Times New Roman" w:cs="Times New Roman"/>
        </w:rPr>
        <w:t xml:space="preserve">unaudited condensed consolidated interim </w:t>
      </w:r>
      <w:r w:rsidR="00144C30">
        <w:rPr>
          <w:rFonts w:ascii="Times New Roman" w:hAnsi="Times New Roman" w:cs="Times New Roman"/>
        </w:rPr>
        <w:t>financial s</w:t>
      </w:r>
      <w:r w:rsidRPr="004F6500">
        <w:rPr>
          <w:rFonts w:ascii="Times New Roman" w:hAnsi="Times New Roman" w:cs="Times New Roman"/>
        </w:rPr>
        <w:t xml:space="preserve">tatements. </w:t>
      </w:r>
    </w:p>
    <w:p w14:paraId="243EEE70" w14:textId="77777777" w:rsidR="0082726B" w:rsidRPr="004F6500" w:rsidRDefault="0082726B" w:rsidP="004F6500">
      <w:pPr>
        <w:spacing w:after="0" w:line="254" w:lineRule="auto"/>
        <w:jc w:val="both"/>
        <w:rPr>
          <w:rFonts w:ascii="Times New Roman" w:hAnsi="Times New Roman" w:cs="Times New Roman"/>
          <w:b/>
        </w:rPr>
      </w:pPr>
    </w:p>
    <w:p w14:paraId="1D4E16E1" w14:textId="77777777" w:rsidR="0082726B"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t>CAUTIONARY NOTE REGARDING FORWARD-LOOKING STATEMENTS</w:t>
      </w:r>
    </w:p>
    <w:p w14:paraId="57D0878F" w14:textId="77777777" w:rsidR="0082726B" w:rsidRPr="004F6500" w:rsidRDefault="0082726B" w:rsidP="004F6500">
      <w:pPr>
        <w:spacing w:after="0" w:line="254" w:lineRule="auto"/>
        <w:jc w:val="both"/>
        <w:rPr>
          <w:rFonts w:ascii="Times New Roman" w:hAnsi="Times New Roman" w:cs="Times New Roman"/>
        </w:rPr>
      </w:pPr>
    </w:p>
    <w:p w14:paraId="75ED6046" w14:textId="77777777" w:rsidR="00B0572C" w:rsidRDefault="00E048EA" w:rsidP="00F9356C">
      <w:pPr>
        <w:spacing w:after="0" w:line="254" w:lineRule="auto"/>
        <w:jc w:val="both"/>
        <w:rPr>
          <w:rFonts w:ascii="Times New Roman" w:hAnsi="Times New Roman" w:cs="Times New Roman"/>
          <w:b/>
        </w:rPr>
      </w:pPr>
      <w:r w:rsidRPr="004F6500">
        <w:rPr>
          <w:rFonts w:ascii="Times New Roman" w:hAnsi="Times New Roman" w:cs="Times New Roman"/>
        </w:rPr>
        <w:t>This MD&amp;A contains forward-looking information including the Company’s future plans. The use of any of the words “target”, “plans”, “anticipate”, “continue”, “estimate”, “expect”, “may”, “will”, “project”, “should”, “believe” and similar expressions are intended to identify forward-looking statements. Such forward looking information, including but not limited to statements pertaining to Company’s future plans and management’s belief as to the Company’s potential involve known and unknown risks, uncertainties and other factors which may cause the actual results of the Company and its operations to be materially different from estimated costs or results expressed or implied by such forward-looking statements. Forward looking information is based on management’s expectations regarding future growth, results of operations, future capital and other expenditures (including the amount, nature and sources of funding for such expenditures), business prospects and opportunities. Forward looking information involves significant known and unknown risks and uncertainties, which could cause actual results to differ materially from those anticipated. These risks include, but are not limited to: the risks associated with the commercial viability of any products the Company is in the process of developing, delays or changes in plans with respect to any products, costs and expenses, the risk of foreign exchange rate fluctuations, risks associated with securing the necessary regulatory approvals and financing to proceed with any planned business venture, product development, and risks and uncertainties regarding the potential to economically scale and bring to profitability any of the Company’s current or planned endeavors. Although the Company has attempted to take into account important factors that could cause actual costs or results to differ materially, there may be other factors that cause the results of the Company’s business to not to be as anticipated, estimated or intended.  There can be no assurance that such statements will prove to be accurate as actual results and future events could differ materially from those anticipated in such statements. See the “Risks and Uncertainties” section of this MD&amp;A for a further description of these risks. The forward-looking information included in this MD&amp;A is expressly qualified in its entirety by this cautionary statement. Accordingly, readers should not place undue reliance on forward-looking information</w:t>
      </w:r>
      <w:r w:rsidR="00F9356C">
        <w:rPr>
          <w:rFonts w:ascii="Times New Roman" w:hAnsi="Times New Roman" w:cs="Times New Roman"/>
        </w:rPr>
        <w:t>.</w:t>
      </w:r>
    </w:p>
    <w:p w14:paraId="2E9349C7" w14:textId="77777777" w:rsidR="00F9356C" w:rsidRDefault="00F9356C" w:rsidP="004F6500">
      <w:pPr>
        <w:spacing w:after="0" w:line="254" w:lineRule="auto"/>
        <w:jc w:val="both"/>
        <w:rPr>
          <w:rFonts w:ascii="Times New Roman" w:hAnsi="Times New Roman" w:cs="Times New Roman"/>
          <w:b/>
        </w:rPr>
        <w:sectPr w:rsidR="00F9356C">
          <w:headerReference w:type="default" r:id="rId8"/>
          <w:footerReference w:type="default" r:id="rId9"/>
          <w:pgSz w:w="12240" w:h="15840"/>
          <w:pgMar w:top="1440" w:right="1440" w:bottom="1440" w:left="1440" w:header="720" w:footer="720" w:gutter="0"/>
          <w:cols w:space="720"/>
          <w:docGrid w:linePitch="360"/>
        </w:sectPr>
      </w:pPr>
    </w:p>
    <w:p w14:paraId="638223F1" w14:textId="77777777" w:rsidR="004B0C50"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BUSINESS OVERVIEW</w:t>
      </w:r>
    </w:p>
    <w:p w14:paraId="12A9CDCA" w14:textId="77777777" w:rsidR="004B0C50" w:rsidRPr="004F6500" w:rsidRDefault="004B0C50" w:rsidP="004F6500">
      <w:pPr>
        <w:spacing w:after="0" w:line="254" w:lineRule="auto"/>
        <w:jc w:val="both"/>
        <w:rPr>
          <w:rFonts w:ascii="Times New Roman" w:hAnsi="Times New Roman" w:cs="Times New Roman"/>
          <w:b/>
        </w:rPr>
      </w:pPr>
    </w:p>
    <w:p w14:paraId="17486DD1" w14:textId="2B5030D7" w:rsidR="004B0C50" w:rsidRDefault="00CA0D0C" w:rsidP="004F6500">
      <w:pPr>
        <w:spacing w:after="0" w:line="254" w:lineRule="auto"/>
        <w:jc w:val="both"/>
        <w:rPr>
          <w:rFonts w:ascii="Times New Roman" w:hAnsi="Times New Roman" w:cs="Times New Roman"/>
        </w:rPr>
      </w:pPr>
      <w:r>
        <w:rPr>
          <w:rFonts w:ascii="Times New Roman" w:hAnsi="Times New Roman" w:cs="Times New Roman"/>
        </w:rPr>
        <w:t>BetterLife</w:t>
      </w:r>
      <w:r w:rsidR="004D6BD9" w:rsidRPr="004F6500">
        <w:rPr>
          <w:rFonts w:ascii="Times New Roman" w:hAnsi="Times New Roman" w:cs="Times New Roman"/>
        </w:rPr>
        <w:t xml:space="preserve"> is</w:t>
      </w:r>
      <w:r w:rsidR="00CD0764" w:rsidRPr="004F6500">
        <w:rPr>
          <w:rFonts w:ascii="Times New Roman" w:hAnsi="Times New Roman" w:cs="Times New Roman"/>
        </w:rPr>
        <w:t xml:space="preserve"> a publicly traded corporation </w:t>
      </w:r>
      <w:r w:rsidR="004B0C50" w:rsidRPr="004F6500">
        <w:rPr>
          <w:rFonts w:ascii="Times New Roman" w:hAnsi="Times New Roman" w:cs="Times New Roman"/>
        </w:rPr>
        <w:t xml:space="preserve">incorporated in the Province of British Columbia, Canada under the name “649186 B.C. Ltd.”, on June 10, 2002. On September 9, 2003, </w:t>
      </w:r>
      <w:r w:rsidR="004D6BD9" w:rsidRPr="004F6500">
        <w:rPr>
          <w:rFonts w:ascii="Times New Roman" w:hAnsi="Times New Roman" w:cs="Times New Roman"/>
        </w:rPr>
        <w:t>the Company</w:t>
      </w:r>
      <w:r w:rsidR="004B0C50" w:rsidRPr="004F6500">
        <w:rPr>
          <w:rFonts w:ascii="Times New Roman" w:hAnsi="Times New Roman" w:cs="Times New Roman"/>
        </w:rPr>
        <w:t xml:space="preserve"> changed </w:t>
      </w:r>
      <w:r w:rsidR="00144C30">
        <w:rPr>
          <w:rFonts w:ascii="Times New Roman" w:hAnsi="Times New Roman" w:cs="Times New Roman"/>
        </w:rPr>
        <w:t>its</w:t>
      </w:r>
      <w:r w:rsidR="004B0C50" w:rsidRPr="004F6500">
        <w:rPr>
          <w:rFonts w:ascii="Times New Roman" w:hAnsi="Times New Roman" w:cs="Times New Roman"/>
        </w:rPr>
        <w:t xml:space="preserve"> name to “Xerxes Health Corp.”</w:t>
      </w:r>
      <w:r w:rsidR="00CD0764" w:rsidRPr="004F6500">
        <w:rPr>
          <w:rFonts w:ascii="Times New Roman" w:hAnsi="Times New Roman" w:cs="Times New Roman"/>
        </w:rPr>
        <w:t xml:space="preserve"> on September 9, 2003,</w:t>
      </w:r>
      <w:r w:rsidR="004B0C50" w:rsidRPr="004F6500">
        <w:rPr>
          <w:rFonts w:ascii="Times New Roman" w:hAnsi="Times New Roman" w:cs="Times New Roman"/>
        </w:rPr>
        <w:t xml:space="preserve"> </w:t>
      </w:r>
      <w:r w:rsidR="00CD0764" w:rsidRPr="004F6500">
        <w:rPr>
          <w:rFonts w:ascii="Times New Roman" w:hAnsi="Times New Roman" w:cs="Times New Roman"/>
        </w:rPr>
        <w:t>to “Neurokine Pharmaceuticals Inc.”</w:t>
      </w:r>
      <w:r w:rsidR="004B0C50" w:rsidRPr="004F6500">
        <w:rPr>
          <w:rFonts w:ascii="Times New Roman" w:hAnsi="Times New Roman" w:cs="Times New Roman"/>
        </w:rPr>
        <w:t xml:space="preserve"> on June 26, 2007, </w:t>
      </w:r>
      <w:r w:rsidR="00CD0764" w:rsidRPr="004F6500">
        <w:rPr>
          <w:rFonts w:ascii="Times New Roman" w:hAnsi="Times New Roman" w:cs="Times New Roman"/>
        </w:rPr>
        <w:t>to “</w:t>
      </w:r>
      <w:r w:rsidR="00414A43">
        <w:rPr>
          <w:rFonts w:ascii="Times New Roman" w:hAnsi="Times New Roman" w:cs="Times New Roman"/>
        </w:rPr>
        <w:t>Pivot</w:t>
      </w:r>
      <w:r w:rsidR="00CD0764" w:rsidRPr="004F6500">
        <w:rPr>
          <w:rFonts w:ascii="Times New Roman" w:hAnsi="Times New Roman" w:cs="Times New Roman"/>
        </w:rPr>
        <w:t xml:space="preserve"> Pharmaceuticals Inc.” on April 7, 2015</w:t>
      </w:r>
      <w:r w:rsidR="00414A43">
        <w:rPr>
          <w:rFonts w:ascii="Times New Roman" w:hAnsi="Times New Roman" w:cs="Times New Roman"/>
        </w:rPr>
        <w:t xml:space="preserve"> and to “BetterLife Pharma Inc.” on December 5, 2019.</w:t>
      </w:r>
      <w:r w:rsidR="00CD0764" w:rsidRPr="004F6500">
        <w:rPr>
          <w:rFonts w:ascii="Times New Roman" w:hAnsi="Times New Roman" w:cs="Times New Roman"/>
        </w:rPr>
        <w:t xml:space="preserve">  </w:t>
      </w:r>
      <w:r w:rsidR="004D6BD9" w:rsidRPr="004F6500">
        <w:rPr>
          <w:rFonts w:ascii="Times New Roman" w:hAnsi="Times New Roman" w:cs="Times New Roman"/>
        </w:rPr>
        <w:t>The Company’s</w:t>
      </w:r>
      <w:r w:rsidR="00CD0764" w:rsidRPr="004F6500">
        <w:rPr>
          <w:rFonts w:ascii="Times New Roman" w:hAnsi="Times New Roman" w:cs="Times New Roman"/>
        </w:rPr>
        <w:t xml:space="preserve"> principal executive office is located at </w:t>
      </w:r>
      <w:r w:rsidR="00181DC8">
        <w:rPr>
          <w:rFonts w:ascii="Times New Roman" w:hAnsi="Times New Roman" w:cs="Times New Roman"/>
        </w:rPr>
        <w:t>2</w:t>
      </w:r>
      <w:r w:rsidR="00414A43">
        <w:rPr>
          <w:rFonts w:ascii="Times New Roman" w:hAnsi="Times New Roman" w:cs="Times New Roman"/>
        </w:rPr>
        <w:t>95 Kesmark Street</w:t>
      </w:r>
      <w:r w:rsidR="00CD0764" w:rsidRPr="004F6500">
        <w:rPr>
          <w:rFonts w:ascii="Times New Roman" w:hAnsi="Times New Roman" w:cs="Times New Roman"/>
        </w:rPr>
        <w:t xml:space="preserve">, </w:t>
      </w:r>
      <w:r w:rsidR="00414A43">
        <w:rPr>
          <w:rFonts w:ascii="Times New Roman" w:hAnsi="Times New Roman" w:cs="Times New Roman"/>
        </w:rPr>
        <w:t>Dollard-des-Ormeaux</w:t>
      </w:r>
      <w:r w:rsidR="00CD0764" w:rsidRPr="004F6500">
        <w:rPr>
          <w:rFonts w:ascii="Times New Roman" w:hAnsi="Times New Roman" w:cs="Times New Roman"/>
        </w:rPr>
        <w:t xml:space="preserve">, </w:t>
      </w:r>
      <w:r w:rsidR="00414A43">
        <w:rPr>
          <w:rFonts w:ascii="Times New Roman" w:hAnsi="Times New Roman" w:cs="Times New Roman"/>
        </w:rPr>
        <w:t>Q.C.</w:t>
      </w:r>
      <w:r w:rsidR="00CD0764" w:rsidRPr="004F6500">
        <w:rPr>
          <w:rFonts w:ascii="Times New Roman" w:hAnsi="Times New Roman" w:cs="Times New Roman"/>
        </w:rPr>
        <w:t xml:space="preserve"> Canada </w:t>
      </w:r>
      <w:r w:rsidR="00414A43">
        <w:rPr>
          <w:rFonts w:ascii="Times New Roman" w:hAnsi="Times New Roman" w:cs="Times New Roman"/>
        </w:rPr>
        <w:t>H9B 3J1</w:t>
      </w:r>
      <w:r w:rsidR="00CD0764" w:rsidRPr="004F6500">
        <w:rPr>
          <w:rFonts w:ascii="Times New Roman" w:hAnsi="Times New Roman" w:cs="Times New Roman"/>
        </w:rPr>
        <w:t xml:space="preserve">.  </w:t>
      </w:r>
      <w:r>
        <w:rPr>
          <w:rFonts w:ascii="Times New Roman" w:hAnsi="Times New Roman" w:cs="Times New Roman"/>
        </w:rPr>
        <w:t>BetterLife</w:t>
      </w:r>
      <w:r w:rsidR="004D6BD9" w:rsidRPr="004F6500">
        <w:rPr>
          <w:rFonts w:ascii="Times New Roman" w:hAnsi="Times New Roman" w:cs="Times New Roman"/>
        </w:rPr>
        <w:t>’s</w:t>
      </w:r>
      <w:r w:rsidR="00CD0764" w:rsidRPr="004F6500">
        <w:rPr>
          <w:rFonts w:ascii="Times New Roman" w:hAnsi="Times New Roman" w:cs="Times New Roman"/>
        </w:rPr>
        <w:t xml:space="preserve"> common shares are traded on the Canadian Securities Exchange under the symbol “</w:t>
      </w:r>
      <w:r w:rsidR="00414A43">
        <w:rPr>
          <w:rFonts w:ascii="Times New Roman" w:hAnsi="Times New Roman" w:cs="Times New Roman"/>
        </w:rPr>
        <w:t>BETR</w:t>
      </w:r>
      <w:r w:rsidR="00CD0764" w:rsidRPr="004F6500">
        <w:rPr>
          <w:rFonts w:ascii="Times New Roman" w:hAnsi="Times New Roman" w:cs="Times New Roman"/>
        </w:rPr>
        <w:t>”.</w:t>
      </w:r>
    </w:p>
    <w:p w14:paraId="10DA395A" w14:textId="77777777" w:rsidR="00EB3AA0" w:rsidRPr="004F6500" w:rsidRDefault="00EB3AA0" w:rsidP="004F6500">
      <w:pPr>
        <w:spacing w:after="0" w:line="254" w:lineRule="auto"/>
        <w:jc w:val="both"/>
        <w:rPr>
          <w:rFonts w:ascii="Times New Roman" w:hAnsi="Times New Roman" w:cs="Times New Roman"/>
        </w:rPr>
      </w:pPr>
    </w:p>
    <w:p w14:paraId="26F9DB43" w14:textId="3E6E62B3" w:rsidR="00181DC8" w:rsidRPr="00EB3AA0" w:rsidRDefault="00181DC8" w:rsidP="00EB3AA0">
      <w:pPr>
        <w:spacing w:after="0" w:line="254" w:lineRule="auto"/>
        <w:jc w:val="both"/>
        <w:rPr>
          <w:rFonts w:ascii="Times New Roman" w:hAnsi="Times New Roman" w:cs="Times New Roman"/>
          <w:color w:val="000000" w:themeColor="text1"/>
        </w:rPr>
      </w:pPr>
      <w:r w:rsidRPr="00EB3AA0">
        <w:rPr>
          <w:rFonts w:ascii="Times New Roman" w:hAnsi="Times New Roman" w:cs="Times New Roman"/>
          <w:color w:val="000000" w:themeColor="text1"/>
        </w:rPr>
        <w:t xml:space="preserve">BetterLife is a science-based innovative medical wellness company aspiring to offer high-quality preventive and self-care products to its customers. BetterLife has developed pharmaceutical grade products including </w:t>
      </w:r>
      <w:r w:rsidR="00EB3AA0" w:rsidRPr="004F6500">
        <w:rPr>
          <w:rFonts w:ascii="Times New Roman" w:hAnsi="Times New Roman" w:cs="Times New Roman"/>
        </w:rPr>
        <w:t xml:space="preserve">cannabidiol </w:t>
      </w:r>
      <w:r w:rsidR="00EB3AA0">
        <w:rPr>
          <w:rFonts w:ascii="Times New Roman" w:hAnsi="Times New Roman" w:cs="Times New Roman"/>
        </w:rPr>
        <w:t>(“</w:t>
      </w:r>
      <w:r w:rsidRPr="00EB3AA0">
        <w:rPr>
          <w:rFonts w:ascii="Times New Roman" w:hAnsi="Times New Roman" w:cs="Times New Roman"/>
          <w:color w:val="000000" w:themeColor="text1"/>
        </w:rPr>
        <w:t>CBD</w:t>
      </w:r>
      <w:r w:rsidR="00EB3AA0">
        <w:rPr>
          <w:rFonts w:ascii="Times New Roman" w:hAnsi="Times New Roman" w:cs="Times New Roman"/>
          <w:color w:val="000000" w:themeColor="text1"/>
        </w:rPr>
        <w:t>”)</w:t>
      </w:r>
      <w:r w:rsidRPr="00EB3AA0">
        <w:rPr>
          <w:rFonts w:ascii="Times New Roman" w:hAnsi="Times New Roman" w:cs="Times New Roman"/>
          <w:color w:val="000000" w:themeColor="text1"/>
        </w:rPr>
        <w:t>, phytocannabinoid and micronutrient derived formulations utilizing proprietary drug delivery technologies that are unique, patent protected and with clear superior benefits to the user such as high absorption, low bioburden and ease of use. BetterLife is uniquely positioned to execute on its brand leader strategy in its main markets in Germany, US and Canada.</w:t>
      </w:r>
    </w:p>
    <w:p w14:paraId="21E5D3B7" w14:textId="77777777" w:rsidR="00181DC8" w:rsidRPr="00EB3AA0" w:rsidRDefault="00181DC8" w:rsidP="004F6500">
      <w:pPr>
        <w:spacing w:after="0" w:line="254" w:lineRule="auto"/>
        <w:jc w:val="both"/>
        <w:rPr>
          <w:rFonts w:ascii="Times New Roman" w:hAnsi="Times New Roman" w:cs="Times New Roman"/>
          <w:color w:val="FF0000"/>
        </w:rPr>
      </w:pPr>
    </w:p>
    <w:p w14:paraId="160F0884" w14:textId="0B351C15" w:rsidR="00CD0764" w:rsidRPr="003116A0" w:rsidRDefault="00144C30" w:rsidP="004F6500">
      <w:pPr>
        <w:spacing w:after="0" w:line="254" w:lineRule="auto"/>
        <w:jc w:val="both"/>
        <w:rPr>
          <w:rFonts w:ascii="Times New Roman" w:hAnsi="Times New Roman" w:cs="Times New Roman"/>
        </w:rPr>
      </w:pPr>
      <w:r w:rsidRPr="003116A0">
        <w:rPr>
          <w:rFonts w:ascii="Times New Roman" w:hAnsi="Times New Roman" w:cs="Times New Roman"/>
        </w:rPr>
        <w:t>The Company has</w:t>
      </w:r>
      <w:r w:rsidR="00CD0764" w:rsidRPr="003116A0">
        <w:rPr>
          <w:rFonts w:ascii="Times New Roman" w:hAnsi="Times New Roman" w:cs="Times New Roman"/>
        </w:rPr>
        <w:t xml:space="preserve"> invested in the acquisition and licensing of patented drug delivery technologies and </w:t>
      </w:r>
      <w:r w:rsidRPr="003116A0">
        <w:rPr>
          <w:rFonts w:ascii="Times New Roman" w:hAnsi="Times New Roman" w:cs="Times New Roman"/>
        </w:rPr>
        <w:t>has</w:t>
      </w:r>
      <w:r w:rsidR="00CD0764" w:rsidRPr="003116A0">
        <w:rPr>
          <w:rFonts w:ascii="Times New Roman" w:hAnsi="Times New Roman" w:cs="Times New Roman"/>
        </w:rPr>
        <w:t xml:space="preserve"> developed and tested differentiated cannabis formulations. </w:t>
      </w:r>
      <w:r w:rsidRPr="003116A0">
        <w:rPr>
          <w:rFonts w:ascii="Times New Roman" w:hAnsi="Times New Roman" w:cs="Times New Roman"/>
        </w:rPr>
        <w:t>Its</w:t>
      </w:r>
      <w:r w:rsidR="00CD0764" w:rsidRPr="003116A0">
        <w:rPr>
          <w:rFonts w:ascii="Times New Roman" w:hAnsi="Times New Roman" w:cs="Times New Roman"/>
        </w:rPr>
        <w:t xml:space="preserve"> products will be manufactured at current Good Manufacturing Practices (“GMP”) accredited facilities in Canada</w:t>
      </w:r>
      <w:r w:rsidR="00A447EA" w:rsidRPr="003116A0">
        <w:rPr>
          <w:rFonts w:ascii="Times New Roman" w:hAnsi="Times New Roman" w:cs="Times New Roman"/>
        </w:rPr>
        <w:t xml:space="preserve"> (50,000-sq. ft. cGMP facility located in Montreal, Quebec)</w:t>
      </w:r>
      <w:r w:rsidR="00CD0764" w:rsidRPr="003116A0">
        <w:rPr>
          <w:rFonts w:ascii="Times New Roman" w:hAnsi="Times New Roman" w:cs="Times New Roman"/>
        </w:rPr>
        <w:t xml:space="preserve">, United States and Germany. </w:t>
      </w:r>
    </w:p>
    <w:p w14:paraId="59C669F2" w14:textId="77777777" w:rsidR="00CD0764" w:rsidRPr="003116A0" w:rsidRDefault="00CD0764" w:rsidP="004F6500">
      <w:pPr>
        <w:spacing w:after="0" w:line="254" w:lineRule="auto"/>
        <w:jc w:val="both"/>
        <w:rPr>
          <w:rFonts w:ascii="Times New Roman" w:hAnsi="Times New Roman" w:cs="Times New Roman"/>
        </w:rPr>
      </w:pPr>
    </w:p>
    <w:p w14:paraId="2BDB5962" w14:textId="37E90404" w:rsidR="00CD0764" w:rsidRPr="003116A0" w:rsidRDefault="00144C30" w:rsidP="004F6500">
      <w:pPr>
        <w:spacing w:after="0" w:line="254" w:lineRule="auto"/>
        <w:jc w:val="both"/>
        <w:rPr>
          <w:rFonts w:ascii="Times New Roman" w:hAnsi="Times New Roman" w:cs="Times New Roman"/>
        </w:rPr>
      </w:pPr>
      <w:r w:rsidRPr="003116A0">
        <w:rPr>
          <w:rFonts w:ascii="Times New Roman" w:hAnsi="Times New Roman" w:cs="Times New Roman"/>
        </w:rPr>
        <w:t>The Company’s</w:t>
      </w:r>
      <w:r w:rsidR="00CD0764" w:rsidRPr="003116A0">
        <w:rPr>
          <w:rFonts w:ascii="Times New Roman" w:hAnsi="Times New Roman" w:cs="Times New Roman"/>
        </w:rPr>
        <w:t xml:space="preserve"> premium branded product line includes tablets, capsules and soft gels, bulk powder, stick packs, infused beverages, oral solutions, lotions, creams, gels, gums, mints, candies</w:t>
      </w:r>
      <w:r w:rsidR="003116A0">
        <w:rPr>
          <w:rFonts w:ascii="Times New Roman" w:hAnsi="Times New Roman" w:cs="Times New Roman"/>
        </w:rPr>
        <w:t xml:space="preserve"> and </w:t>
      </w:r>
      <w:r w:rsidR="00CD0764" w:rsidRPr="003116A0">
        <w:rPr>
          <w:rFonts w:ascii="Times New Roman" w:hAnsi="Times New Roman" w:cs="Times New Roman"/>
        </w:rPr>
        <w:t>intimate lubricant.</w:t>
      </w:r>
    </w:p>
    <w:p w14:paraId="1900D0BB" w14:textId="77777777" w:rsidR="00CD0764" w:rsidRPr="003116A0" w:rsidRDefault="00CD0764" w:rsidP="004F6500">
      <w:pPr>
        <w:spacing w:after="0" w:line="254" w:lineRule="auto"/>
        <w:jc w:val="both"/>
        <w:rPr>
          <w:rFonts w:ascii="Times New Roman" w:hAnsi="Times New Roman" w:cs="Times New Roman"/>
        </w:rPr>
      </w:pPr>
    </w:p>
    <w:p w14:paraId="4F545E63" w14:textId="77777777" w:rsidR="00CD0764" w:rsidRPr="003116A0" w:rsidRDefault="00144C30" w:rsidP="004F6500">
      <w:pPr>
        <w:spacing w:after="0" w:line="254" w:lineRule="auto"/>
        <w:jc w:val="both"/>
        <w:rPr>
          <w:rFonts w:ascii="Times New Roman" w:hAnsi="Times New Roman" w:cs="Times New Roman"/>
        </w:rPr>
      </w:pPr>
      <w:r w:rsidRPr="003116A0">
        <w:rPr>
          <w:rFonts w:ascii="Times New Roman" w:hAnsi="Times New Roman" w:cs="Times New Roman"/>
        </w:rPr>
        <w:t>The Company’s</w:t>
      </w:r>
      <w:r w:rsidR="00CD0764" w:rsidRPr="003116A0">
        <w:rPr>
          <w:rFonts w:ascii="Times New Roman" w:hAnsi="Times New Roman" w:cs="Times New Roman"/>
        </w:rPr>
        <w:t xml:space="preserve"> strategic priorities are to:</w:t>
      </w:r>
    </w:p>
    <w:p w14:paraId="72B5EE9A" w14:textId="77777777" w:rsidR="00CD0764" w:rsidRPr="003116A0" w:rsidRDefault="00CD0764" w:rsidP="004F6500">
      <w:pPr>
        <w:spacing w:after="0" w:line="254" w:lineRule="auto"/>
        <w:jc w:val="both"/>
        <w:rPr>
          <w:rFonts w:ascii="Times New Roman" w:hAnsi="Times New Roman" w:cs="Times New Roman"/>
        </w:rPr>
      </w:pPr>
    </w:p>
    <w:p w14:paraId="488F86B3" w14:textId="77777777" w:rsidR="00CD0764" w:rsidRPr="003116A0" w:rsidRDefault="00CD0764" w:rsidP="004F6500">
      <w:pPr>
        <w:pStyle w:val="ListParagraph"/>
        <w:numPr>
          <w:ilvl w:val="0"/>
          <w:numId w:val="5"/>
        </w:numPr>
        <w:spacing w:after="0" w:line="254" w:lineRule="auto"/>
        <w:jc w:val="both"/>
        <w:rPr>
          <w:rFonts w:ascii="Times New Roman" w:hAnsi="Times New Roman" w:cs="Times New Roman"/>
        </w:rPr>
      </w:pPr>
      <w:r w:rsidRPr="003116A0">
        <w:rPr>
          <w:rFonts w:ascii="Times New Roman" w:hAnsi="Times New Roman" w:cs="Times New Roman"/>
        </w:rPr>
        <w:t xml:space="preserve">Continue to build </w:t>
      </w:r>
      <w:r w:rsidR="00144C30" w:rsidRPr="003116A0">
        <w:rPr>
          <w:rFonts w:ascii="Times New Roman" w:hAnsi="Times New Roman" w:cs="Times New Roman"/>
        </w:rPr>
        <w:t>its</w:t>
      </w:r>
      <w:r w:rsidRPr="003116A0">
        <w:rPr>
          <w:rFonts w:ascii="Times New Roman" w:hAnsi="Times New Roman" w:cs="Times New Roman"/>
        </w:rPr>
        <w:t xml:space="preserve"> industry leading portfolio of patented drug delivery technologies;</w:t>
      </w:r>
    </w:p>
    <w:p w14:paraId="452F6B80" w14:textId="0F830C00" w:rsidR="00CD0764" w:rsidRPr="003116A0" w:rsidRDefault="00CD0764" w:rsidP="004F6500">
      <w:pPr>
        <w:pStyle w:val="ListParagraph"/>
        <w:numPr>
          <w:ilvl w:val="0"/>
          <w:numId w:val="5"/>
        </w:numPr>
        <w:spacing w:after="0" w:line="254" w:lineRule="auto"/>
        <w:jc w:val="both"/>
        <w:rPr>
          <w:rFonts w:ascii="Times New Roman" w:hAnsi="Times New Roman" w:cs="Times New Roman"/>
        </w:rPr>
      </w:pPr>
      <w:r w:rsidRPr="003116A0">
        <w:rPr>
          <w:rFonts w:ascii="Times New Roman" w:hAnsi="Times New Roman" w:cs="Times New Roman"/>
        </w:rPr>
        <w:t xml:space="preserve">Commercialize </w:t>
      </w:r>
      <w:r w:rsidR="00144C30" w:rsidRPr="003116A0">
        <w:rPr>
          <w:rFonts w:ascii="Times New Roman" w:hAnsi="Times New Roman" w:cs="Times New Roman"/>
        </w:rPr>
        <w:t>its</w:t>
      </w:r>
      <w:r w:rsidRPr="003116A0">
        <w:rPr>
          <w:rFonts w:ascii="Times New Roman" w:hAnsi="Times New Roman" w:cs="Times New Roman"/>
        </w:rPr>
        <w:t xml:space="preserve"> </w:t>
      </w:r>
      <w:r w:rsidR="00181DC8">
        <w:rPr>
          <w:rFonts w:ascii="Times New Roman" w:hAnsi="Times New Roman" w:cs="Times New Roman"/>
        </w:rPr>
        <w:t xml:space="preserve">phytocannabinoid </w:t>
      </w:r>
      <w:r w:rsidRPr="003116A0">
        <w:rPr>
          <w:rFonts w:ascii="Times New Roman" w:hAnsi="Times New Roman" w:cs="Times New Roman"/>
        </w:rPr>
        <w:t>cannabis product lines;</w:t>
      </w:r>
    </w:p>
    <w:p w14:paraId="473BEB9C" w14:textId="77777777" w:rsidR="00CD0764" w:rsidRPr="003116A0" w:rsidRDefault="00CD0764" w:rsidP="004F6500">
      <w:pPr>
        <w:pStyle w:val="ListParagraph"/>
        <w:numPr>
          <w:ilvl w:val="0"/>
          <w:numId w:val="5"/>
        </w:numPr>
        <w:spacing w:after="0" w:line="254" w:lineRule="auto"/>
        <w:jc w:val="both"/>
        <w:rPr>
          <w:rFonts w:ascii="Times New Roman" w:hAnsi="Times New Roman" w:cs="Times New Roman"/>
        </w:rPr>
      </w:pPr>
      <w:r w:rsidRPr="003116A0">
        <w:rPr>
          <w:rFonts w:ascii="Times New Roman" w:hAnsi="Times New Roman" w:cs="Times New Roman"/>
        </w:rPr>
        <w:t xml:space="preserve">Secure global distribution channels for </w:t>
      </w:r>
      <w:r w:rsidR="00144C30" w:rsidRPr="003116A0">
        <w:rPr>
          <w:rFonts w:ascii="Times New Roman" w:hAnsi="Times New Roman" w:cs="Times New Roman"/>
        </w:rPr>
        <w:t>its</w:t>
      </w:r>
      <w:r w:rsidRPr="003116A0">
        <w:rPr>
          <w:rFonts w:ascii="Times New Roman" w:hAnsi="Times New Roman" w:cs="Times New Roman"/>
        </w:rPr>
        <w:t xml:space="preserve"> product lines; and</w:t>
      </w:r>
    </w:p>
    <w:p w14:paraId="60CA9EE7" w14:textId="77777777" w:rsidR="00CD0764" w:rsidRPr="003116A0" w:rsidRDefault="00CD0764" w:rsidP="004F6500">
      <w:pPr>
        <w:pStyle w:val="ListParagraph"/>
        <w:numPr>
          <w:ilvl w:val="0"/>
          <w:numId w:val="5"/>
        </w:numPr>
        <w:spacing w:after="0" w:line="254" w:lineRule="auto"/>
        <w:jc w:val="both"/>
        <w:rPr>
          <w:rFonts w:ascii="Times New Roman" w:hAnsi="Times New Roman" w:cs="Times New Roman"/>
        </w:rPr>
      </w:pPr>
      <w:r w:rsidRPr="003116A0">
        <w:rPr>
          <w:rFonts w:ascii="Times New Roman" w:hAnsi="Times New Roman" w:cs="Times New Roman"/>
        </w:rPr>
        <w:t xml:space="preserve">Establish partnerships with large and specialty pharmaceutical companies and/or biotechnology companies to collaboratively develop and/or commercialize certain products in </w:t>
      </w:r>
      <w:r w:rsidR="00144C30" w:rsidRPr="003116A0">
        <w:rPr>
          <w:rFonts w:ascii="Times New Roman" w:hAnsi="Times New Roman" w:cs="Times New Roman"/>
        </w:rPr>
        <w:t>its</w:t>
      </w:r>
      <w:r w:rsidRPr="003116A0">
        <w:rPr>
          <w:rFonts w:ascii="Times New Roman" w:hAnsi="Times New Roman" w:cs="Times New Roman"/>
        </w:rPr>
        <w:t xml:space="preserve"> portfolio.</w:t>
      </w:r>
    </w:p>
    <w:p w14:paraId="583EFEF3" w14:textId="77777777" w:rsidR="00CD0764" w:rsidRPr="003116A0" w:rsidRDefault="00CD0764" w:rsidP="004F6500">
      <w:pPr>
        <w:spacing w:after="0" w:line="254" w:lineRule="auto"/>
        <w:jc w:val="both"/>
        <w:rPr>
          <w:rFonts w:ascii="Times New Roman" w:hAnsi="Times New Roman" w:cs="Times New Roman"/>
        </w:rPr>
      </w:pPr>
    </w:p>
    <w:p w14:paraId="03C793DC" w14:textId="31702295" w:rsidR="00223484" w:rsidRPr="004F6500" w:rsidRDefault="00144C30" w:rsidP="004F6500">
      <w:pPr>
        <w:spacing w:after="0" w:line="254" w:lineRule="auto"/>
        <w:jc w:val="both"/>
        <w:rPr>
          <w:rFonts w:ascii="Times New Roman" w:hAnsi="Times New Roman" w:cs="Times New Roman"/>
        </w:rPr>
      </w:pPr>
      <w:r w:rsidRPr="003116A0">
        <w:rPr>
          <w:rFonts w:ascii="Times New Roman" w:hAnsi="Times New Roman" w:cs="Times New Roman"/>
        </w:rPr>
        <w:t>The Company’s</w:t>
      </w:r>
      <w:r w:rsidR="00223484" w:rsidRPr="003116A0">
        <w:rPr>
          <w:rFonts w:ascii="Times New Roman" w:hAnsi="Times New Roman" w:cs="Times New Roman"/>
        </w:rPr>
        <w:t xml:space="preserve"> management team has implemented a business-minded and cost-conscious approach to product research and development by focusing on development of </w:t>
      </w:r>
      <w:r w:rsidR="00181DC8">
        <w:rPr>
          <w:rFonts w:ascii="Times New Roman" w:hAnsi="Times New Roman" w:cs="Times New Roman"/>
        </w:rPr>
        <w:t>phytocannabinoids</w:t>
      </w:r>
      <w:r w:rsidR="00223484" w:rsidRPr="003116A0">
        <w:rPr>
          <w:rFonts w:ascii="Times New Roman" w:hAnsi="Times New Roman" w:cs="Times New Roman"/>
        </w:rPr>
        <w:t xml:space="preserve"> nutraceuticals and selling the finished products into markets where regulations permit.  </w:t>
      </w:r>
      <w:r w:rsidRPr="003116A0">
        <w:rPr>
          <w:rFonts w:ascii="Times New Roman" w:hAnsi="Times New Roman" w:cs="Times New Roman"/>
        </w:rPr>
        <w:t>The Company</w:t>
      </w:r>
      <w:r w:rsidR="00223484" w:rsidRPr="003116A0">
        <w:rPr>
          <w:rFonts w:ascii="Times New Roman" w:hAnsi="Times New Roman" w:cs="Times New Roman"/>
        </w:rPr>
        <w:t xml:space="preserve"> will use contract development and manufacturing organizations on a fee for service </w:t>
      </w:r>
      <w:r w:rsidRPr="003116A0">
        <w:rPr>
          <w:rFonts w:ascii="Times New Roman" w:hAnsi="Times New Roman" w:cs="Times New Roman"/>
        </w:rPr>
        <w:t>basis to perform any research,</w:t>
      </w:r>
      <w:r w:rsidR="00223484" w:rsidRPr="003116A0">
        <w:rPr>
          <w:rFonts w:ascii="Times New Roman" w:hAnsi="Times New Roman" w:cs="Times New Roman"/>
        </w:rPr>
        <w:t xml:space="preserve"> development </w:t>
      </w:r>
      <w:r w:rsidRPr="003116A0">
        <w:rPr>
          <w:rFonts w:ascii="Times New Roman" w:hAnsi="Times New Roman" w:cs="Times New Roman"/>
        </w:rPr>
        <w:t xml:space="preserve">or production </w:t>
      </w:r>
      <w:r w:rsidR="00223484" w:rsidRPr="003116A0">
        <w:rPr>
          <w:rFonts w:ascii="Times New Roman" w:hAnsi="Times New Roman" w:cs="Times New Roman"/>
        </w:rPr>
        <w:t>that is required.</w:t>
      </w:r>
    </w:p>
    <w:p w14:paraId="1A8021C3" w14:textId="77777777" w:rsidR="00794C09" w:rsidRPr="004F6500" w:rsidRDefault="00794C09" w:rsidP="004F6500">
      <w:pPr>
        <w:spacing w:after="0" w:line="254" w:lineRule="auto"/>
        <w:jc w:val="both"/>
        <w:rPr>
          <w:rFonts w:ascii="Times New Roman" w:hAnsi="Times New Roman" w:cs="Times New Roman"/>
        </w:rPr>
      </w:pPr>
    </w:p>
    <w:p w14:paraId="409BEA37" w14:textId="77777777" w:rsidR="00794C09" w:rsidRPr="004F6500" w:rsidRDefault="00794C09" w:rsidP="004F6500">
      <w:pPr>
        <w:spacing w:after="0" w:line="254" w:lineRule="auto"/>
        <w:jc w:val="both"/>
        <w:rPr>
          <w:rFonts w:ascii="Times New Roman" w:hAnsi="Times New Roman" w:cs="Times New Roman"/>
          <w:b/>
        </w:rPr>
      </w:pPr>
      <w:r w:rsidRPr="004F6500">
        <w:rPr>
          <w:rFonts w:ascii="Times New Roman" w:hAnsi="Times New Roman" w:cs="Times New Roman"/>
          <w:b/>
        </w:rPr>
        <w:t>Business Developments</w:t>
      </w:r>
    </w:p>
    <w:p w14:paraId="3875188C" w14:textId="77777777" w:rsidR="00794C09" w:rsidRPr="004F6500" w:rsidRDefault="00794C09" w:rsidP="004F6500">
      <w:pPr>
        <w:spacing w:after="0" w:line="254" w:lineRule="auto"/>
        <w:jc w:val="both"/>
        <w:rPr>
          <w:rFonts w:ascii="Times New Roman" w:hAnsi="Times New Roman" w:cs="Times New Roman"/>
          <w:b/>
        </w:rPr>
      </w:pPr>
    </w:p>
    <w:p w14:paraId="7F3B8128" w14:textId="46ED6D52"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September 12, 2017, </w:t>
      </w:r>
      <w:r w:rsidR="00CA0D0C">
        <w:rPr>
          <w:rFonts w:ascii="Times New Roman" w:hAnsi="Times New Roman" w:cs="Times New Roman"/>
        </w:rPr>
        <w:t>BetterLife</w:t>
      </w:r>
      <w:r w:rsidRPr="004F6500">
        <w:rPr>
          <w:rFonts w:ascii="Times New Roman" w:hAnsi="Times New Roman" w:cs="Times New Roman"/>
        </w:rPr>
        <w:t xml:space="preserve"> entered into a licensing agreement with Altum Pharmaceuticals Inc. (“Altum”) whereby </w:t>
      </w:r>
      <w:r w:rsidR="00144C30">
        <w:rPr>
          <w:rFonts w:ascii="Times New Roman" w:hAnsi="Times New Roman" w:cs="Times New Roman"/>
        </w:rPr>
        <w:t>the Company was</w:t>
      </w:r>
      <w:r w:rsidRPr="004F6500">
        <w:rPr>
          <w:rFonts w:ascii="Times New Roman" w:hAnsi="Times New Roman" w:cs="Times New Roman"/>
        </w:rPr>
        <w:t xml:space="preserve"> granted worldwide rights to BiPhasix Transdermal Drug Delivery Technology (“BiPhasix Technology”) for the delivery and commercialization of cannabinoids, and tetrahydrocannabinol (“THC”) based products.  Financial consideration included:</w:t>
      </w:r>
    </w:p>
    <w:p w14:paraId="28D6D49E" w14:textId="77777777" w:rsidR="00794C09" w:rsidRPr="004F6500" w:rsidRDefault="00794C09" w:rsidP="004F6500">
      <w:pPr>
        <w:spacing w:after="0" w:line="254" w:lineRule="auto"/>
        <w:jc w:val="both"/>
        <w:rPr>
          <w:rFonts w:ascii="Times New Roman" w:hAnsi="Times New Roman" w:cs="Times New Roman"/>
        </w:rPr>
      </w:pPr>
    </w:p>
    <w:p w14:paraId="54A77941" w14:textId="77777777"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 xml:space="preserve">Issuance of 2,500,000 </w:t>
      </w:r>
      <w:r w:rsidR="00144C30">
        <w:rPr>
          <w:rFonts w:ascii="Times New Roman" w:hAnsi="Times New Roman" w:cs="Times New Roman"/>
        </w:rPr>
        <w:t>common shares</w:t>
      </w:r>
      <w:r w:rsidRPr="004F6500">
        <w:rPr>
          <w:rFonts w:ascii="Times New Roman" w:hAnsi="Times New Roman" w:cs="Times New Roman"/>
        </w:rPr>
        <w:t xml:space="preserve"> on effective date of agreement;</w:t>
      </w:r>
      <w:r w:rsidRPr="004F6500">
        <w:rPr>
          <w:rFonts w:ascii="Times New Roman" w:hAnsi="Times New Roman" w:cs="Times New Roman"/>
        </w:rPr>
        <w:tab/>
      </w:r>
    </w:p>
    <w:p w14:paraId="37E393DF" w14:textId="77777777"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lastRenderedPageBreak/>
        <w:t xml:space="preserve">Issuance of 2,500,000 </w:t>
      </w:r>
      <w:r w:rsidR="00144C30">
        <w:rPr>
          <w:rFonts w:ascii="Times New Roman" w:hAnsi="Times New Roman" w:cs="Times New Roman"/>
        </w:rPr>
        <w:t>common shares</w:t>
      </w:r>
      <w:r w:rsidRPr="004F6500">
        <w:rPr>
          <w:rFonts w:ascii="Times New Roman" w:hAnsi="Times New Roman" w:cs="Times New Roman"/>
        </w:rPr>
        <w:t xml:space="preserve"> upon Health Canada Natural Product Number (“NPN”) approval; </w:t>
      </w:r>
    </w:p>
    <w:p w14:paraId="30ACA303" w14:textId="77777777"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Royalties on annual gross sales; and</w:t>
      </w:r>
    </w:p>
    <w:p w14:paraId="69F66B20" w14:textId="77777777" w:rsidR="00794C09" w:rsidRPr="004F6500" w:rsidRDefault="00794C09" w:rsidP="004F6500">
      <w:pPr>
        <w:pStyle w:val="ListParagraph"/>
        <w:numPr>
          <w:ilvl w:val="0"/>
          <w:numId w:val="8"/>
        </w:numPr>
        <w:spacing w:after="0" w:line="254" w:lineRule="auto"/>
        <w:jc w:val="both"/>
        <w:rPr>
          <w:rFonts w:ascii="Times New Roman" w:hAnsi="Times New Roman" w:cs="Times New Roman"/>
        </w:rPr>
      </w:pPr>
      <w:r w:rsidRPr="004F6500">
        <w:rPr>
          <w:rFonts w:ascii="Times New Roman" w:hAnsi="Times New Roman" w:cs="Times New Roman"/>
        </w:rPr>
        <w:t>For pharmaceutical products, milestone payments payable upon first Investigative New Drug Approval, upon positive outcome of Phase II trial in first indication, and upon New Drug Application approval.</w:t>
      </w:r>
    </w:p>
    <w:p w14:paraId="2D789DF1" w14:textId="77777777" w:rsidR="00794C09" w:rsidRPr="004F6500" w:rsidRDefault="00794C09" w:rsidP="004F6500">
      <w:pPr>
        <w:spacing w:after="0" w:line="254" w:lineRule="auto"/>
        <w:jc w:val="both"/>
        <w:rPr>
          <w:rFonts w:ascii="Times New Roman" w:hAnsi="Times New Roman" w:cs="Times New Roman"/>
        </w:rPr>
      </w:pPr>
    </w:p>
    <w:p w14:paraId="074FEEEF" w14:textId="072762B3"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February 28, 2018, </w:t>
      </w:r>
      <w:r w:rsidR="00CA0D0C">
        <w:rPr>
          <w:rFonts w:ascii="Times New Roman" w:hAnsi="Times New Roman" w:cs="Times New Roman"/>
        </w:rPr>
        <w:t>BetterLife</w:t>
      </w:r>
      <w:r w:rsidRPr="004F6500">
        <w:rPr>
          <w:rFonts w:ascii="Times New Roman" w:hAnsi="Times New Roman" w:cs="Times New Roman"/>
        </w:rPr>
        <w:t xml:space="preserve"> completed the acquisition of </w:t>
      </w:r>
      <w:r w:rsidR="00414A43">
        <w:rPr>
          <w:rFonts w:ascii="Times New Roman" w:hAnsi="Times New Roman" w:cs="Times New Roman"/>
        </w:rPr>
        <w:t>Pivot</w:t>
      </w:r>
      <w:r w:rsidRPr="004F6500">
        <w:rPr>
          <w:rFonts w:ascii="Times New Roman" w:hAnsi="Times New Roman" w:cs="Times New Roman"/>
        </w:rPr>
        <w:t xml:space="preserve"> Naturals, LLC (previously ERS Holdings, LLC) (“</w:t>
      </w:r>
      <w:r w:rsidR="00414A43">
        <w:rPr>
          <w:rFonts w:ascii="Times New Roman" w:hAnsi="Times New Roman" w:cs="Times New Roman"/>
        </w:rPr>
        <w:t>Pivot</w:t>
      </w:r>
      <w:r w:rsidRPr="004F6500">
        <w:rPr>
          <w:rFonts w:ascii="Times New Roman" w:hAnsi="Times New Roman" w:cs="Times New Roman"/>
        </w:rPr>
        <w:t xml:space="preserve"> Naturals”) pursuant to an Exchange Agreement dated as o</w:t>
      </w:r>
      <w:r w:rsidR="000835A9" w:rsidRPr="004F6500">
        <w:rPr>
          <w:rFonts w:ascii="Times New Roman" w:hAnsi="Times New Roman" w:cs="Times New Roman"/>
        </w:rPr>
        <w:t xml:space="preserve">f February 10, 2018 among </w:t>
      </w:r>
      <w:r w:rsidR="00CA0D0C">
        <w:rPr>
          <w:rFonts w:ascii="Times New Roman" w:hAnsi="Times New Roman" w:cs="Times New Roman"/>
        </w:rPr>
        <w:t>BetterLife</w:t>
      </w:r>
      <w:r w:rsidRPr="004F6500">
        <w:rPr>
          <w:rFonts w:ascii="Times New Roman" w:hAnsi="Times New Roman" w:cs="Times New Roman"/>
        </w:rPr>
        <w:t xml:space="preserve">, </w:t>
      </w:r>
      <w:r w:rsidR="00414A43">
        <w:rPr>
          <w:rFonts w:ascii="Times New Roman" w:hAnsi="Times New Roman" w:cs="Times New Roman"/>
        </w:rPr>
        <w:t>Pivot</w:t>
      </w:r>
      <w:r w:rsidRPr="004F6500">
        <w:rPr>
          <w:rFonts w:ascii="Times New Roman" w:hAnsi="Times New Roman" w:cs="Times New Roman"/>
        </w:rPr>
        <w:t xml:space="preserve"> Naturals and the members of </w:t>
      </w:r>
      <w:r w:rsidR="00414A43">
        <w:rPr>
          <w:rFonts w:ascii="Times New Roman" w:hAnsi="Times New Roman" w:cs="Times New Roman"/>
        </w:rPr>
        <w:t>Pivot</w:t>
      </w:r>
      <w:r w:rsidRPr="004F6500">
        <w:rPr>
          <w:rFonts w:ascii="Times New Roman" w:hAnsi="Times New Roman" w:cs="Times New Roman"/>
        </w:rPr>
        <w:t xml:space="preserve"> Naturals. As consideration for the purchase, </w:t>
      </w:r>
      <w:r w:rsidR="00144C30">
        <w:rPr>
          <w:rFonts w:ascii="Times New Roman" w:hAnsi="Times New Roman" w:cs="Times New Roman"/>
        </w:rPr>
        <w:t>the Company</w:t>
      </w:r>
      <w:r w:rsidRPr="004F6500">
        <w:rPr>
          <w:rFonts w:ascii="Times New Roman" w:hAnsi="Times New Roman" w:cs="Times New Roman"/>
        </w:rPr>
        <w:t xml:space="preserve"> paid US$333,333 in cash on closing, US$333,333 in September 2018 and US$333,333 in May 2019 for total cash payment of US$1 million.  In addition, </w:t>
      </w:r>
      <w:r w:rsidR="00144C30">
        <w:rPr>
          <w:rFonts w:ascii="Times New Roman" w:hAnsi="Times New Roman" w:cs="Times New Roman"/>
        </w:rPr>
        <w:t>the Company also issued 5,000,000 common shares</w:t>
      </w:r>
      <w:r w:rsidRPr="004F6500">
        <w:rPr>
          <w:rFonts w:ascii="Times New Roman" w:hAnsi="Times New Roman" w:cs="Times New Roman"/>
        </w:rPr>
        <w:t xml:space="preserve"> </w:t>
      </w:r>
      <w:r w:rsidRPr="00144C30">
        <w:rPr>
          <w:rFonts w:ascii="Times New Roman" w:hAnsi="Times New Roman" w:cs="Times New Roman"/>
        </w:rPr>
        <w:t xml:space="preserve">and </w:t>
      </w:r>
      <w:r w:rsidR="004350BA">
        <w:rPr>
          <w:rFonts w:ascii="Times New Roman" w:hAnsi="Times New Roman" w:cs="Times New Roman"/>
        </w:rPr>
        <w:t>may</w:t>
      </w:r>
      <w:r w:rsidR="004350BA" w:rsidRPr="00144C30">
        <w:rPr>
          <w:rFonts w:ascii="Times New Roman" w:hAnsi="Times New Roman" w:cs="Times New Roman"/>
        </w:rPr>
        <w:t xml:space="preserve"> </w:t>
      </w:r>
      <w:r w:rsidRPr="00144C30">
        <w:rPr>
          <w:rFonts w:ascii="Times New Roman" w:hAnsi="Times New Roman" w:cs="Times New Roman"/>
        </w:rPr>
        <w:t>pay royalties on future net sales</w:t>
      </w:r>
      <w:r w:rsidR="004350BA">
        <w:rPr>
          <w:rFonts w:ascii="Times New Roman" w:hAnsi="Times New Roman" w:cs="Times New Roman"/>
        </w:rPr>
        <w:t>.</w:t>
      </w:r>
      <w:r w:rsidR="00144C30">
        <w:rPr>
          <w:rFonts w:ascii="Times New Roman" w:hAnsi="Times New Roman" w:cs="Times New Roman"/>
        </w:rPr>
        <w:t xml:space="preserve"> </w:t>
      </w:r>
      <w:r w:rsidRPr="004F6500">
        <w:rPr>
          <w:rFonts w:ascii="Times New Roman" w:hAnsi="Times New Roman" w:cs="Times New Roman"/>
        </w:rPr>
        <w:t xml:space="preserve"> </w:t>
      </w:r>
      <w:r w:rsidR="00414A43">
        <w:rPr>
          <w:rFonts w:ascii="Times New Roman" w:hAnsi="Times New Roman" w:cs="Times New Roman"/>
        </w:rPr>
        <w:t>Pursuant to the acquisition of Pivot</w:t>
      </w:r>
      <w:r w:rsidRPr="004F6500">
        <w:rPr>
          <w:rFonts w:ascii="Times New Roman" w:hAnsi="Times New Roman" w:cs="Times New Roman"/>
        </w:rPr>
        <w:t xml:space="preserve"> Naturals</w:t>
      </w:r>
      <w:r w:rsidR="00414A43">
        <w:rPr>
          <w:rFonts w:ascii="Times New Roman" w:hAnsi="Times New Roman" w:cs="Times New Roman"/>
        </w:rPr>
        <w:t>, the Company acquired a</w:t>
      </w:r>
      <w:r w:rsidRPr="004F6500">
        <w:rPr>
          <w:rFonts w:ascii="Times New Roman" w:hAnsi="Times New Roman" w:cs="Times New Roman"/>
        </w:rPr>
        <w:t xml:space="preserve"> patented technology called “RTIC” Ready-To-Infuse-Cannabis</w:t>
      </w:r>
      <w:r w:rsidR="000835A9" w:rsidRPr="004F6500">
        <w:rPr>
          <w:rFonts w:ascii="Times New Roman" w:hAnsi="Times New Roman" w:cs="Times New Roman"/>
        </w:rPr>
        <w:t xml:space="preserve"> (“RTIC”)</w:t>
      </w:r>
      <w:r w:rsidRPr="004F6500">
        <w:rPr>
          <w:rFonts w:ascii="Times New Roman" w:hAnsi="Times New Roman" w:cs="Times New Roman"/>
        </w:rPr>
        <w:t>, relating to the transformation of cannabis oil into powder for infusion into a variety of products.</w:t>
      </w:r>
      <w:r w:rsidR="0044403D">
        <w:rPr>
          <w:rFonts w:ascii="Times New Roman" w:hAnsi="Times New Roman" w:cs="Times New Roman"/>
        </w:rPr>
        <w:t xml:space="preserve">  </w:t>
      </w:r>
    </w:p>
    <w:p w14:paraId="208E0C23" w14:textId="77777777" w:rsidR="00794C09" w:rsidRPr="004F6500" w:rsidRDefault="00794C09" w:rsidP="004F6500">
      <w:pPr>
        <w:spacing w:after="0" w:line="254" w:lineRule="auto"/>
        <w:jc w:val="both"/>
        <w:rPr>
          <w:rFonts w:ascii="Times New Roman" w:hAnsi="Times New Roman" w:cs="Times New Roman"/>
        </w:rPr>
      </w:pPr>
    </w:p>
    <w:p w14:paraId="04744EDE" w14:textId="3C7AA58D" w:rsidR="00794C09" w:rsidRPr="004F6500" w:rsidRDefault="00794C0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March 2, 2018, </w:t>
      </w:r>
      <w:r w:rsidR="00144C30">
        <w:rPr>
          <w:rFonts w:ascii="Times New Roman" w:hAnsi="Times New Roman" w:cs="Times New Roman"/>
        </w:rPr>
        <w:t>the Company</w:t>
      </w:r>
      <w:r w:rsidRPr="004F6500">
        <w:rPr>
          <w:rFonts w:ascii="Times New Roman" w:hAnsi="Times New Roman" w:cs="Times New Roman"/>
        </w:rPr>
        <w:t xml:space="preserve"> completed the acquisition of Thrudermic, LLC (“Thrudermic”) and worldwide rights to Thrudermic’s patented Transdermal Nanotechnology for the development and commercialization of transderm</w:t>
      </w:r>
      <w:r w:rsidR="00144C30">
        <w:rPr>
          <w:rFonts w:ascii="Times New Roman" w:hAnsi="Times New Roman" w:cs="Times New Roman"/>
        </w:rPr>
        <w:t>al cannabinoids pursuant to an exchange a</w:t>
      </w:r>
      <w:r w:rsidRPr="004F6500">
        <w:rPr>
          <w:rFonts w:ascii="Times New Roman" w:hAnsi="Times New Roman" w:cs="Times New Roman"/>
        </w:rPr>
        <w:t xml:space="preserve">greement dated March 2, 2018 among </w:t>
      </w:r>
      <w:r w:rsidR="00CA0D0C">
        <w:rPr>
          <w:rFonts w:ascii="Times New Roman" w:hAnsi="Times New Roman" w:cs="Times New Roman"/>
        </w:rPr>
        <w:t>BetterLife</w:t>
      </w:r>
      <w:r w:rsidRPr="004F6500">
        <w:rPr>
          <w:rFonts w:ascii="Times New Roman" w:hAnsi="Times New Roman" w:cs="Times New Roman"/>
        </w:rPr>
        <w:t xml:space="preserve">, Dr. Joseph Borovsky, Dr. Leonid Lurya and Thrudermic.  As consideration for the purchase, </w:t>
      </w:r>
      <w:r w:rsidR="00144C30">
        <w:rPr>
          <w:rFonts w:ascii="Times New Roman" w:hAnsi="Times New Roman" w:cs="Times New Roman"/>
        </w:rPr>
        <w:t>the Company</w:t>
      </w:r>
      <w:r w:rsidRPr="004F6500">
        <w:rPr>
          <w:rFonts w:ascii="Times New Roman" w:hAnsi="Times New Roman" w:cs="Times New Roman"/>
        </w:rPr>
        <w:t xml:space="preserve"> paid $1 in cash on closing and issued 500,000 </w:t>
      </w:r>
      <w:r w:rsidR="00144C30">
        <w:rPr>
          <w:rFonts w:ascii="Times New Roman" w:hAnsi="Times New Roman" w:cs="Times New Roman"/>
        </w:rPr>
        <w:t>common shares</w:t>
      </w:r>
      <w:r w:rsidRPr="004F6500">
        <w:rPr>
          <w:rFonts w:ascii="Times New Roman" w:hAnsi="Times New Roman" w:cs="Times New Roman"/>
        </w:rPr>
        <w:t>.</w:t>
      </w:r>
    </w:p>
    <w:p w14:paraId="7D025E4E" w14:textId="77777777" w:rsidR="00794C09" w:rsidRPr="004F6500" w:rsidRDefault="00794C09" w:rsidP="004F6500">
      <w:pPr>
        <w:spacing w:after="0" w:line="254" w:lineRule="auto"/>
        <w:jc w:val="both"/>
        <w:rPr>
          <w:rFonts w:ascii="Times New Roman" w:hAnsi="Times New Roman" w:cs="Times New Roman"/>
        </w:rPr>
      </w:pPr>
    </w:p>
    <w:p w14:paraId="6742E33B" w14:textId="701C2941" w:rsidR="004350BA" w:rsidRDefault="00794C09" w:rsidP="004350BA">
      <w:pPr>
        <w:spacing w:after="0" w:line="254" w:lineRule="auto"/>
        <w:jc w:val="both"/>
        <w:rPr>
          <w:rFonts w:ascii="Times New Roman" w:hAnsi="Times New Roman" w:cs="Times New Roman"/>
        </w:rPr>
      </w:pPr>
      <w:r w:rsidRPr="004F6500">
        <w:rPr>
          <w:rFonts w:ascii="Times New Roman" w:hAnsi="Times New Roman" w:cs="Times New Roman"/>
        </w:rPr>
        <w:t xml:space="preserve">On August 7, 2018, </w:t>
      </w:r>
      <w:r w:rsidR="00CA0D0C">
        <w:rPr>
          <w:rFonts w:ascii="Times New Roman" w:hAnsi="Times New Roman" w:cs="Times New Roman"/>
        </w:rPr>
        <w:t>BetterLife</w:t>
      </w:r>
      <w:r w:rsidRPr="004F6500">
        <w:rPr>
          <w:rFonts w:ascii="Times New Roman" w:hAnsi="Times New Roman" w:cs="Times New Roman"/>
        </w:rPr>
        <w:t xml:space="preserve"> entered into a licensing agreement with Formulex Pharma Innovations (“Formulex”) </w:t>
      </w:r>
      <w:r w:rsidR="00414A43">
        <w:rPr>
          <w:rFonts w:ascii="Times New Roman" w:hAnsi="Times New Roman" w:cs="Times New Roman"/>
        </w:rPr>
        <w:t>to acquire</w:t>
      </w:r>
      <w:r w:rsidRPr="004F6500">
        <w:rPr>
          <w:rFonts w:ascii="Times New Roman" w:hAnsi="Times New Roman" w:cs="Times New Roman"/>
        </w:rPr>
        <w:t xml:space="preserve"> worldwide rights for the use, development and commercialization of its patented Solumer™ Oral Drug Delivery Technology ("Solumer™")</w:t>
      </w:r>
      <w:r w:rsidR="003306DA">
        <w:rPr>
          <w:rFonts w:ascii="Times New Roman" w:hAnsi="Times New Roman" w:cs="Times New Roman"/>
        </w:rPr>
        <w:t xml:space="preserve">.  In April 2019, </w:t>
      </w:r>
      <w:r w:rsidR="004350BA">
        <w:rPr>
          <w:rFonts w:ascii="Times New Roman" w:hAnsi="Times New Roman" w:cs="Times New Roman"/>
        </w:rPr>
        <w:t xml:space="preserve">Formulex </w:t>
      </w:r>
      <w:r w:rsidR="003306DA">
        <w:rPr>
          <w:rFonts w:ascii="Times New Roman" w:hAnsi="Times New Roman" w:cs="Times New Roman"/>
        </w:rPr>
        <w:t>undertook</w:t>
      </w:r>
      <w:r w:rsidR="004350BA">
        <w:rPr>
          <w:rFonts w:ascii="Times New Roman" w:hAnsi="Times New Roman" w:cs="Times New Roman"/>
        </w:rPr>
        <w:t xml:space="preserve"> proceedings to terminate the licensing agreement.  </w:t>
      </w:r>
      <w:r w:rsidR="003306DA">
        <w:rPr>
          <w:rFonts w:ascii="Times New Roman" w:hAnsi="Times New Roman" w:cs="Times New Roman"/>
        </w:rPr>
        <w:t>In October 2019, t</w:t>
      </w:r>
      <w:r w:rsidR="004350BA">
        <w:rPr>
          <w:rFonts w:ascii="Times New Roman" w:hAnsi="Times New Roman" w:cs="Times New Roman"/>
        </w:rPr>
        <w:t xml:space="preserve">he Company </w:t>
      </w:r>
      <w:r w:rsidR="003306DA">
        <w:rPr>
          <w:rFonts w:ascii="Times New Roman" w:hAnsi="Times New Roman" w:cs="Times New Roman"/>
        </w:rPr>
        <w:t>considered the licensing agreement terminated.</w:t>
      </w:r>
    </w:p>
    <w:p w14:paraId="0C144B31" w14:textId="77777777" w:rsidR="004350BA" w:rsidRPr="004F6500" w:rsidRDefault="004350BA" w:rsidP="004F6500">
      <w:pPr>
        <w:spacing w:after="0" w:line="254" w:lineRule="auto"/>
        <w:jc w:val="both"/>
        <w:rPr>
          <w:rFonts w:ascii="Times New Roman" w:hAnsi="Times New Roman" w:cs="Times New Roman"/>
        </w:rPr>
      </w:pPr>
    </w:p>
    <w:p w14:paraId="01955AD7" w14:textId="35EB8C04" w:rsidR="00223484" w:rsidRPr="003306DA" w:rsidRDefault="00794C09" w:rsidP="004F6500">
      <w:pPr>
        <w:spacing w:after="0" w:line="254" w:lineRule="auto"/>
        <w:jc w:val="both"/>
        <w:rPr>
          <w:rFonts w:ascii="Times New Roman" w:hAnsi="Times New Roman" w:cs="Times New Roman"/>
          <w:color w:val="FF0000"/>
        </w:rPr>
      </w:pPr>
      <w:r w:rsidRPr="004F6500">
        <w:rPr>
          <w:rFonts w:ascii="Times New Roman" w:hAnsi="Times New Roman" w:cs="Times New Roman"/>
        </w:rPr>
        <w:t xml:space="preserve">On December 17, 2018, </w:t>
      </w:r>
      <w:r w:rsidR="00CA0D0C">
        <w:rPr>
          <w:rFonts w:ascii="Times New Roman" w:hAnsi="Times New Roman" w:cs="Times New Roman"/>
        </w:rPr>
        <w:t>BetterLife</w:t>
      </w:r>
      <w:r w:rsidRPr="004F6500">
        <w:rPr>
          <w:rFonts w:ascii="Times New Roman" w:hAnsi="Times New Roman" w:cs="Times New Roman"/>
        </w:rPr>
        <w:t xml:space="preserve"> entered into a joint venture arrangement whereby </w:t>
      </w:r>
      <w:r w:rsidR="00144C30">
        <w:rPr>
          <w:rFonts w:ascii="Times New Roman" w:hAnsi="Times New Roman" w:cs="Times New Roman"/>
        </w:rPr>
        <w:t>the Company</w:t>
      </w:r>
      <w:r w:rsidRPr="004F6500">
        <w:rPr>
          <w:rFonts w:ascii="Times New Roman" w:hAnsi="Times New Roman" w:cs="Times New Roman"/>
        </w:rPr>
        <w:t xml:space="preserve"> hold</w:t>
      </w:r>
      <w:r w:rsidR="00144C30">
        <w:rPr>
          <w:rFonts w:ascii="Times New Roman" w:hAnsi="Times New Roman" w:cs="Times New Roman"/>
        </w:rPr>
        <w:t>s</w:t>
      </w:r>
      <w:r w:rsidRPr="004F6500">
        <w:rPr>
          <w:rFonts w:ascii="Times New Roman" w:hAnsi="Times New Roman" w:cs="Times New Roman"/>
        </w:rPr>
        <w:t xml:space="preserve"> 50% of the issued and outstanding shares of </w:t>
      </w:r>
      <w:r w:rsidR="003306DA">
        <w:rPr>
          <w:rFonts w:ascii="Times New Roman" w:hAnsi="Times New Roman" w:cs="Times New Roman"/>
        </w:rPr>
        <w:t>Pivot</w:t>
      </w:r>
      <w:r w:rsidRPr="004F6500">
        <w:rPr>
          <w:rFonts w:ascii="Times New Roman" w:hAnsi="Times New Roman" w:cs="Times New Roman"/>
        </w:rPr>
        <w:t>-Cartagena Joint Venture Inc. (“</w:t>
      </w:r>
      <w:r w:rsidR="003306DA">
        <w:rPr>
          <w:rFonts w:ascii="Times New Roman" w:hAnsi="Times New Roman" w:cs="Times New Roman"/>
        </w:rPr>
        <w:t>Pivot</w:t>
      </w:r>
      <w:r w:rsidRPr="004F6500">
        <w:rPr>
          <w:rFonts w:ascii="Times New Roman" w:hAnsi="Times New Roman" w:cs="Times New Roman"/>
        </w:rPr>
        <w:t xml:space="preserve">-Cartagena JV”).  </w:t>
      </w:r>
      <w:r w:rsidR="003306DA">
        <w:rPr>
          <w:rFonts w:ascii="Times New Roman" w:hAnsi="Times New Roman" w:cs="Times New Roman"/>
        </w:rPr>
        <w:t>Pivot</w:t>
      </w:r>
      <w:r w:rsidRPr="004F6500">
        <w:rPr>
          <w:rFonts w:ascii="Times New Roman" w:hAnsi="Times New Roman" w:cs="Times New Roman"/>
        </w:rPr>
        <w:t>-Cartagena JV will develop and commercialize cannabis-infused non-alcoholic beverages combining the industry expertise of Licorera del Sur with our patented RTIC™ powderization technologies.</w:t>
      </w:r>
      <w:r w:rsidR="003306DA">
        <w:rPr>
          <w:rFonts w:ascii="Times New Roman" w:hAnsi="Times New Roman" w:cs="Times New Roman"/>
        </w:rPr>
        <w:t xml:space="preserve">  </w:t>
      </w:r>
    </w:p>
    <w:p w14:paraId="59CA9AE2" w14:textId="1866141C" w:rsidR="00A447EA" w:rsidRDefault="00A447EA" w:rsidP="004F6500">
      <w:pPr>
        <w:spacing w:after="0" w:line="254" w:lineRule="auto"/>
        <w:jc w:val="both"/>
        <w:rPr>
          <w:rFonts w:ascii="Times New Roman" w:hAnsi="Times New Roman" w:cs="Times New Roman"/>
        </w:rPr>
      </w:pPr>
    </w:p>
    <w:p w14:paraId="1F1E2E25" w14:textId="678837CC" w:rsidR="00BB5323" w:rsidRDefault="00BB5323" w:rsidP="004F6500">
      <w:pPr>
        <w:spacing w:after="0" w:line="254" w:lineRule="auto"/>
        <w:jc w:val="both"/>
        <w:rPr>
          <w:rFonts w:ascii="Times New Roman" w:hAnsi="Times New Roman" w:cs="Times New Roman"/>
        </w:rPr>
      </w:pPr>
      <w:r w:rsidRPr="003116A0">
        <w:rPr>
          <w:rFonts w:ascii="Times New Roman" w:hAnsi="Times New Roman" w:cs="Times New Roman"/>
        </w:rPr>
        <w:t xml:space="preserve">On December </w:t>
      </w:r>
      <w:r w:rsidR="00181DC8" w:rsidRPr="003116A0">
        <w:rPr>
          <w:rFonts w:ascii="Times New Roman" w:hAnsi="Times New Roman" w:cs="Times New Roman"/>
        </w:rPr>
        <w:t>18</w:t>
      </w:r>
      <w:r w:rsidRPr="003116A0">
        <w:rPr>
          <w:rFonts w:ascii="Times New Roman" w:hAnsi="Times New Roman" w:cs="Times New Roman"/>
        </w:rPr>
        <w:t xml:space="preserve">, 2019, the Company </w:t>
      </w:r>
      <w:r w:rsidR="003116A0">
        <w:rPr>
          <w:rFonts w:ascii="Times New Roman" w:hAnsi="Times New Roman" w:cs="Times New Roman"/>
        </w:rPr>
        <w:t>entered into an agreement to acquire</w:t>
      </w:r>
      <w:r w:rsidRPr="003116A0">
        <w:rPr>
          <w:rFonts w:ascii="Times New Roman" w:hAnsi="Times New Roman" w:cs="Times New Roman"/>
        </w:rPr>
        <w:t xml:space="preserve"> 100% interest in IAMHEALTH CBD UG</w:t>
      </w:r>
      <w:r w:rsidR="00693CDD">
        <w:rPr>
          <w:rFonts w:ascii="Times New Roman" w:hAnsi="Times New Roman" w:cs="Times New Roman"/>
        </w:rPr>
        <w:t xml:space="preserve"> (“</w:t>
      </w:r>
      <w:r w:rsidR="00693CDD" w:rsidRPr="003116A0">
        <w:rPr>
          <w:rFonts w:ascii="Times New Roman" w:hAnsi="Times New Roman" w:cs="Times New Roman"/>
        </w:rPr>
        <w:t>IAMHEALTH</w:t>
      </w:r>
      <w:r w:rsidR="00693CDD">
        <w:rPr>
          <w:rFonts w:ascii="Times New Roman" w:hAnsi="Times New Roman" w:cs="Times New Roman"/>
        </w:rPr>
        <w:t>”)</w:t>
      </w:r>
      <w:r w:rsidRPr="003116A0">
        <w:rPr>
          <w:rFonts w:ascii="Times New Roman" w:hAnsi="Times New Roman" w:cs="Times New Roman"/>
        </w:rPr>
        <w:t>, a corporation incorporated under the laws of Germany.  Consideration for the acquisition will include the issuance of 517,817 common shares of the Company.</w:t>
      </w:r>
    </w:p>
    <w:p w14:paraId="36ADD961" w14:textId="77777777" w:rsidR="00BB5323" w:rsidRPr="004F6500" w:rsidRDefault="00BB5323" w:rsidP="004F6500">
      <w:pPr>
        <w:spacing w:after="0" w:line="254" w:lineRule="auto"/>
        <w:jc w:val="both"/>
        <w:rPr>
          <w:rFonts w:ascii="Times New Roman" w:hAnsi="Times New Roman" w:cs="Times New Roman"/>
        </w:rPr>
      </w:pPr>
    </w:p>
    <w:p w14:paraId="4CA4B375" w14:textId="39A06BF4" w:rsidR="00A447EA" w:rsidRPr="004F6500" w:rsidRDefault="00A447EA"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In May and June 2019, </w:t>
      </w:r>
      <w:r w:rsidR="003306DA">
        <w:rPr>
          <w:rFonts w:ascii="Times New Roman" w:hAnsi="Times New Roman" w:cs="Times New Roman"/>
        </w:rPr>
        <w:t>Pivot</w:t>
      </w:r>
      <w:r w:rsidRPr="004F6500">
        <w:rPr>
          <w:rFonts w:ascii="Times New Roman" w:hAnsi="Times New Roman" w:cs="Times New Roman"/>
        </w:rPr>
        <w:t xml:space="preserve"> Naturals, based in Costa Mesa, California, was granted a Provisional Annual Manufacturing License Type N: Infusion License by the California Department of Public Health and a Provisional Adult-Use and Medicinal – Distributor-Transport License by the Bureau of Cannabis Control, respectively.</w:t>
      </w:r>
    </w:p>
    <w:p w14:paraId="65856F43" w14:textId="77777777" w:rsidR="00794C09" w:rsidRPr="004F6500" w:rsidRDefault="00794C09" w:rsidP="004F6500">
      <w:pPr>
        <w:spacing w:after="0" w:line="254" w:lineRule="auto"/>
        <w:jc w:val="both"/>
        <w:rPr>
          <w:rFonts w:ascii="Times New Roman" w:hAnsi="Times New Roman" w:cs="Times New Roman"/>
        </w:rPr>
      </w:pPr>
    </w:p>
    <w:p w14:paraId="4B0A3C6C" w14:textId="1C06BCB1" w:rsidR="00E23056" w:rsidRPr="00A25599" w:rsidRDefault="00E23056">
      <w:pPr>
        <w:rPr>
          <w:rFonts w:ascii="Times New Roman" w:hAnsi="Times New Roman" w:cs="Times New Roman"/>
          <w:bCs/>
          <w:color w:val="FF0000"/>
        </w:rPr>
      </w:pPr>
      <w:r w:rsidRPr="00A25599">
        <w:rPr>
          <w:rFonts w:ascii="Times New Roman" w:hAnsi="Times New Roman" w:cs="Times New Roman"/>
          <w:bCs/>
          <w:color w:val="FF0000"/>
        </w:rPr>
        <w:br w:type="page"/>
      </w:r>
    </w:p>
    <w:p w14:paraId="62BCE854" w14:textId="77777777" w:rsidR="00223484" w:rsidRPr="004F6500" w:rsidRDefault="00223484"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Platform Technologies</w:t>
      </w:r>
    </w:p>
    <w:p w14:paraId="0429CA57" w14:textId="77777777" w:rsidR="00223484" w:rsidRPr="004F6500" w:rsidRDefault="00223484" w:rsidP="004F6500">
      <w:pPr>
        <w:spacing w:after="0" w:line="254" w:lineRule="auto"/>
        <w:jc w:val="both"/>
        <w:rPr>
          <w:rFonts w:ascii="Times New Roman" w:hAnsi="Times New Roman" w:cs="Times New Roman"/>
        </w:rPr>
      </w:pPr>
    </w:p>
    <w:p w14:paraId="52442DB1" w14:textId="77777777" w:rsidR="00223484" w:rsidRPr="004F6500" w:rsidRDefault="00223484" w:rsidP="004F6500">
      <w:pPr>
        <w:spacing w:line="254" w:lineRule="auto"/>
        <w:jc w:val="both"/>
        <w:rPr>
          <w:rFonts w:ascii="Times New Roman" w:hAnsi="Times New Roman" w:cs="Times New Roman"/>
          <w:u w:val="single"/>
        </w:rPr>
      </w:pPr>
      <w:r w:rsidRPr="004F6500">
        <w:rPr>
          <w:rFonts w:ascii="Times New Roman" w:hAnsi="Times New Roman" w:cs="Times New Roman"/>
          <w:u w:val="single"/>
        </w:rPr>
        <w:t>BiPhasix Transdermal Drug Delivery Technology (Topical Platform)</w:t>
      </w:r>
    </w:p>
    <w:p w14:paraId="1C99C116" w14:textId="77777777" w:rsidR="00223484" w:rsidRPr="004F6500" w:rsidRDefault="00B81D2C" w:rsidP="004F6500">
      <w:pPr>
        <w:spacing w:after="0" w:line="254" w:lineRule="auto"/>
        <w:jc w:val="both"/>
        <w:rPr>
          <w:rFonts w:ascii="Times New Roman" w:hAnsi="Times New Roman" w:cs="Times New Roman"/>
        </w:rPr>
      </w:pPr>
      <w:r>
        <w:rPr>
          <w:rFonts w:ascii="Times New Roman" w:eastAsia="Times" w:hAnsi="Times New Roman" w:cs="Times New Roman"/>
          <w:color w:val="000000"/>
        </w:rPr>
        <w:t>The Company</w:t>
      </w:r>
      <w:r w:rsidR="00223484" w:rsidRPr="004F6500">
        <w:rPr>
          <w:rFonts w:ascii="Times New Roman" w:eastAsia="Times" w:hAnsi="Times New Roman" w:cs="Times New Roman"/>
          <w:color w:val="000000"/>
        </w:rPr>
        <w:t xml:space="preserve"> acquired worldwide rights from Altum </w:t>
      </w:r>
      <w:r w:rsidR="000835A9" w:rsidRPr="004F6500">
        <w:rPr>
          <w:rFonts w:ascii="Times New Roman" w:eastAsia="Times" w:hAnsi="Times New Roman" w:cs="Times New Roman"/>
          <w:color w:val="000000"/>
        </w:rPr>
        <w:t>for</w:t>
      </w:r>
      <w:r w:rsidR="00223484" w:rsidRPr="004F6500">
        <w:rPr>
          <w:rFonts w:ascii="Times New Roman" w:eastAsia="Times" w:hAnsi="Times New Roman" w:cs="Times New Roman"/>
          <w:color w:val="000000"/>
        </w:rPr>
        <w:t xml:space="preserve"> its </w:t>
      </w:r>
      <w:r w:rsidR="00223484" w:rsidRPr="004F6500">
        <w:rPr>
          <w:rFonts w:ascii="Times New Roman" w:hAnsi="Times New Roman" w:cs="Times New Roman"/>
        </w:rPr>
        <w:t xml:space="preserve">patented topical transdermal drug delivery technology platform, </w:t>
      </w:r>
      <w:r w:rsidR="00223484" w:rsidRPr="004F6500">
        <w:rPr>
          <w:rFonts w:ascii="Times New Roman" w:eastAsia="Times" w:hAnsi="Times New Roman" w:cs="Times New Roman"/>
          <w:color w:val="000000"/>
        </w:rPr>
        <w:t>which will</w:t>
      </w:r>
      <w:r>
        <w:rPr>
          <w:rFonts w:ascii="Times New Roman" w:eastAsia="Times" w:hAnsi="Times New Roman" w:cs="Times New Roman"/>
          <w:color w:val="000000"/>
        </w:rPr>
        <w:t xml:space="preserve"> be</w:t>
      </w:r>
      <w:r w:rsidR="00223484" w:rsidRPr="004F6500">
        <w:rPr>
          <w:rFonts w:ascii="Times New Roman" w:eastAsia="Times" w:hAnsi="Times New Roman" w:cs="Times New Roman"/>
          <w:color w:val="000000"/>
        </w:rPr>
        <w:t xml:space="preserve"> use</w:t>
      </w:r>
      <w:r>
        <w:rPr>
          <w:rFonts w:ascii="Times New Roman" w:eastAsia="Times" w:hAnsi="Times New Roman" w:cs="Times New Roman"/>
          <w:color w:val="000000"/>
        </w:rPr>
        <w:t>d</w:t>
      </w:r>
      <w:r w:rsidR="00223484" w:rsidRPr="004F6500">
        <w:rPr>
          <w:rFonts w:ascii="Times New Roman" w:eastAsia="Times" w:hAnsi="Times New Roman" w:cs="Times New Roman"/>
          <w:color w:val="000000"/>
        </w:rPr>
        <w:t xml:space="preserve"> for the delivery and commercialization of cannabinoid, </w:t>
      </w:r>
      <w:r>
        <w:rPr>
          <w:rFonts w:ascii="Times New Roman" w:eastAsia="Times" w:hAnsi="Times New Roman" w:cs="Times New Roman"/>
          <w:color w:val="000000"/>
        </w:rPr>
        <w:t>CBD</w:t>
      </w:r>
      <w:r w:rsidR="00E80B3F" w:rsidRPr="004F6500">
        <w:rPr>
          <w:rFonts w:ascii="Times New Roman" w:eastAsia="Times" w:hAnsi="Times New Roman" w:cs="Times New Roman"/>
          <w:color w:val="000000"/>
        </w:rPr>
        <w:t xml:space="preserve"> and </w:t>
      </w:r>
      <w:r>
        <w:rPr>
          <w:rFonts w:ascii="Times New Roman" w:eastAsia="Times" w:hAnsi="Times New Roman" w:cs="Times New Roman"/>
          <w:color w:val="000000"/>
        </w:rPr>
        <w:t>THC</w:t>
      </w:r>
      <w:r w:rsidR="00223484" w:rsidRPr="004F6500">
        <w:rPr>
          <w:rFonts w:ascii="Times New Roman" w:eastAsia="Times" w:hAnsi="Times New Roman" w:cs="Times New Roman"/>
          <w:color w:val="000000"/>
        </w:rPr>
        <w:t>-based products.</w:t>
      </w:r>
      <w:r w:rsidR="00A53B3B">
        <w:rPr>
          <w:rFonts w:ascii="Times New Roman" w:hAnsi="Times New Roman" w:cs="Times New Roman"/>
        </w:rPr>
        <w:t xml:space="preserve"> The BiPhasix T</w:t>
      </w:r>
      <w:r w:rsidR="00223484" w:rsidRPr="004F6500">
        <w:rPr>
          <w:rFonts w:ascii="Times New Roman" w:hAnsi="Times New Roman" w:cs="Times New Roman"/>
        </w:rPr>
        <w:t>echnology has the potential to deliver drugs less invasively than by injections.  It also has the potential to topically deliver therapeutic amounts of drugs with better absorption rates, where creams, ointments or conventional liposomes have not been effective.</w:t>
      </w:r>
    </w:p>
    <w:p w14:paraId="51911E0A" w14:textId="77777777" w:rsidR="00223484" w:rsidRPr="004F6500" w:rsidRDefault="00223484" w:rsidP="004F6500">
      <w:pPr>
        <w:spacing w:after="0" w:line="254" w:lineRule="auto"/>
        <w:jc w:val="both"/>
        <w:rPr>
          <w:rFonts w:ascii="Times New Roman" w:hAnsi="Times New Roman" w:cs="Times New Roman"/>
        </w:rPr>
      </w:pPr>
    </w:p>
    <w:p w14:paraId="473A568D" w14:textId="77777777" w:rsidR="00223484" w:rsidRPr="004F6500" w:rsidRDefault="00223484" w:rsidP="004F6500">
      <w:pPr>
        <w:spacing w:line="254" w:lineRule="auto"/>
        <w:jc w:val="both"/>
        <w:rPr>
          <w:rFonts w:ascii="Times New Roman" w:eastAsia="Times New Roman" w:hAnsi="Times New Roman" w:cs="Times New Roman"/>
          <w:color w:val="000000"/>
          <w:u w:val="single"/>
          <w:lang w:val="en-CA" w:eastAsia="en-CA"/>
        </w:rPr>
      </w:pPr>
      <w:r w:rsidRPr="004F6500">
        <w:rPr>
          <w:rFonts w:ascii="Times New Roman" w:eastAsia="Times New Roman" w:hAnsi="Times New Roman" w:cs="Times New Roman"/>
          <w:color w:val="000000"/>
          <w:u w:val="single"/>
          <w:lang w:val="en-CA" w:eastAsia="en-CA"/>
        </w:rPr>
        <w:t>Thrudermic Transdermal Nanotechnology (Topical Platform)</w:t>
      </w:r>
    </w:p>
    <w:p w14:paraId="24172ECC" w14:textId="77777777" w:rsidR="00223484" w:rsidRPr="004F6500" w:rsidRDefault="00B81D2C" w:rsidP="004F6500">
      <w:pPr>
        <w:keepNext/>
        <w:spacing w:after="0" w:line="254" w:lineRule="auto"/>
        <w:jc w:val="both"/>
        <w:rPr>
          <w:rFonts w:ascii="Times New Roman" w:hAnsi="Times New Roman" w:cs="Times New Roman"/>
          <w:b/>
          <w:bCs/>
          <w:u w:val="single"/>
        </w:rPr>
      </w:pPr>
      <w:r>
        <w:rPr>
          <w:rFonts w:ascii="Times New Roman" w:eastAsia="Times" w:hAnsi="Times New Roman" w:cs="Times New Roman"/>
          <w:color w:val="000000"/>
        </w:rPr>
        <w:t>The Company</w:t>
      </w:r>
      <w:r w:rsidR="00223484" w:rsidRPr="004F6500">
        <w:rPr>
          <w:rFonts w:ascii="Times New Roman" w:eastAsia="Times" w:hAnsi="Times New Roman" w:cs="Times New Roman"/>
          <w:color w:val="000000"/>
        </w:rPr>
        <w:t xml:space="preserve"> acquired the worldwide rights to </w:t>
      </w:r>
      <w:r w:rsidR="00E80B3F" w:rsidRPr="004F6500">
        <w:rPr>
          <w:rFonts w:ascii="Times New Roman" w:eastAsia="Times" w:hAnsi="Times New Roman" w:cs="Times New Roman"/>
          <w:color w:val="000000"/>
        </w:rPr>
        <w:t>Thrudermic</w:t>
      </w:r>
      <w:r w:rsidR="000835A9" w:rsidRPr="004F6500">
        <w:rPr>
          <w:rFonts w:ascii="Times New Roman" w:eastAsia="Times" w:hAnsi="Times New Roman" w:cs="Times New Roman"/>
          <w:color w:val="000000"/>
        </w:rPr>
        <w:t>’s</w:t>
      </w:r>
      <w:r w:rsidR="00E80B3F" w:rsidRPr="004F6500">
        <w:rPr>
          <w:rFonts w:ascii="Times New Roman" w:eastAsia="Times" w:hAnsi="Times New Roman" w:cs="Times New Roman"/>
          <w:color w:val="000000"/>
        </w:rPr>
        <w:t xml:space="preserve"> </w:t>
      </w:r>
      <w:r w:rsidR="00223484" w:rsidRPr="004F6500">
        <w:rPr>
          <w:rFonts w:ascii="Times New Roman" w:eastAsia="Times" w:hAnsi="Times New Roman" w:cs="Times New Roman"/>
          <w:color w:val="000000"/>
        </w:rPr>
        <w:t>patented Transdermal Nanotechnology for the development and commercialization of transdermal cannabinoids.  Developed in Israel, the Thrudermic lipid-based nano dispersion technology for topical cannabinoids uses FDA approved materials. The technology has the ability to specifically formulate individual drugs to control and prolong drug release while maintaining steady therapeutic concentrations,  The technology can handle water soluble and water insoluble drugs with no change to the skin morphology, no sensitivity to the digestive system, no pain from injections and no observed adverse reactions</w:t>
      </w:r>
      <w:r w:rsidR="00223484" w:rsidRPr="004F6500">
        <w:rPr>
          <w:rFonts w:ascii="Times New Roman" w:hAnsi="Times New Roman" w:cs="Times New Roman"/>
        </w:rPr>
        <w:t>.</w:t>
      </w:r>
    </w:p>
    <w:p w14:paraId="286B1E34" w14:textId="77777777" w:rsidR="00223484" w:rsidRPr="004F6500" w:rsidRDefault="00223484" w:rsidP="004F6500">
      <w:pPr>
        <w:spacing w:after="0" w:line="254" w:lineRule="auto"/>
        <w:jc w:val="both"/>
        <w:rPr>
          <w:rFonts w:ascii="Times New Roman" w:eastAsia="Times New Roman" w:hAnsi="Times New Roman" w:cs="Times New Roman"/>
          <w:color w:val="000000"/>
          <w:u w:val="single"/>
          <w:lang w:val="en-CA" w:eastAsia="en-CA"/>
        </w:rPr>
      </w:pPr>
    </w:p>
    <w:p w14:paraId="30727F6B" w14:textId="77777777" w:rsidR="00223484" w:rsidRPr="004F6500" w:rsidRDefault="00223484" w:rsidP="004F6500">
      <w:pPr>
        <w:spacing w:line="254" w:lineRule="auto"/>
        <w:jc w:val="both"/>
        <w:rPr>
          <w:rFonts w:ascii="Times New Roman" w:eastAsia="Times New Roman" w:hAnsi="Times New Roman" w:cs="Times New Roman"/>
          <w:color w:val="000000"/>
          <w:u w:val="single"/>
          <w:lang w:val="en-CA" w:eastAsia="en-CA"/>
        </w:rPr>
      </w:pPr>
      <w:r w:rsidRPr="004F6500">
        <w:rPr>
          <w:rFonts w:ascii="Times New Roman" w:eastAsia="Times New Roman" w:hAnsi="Times New Roman" w:cs="Times New Roman"/>
          <w:color w:val="000000"/>
          <w:u w:val="single"/>
          <w:lang w:val="en-CA" w:eastAsia="en-CA"/>
        </w:rPr>
        <w:t>Solmic Solubilization Drug Delivery Technology (Oral Platform)</w:t>
      </w:r>
    </w:p>
    <w:p w14:paraId="338EED22" w14:textId="0A408619" w:rsidR="00223484" w:rsidRPr="004F6500" w:rsidRDefault="00B81D2C" w:rsidP="004F6500">
      <w:pPr>
        <w:spacing w:after="0" w:line="254" w:lineRule="auto"/>
        <w:jc w:val="both"/>
        <w:rPr>
          <w:rFonts w:ascii="Times New Roman" w:eastAsia="Times" w:hAnsi="Times New Roman" w:cs="Times New Roman"/>
          <w:color w:val="000000"/>
        </w:rPr>
      </w:pPr>
      <w:r>
        <w:rPr>
          <w:rFonts w:ascii="Times New Roman" w:eastAsia="Times" w:hAnsi="Times New Roman" w:cs="Times New Roman"/>
          <w:color w:val="000000"/>
        </w:rPr>
        <w:t>The Company has</w:t>
      </w:r>
      <w:r w:rsidR="00794C09" w:rsidRPr="004F6500">
        <w:rPr>
          <w:rFonts w:ascii="Times New Roman" w:eastAsia="Times" w:hAnsi="Times New Roman" w:cs="Times New Roman"/>
          <w:color w:val="000000"/>
        </w:rPr>
        <w:t xml:space="preserve"> entered</w:t>
      </w:r>
      <w:r w:rsidR="00223484" w:rsidRPr="004F6500">
        <w:rPr>
          <w:rFonts w:ascii="Times New Roman" w:eastAsia="Times" w:hAnsi="Times New Roman" w:cs="Times New Roman"/>
          <w:color w:val="000000"/>
        </w:rPr>
        <w:t xml:space="preserve"> into purchase agreements with Solmic GmbH (“Solmic”) for the purchase of Solmic’s oral 1% Micelle solution.</w:t>
      </w:r>
      <w:r w:rsidR="0044403D">
        <w:rPr>
          <w:rFonts w:ascii="Times New Roman" w:eastAsia="Times" w:hAnsi="Times New Roman" w:cs="Times New Roman"/>
          <w:color w:val="000000"/>
        </w:rPr>
        <w:t xml:space="preserve">  </w:t>
      </w:r>
    </w:p>
    <w:p w14:paraId="0D2C1336" w14:textId="77777777" w:rsidR="00223484" w:rsidRPr="004F6500" w:rsidRDefault="00223484" w:rsidP="004F6500">
      <w:pPr>
        <w:spacing w:after="0" w:line="254" w:lineRule="auto"/>
        <w:jc w:val="both"/>
        <w:rPr>
          <w:rFonts w:ascii="Times New Roman" w:eastAsia="Times" w:hAnsi="Times New Roman" w:cs="Times New Roman"/>
          <w:color w:val="000000"/>
        </w:rPr>
      </w:pPr>
    </w:p>
    <w:p w14:paraId="75A42D2E" w14:textId="77777777" w:rsidR="00223484" w:rsidRPr="004F6500" w:rsidRDefault="00223484" w:rsidP="004F6500">
      <w:pPr>
        <w:spacing w:line="254" w:lineRule="auto"/>
        <w:jc w:val="both"/>
        <w:rPr>
          <w:rFonts w:ascii="Times New Roman" w:eastAsia="Times New Roman" w:hAnsi="Times New Roman" w:cs="Times New Roman"/>
          <w:color w:val="000000"/>
          <w:u w:val="single"/>
          <w:lang w:val="en-CA" w:eastAsia="en-CA"/>
        </w:rPr>
      </w:pPr>
      <w:r w:rsidRPr="004F6500">
        <w:rPr>
          <w:rFonts w:ascii="Times New Roman" w:eastAsia="Times New Roman" w:hAnsi="Times New Roman" w:cs="Times New Roman"/>
          <w:color w:val="000000"/>
          <w:u w:val="single"/>
          <w:lang w:val="en-CA" w:eastAsia="en-CA"/>
        </w:rPr>
        <w:t>Ready-To-Infuse Cannabis Technology</w:t>
      </w:r>
    </w:p>
    <w:p w14:paraId="3666445C" w14:textId="454A5AEA" w:rsidR="00794C09" w:rsidRPr="004F6500" w:rsidRDefault="00CA0D0C" w:rsidP="004F6500">
      <w:pPr>
        <w:pStyle w:val="NormalWeb"/>
        <w:shd w:val="clear" w:color="auto" w:fill="FFFFFF"/>
        <w:spacing w:before="0" w:beforeAutospacing="0" w:after="0" w:afterAutospacing="0" w:line="254" w:lineRule="auto"/>
        <w:jc w:val="both"/>
        <w:textAlignment w:val="baseline"/>
        <w:rPr>
          <w:color w:val="000000" w:themeColor="text1"/>
          <w:sz w:val="22"/>
          <w:szCs w:val="22"/>
        </w:rPr>
      </w:pPr>
      <w:r>
        <w:rPr>
          <w:color w:val="000000" w:themeColor="text1"/>
          <w:sz w:val="22"/>
          <w:szCs w:val="22"/>
        </w:rPr>
        <w:t>BetterLife</w:t>
      </w:r>
      <w:r w:rsidR="00223484" w:rsidRPr="004F6500">
        <w:rPr>
          <w:color w:val="000000" w:themeColor="text1"/>
          <w:sz w:val="22"/>
          <w:szCs w:val="22"/>
        </w:rPr>
        <w:t>’s patented RTIC process technology creates precise and repeatable dosing of cannabis by transforming concentrated cannabis oil into a stable, emulsifiable, odorless and flavorless powder form.  The derived powder may then be encapsulated and infused for use in beverages, edibles, lotions and additional health and personal care products. The RTIC process is conducive for manufacturing of a wide array of products.</w:t>
      </w:r>
    </w:p>
    <w:p w14:paraId="0C5940A3" w14:textId="77777777" w:rsidR="00223484" w:rsidRPr="004F6500" w:rsidRDefault="00223484" w:rsidP="004F6500">
      <w:pPr>
        <w:pStyle w:val="NormalWeb"/>
        <w:shd w:val="clear" w:color="auto" w:fill="FFFFFF"/>
        <w:spacing w:before="0" w:beforeAutospacing="0" w:after="0" w:afterAutospacing="0" w:line="254" w:lineRule="auto"/>
        <w:jc w:val="both"/>
        <w:textAlignment w:val="baseline"/>
        <w:rPr>
          <w:color w:val="000000" w:themeColor="text1"/>
          <w:sz w:val="22"/>
          <w:szCs w:val="22"/>
        </w:rPr>
      </w:pPr>
      <w:r w:rsidRPr="004F6500">
        <w:rPr>
          <w:color w:val="000000" w:themeColor="text1"/>
          <w:sz w:val="22"/>
          <w:szCs w:val="22"/>
        </w:rPr>
        <w:t xml:space="preserve"> </w:t>
      </w:r>
    </w:p>
    <w:p w14:paraId="6B834733" w14:textId="77777777" w:rsidR="003116A0" w:rsidRDefault="003116A0">
      <w:pPr>
        <w:rPr>
          <w:rFonts w:ascii="Times New Roman" w:hAnsi="Times New Roman" w:cs="Times New Roman"/>
          <w:b/>
        </w:rPr>
      </w:pPr>
      <w:r>
        <w:rPr>
          <w:rFonts w:ascii="Times New Roman" w:hAnsi="Times New Roman" w:cs="Times New Roman"/>
          <w:b/>
        </w:rPr>
        <w:br w:type="page"/>
      </w:r>
    </w:p>
    <w:p w14:paraId="76C76A18" w14:textId="2AFDF3EB" w:rsidR="009147F2"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DISCUSSION OF OPERATIONS</w:t>
      </w:r>
    </w:p>
    <w:p w14:paraId="5B3E0B7C" w14:textId="77777777" w:rsidR="009147F2" w:rsidRPr="004F6500" w:rsidRDefault="009147F2" w:rsidP="004F6500">
      <w:pPr>
        <w:spacing w:after="0" w:line="254" w:lineRule="auto"/>
        <w:jc w:val="both"/>
        <w:rPr>
          <w:rFonts w:ascii="Times New Roman" w:hAnsi="Times New Roman" w:cs="Times New Roman"/>
        </w:rPr>
      </w:pPr>
    </w:p>
    <w:p w14:paraId="764B7C1F" w14:textId="60DDB8B6" w:rsidR="004F2102" w:rsidRPr="004F6500" w:rsidRDefault="004F210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Following is a discussion of the Company’s financial results for the </w:t>
      </w:r>
      <w:r w:rsidR="00CA0D0C">
        <w:rPr>
          <w:rFonts w:ascii="Times New Roman" w:hAnsi="Times New Roman" w:cs="Times New Roman"/>
        </w:rPr>
        <w:t>three and nine</w:t>
      </w:r>
      <w:r w:rsidRPr="004F6500">
        <w:rPr>
          <w:rFonts w:ascii="Times New Roman" w:hAnsi="Times New Roman" w:cs="Times New Roman"/>
        </w:rPr>
        <w:t xml:space="preserve"> months ended </w:t>
      </w:r>
      <w:r w:rsidR="003306DA">
        <w:rPr>
          <w:rFonts w:ascii="Times New Roman" w:hAnsi="Times New Roman" w:cs="Times New Roman"/>
        </w:rPr>
        <w:t>October</w:t>
      </w:r>
      <w:r w:rsidRPr="004F6500">
        <w:rPr>
          <w:rFonts w:ascii="Times New Roman" w:hAnsi="Times New Roman" w:cs="Times New Roman"/>
        </w:rPr>
        <w:t xml:space="preserve"> 31, 2019, compared to the </w:t>
      </w:r>
      <w:r w:rsidR="0093112B">
        <w:rPr>
          <w:rFonts w:ascii="Times New Roman" w:hAnsi="Times New Roman" w:cs="Times New Roman"/>
        </w:rPr>
        <w:t>comparative</w:t>
      </w:r>
      <w:r w:rsidRPr="004F6500">
        <w:rPr>
          <w:rFonts w:ascii="Times New Roman" w:hAnsi="Times New Roman" w:cs="Times New Roman"/>
        </w:rPr>
        <w:t xml:space="preserve"> period in the prior fiscal year. </w:t>
      </w:r>
    </w:p>
    <w:p w14:paraId="48E59691" w14:textId="77777777" w:rsidR="004F2102" w:rsidRPr="004F6500" w:rsidRDefault="004F2102" w:rsidP="004F6500">
      <w:pPr>
        <w:spacing w:after="0" w:line="254" w:lineRule="auto"/>
        <w:jc w:val="both"/>
        <w:rPr>
          <w:rFonts w:ascii="Times New Roman" w:hAnsi="Times New Roman" w:cs="Times New Roma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496"/>
        <w:gridCol w:w="1496"/>
        <w:gridCol w:w="248"/>
        <w:gridCol w:w="1530"/>
        <w:gridCol w:w="1530"/>
      </w:tblGrid>
      <w:tr w:rsidR="006E21FA" w:rsidRPr="004F6500" w14:paraId="56CED0C2" w14:textId="77777777" w:rsidTr="00A56B94">
        <w:tc>
          <w:tcPr>
            <w:tcW w:w="3060" w:type="dxa"/>
          </w:tcPr>
          <w:p w14:paraId="2ACE0255" w14:textId="77777777" w:rsidR="006E21FA" w:rsidRPr="004F6500" w:rsidRDefault="006E21FA" w:rsidP="004F6500">
            <w:pPr>
              <w:spacing w:line="254" w:lineRule="auto"/>
              <w:jc w:val="both"/>
              <w:rPr>
                <w:sz w:val="22"/>
              </w:rPr>
            </w:pPr>
          </w:p>
        </w:tc>
        <w:tc>
          <w:tcPr>
            <w:tcW w:w="2992" w:type="dxa"/>
            <w:gridSpan w:val="2"/>
            <w:tcBorders>
              <w:bottom w:val="single" w:sz="4" w:space="0" w:color="auto"/>
            </w:tcBorders>
          </w:tcPr>
          <w:p w14:paraId="3C3C3F8F" w14:textId="77777777" w:rsidR="006E21FA" w:rsidRPr="004F6500" w:rsidRDefault="006E21FA" w:rsidP="004F6500">
            <w:pPr>
              <w:spacing w:line="254" w:lineRule="auto"/>
              <w:jc w:val="center"/>
              <w:rPr>
                <w:b/>
                <w:sz w:val="22"/>
              </w:rPr>
            </w:pPr>
            <w:r w:rsidRPr="004F6500">
              <w:rPr>
                <w:b/>
                <w:sz w:val="22"/>
              </w:rPr>
              <w:t>THREE MONTHS ENDED</w:t>
            </w:r>
          </w:p>
        </w:tc>
        <w:tc>
          <w:tcPr>
            <w:tcW w:w="248" w:type="dxa"/>
          </w:tcPr>
          <w:p w14:paraId="6E5F3221" w14:textId="77777777" w:rsidR="006E21FA" w:rsidRPr="004F6500" w:rsidRDefault="006E21FA" w:rsidP="004F6500">
            <w:pPr>
              <w:spacing w:line="254" w:lineRule="auto"/>
              <w:jc w:val="center"/>
              <w:rPr>
                <w:b/>
                <w:sz w:val="22"/>
              </w:rPr>
            </w:pPr>
          </w:p>
        </w:tc>
        <w:tc>
          <w:tcPr>
            <w:tcW w:w="3060" w:type="dxa"/>
            <w:gridSpan w:val="2"/>
            <w:tcBorders>
              <w:bottom w:val="single" w:sz="4" w:space="0" w:color="auto"/>
            </w:tcBorders>
          </w:tcPr>
          <w:p w14:paraId="55130C61" w14:textId="07AFF8DA" w:rsidR="006E21FA" w:rsidRPr="004F6500" w:rsidRDefault="003306DA" w:rsidP="004F6500">
            <w:pPr>
              <w:spacing w:line="254" w:lineRule="auto"/>
              <w:jc w:val="center"/>
              <w:rPr>
                <w:b/>
                <w:sz w:val="22"/>
              </w:rPr>
            </w:pPr>
            <w:r>
              <w:rPr>
                <w:b/>
                <w:sz w:val="22"/>
              </w:rPr>
              <w:t>NINE</w:t>
            </w:r>
            <w:r w:rsidR="006E21FA" w:rsidRPr="004F6500">
              <w:rPr>
                <w:b/>
                <w:sz w:val="22"/>
              </w:rPr>
              <w:t xml:space="preserve"> MONTHS ENDED</w:t>
            </w:r>
          </w:p>
        </w:tc>
      </w:tr>
      <w:tr w:rsidR="006E21FA" w:rsidRPr="004F6500" w14:paraId="36506FE6" w14:textId="77777777" w:rsidTr="00A56B94">
        <w:tc>
          <w:tcPr>
            <w:tcW w:w="3060" w:type="dxa"/>
          </w:tcPr>
          <w:p w14:paraId="572B956A" w14:textId="77777777" w:rsidR="006E21FA" w:rsidRPr="004F6500" w:rsidRDefault="006E21FA" w:rsidP="004F6500">
            <w:pPr>
              <w:spacing w:line="254" w:lineRule="auto"/>
              <w:jc w:val="both"/>
              <w:rPr>
                <w:sz w:val="22"/>
              </w:rPr>
            </w:pPr>
          </w:p>
        </w:tc>
        <w:tc>
          <w:tcPr>
            <w:tcW w:w="1496" w:type="dxa"/>
            <w:tcBorders>
              <w:top w:val="single" w:sz="4" w:space="0" w:color="auto"/>
              <w:bottom w:val="single" w:sz="4" w:space="0" w:color="auto"/>
            </w:tcBorders>
          </w:tcPr>
          <w:p w14:paraId="3E0FF5C6" w14:textId="5CD4BA85" w:rsidR="006E21FA" w:rsidRPr="004F6500" w:rsidRDefault="003306DA" w:rsidP="004F6500">
            <w:pPr>
              <w:spacing w:line="254" w:lineRule="auto"/>
              <w:jc w:val="center"/>
              <w:rPr>
                <w:b/>
                <w:sz w:val="22"/>
              </w:rPr>
            </w:pPr>
            <w:r>
              <w:rPr>
                <w:b/>
                <w:sz w:val="22"/>
              </w:rPr>
              <w:t>October</w:t>
            </w:r>
            <w:r w:rsidR="006E21FA" w:rsidRPr="004F6500">
              <w:rPr>
                <w:b/>
                <w:sz w:val="22"/>
              </w:rPr>
              <w:t xml:space="preserve"> 31, 2019</w:t>
            </w:r>
          </w:p>
        </w:tc>
        <w:tc>
          <w:tcPr>
            <w:tcW w:w="1496" w:type="dxa"/>
            <w:tcBorders>
              <w:top w:val="single" w:sz="4" w:space="0" w:color="auto"/>
              <w:bottom w:val="single" w:sz="4" w:space="0" w:color="auto"/>
            </w:tcBorders>
          </w:tcPr>
          <w:p w14:paraId="055486D9" w14:textId="45F6B7A4" w:rsidR="006E21FA" w:rsidRPr="004F6500" w:rsidRDefault="003306DA" w:rsidP="004F6500">
            <w:pPr>
              <w:spacing w:line="254" w:lineRule="auto"/>
              <w:jc w:val="center"/>
              <w:rPr>
                <w:b/>
                <w:sz w:val="22"/>
              </w:rPr>
            </w:pPr>
            <w:r>
              <w:rPr>
                <w:b/>
                <w:sz w:val="22"/>
              </w:rPr>
              <w:t>October</w:t>
            </w:r>
            <w:r w:rsidR="006E21FA" w:rsidRPr="004F6500">
              <w:rPr>
                <w:b/>
                <w:sz w:val="22"/>
              </w:rPr>
              <w:t xml:space="preserve"> 31, 2018</w:t>
            </w:r>
          </w:p>
        </w:tc>
        <w:tc>
          <w:tcPr>
            <w:tcW w:w="248" w:type="dxa"/>
          </w:tcPr>
          <w:p w14:paraId="16C5E51D" w14:textId="77777777" w:rsidR="006E21FA" w:rsidRPr="004F6500" w:rsidRDefault="006E21FA" w:rsidP="004F6500">
            <w:pPr>
              <w:spacing w:line="254" w:lineRule="auto"/>
              <w:jc w:val="center"/>
              <w:rPr>
                <w:b/>
                <w:sz w:val="22"/>
              </w:rPr>
            </w:pPr>
          </w:p>
        </w:tc>
        <w:tc>
          <w:tcPr>
            <w:tcW w:w="1530" w:type="dxa"/>
            <w:tcBorders>
              <w:top w:val="single" w:sz="4" w:space="0" w:color="auto"/>
              <w:bottom w:val="single" w:sz="4" w:space="0" w:color="auto"/>
            </w:tcBorders>
          </w:tcPr>
          <w:p w14:paraId="40F33871" w14:textId="45F19E43" w:rsidR="006E21FA" w:rsidRPr="004F6500" w:rsidRDefault="003306DA" w:rsidP="004F6500">
            <w:pPr>
              <w:spacing w:line="254" w:lineRule="auto"/>
              <w:jc w:val="center"/>
              <w:rPr>
                <w:b/>
                <w:sz w:val="22"/>
              </w:rPr>
            </w:pPr>
            <w:r>
              <w:rPr>
                <w:b/>
                <w:sz w:val="22"/>
              </w:rPr>
              <w:t>October</w:t>
            </w:r>
            <w:r w:rsidR="006E21FA" w:rsidRPr="004F6500">
              <w:rPr>
                <w:b/>
                <w:sz w:val="22"/>
              </w:rPr>
              <w:t xml:space="preserve"> 31, 2019</w:t>
            </w:r>
          </w:p>
        </w:tc>
        <w:tc>
          <w:tcPr>
            <w:tcW w:w="1530" w:type="dxa"/>
            <w:tcBorders>
              <w:top w:val="single" w:sz="4" w:space="0" w:color="auto"/>
              <w:bottom w:val="single" w:sz="4" w:space="0" w:color="auto"/>
            </w:tcBorders>
          </w:tcPr>
          <w:p w14:paraId="4DC915A6" w14:textId="6E48DCC3" w:rsidR="006E21FA" w:rsidRPr="004F6500" w:rsidRDefault="003306DA" w:rsidP="004F6500">
            <w:pPr>
              <w:spacing w:line="254" w:lineRule="auto"/>
              <w:jc w:val="center"/>
              <w:rPr>
                <w:b/>
                <w:sz w:val="22"/>
              </w:rPr>
            </w:pPr>
            <w:r>
              <w:rPr>
                <w:b/>
                <w:sz w:val="22"/>
              </w:rPr>
              <w:t>October</w:t>
            </w:r>
            <w:r w:rsidR="006E21FA" w:rsidRPr="004F6500">
              <w:rPr>
                <w:b/>
                <w:sz w:val="22"/>
              </w:rPr>
              <w:t xml:space="preserve"> 31, 2018</w:t>
            </w:r>
          </w:p>
        </w:tc>
      </w:tr>
      <w:tr w:rsidR="006E21FA" w:rsidRPr="004F6500" w14:paraId="521E2E24" w14:textId="77777777" w:rsidTr="00A56B94">
        <w:tc>
          <w:tcPr>
            <w:tcW w:w="3060" w:type="dxa"/>
          </w:tcPr>
          <w:p w14:paraId="46E1A84A" w14:textId="77777777" w:rsidR="006E21FA" w:rsidRPr="004F6500" w:rsidRDefault="006E21FA" w:rsidP="004F6500">
            <w:pPr>
              <w:spacing w:line="254" w:lineRule="auto"/>
              <w:rPr>
                <w:sz w:val="22"/>
              </w:rPr>
            </w:pPr>
            <w:r w:rsidRPr="004F6500">
              <w:rPr>
                <w:sz w:val="22"/>
              </w:rPr>
              <w:t>Revenue</w:t>
            </w:r>
          </w:p>
        </w:tc>
        <w:tc>
          <w:tcPr>
            <w:tcW w:w="1496" w:type="dxa"/>
            <w:tcBorders>
              <w:top w:val="single" w:sz="4" w:space="0" w:color="auto"/>
            </w:tcBorders>
          </w:tcPr>
          <w:p w14:paraId="5A0201A3" w14:textId="77777777" w:rsidR="006E21FA" w:rsidRPr="004F6500" w:rsidRDefault="006E21FA" w:rsidP="004F6500">
            <w:pPr>
              <w:spacing w:line="254" w:lineRule="auto"/>
              <w:jc w:val="right"/>
              <w:rPr>
                <w:sz w:val="22"/>
              </w:rPr>
            </w:pPr>
            <w:r w:rsidRPr="004F6500">
              <w:rPr>
                <w:sz w:val="22"/>
              </w:rPr>
              <w:t>$nil</w:t>
            </w:r>
          </w:p>
        </w:tc>
        <w:tc>
          <w:tcPr>
            <w:tcW w:w="1496" w:type="dxa"/>
            <w:tcBorders>
              <w:top w:val="single" w:sz="4" w:space="0" w:color="auto"/>
            </w:tcBorders>
          </w:tcPr>
          <w:p w14:paraId="1A05B37E" w14:textId="77777777" w:rsidR="006E21FA" w:rsidRPr="004F6500" w:rsidRDefault="006E21FA" w:rsidP="004F6500">
            <w:pPr>
              <w:spacing w:line="254" w:lineRule="auto"/>
              <w:jc w:val="right"/>
              <w:rPr>
                <w:sz w:val="22"/>
              </w:rPr>
            </w:pPr>
            <w:r w:rsidRPr="004F6500">
              <w:rPr>
                <w:sz w:val="22"/>
              </w:rPr>
              <w:t>$nil</w:t>
            </w:r>
          </w:p>
        </w:tc>
        <w:tc>
          <w:tcPr>
            <w:tcW w:w="248" w:type="dxa"/>
          </w:tcPr>
          <w:p w14:paraId="67C3A41D" w14:textId="77777777" w:rsidR="006E21FA" w:rsidRPr="004F6500" w:rsidRDefault="006E21FA" w:rsidP="004F6500">
            <w:pPr>
              <w:spacing w:line="254" w:lineRule="auto"/>
              <w:jc w:val="right"/>
              <w:rPr>
                <w:sz w:val="22"/>
              </w:rPr>
            </w:pPr>
          </w:p>
        </w:tc>
        <w:tc>
          <w:tcPr>
            <w:tcW w:w="1530" w:type="dxa"/>
            <w:tcBorders>
              <w:top w:val="single" w:sz="4" w:space="0" w:color="auto"/>
            </w:tcBorders>
          </w:tcPr>
          <w:p w14:paraId="577BE757" w14:textId="77777777" w:rsidR="006E21FA" w:rsidRPr="004F6500" w:rsidRDefault="006E21FA" w:rsidP="004F6500">
            <w:pPr>
              <w:spacing w:line="254" w:lineRule="auto"/>
              <w:jc w:val="right"/>
              <w:rPr>
                <w:sz w:val="22"/>
              </w:rPr>
            </w:pPr>
            <w:r w:rsidRPr="004F6500">
              <w:rPr>
                <w:sz w:val="22"/>
              </w:rPr>
              <w:t>$nil</w:t>
            </w:r>
          </w:p>
        </w:tc>
        <w:tc>
          <w:tcPr>
            <w:tcW w:w="1530" w:type="dxa"/>
            <w:tcBorders>
              <w:top w:val="single" w:sz="4" w:space="0" w:color="auto"/>
            </w:tcBorders>
          </w:tcPr>
          <w:p w14:paraId="4766E9A5" w14:textId="77777777" w:rsidR="006E21FA" w:rsidRPr="004F6500" w:rsidRDefault="006E21FA" w:rsidP="004F6500">
            <w:pPr>
              <w:spacing w:line="254" w:lineRule="auto"/>
              <w:jc w:val="right"/>
              <w:rPr>
                <w:sz w:val="22"/>
              </w:rPr>
            </w:pPr>
            <w:r w:rsidRPr="004F6500">
              <w:rPr>
                <w:sz w:val="22"/>
              </w:rPr>
              <w:t>$nil</w:t>
            </w:r>
          </w:p>
        </w:tc>
      </w:tr>
      <w:tr w:rsidR="006E21FA" w:rsidRPr="004F6500" w14:paraId="39DF7A1A" w14:textId="77777777" w:rsidTr="00A56B94">
        <w:tc>
          <w:tcPr>
            <w:tcW w:w="3060" w:type="dxa"/>
          </w:tcPr>
          <w:p w14:paraId="6ADCF4B1" w14:textId="77777777" w:rsidR="006E21FA" w:rsidRPr="004F6500" w:rsidRDefault="006E21FA" w:rsidP="004F6500">
            <w:pPr>
              <w:spacing w:line="254" w:lineRule="auto"/>
              <w:rPr>
                <w:sz w:val="22"/>
              </w:rPr>
            </w:pPr>
            <w:r w:rsidRPr="004F6500">
              <w:rPr>
                <w:sz w:val="22"/>
              </w:rPr>
              <w:t>Operating expenses</w:t>
            </w:r>
          </w:p>
        </w:tc>
        <w:tc>
          <w:tcPr>
            <w:tcW w:w="1496" w:type="dxa"/>
          </w:tcPr>
          <w:p w14:paraId="39A40D6E" w14:textId="5AD5B766" w:rsidR="006E21FA" w:rsidRPr="004F6500" w:rsidRDefault="00BB5323" w:rsidP="004F6500">
            <w:pPr>
              <w:spacing w:line="254" w:lineRule="auto"/>
              <w:jc w:val="right"/>
              <w:rPr>
                <w:sz w:val="22"/>
              </w:rPr>
            </w:pPr>
            <w:r>
              <w:rPr>
                <w:sz w:val="22"/>
              </w:rPr>
              <w:t>$(</w:t>
            </w:r>
            <w:r w:rsidRPr="00BB5323">
              <w:rPr>
                <w:sz w:val="22"/>
              </w:rPr>
              <w:t>2,334,098</w:t>
            </w:r>
            <w:r>
              <w:rPr>
                <w:sz w:val="22"/>
              </w:rPr>
              <w:t>)</w:t>
            </w:r>
          </w:p>
        </w:tc>
        <w:tc>
          <w:tcPr>
            <w:tcW w:w="1496" w:type="dxa"/>
          </w:tcPr>
          <w:p w14:paraId="65A41AC9" w14:textId="43DF916D" w:rsidR="006E21FA" w:rsidRPr="004F6500" w:rsidRDefault="00BB5323" w:rsidP="00946DF0">
            <w:pPr>
              <w:spacing w:line="254" w:lineRule="auto"/>
              <w:jc w:val="right"/>
              <w:rPr>
                <w:sz w:val="22"/>
              </w:rPr>
            </w:pPr>
            <w:r>
              <w:rPr>
                <w:sz w:val="22"/>
              </w:rPr>
              <w:t>$(</w:t>
            </w:r>
            <w:r w:rsidRPr="00BB5323">
              <w:rPr>
                <w:sz w:val="22"/>
              </w:rPr>
              <w:t>1,865,342</w:t>
            </w:r>
            <w:r>
              <w:rPr>
                <w:sz w:val="22"/>
              </w:rPr>
              <w:t>)</w:t>
            </w:r>
          </w:p>
        </w:tc>
        <w:tc>
          <w:tcPr>
            <w:tcW w:w="248" w:type="dxa"/>
          </w:tcPr>
          <w:p w14:paraId="63A48B73" w14:textId="77777777" w:rsidR="006E21FA" w:rsidRPr="004F6500" w:rsidRDefault="006E21FA" w:rsidP="004F6500">
            <w:pPr>
              <w:spacing w:line="254" w:lineRule="auto"/>
              <w:jc w:val="right"/>
              <w:rPr>
                <w:sz w:val="22"/>
              </w:rPr>
            </w:pPr>
          </w:p>
        </w:tc>
        <w:tc>
          <w:tcPr>
            <w:tcW w:w="1530" w:type="dxa"/>
          </w:tcPr>
          <w:p w14:paraId="3A86B356" w14:textId="4F05C05A" w:rsidR="006E21FA" w:rsidRPr="004F6500" w:rsidRDefault="00BB5323" w:rsidP="004F6500">
            <w:pPr>
              <w:spacing w:line="254" w:lineRule="auto"/>
              <w:jc w:val="right"/>
              <w:rPr>
                <w:sz w:val="22"/>
              </w:rPr>
            </w:pPr>
            <w:r>
              <w:rPr>
                <w:sz w:val="22"/>
              </w:rPr>
              <w:t>$(</w:t>
            </w:r>
            <w:r w:rsidRPr="00BB5323">
              <w:rPr>
                <w:sz w:val="22"/>
              </w:rPr>
              <w:t>8,257,757</w:t>
            </w:r>
            <w:r>
              <w:rPr>
                <w:sz w:val="22"/>
              </w:rPr>
              <w:t>)</w:t>
            </w:r>
          </w:p>
        </w:tc>
        <w:tc>
          <w:tcPr>
            <w:tcW w:w="1530" w:type="dxa"/>
          </w:tcPr>
          <w:p w14:paraId="5C9ACE0C" w14:textId="6A12F0E6" w:rsidR="006E21FA" w:rsidRPr="004F6500" w:rsidRDefault="00BB5323" w:rsidP="00946DF0">
            <w:pPr>
              <w:spacing w:line="254" w:lineRule="auto"/>
              <w:jc w:val="right"/>
              <w:rPr>
                <w:sz w:val="22"/>
              </w:rPr>
            </w:pPr>
            <w:r>
              <w:rPr>
                <w:sz w:val="22"/>
              </w:rPr>
              <w:t>$(</w:t>
            </w:r>
            <w:r w:rsidRPr="00BB5323">
              <w:rPr>
                <w:sz w:val="22"/>
              </w:rPr>
              <w:t>5,264,080</w:t>
            </w:r>
            <w:r>
              <w:rPr>
                <w:sz w:val="22"/>
              </w:rPr>
              <w:t>)</w:t>
            </w:r>
          </w:p>
        </w:tc>
      </w:tr>
      <w:tr w:rsidR="006E21FA" w:rsidRPr="004F6500" w14:paraId="0DAB7A82" w14:textId="77777777" w:rsidTr="00A56B94">
        <w:tc>
          <w:tcPr>
            <w:tcW w:w="3060" w:type="dxa"/>
          </w:tcPr>
          <w:p w14:paraId="4D5C05D2" w14:textId="77777777" w:rsidR="006E21FA" w:rsidRPr="004F6500" w:rsidRDefault="006E21FA" w:rsidP="004F6500">
            <w:pPr>
              <w:spacing w:line="254" w:lineRule="auto"/>
              <w:rPr>
                <w:sz w:val="22"/>
              </w:rPr>
            </w:pPr>
            <w:r w:rsidRPr="004F6500">
              <w:rPr>
                <w:sz w:val="22"/>
              </w:rPr>
              <w:t>Other income (expense):</w:t>
            </w:r>
          </w:p>
        </w:tc>
        <w:tc>
          <w:tcPr>
            <w:tcW w:w="1496" w:type="dxa"/>
          </w:tcPr>
          <w:p w14:paraId="5E5822FA" w14:textId="77777777" w:rsidR="006E21FA" w:rsidRPr="004F6500" w:rsidRDefault="006E21FA" w:rsidP="004F6500">
            <w:pPr>
              <w:spacing w:line="254" w:lineRule="auto"/>
              <w:jc w:val="right"/>
              <w:rPr>
                <w:sz w:val="22"/>
              </w:rPr>
            </w:pPr>
          </w:p>
        </w:tc>
        <w:tc>
          <w:tcPr>
            <w:tcW w:w="1496" w:type="dxa"/>
          </w:tcPr>
          <w:p w14:paraId="7642BAEA" w14:textId="77777777" w:rsidR="006E21FA" w:rsidRPr="004F6500" w:rsidRDefault="006E21FA" w:rsidP="004F6500">
            <w:pPr>
              <w:spacing w:line="254" w:lineRule="auto"/>
              <w:jc w:val="right"/>
              <w:rPr>
                <w:sz w:val="22"/>
              </w:rPr>
            </w:pPr>
          </w:p>
        </w:tc>
        <w:tc>
          <w:tcPr>
            <w:tcW w:w="248" w:type="dxa"/>
          </w:tcPr>
          <w:p w14:paraId="7909AB00" w14:textId="77777777" w:rsidR="006E21FA" w:rsidRPr="004F6500" w:rsidRDefault="006E21FA" w:rsidP="004F6500">
            <w:pPr>
              <w:spacing w:line="254" w:lineRule="auto"/>
              <w:jc w:val="right"/>
              <w:rPr>
                <w:sz w:val="22"/>
              </w:rPr>
            </w:pPr>
          </w:p>
        </w:tc>
        <w:tc>
          <w:tcPr>
            <w:tcW w:w="1530" w:type="dxa"/>
          </w:tcPr>
          <w:p w14:paraId="02F212EB" w14:textId="77777777" w:rsidR="006E21FA" w:rsidRPr="004F6500" w:rsidRDefault="006E21FA" w:rsidP="004F6500">
            <w:pPr>
              <w:spacing w:line="254" w:lineRule="auto"/>
              <w:jc w:val="right"/>
              <w:rPr>
                <w:sz w:val="22"/>
              </w:rPr>
            </w:pPr>
          </w:p>
        </w:tc>
        <w:tc>
          <w:tcPr>
            <w:tcW w:w="1530" w:type="dxa"/>
          </w:tcPr>
          <w:p w14:paraId="1BCC74D9" w14:textId="77777777" w:rsidR="006E21FA" w:rsidRPr="004F6500" w:rsidRDefault="006E21FA" w:rsidP="004F6500">
            <w:pPr>
              <w:spacing w:line="254" w:lineRule="auto"/>
              <w:jc w:val="right"/>
              <w:rPr>
                <w:sz w:val="22"/>
              </w:rPr>
            </w:pPr>
          </w:p>
        </w:tc>
      </w:tr>
      <w:tr w:rsidR="006E21FA" w:rsidRPr="004F6500" w14:paraId="45E80167" w14:textId="77777777" w:rsidTr="00A56B94">
        <w:tc>
          <w:tcPr>
            <w:tcW w:w="3060" w:type="dxa"/>
          </w:tcPr>
          <w:p w14:paraId="06879742" w14:textId="77777777" w:rsidR="006E21FA" w:rsidRPr="004F6500" w:rsidRDefault="006E21FA" w:rsidP="004F6500">
            <w:pPr>
              <w:spacing w:line="254" w:lineRule="auto"/>
              <w:ind w:left="162"/>
              <w:rPr>
                <w:sz w:val="22"/>
              </w:rPr>
            </w:pPr>
            <w:r w:rsidRPr="004F6500">
              <w:rPr>
                <w:sz w:val="22"/>
              </w:rPr>
              <w:t>Amortization of discount on convertible debentures</w:t>
            </w:r>
          </w:p>
        </w:tc>
        <w:tc>
          <w:tcPr>
            <w:tcW w:w="1496" w:type="dxa"/>
          </w:tcPr>
          <w:p w14:paraId="5FD387A8" w14:textId="77777777" w:rsidR="006E21FA" w:rsidRDefault="006E21FA" w:rsidP="004F6500">
            <w:pPr>
              <w:spacing w:line="254" w:lineRule="auto"/>
              <w:jc w:val="right"/>
              <w:rPr>
                <w:sz w:val="22"/>
              </w:rPr>
            </w:pPr>
          </w:p>
          <w:p w14:paraId="3353FF4B" w14:textId="0873B714" w:rsidR="00BB5323" w:rsidRPr="004F6500" w:rsidRDefault="00BB5323" w:rsidP="004F6500">
            <w:pPr>
              <w:spacing w:line="254" w:lineRule="auto"/>
              <w:jc w:val="right"/>
              <w:rPr>
                <w:sz w:val="22"/>
              </w:rPr>
            </w:pPr>
            <w:r>
              <w:rPr>
                <w:sz w:val="22"/>
              </w:rPr>
              <w:t>$nil</w:t>
            </w:r>
          </w:p>
        </w:tc>
        <w:tc>
          <w:tcPr>
            <w:tcW w:w="1496" w:type="dxa"/>
          </w:tcPr>
          <w:p w14:paraId="1683BFBD" w14:textId="77777777" w:rsidR="006E21FA" w:rsidRDefault="006E21FA" w:rsidP="004F6500">
            <w:pPr>
              <w:spacing w:line="254" w:lineRule="auto"/>
              <w:jc w:val="right"/>
              <w:rPr>
                <w:sz w:val="22"/>
              </w:rPr>
            </w:pPr>
          </w:p>
          <w:p w14:paraId="155A07B9" w14:textId="73B0A6DB" w:rsidR="00BB5323" w:rsidRPr="004F6500" w:rsidRDefault="00BB5323" w:rsidP="004F6500">
            <w:pPr>
              <w:spacing w:line="254" w:lineRule="auto"/>
              <w:jc w:val="right"/>
              <w:rPr>
                <w:sz w:val="22"/>
              </w:rPr>
            </w:pPr>
            <w:r>
              <w:rPr>
                <w:sz w:val="22"/>
              </w:rPr>
              <w:t>$</w:t>
            </w:r>
            <w:r w:rsidRPr="00BB5323">
              <w:rPr>
                <w:sz w:val="22"/>
              </w:rPr>
              <w:t>(321,479)</w:t>
            </w:r>
          </w:p>
        </w:tc>
        <w:tc>
          <w:tcPr>
            <w:tcW w:w="248" w:type="dxa"/>
          </w:tcPr>
          <w:p w14:paraId="39E6F67C" w14:textId="77777777" w:rsidR="006E21FA" w:rsidRPr="004F6500" w:rsidRDefault="006E21FA" w:rsidP="004F6500">
            <w:pPr>
              <w:spacing w:line="254" w:lineRule="auto"/>
              <w:jc w:val="right"/>
              <w:rPr>
                <w:sz w:val="22"/>
              </w:rPr>
            </w:pPr>
          </w:p>
        </w:tc>
        <w:tc>
          <w:tcPr>
            <w:tcW w:w="1530" w:type="dxa"/>
          </w:tcPr>
          <w:p w14:paraId="271A3E6E" w14:textId="77777777" w:rsidR="006E21FA" w:rsidRDefault="006E21FA" w:rsidP="004F6500">
            <w:pPr>
              <w:spacing w:line="254" w:lineRule="auto"/>
              <w:jc w:val="right"/>
              <w:rPr>
                <w:sz w:val="22"/>
              </w:rPr>
            </w:pPr>
          </w:p>
          <w:p w14:paraId="23339A07" w14:textId="25ECEC67" w:rsidR="00BB5323" w:rsidRPr="004F6500" w:rsidRDefault="00BB5323" w:rsidP="004F6500">
            <w:pPr>
              <w:spacing w:line="254" w:lineRule="auto"/>
              <w:jc w:val="right"/>
              <w:rPr>
                <w:sz w:val="22"/>
              </w:rPr>
            </w:pPr>
            <w:r>
              <w:rPr>
                <w:sz w:val="22"/>
              </w:rPr>
              <w:t>$(294,000)</w:t>
            </w:r>
          </w:p>
        </w:tc>
        <w:tc>
          <w:tcPr>
            <w:tcW w:w="1530" w:type="dxa"/>
          </w:tcPr>
          <w:p w14:paraId="22D6DEEE" w14:textId="77777777" w:rsidR="006E21FA" w:rsidRDefault="006E21FA" w:rsidP="004F6500">
            <w:pPr>
              <w:spacing w:line="254" w:lineRule="auto"/>
              <w:jc w:val="right"/>
              <w:rPr>
                <w:sz w:val="22"/>
              </w:rPr>
            </w:pPr>
          </w:p>
          <w:p w14:paraId="1EE1578A" w14:textId="4AE12BBB" w:rsidR="00BB5323" w:rsidRPr="004F6500" w:rsidRDefault="00BB5323" w:rsidP="004F6500">
            <w:pPr>
              <w:spacing w:line="254" w:lineRule="auto"/>
              <w:jc w:val="right"/>
              <w:rPr>
                <w:sz w:val="22"/>
              </w:rPr>
            </w:pPr>
            <w:r>
              <w:rPr>
                <w:sz w:val="22"/>
              </w:rPr>
              <w:t>$</w:t>
            </w:r>
            <w:r w:rsidRPr="00BB5323">
              <w:rPr>
                <w:sz w:val="22"/>
              </w:rPr>
              <w:t>(827,728)</w:t>
            </w:r>
          </w:p>
        </w:tc>
      </w:tr>
      <w:tr w:rsidR="006E21FA" w:rsidRPr="004F6500" w14:paraId="6E316400" w14:textId="77777777" w:rsidTr="00A56B94">
        <w:tc>
          <w:tcPr>
            <w:tcW w:w="3060" w:type="dxa"/>
          </w:tcPr>
          <w:p w14:paraId="708AB610" w14:textId="77777777" w:rsidR="006E21FA" w:rsidRPr="004F6500" w:rsidRDefault="006E21FA" w:rsidP="004F6500">
            <w:pPr>
              <w:spacing w:line="254" w:lineRule="auto"/>
              <w:ind w:left="162"/>
              <w:rPr>
                <w:sz w:val="22"/>
              </w:rPr>
            </w:pPr>
            <w:r w:rsidRPr="004F6500">
              <w:rPr>
                <w:sz w:val="22"/>
              </w:rPr>
              <w:t>Gain on repayment of promissory note</w:t>
            </w:r>
          </w:p>
        </w:tc>
        <w:tc>
          <w:tcPr>
            <w:tcW w:w="1496" w:type="dxa"/>
          </w:tcPr>
          <w:p w14:paraId="1477885D" w14:textId="77777777" w:rsidR="004F6500" w:rsidRDefault="004F6500" w:rsidP="004F6500">
            <w:pPr>
              <w:spacing w:line="254" w:lineRule="auto"/>
              <w:jc w:val="right"/>
              <w:rPr>
                <w:sz w:val="22"/>
              </w:rPr>
            </w:pPr>
          </w:p>
          <w:p w14:paraId="48B717B3" w14:textId="77777777" w:rsidR="006E21FA" w:rsidRPr="004F6500" w:rsidRDefault="006E21FA" w:rsidP="004F6500">
            <w:pPr>
              <w:spacing w:line="254" w:lineRule="auto"/>
              <w:jc w:val="right"/>
              <w:rPr>
                <w:sz w:val="22"/>
              </w:rPr>
            </w:pPr>
            <w:r w:rsidRPr="004F6500">
              <w:rPr>
                <w:sz w:val="22"/>
              </w:rPr>
              <w:t>$nil</w:t>
            </w:r>
          </w:p>
        </w:tc>
        <w:tc>
          <w:tcPr>
            <w:tcW w:w="1496" w:type="dxa"/>
          </w:tcPr>
          <w:p w14:paraId="3315058B" w14:textId="77777777" w:rsidR="004F6500" w:rsidRDefault="004F6500" w:rsidP="004F6500">
            <w:pPr>
              <w:spacing w:line="254" w:lineRule="auto"/>
              <w:jc w:val="right"/>
              <w:rPr>
                <w:sz w:val="22"/>
              </w:rPr>
            </w:pPr>
          </w:p>
          <w:p w14:paraId="48828554" w14:textId="77777777" w:rsidR="006E21FA" w:rsidRPr="004F6500" w:rsidRDefault="006E21FA" w:rsidP="004F6500">
            <w:pPr>
              <w:spacing w:line="254" w:lineRule="auto"/>
              <w:jc w:val="right"/>
              <w:rPr>
                <w:sz w:val="22"/>
              </w:rPr>
            </w:pPr>
            <w:r w:rsidRPr="004F6500">
              <w:rPr>
                <w:sz w:val="22"/>
              </w:rPr>
              <w:t>$nil</w:t>
            </w:r>
          </w:p>
        </w:tc>
        <w:tc>
          <w:tcPr>
            <w:tcW w:w="248" w:type="dxa"/>
          </w:tcPr>
          <w:p w14:paraId="5241CD91" w14:textId="77777777" w:rsidR="006E21FA" w:rsidRPr="004F6500" w:rsidRDefault="006E21FA" w:rsidP="004F6500">
            <w:pPr>
              <w:spacing w:line="254" w:lineRule="auto"/>
              <w:jc w:val="right"/>
              <w:rPr>
                <w:sz w:val="22"/>
              </w:rPr>
            </w:pPr>
          </w:p>
        </w:tc>
        <w:tc>
          <w:tcPr>
            <w:tcW w:w="1530" w:type="dxa"/>
          </w:tcPr>
          <w:p w14:paraId="41781CA7" w14:textId="77777777" w:rsidR="004F6500" w:rsidRDefault="004F6500" w:rsidP="004F6500">
            <w:pPr>
              <w:spacing w:line="254" w:lineRule="auto"/>
              <w:jc w:val="right"/>
              <w:rPr>
                <w:sz w:val="22"/>
              </w:rPr>
            </w:pPr>
          </w:p>
          <w:p w14:paraId="37EFF881" w14:textId="77777777" w:rsidR="006E21FA" w:rsidRPr="004F6500" w:rsidRDefault="006E21FA" w:rsidP="004F6500">
            <w:pPr>
              <w:spacing w:line="254" w:lineRule="auto"/>
              <w:jc w:val="right"/>
              <w:rPr>
                <w:sz w:val="22"/>
              </w:rPr>
            </w:pPr>
            <w:r w:rsidRPr="004F6500">
              <w:rPr>
                <w:sz w:val="22"/>
              </w:rPr>
              <w:t>$nil</w:t>
            </w:r>
          </w:p>
        </w:tc>
        <w:tc>
          <w:tcPr>
            <w:tcW w:w="1530" w:type="dxa"/>
          </w:tcPr>
          <w:p w14:paraId="0C1D2B6F" w14:textId="77777777" w:rsidR="004F6500" w:rsidRDefault="004F6500" w:rsidP="004F6500">
            <w:pPr>
              <w:spacing w:line="254" w:lineRule="auto"/>
              <w:jc w:val="right"/>
              <w:rPr>
                <w:sz w:val="22"/>
              </w:rPr>
            </w:pPr>
          </w:p>
          <w:p w14:paraId="5617E823" w14:textId="77777777" w:rsidR="006E21FA" w:rsidRPr="004F6500" w:rsidRDefault="006E21FA" w:rsidP="004F6500">
            <w:pPr>
              <w:spacing w:line="254" w:lineRule="auto"/>
              <w:jc w:val="right"/>
              <w:rPr>
                <w:sz w:val="22"/>
              </w:rPr>
            </w:pPr>
            <w:r w:rsidRPr="004F6500">
              <w:rPr>
                <w:sz w:val="22"/>
              </w:rPr>
              <w:t>$8,890</w:t>
            </w:r>
          </w:p>
        </w:tc>
      </w:tr>
      <w:tr w:rsidR="006E21FA" w:rsidRPr="004F6500" w14:paraId="2C872517" w14:textId="77777777" w:rsidTr="00A56B94">
        <w:tc>
          <w:tcPr>
            <w:tcW w:w="3060" w:type="dxa"/>
          </w:tcPr>
          <w:p w14:paraId="77D6334E" w14:textId="77777777" w:rsidR="006E21FA" w:rsidRPr="004F6500" w:rsidRDefault="006E21FA" w:rsidP="004F6500">
            <w:pPr>
              <w:spacing w:line="254" w:lineRule="auto"/>
              <w:ind w:left="162"/>
              <w:rPr>
                <w:sz w:val="22"/>
              </w:rPr>
            </w:pPr>
            <w:r w:rsidRPr="004F6500">
              <w:rPr>
                <w:sz w:val="22"/>
              </w:rPr>
              <w:t>Interest expense</w:t>
            </w:r>
          </w:p>
        </w:tc>
        <w:tc>
          <w:tcPr>
            <w:tcW w:w="1496" w:type="dxa"/>
          </w:tcPr>
          <w:p w14:paraId="6F7B3955" w14:textId="04855763" w:rsidR="006E21FA" w:rsidRPr="004F6500" w:rsidRDefault="00BB5323" w:rsidP="004F6500">
            <w:pPr>
              <w:spacing w:line="254" w:lineRule="auto"/>
              <w:jc w:val="right"/>
              <w:rPr>
                <w:sz w:val="22"/>
              </w:rPr>
            </w:pPr>
            <w:r>
              <w:rPr>
                <w:sz w:val="22"/>
              </w:rPr>
              <w:t>$(480)</w:t>
            </w:r>
          </w:p>
        </w:tc>
        <w:tc>
          <w:tcPr>
            <w:tcW w:w="1496" w:type="dxa"/>
          </w:tcPr>
          <w:p w14:paraId="655377C6" w14:textId="165B48A0" w:rsidR="006E21FA" w:rsidRPr="004F6500" w:rsidRDefault="00BB5323" w:rsidP="004F6500">
            <w:pPr>
              <w:spacing w:line="254" w:lineRule="auto"/>
              <w:jc w:val="right"/>
              <w:rPr>
                <w:sz w:val="22"/>
              </w:rPr>
            </w:pPr>
            <w:r>
              <w:rPr>
                <w:sz w:val="22"/>
              </w:rPr>
              <w:t>$nil</w:t>
            </w:r>
          </w:p>
        </w:tc>
        <w:tc>
          <w:tcPr>
            <w:tcW w:w="248" w:type="dxa"/>
          </w:tcPr>
          <w:p w14:paraId="4E26D78C" w14:textId="77777777" w:rsidR="006E21FA" w:rsidRPr="004F6500" w:rsidRDefault="006E21FA" w:rsidP="004F6500">
            <w:pPr>
              <w:spacing w:line="254" w:lineRule="auto"/>
              <w:jc w:val="right"/>
              <w:rPr>
                <w:sz w:val="22"/>
              </w:rPr>
            </w:pPr>
          </w:p>
        </w:tc>
        <w:tc>
          <w:tcPr>
            <w:tcW w:w="1530" w:type="dxa"/>
          </w:tcPr>
          <w:p w14:paraId="4327EFEC" w14:textId="001F947C" w:rsidR="006E21FA" w:rsidRPr="004F6500" w:rsidRDefault="00BB5323" w:rsidP="004F6500">
            <w:pPr>
              <w:spacing w:line="254" w:lineRule="auto"/>
              <w:jc w:val="right"/>
              <w:rPr>
                <w:sz w:val="22"/>
              </w:rPr>
            </w:pPr>
            <w:r>
              <w:rPr>
                <w:sz w:val="22"/>
              </w:rPr>
              <w:t>$(134,778)</w:t>
            </w:r>
          </w:p>
        </w:tc>
        <w:tc>
          <w:tcPr>
            <w:tcW w:w="1530" w:type="dxa"/>
          </w:tcPr>
          <w:p w14:paraId="6E2C174F" w14:textId="18D1A991" w:rsidR="006E21FA" w:rsidRPr="004F6500" w:rsidRDefault="00BB5323" w:rsidP="004F6500">
            <w:pPr>
              <w:spacing w:line="254" w:lineRule="auto"/>
              <w:jc w:val="right"/>
              <w:rPr>
                <w:sz w:val="22"/>
              </w:rPr>
            </w:pPr>
            <w:r>
              <w:rPr>
                <w:sz w:val="22"/>
              </w:rPr>
              <w:t>$(4,126)</w:t>
            </w:r>
          </w:p>
        </w:tc>
      </w:tr>
      <w:tr w:rsidR="00BB5323" w:rsidRPr="00BB5323" w14:paraId="514C4E3C" w14:textId="77777777" w:rsidTr="00A56B94">
        <w:tc>
          <w:tcPr>
            <w:tcW w:w="3060" w:type="dxa"/>
          </w:tcPr>
          <w:p w14:paraId="4BBDE7B5" w14:textId="5B246277" w:rsidR="00BB5323" w:rsidRPr="00BB5323" w:rsidRDefault="00BB5323" w:rsidP="004F6500">
            <w:pPr>
              <w:spacing w:line="254" w:lineRule="auto"/>
              <w:ind w:left="162"/>
              <w:rPr>
                <w:sz w:val="22"/>
              </w:rPr>
            </w:pPr>
            <w:r w:rsidRPr="00BB5323">
              <w:rPr>
                <w:sz w:val="22"/>
              </w:rPr>
              <w:t>Interest incom</w:t>
            </w:r>
            <w:r>
              <w:rPr>
                <w:sz w:val="22"/>
              </w:rPr>
              <w:t>e</w:t>
            </w:r>
          </w:p>
        </w:tc>
        <w:tc>
          <w:tcPr>
            <w:tcW w:w="1496" w:type="dxa"/>
          </w:tcPr>
          <w:p w14:paraId="4F6EE27F" w14:textId="68FA9E8B" w:rsidR="00BB5323" w:rsidRPr="00BB5323" w:rsidRDefault="00BB5323" w:rsidP="004F6500">
            <w:pPr>
              <w:spacing w:line="254" w:lineRule="auto"/>
              <w:jc w:val="right"/>
              <w:rPr>
                <w:sz w:val="22"/>
              </w:rPr>
            </w:pPr>
            <w:r>
              <w:rPr>
                <w:sz w:val="22"/>
              </w:rPr>
              <w:t>$4,591</w:t>
            </w:r>
          </w:p>
        </w:tc>
        <w:tc>
          <w:tcPr>
            <w:tcW w:w="1496" w:type="dxa"/>
          </w:tcPr>
          <w:p w14:paraId="6BF3F082" w14:textId="734677B6" w:rsidR="00BB5323" w:rsidRPr="00BB5323" w:rsidRDefault="00BB5323" w:rsidP="004F6500">
            <w:pPr>
              <w:spacing w:line="254" w:lineRule="auto"/>
              <w:jc w:val="right"/>
              <w:rPr>
                <w:sz w:val="22"/>
              </w:rPr>
            </w:pPr>
            <w:r>
              <w:rPr>
                <w:sz w:val="22"/>
              </w:rPr>
              <w:t>$3,783</w:t>
            </w:r>
          </w:p>
        </w:tc>
        <w:tc>
          <w:tcPr>
            <w:tcW w:w="248" w:type="dxa"/>
          </w:tcPr>
          <w:p w14:paraId="085EAB48" w14:textId="77777777" w:rsidR="00BB5323" w:rsidRPr="00BB5323" w:rsidRDefault="00BB5323" w:rsidP="004F6500">
            <w:pPr>
              <w:spacing w:line="254" w:lineRule="auto"/>
              <w:jc w:val="right"/>
              <w:rPr>
                <w:sz w:val="22"/>
              </w:rPr>
            </w:pPr>
          </w:p>
        </w:tc>
        <w:tc>
          <w:tcPr>
            <w:tcW w:w="1530" w:type="dxa"/>
          </w:tcPr>
          <w:p w14:paraId="32DDACF8" w14:textId="1AC3D681" w:rsidR="00BB5323" w:rsidRPr="00BB5323" w:rsidRDefault="00BB5323" w:rsidP="004F6500">
            <w:pPr>
              <w:spacing w:line="254" w:lineRule="auto"/>
              <w:jc w:val="right"/>
              <w:rPr>
                <w:sz w:val="22"/>
              </w:rPr>
            </w:pPr>
            <w:r>
              <w:rPr>
                <w:sz w:val="22"/>
              </w:rPr>
              <w:t>$4,591</w:t>
            </w:r>
          </w:p>
        </w:tc>
        <w:tc>
          <w:tcPr>
            <w:tcW w:w="1530" w:type="dxa"/>
          </w:tcPr>
          <w:p w14:paraId="7D416854" w14:textId="6FEA8432" w:rsidR="00BB5323" w:rsidRPr="00BB5323" w:rsidRDefault="00BB5323" w:rsidP="004F6500">
            <w:pPr>
              <w:spacing w:line="254" w:lineRule="auto"/>
              <w:jc w:val="right"/>
              <w:rPr>
                <w:sz w:val="22"/>
              </w:rPr>
            </w:pPr>
            <w:r>
              <w:rPr>
                <w:sz w:val="22"/>
              </w:rPr>
              <w:t>$3,783</w:t>
            </w:r>
          </w:p>
        </w:tc>
      </w:tr>
      <w:tr w:rsidR="00BB5323" w:rsidRPr="00BB5323" w14:paraId="6BBBFEDD" w14:textId="77777777" w:rsidTr="00BB5323">
        <w:tc>
          <w:tcPr>
            <w:tcW w:w="3060" w:type="dxa"/>
          </w:tcPr>
          <w:p w14:paraId="01A3DB83" w14:textId="1ADBE3AF" w:rsidR="00BB5323" w:rsidRPr="00BB5323" w:rsidRDefault="00BB5323" w:rsidP="004F6500">
            <w:pPr>
              <w:spacing w:line="254" w:lineRule="auto"/>
              <w:ind w:left="162"/>
              <w:rPr>
                <w:sz w:val="22"/>
              </w:rPr>
            </w:pPr>
            <w:r>
              <w:rPr>
                <w:sz w:val="22"/>
              </w:rPr>
              <w:t>Loss on extinguishment of convertible debentures</w:t>
            </w:r>
          </w:p>
        </w:tc>
        <w:tc>
          <w:tcPr>
            <w:tcW w:w="1496" w:type="dxa"/>
          </w:tcPr>
          <w:p w14:paraId="33DA7FAB" w14:textId="77777777" w:rsidR="00BB5323" w:rsidRDefault="00BB5323" w:rsidP="004F6500">
            <w:pPr>
              <w:spacing w:line="254" w:lineRule="auto"/>
              <w:jc w:val="right"/>
              <w:rPr>
                <w:sz w:val="22"/>
              </w:rPr>
            </w:pPr>
          </w:p>
          <w:p w14:paraId="0628EA70" w14:textId="0670E3A9" w:rsidR="00BB5323" w:rsidRPr="00BB5323" w:rsidRDefault="00BB5323" w:rsidP="004F6500">
            <w:pPr>
              <w:spacing w:line="254" w:lineRule="auto"/>
              <w:jc w:val="right"/>
              <w:rPr>
                <w:sz w:val="22"/>
              </w:rPr>
            </w:pPr>
            <w:r>
              <w:rPr>
                <w:sz w:val="22"/>
              </w:rPr>
              <w:t>$nil</w:t>
            </w:r>
          </w:p>
        </w:tc>
        <w:tc>
          <w:tcPr>
            <w:tcW w:w="1496" w:type="dxa"/>
          </w:tcPr>
          <w:p w14:paraId="7649F156" w14:textId="77777777" w:rsidR="00BB5323" w:rsidRDefault="00BB5323" w:rsidP="004F6500">
            <w:pPr>
              <w:spacing w:line="254" w:lineRule="auto"/>
              <w:jc w:val="right"/>
              <w:rPr>
                <w:sz w:val="22"/>
              </w:rPr>
            </w:pPr>
          </w:p>
          <w:p w14:paraId="6AB686DB" w14:textId="27433A76" w:rsidR="00BB5323" w:rsidRPr="00BB5323" w:rsidRDefault="00BB5323" w:rsidP="004F6500">
            <w:pPr>
              <w:spacing w:line="254" w:lineRule="auto"/>
              <w:jc w:val="right"/>
              <w:rPr>
                <w:sz w:val="22"/>
              </w:rPr>
            </w:pPr>
            <w:r>
              <w:rPr>
                <w:sz w:val="22"/>
              </w:rPr>
              <w:t>$(1,240,773)</w:t>
            </w:r>
          </w:p>
        </w:tc>
        <w:tc>
          <w:tcPr>
            <w:tcW w:w="248" w:type="dxa"/>
          </w:tcPr>
          <w:p w14:paraId="77605F6C" w14:textId="77777777" w:rsidR="00BB5323" w:rsidRPr="00BB5323" w:rsidRDefault="00BB5323" w:rsidP="004F6500">
            <w:pPr>
              <w:spacing w:line="254" w:lineRule="auto"/>
              <w:jc w:val="right"/>
              <w:rPr>
                <w:sz w:val="22"/>
              </w:rPr>
            </w:pPr>
          </w:p>
        </w:tc>
        <w:tc>
          <w:tcPr>
            <w:tcW w:w="1530" w:type="dxa"/>
          </w:tcPr>
          <w:p w14:paraId="38E4851C" w14:textId="77777777" w:rsidR="00BB5323" w:rsidRDefault="00BB5323" w:rsidP="004F6500">
            <w:pPr>
              <w:spacing w:line="254" w:lineRule="auto"/>
              <w:jc w:val="right"/>
              <w:rPr>
                <w:sz w:val="22"/>
              </w:rPr>
            </w:pPr>
          </w:p>
          <w:p w14:paraId="4739A759" w14:textId="2E8AB4CA" w:rsidR="00BB5323" w:rsidRPr="00BB5323" w:rsidRDefault="00BB5323" w:rsidP="004F6500">
            <w:pPr>
              <w:spacing w:line="254" w:lineRule="auto"/>
              <w:jc w:val="right"/>
              <w:rPr>
                <w:sz w:val="22"/>
              </w:rPr>
            </w:pPr>
            <w:r>
              <w:rPr>
                <w:sz w:val="22"/>
              </w:rPr>
              <w:t>$nil</w:t>
            </w:r>
          </w:p>
        </w:tc>
        <w:tc>
          <w:tcPr>
            <w:tcW w:w="1530" w:type="dxa"/>
          </w:tcPr>
          <w:p w14:paraId="1B8CF141" w14:textId="77777777" w:rsidR="00BB5323" w:rsidRDefault="00BB5323" w:rsidP="004F6500">
            <w:pPr>
              <w:spacing w:line="254" w:lineRule="auto"/>
              <w:jc w:val="right"/>
              <w:rPr>
                <w:sz w:val="22"/>
              </w:rPr>
            </w:pPr>
          </w:p>
          <w:p w14:paraId="09D5D794" w14:textId="6FC76F46" w:rsidR="00BB5323" w:rsidRPr="00BB5323" w:rsidRDefault="00BB5323" w:rsidP="004F6500">
            <w:pPr>
              <w:spacing w:line="254" w:lineRule="auto"/>
              <w:jc w:val="right"/>
              <w:rPr>
                <w:sz w:val="22"/>
              </w:rPr>
            </w:pPr>
            <w:r>
              <w:rPr>
                <w:sz w:val="22"/>
              </w:rPr>
              <w:t>$(1,240,773)</w:t>
            </w:r>
          </w:p>
        </w:tc>
      </w:tr>
      <w:tr w:rsidR="006E21FA" w:rsidRPr="00BB5323" w14:paraId="08750C82" w14:textId="77777777" w:rsidTr="00BB5323">
        <w:tc>
          <w:tcPr>
            <w:tcW w:w="3060" w:type="dxa"/>
          </w:tcPr>
          <w:p w14:paraId="57A6B2B4" w14:textId="77777777" w:rsidR="006E21FA" w:rsidRPr="00BB5323" w:rsidRDefault="006E21FA" w:rsidP="004F6500">
            <w:pPr>
              <w:spacing w:line="254" w:lineRule="auto"/>
              <w:ind w:left="162"/>
              <w:rPr>
                <w:sz w:val="22"/>
              </w:rPr>
            </w:pPr>
            <w:r w:rsidRPr="00BB5323">
              <w:rPr>
                <w:sz w:val="22"/>
              </w:rPr>
              <w:t>Other</w:t>
            </w:r>
          </w:p>
        </w:tc>
        <w:tc>
          <w:tcPr>
            <w:tcW w:w="1496" w:type="dxa"/>
          </w:tcPr>
          <w:p w14:paraId="31228AF1" w14:textId="48B05827" w:rsidR="006E21FA" w:rsidRPr="00BB5323" w:rsidRDefault="00BB5323" w:rsidP="004F6500">
            <w:pPr>
              <w:spacing w:line="254" w:lineRule="auto"/>
              <w:jc w:val="right"/>
              <w:rPr>
                <w:sz w:val="22"/>
              </w:rPr>
            </w:pPr>
            <w:r>
              <w:rPr>
                <w:sz w:val="22"/>
              </w:rPr>
              <w:t>($263,200)</w:t>
            </w:r>
          </w:p>
        </w:tc>
        <w:tc>
          <w:tcPr>
            <w:tcW w:w="1496" w:type="dxa"/>
          </w:tcPr>
          <w:p w14:paraId="15391A71" w14:textId="0062A1E4" w:rsidR="006E21FA" w:rsidRPr="00BB5323" w:rsidRDefault="00BB5323" w:rsidP="004F6500">
            <w:pPr>
              <w:spacing w:line="254" w:lineRule="auto"/>
              <w:jc w:val="right"/>
              <w:rPr>
                <w:sz w:val="22"/>
              </w:rPr>
            </w:pPr>
            <w:r>
              <w:rPr>
                <w:sz w:val="22"/>
              </w:rPr>
              <w:t>$(117)</w:t>
            </w:r>
          </w:p>
        </w:tc>
        <w:tc>
          <w:tcPr>
            <w:tcW w:w="248" w:type="dxa"/>
          </w:tcPr>
          <w:p w14:paraId="4AB82130" w14:textId="77777777" w:rsidR="006E21FA" w:rsidRPr="00BB5323" w:rsidRDefault="006E21FA" w:rsidP="004F6500">
            <w:pPr>
              <w:spacing w:line="254" w:lineRule="auto"/>
              <w:jc w:val="right"/>
              <w:rPr>
                <w:sz w:val="22"/>
              </w:rPr>
            </w:pPr>
          </w:p>
        </w:tc>
        <w:tc>
          <w:tcPr>
            <w:tcW w:w="1530" w:type="dxa"/>
          </w:tcPr>
          <w:p w14:paraId="14DE1ADD" w14:textId="65C7D819" w:rsidR="006E21FA" w:rsidRPr="00BB5323" w:rsidRDefault="00BB5323" w:rsidP="004F6500">
            <w:pPr>
              <w:spacing w:line="254" w:lineRule="auto"/>
              <w:jc w:val="right"/>
              <w:rPr>
                <w:sz w:val="22"/>
              </w:rPr>
            </w:pPr>
            <w:r>
              <w:rPr>
                <w:sz w:val="22"/>
              </w:rPr>
              <w:t>$(236,558)</w:t>
            </w:r>
          </w:p>
        </w:tc>
        <w:tc>
          <w:tcPr>
            <w:tcW w:w="1530" w:type="dxa"/>
          </w:tcPr>
          <w:p w14:paraId="27B93D65" w14:textId="64E7DFE9" w:rsidR="006E21FA" w:rsidRPr="00BB5323" w:rsidRDefault="00BB5323" w:rsidP="004F6500">
            <w:pPr>
              <w:spacing w:line="254" w:lineRule="auto"/>
              <w:jc w:val="right"/>
              <w:rPr>
                <w:sz w:val="22"/>
              </w:rPr>
            </w:pPr>
            <w:r>
              <w:rPr>
                <w:sz w:val="22"/>
              </w:rPr>
              <w:t>$(34,899)</w:t>
            </w:r>
          </w:p>
        </w:tc>
      </w:tr>
      <w:tr w:rsidR="00BB5323" w:rsidRPr="00BB5323" w14:paraId="058DA41D" w14:textId="77777777" w:rsidTr="00BB5323">
        <w:tc>
          <w:tcPr>
            <w:tcW w:w="3060" w:type="dxa"/>
          </w:tcPr>
          <w:p w14:paraId="714F6E41" w14:textId="547164F3" w:rsidR="00BB5323" w:rsidRPr="00BB5323" w:rsidRDefault="00BB5323" w:rsidP="004F6500">
            <w:pPr>
              <w:spacing w:line="254" w:lineRule="auto"/>
              <w:ind w:left="162"/>
              <w:rPr>
                <w:sz w:val="22"/>
              </w:rPr>
            </w:pPr>
            <w:r w:rsidRPr="00BB5323">
              <w:rPr>
                <w:sz w:val="22"/>
              </w:rPr>
              <w:t>Write-off of deposit</w:t>
            </w:r>
          </w:p>
        </w:tc>
        <w:tc>
          <w:tcPr>
            <w:tcW w:w="1496" w:type="dxa"/>
            <w:tcBorders>
              <w:bottom w:val="single" w:sz="4" w:space="0" w:color="auto"/>
            </w:tcBorders>
          </w:tcPr>
          <w:p w14:paraId="0F45971F" w14:textId="72B6AC42" w:rsidR="00BB5323" w:rsidRPr="00BB5323" w:rsidRDefault="00BB5323" w:rsidP="004F6500">
            <w:pPr>
              <w:spacing w:line="254" w:lineRule="auto"/>
              <w:jc w:val="right"/>
              <w:rPr>
                <w:sz w:val="22"/>
              </w:rPr>
            </w:pPr>
            <w:r w:rsidRPr="00BB5323">
              <w:rPr>
                <w:sz w:val="22"/>
              </w:rPr>
              <w:t>$nil</w:t>
            </w:r>
          </w:p>
        </w:tc>
        <w:tc>
          <w:tcPr>
            <w:tcW w:w="1496" w:type="dxa"/>
            <w:tcBorders>
              <w:bottom w:val="single" w:sz="4" w:space="0" w:color="auto"/>
            </w:tcBorders>
          </w:tcPr>
          <w:p w14:paraId="7BC33C20" w14:textId="7790868A" w:rsidR="00BB5323" w:rsidRPr="00BB5323" w:rsidRDefault="00BB5323" w:rsidP="004F6500">
            <w:pPr>
              <w:spacing w:line="254" w:lineRule="auto"/>
              <w:jc w:val="right"/>
              <w:rPr>
                <w:sz w:val="22"/>
              </w:rPr>
            </w:pPr>
            <w:r w:rsidRPr="00BB5323">
              <w:rPr>
                <w:sz w:val="22"/>
              </w:rPr>
              <w:t>$(250,000)</w:t>
            </w:r>
          </w:p>
        </w:tc>
        <w:tc>
          <w:tcPr>
            <w:tcW w:w="248" w:type="dxa"/>
          </w:tcPr>
          <w:p w14:paraId="0BE69CDA" w14:textId="77777777" w:rsidR="00BB5323" w:rsidRPr="00BB5323" w:rsidRDefault="00BB5323" w:rsidP="004F6500">
            <w:pPr>
              <w:spacing w:line="254" w:lineRule="auto"/>
              <w:jc w:val="right"/>
              <w:rPr>
                <w:sz w:val="22"/>
              </w:rPr>
            </w:pPr>
          </w:p>
        </w:tc>
        <w:tc>
          <w:tcPr>
            <w:tcW w:w="1530" w:type="dxa"/>
            <w:tcBorders>
              <w:bottom w:val="single" w:sz="4" w:space="0" w:color="auto"/>
            </w:tcBorders>
          </w:tcPr>
          <w:p w14:paraId="291C092D" w14:textId="025B5DC7" w:rsidR="00BB5323" w:rsidRPr="00BB5323" w:rsidRDefault="00BB5323" w:rsidP="004F6500">
            <w:pPr>
              <w:spacing w:line="254" w:lineRule="auto"/>
              <w:jc w:val="right"/>
              <w:rPr>
                <w:sz w:val="22"/>
              </w:rPr>
            </w:pPr>
            <w:r w:rsidRPr="00BB5323">
              <w:rPr>
                <w:sz w:val="22"/>
              </w:rPr>
              <w:t>$nil</w:t>
            </w:r>
          </w:p>
        </w:tc>
        <w:tc>
          <w:tcPr>
            <w:tcW w:w="1530" w:type="dxa"/>
            <w:tcBorders>
              <w:bottom w:val="single" w:sz="4" w:space="0" w:color="auto"/>
            </w:tcBorders>
          </w:tcPr>
          <w:p w14:paraId="3398BCBE" w14:textId="50427444" w:rsidR="00BB5323" w:rsidRPr="00BB5323" w:rsidRDefault="00BB5323" w:rsidP="004F6500">
            <w:pPr>
              <w:spacing w:line="254" w:lineRule="auto"/>
              <w:jc w:val="right"/>
              <w:rPr>
                <w:sz w:val="22"/>
              </w:rPr>
            </w:pPr>
            <w:r w:rsidRPr="00BB5323">
              <w:rPr>
                <w:sz w:val="22"/>
              </w:rPr>
              <w:t>$(250,000)</w:t>
            </w:r>
          </w:p>
        </w:tc>
      </w:tr>
      <w:tr w:rsidR="006E21FA" w:rsidRPr="004F6500" w14:paraId="4FAD9D3F" w14:textId="77777777" w:rsidTr="00A56B94">
        <w:tc>
          <w:tcPr>
            <w:tcW w:w="3060" w:type="dxa"/>
          </w:tcPr>
          <w:p w14:paraId="0D6D8F47" w14:textId="77777777" w:rsidR="006E21FA" w:rsidRPr="004F6500" w:rsidRDefault="006E21FA" w:rsidP="004F6500">
            <w:pPr>
              <w:spacing w:line="254" w:lineRule="auto"/>
              <w:jc w:val="both"/>
              <w:rPr>
                <w:sz w:val="22"/>
              </w:rPr>
            </w:pPr>
            <w:r w:rsidRPr="004F6500">
              <w:rPr>
                <w:sz w:val="22"/>
              </w:rPr>
              <w:t>Net loss</w:t>
            </w:r>
          </w:p>
        </w:tc>
        <w:tc>
          <w:tcPr>
            <w:tcW w:w="1496" w:type="dxa"/>
            <w:tcBorders>
              <w:top w:val="single" w:sz="4" w:space="0" w:color="auto"/>
              <w:bottom w:val="single" w:sz="4" w:space="0" w:color="auto"/>
            </w:tcBorders>
          </w:tcPr>
          <w:p w14:paraId="3F1E452D" w14:textId="08107648" w:rsidR="006E21FA" w:rsidRPr="004F6500" w:rsidRDefault="00BB5323" w:rsidP="004F6500">
            <w:pPr>
              <w:spacing w:line="254" w:lineRule="auto"/>
              <w:jc w:val="right"/>
              <w:rPr>
                <w:sz w:val="22"/>
              </w:rPr>
            </w:pPr>
            <w:r>
              <w:rPr>
                <w:sz w:val="22"/>
              </w:rPr>
              <w:t>$(2,593,187)</w:t>
            </w:r>
          </w:p>
        </w:tc>
        <w:tc>
          <w:tcPr>
            <w:tcW w:w="1496" w:type="dxa"/>
            <w:tcBorders>
              <w:top w:val="single" w:sz="4" w:space="0" w:color="auto"/>
              <w:bottom w:val="single" w:sz="4" w:space="0" w:color="auto"/>
            </w:tcBorders>
          </w:tcPr>
          <w:p w14:paraId="07509389" w14:textId="2FE8BC04" w:rsidR="006E21FA" w:rsidRPr="004F6500" w:rsidRDefault="00BB5323" w:rsidP="00946DF0">
            <w:pPr>
              <w:spacing w:line="254" w:lineRule="auto"/>
              <w:jc w:val="right"/>
              <w:rPr>
                <w:sz w:val="22"/>
              </w:rPr>
            </w:pPr>
            <w:r>
              <w:rPr>
                <w:sz w:val="22"/>
              </w:rPr>
              <w:t>$(3,673,928)</w:t>
            </w:r>
          </w:p>
        </w:tc>
        <w:tc>
          <w:tcPr>
            <w:tcW w:w="248" w:type="dxa"/>
          </w:tcPr>
          <w:p w14:paraId="3938AD7C" w14:textId="77777777" w:rsidR="006E21FA" w:rsidRPr="004F6500" w:rsidRDefault="006E21FA" w:rsidP="004F6500">
            <w:pPr>
              <w:spacing w:line="254" w:lineRule="auto"/>
              <w:jc w:val="right"/>
              <w:rPr>
                <w:sz w:val="22"/>
              </w:rPr>
            </w:pPr>
          </w:p>
        </w:tc>
        <w:tc>
          <w:tcPr>
            <w:tcW w:w="1530" w:type="dxa"/>
            <w:tcBorders>
              <w:top w:val="single" w:sz="4" w:space="0" w:color="auto"/>
              <w:bottom w:val="single" w:sz="4" w:space="0" w:color="auto"/>
            </w:tcBorders>
          </w:tcPr>
          <w:p w14:paraId="4E644929" w14:textId="75992366" w:rsidR="006E21FA" w:rsidRPr="004F6500" w:rsidRDefault="00BB5323" w:rsidP="004F6500">
            <w:pPr>
              <w:spacing w:line="254" w:lineRule="auto"/>
              <w:jc w:val="right"/>
              <w:rPr>
                <w:sz w:val="22"/>
              </w:rPr>
            </w:pPr>
            <w:r>
              <w:rPr>
                <w:sz w:val="22"/>
              </w:rPr>
              <w:t>$(8,918,502)</w:t>
            </w:r>
          </w:p>
        </w:tc>
        <w:tc>
          <w:tcPr>
            <w:tcW w:w="1530" w:type="dxa"/>
            <w:tcBorders>
              <w:top w:val="single" w:sz="4" w:space="0" w:color="auto"/>
              <w:bottom w:val="single" w:sz="4" w:space="0" w:color="auto"/>
            </w:tcBorders>
          </w:tcPr>
          <w:p w14:paraId="78577EEF" w14:textId="1AC2174B" w:rsidR="006E21FA" w:rsidRPr="004F6500" w:rsidRDefault="00BB5323" w:rsidP="00946DF0">
            <w:pPr>
              <w:spacing w:line="254" w:lineRule="auto"/>
              <w:jc w:val="right"/>
              <w:rPr>
                <w:sz w:val="22"/>
              </w:rPr>
            </w:pPr>
            <w:r>
              <w:rPr>
                <w:sz w:val="22"/>
              </w:rPr>
              <w:t>$(7,608,933)</w:t>
            </w:r>
          </w:p>
        </w:tc>
      </w:tr>
    </w:tbl>
    <w:p w14:paraId="52764EA1" w14:textId="77777777" w:rsidR="006E21FA" w:rsidRPr="004F6500" w:rsidRDefault="006E21FA" w:rsidP="004F6500">
      <w:pPr>
        <w:spacing w:after="0" w:line="254" w:lineRule="auto"/>
        <w:jc w:val="both"/>
        <w:rPr>
          <w:rFonts w:ascii="Times New Roman" w:hAnsi="Times New Roman" w:cs="Times New Roman"/>
        </w:rPr>
      </w:pPr>
    </w:p>
    <w:p w14:paraId="126FD902" w14:textId="4E4C599F" w:rsidR="003333FE" w:rsidRDefault="00604FA7"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Net loss for the </w:t>
      </w:r>
      <w:r w:rsidR="00CA0D0C">
        <w:rPr>
          <w:rFonts w:ascii="Times New Roman" w:hAnsi="Times New Roman" w:cs="Times New Roman"/>
        </w:rPr>
        <w:t xml:space="preserve">three </w:t>
      </w:r>
      <w:r w:rsidRPr="004F6500">
        <w:rPr>
          <w:rFonts w:ascii="Times New Roman" w:hAnsi="Times New Roman" w:cs="Times New Roman"/>
        </w:rPr>
        <w:t xml:space="preserve">months ended </w:t>
      </w:r>
      <w:r w:rsidR="00BB5323">
        <w:rPr>
          <w:rFonts w:ascii="Times New Roman" w:hAnsi="Times New Roman" w:cs="Times New Roman"/>
        </w:rPr>
        <w:t>October</w:t>
      </w:r>
      <w:r w:rsidRPr="004F6500">
        <w:rPr>
          <w:rFonts w:ascii="Times New Roman" w:hAnsi="Times New Roman" w:cs="Times New Roman"/>
        </w:rPr>
        <w:t xml:space="preserve"> 31, 2019 </w:t>
      </w:r>
      <w:r w:rsidR="00BB5323">
        <w:rPr>
          <w:rFonts w:ascii="Times New Roman" w:hAnsi="Times New Roman" w:cs="Times New Roman"/>
        </w:rPr>
        <w:t xml:space="preserve">decreased by </w:t>
      </w:r>
      <w:r w:rsidR="003333FE">
        <w:rPr>
          <w:rFonts w:ascii="Times New Roman" w:hAnsi="Times New Roman" w:cs="Times New Roman"/>
        </w:rPr>
        <w:t>$1,080,741</w:t>
      </w:r>
      <w:r w:rsidRPr="004F6500">
        <w:rPr>
          <w:rFonts w:ascii="Times New Roman" w:hAnsi="Times New Roman" w:cs="Times New Roman"/>
        </w:rPr>
        <w:t xml:space="preserve"> from the </w:t>
      </w:r>
      <w:r w:rsidR="003333FE">
        <w:rPr>
          <w:rFonts w:ascii="Times New Roman" w:hAnsi="Times New Roman" w:cs="Times New Roman"/>
        </w:rPr>
        <w:t>three months ended October 31, 2018.  The decrease was due to the following:  Amortization of discount on convertible debentures of $321,479 was recorded in the 2018 period and not in the 2019 period as convertible debentures were extinguished in May 2019.  During the three months ended October 31, 2018, BetterLife settled $1,500,000 of convertible debentures through the issuance of 3,750,000 units</w:t>
      </w:r>
      <w:r w:rsidR="00BF14F2">
        <w:rPr>
          <w:rFonts w:ascii="Times New Roman" w:hAnsi="Times New Roman" w:cs="Times New Roman"/>
        </w:rPr>
        <w:t>,</w:t>
      </w:r>
      <w:r w:rsidR="003333FE">
        <w:rPr>
          <w:rFonts w:ascii="Times New Roman" w:hAnsi="Times New Roman" w:cs="Times New Roman"/>
        </w:rPr>
        <w:t xml:space="preserve"> consisting of common shares and share purchase warrants</w:t>
      </w:r>
      <w:r w:rsidR="00BF14F2">
        <w:rPr>
          <w:rFonts w:ascii="Times New Roman" w:hAnsi="Times New Roman" w:cs="Times New Roman"/>
        </w:rPr>
        <w:t>,</w:t>
      </w:r>
      <w:r w:rsidR="003333FE">
        <w:rPr>
          <w:rFonts w:ascii="Times New Roman" w:hAnsi="Times New Roman" w:cs="Times New Roman"/>
        </w:rPr>
        <w:t xml:space="preserve"> </w:t>
      </w:r>
      <w:r w:rsidR="00BF14F2">
        <w:rPr>
          <w:rFonts w:ascii="Times New Roman" w:hAnsi="Times New Roman" w:cs="Times New Roman"/>
        </w:rPr>
        <w:t>and</w:t>
      </w:r>
      <w:r w:rsidR="003333FE">
        <w:rPr>
          <w:rFonts w:ascii="Times New Roman" w:hAnsi="Times New Roman" w:cs="Times New Roman"/>
        </w:rPr>
        <w:t xml:space="preserve"> recorded a </w:t>
      </w:r>
      <w:r w:rsidR="003333FE" w:rsidRPr="003333FE">
        <w:rPr>
          <w:rFonts w:ascii="Times New Roman" w:hAnsi="Times New Roman" w:cs="Times New Roman"/>
        </w:rPr>
        <w:t>loss on extinguishment of debentures of $1,240,773</w:t>
      </w:r>
      <w:r w:rsidR="003333FE">
        <w:rPr>
          <w:rFonts w:ascii="Times New Roman" w:hAnsi="Times New Roman" w:cs="Times New Roman"/>
        </w:rPr>
        <w:t xml:space="preserve">. </w:t>
      </w:r>
      <w:r w:rsidR="00BF14F2">
        <w:rPr>
          <w:rFonts w:ascii="Times New Roman" w:hAnsi="Times New Roman" w:cs="Times New Roman"/>
        </w:rPr>
        <w:t xml:space="preserve"> </w:t>
      </w:r>
      <w:r w:rsidR="003333FE">
        <w:rPr>
          <w:rFonts w:ascii="Times New Roman" w:hAnsi="Times New Roman" w:cs="Times New Roman"/>
        </w:rPr>
        <w:t xml:space="preserve"> In addition, during the three months ended October 31, 2018, BetterLife wrote-off a deposit of $250,000.  These </w:t>
      </w:r>
      <w:r w:rsidR="00BF14F2">
        <w:rPr>
          <w:rFonts w:ascii="Times New Roman" w:hAnsi="Times New Roman" w:cs="Times New Roman"/>
        </w:rPr>
        <w:t>factors contributed to a higher net loss in the three months ended October 31, 2018 as compared to the 2019 period</w:t>
      </w:r>
      <w:r w:rsidR="003333FE">
        <w:rPr>
          <w:rFonts w:ascii="Times New Roman" w:hAnsi="Times New Roman" w:cs="Times New Roman"/>
        </w:rPr>
        <w:t>.</w:t>
      </w:r>
    </w:p>
    <w:p w14:paraId="692E212C" w14:textId="29BB841B" w:rsidR="003333FE" w:rsidRDefault="003333FE" w:rsidP="004F6500">
      <w:pPr>
        <w:spacing w:after="0" w:line="254" w:lineRule="auto"/>
        <w:jc w:val="both"/>
        <w:rPr>
          <w:rFonts w:ascii="Times New Roman" w:hAnsi="Times New Roman" w:cs="Times New Roman"/>
        </w:rPr>
      </w:pPr>
    </w:p>
    <w:p w14:paraId="19C7C199" w14:textId="608B1E7C" w:rsidR="003333FE" w:rsidRDefault="003333FE" w:rsidP="004F6500">
      <w:pPr>
        <w:spacing w:after="0" w:line="254" w:lineRule="auto"/>
        <w:jc w:val="both"/>
        <w:rPr>
          <w:rFonts w:ascii="Times New Roman" w:hAnsi="Times New Roman" w:cs="Times New Roman"/>
        </w:rPr>
      </w:pPr>
      <w:r>
        <w:rPr>
          <w:rFonts w:ascii="Times New Roman" w:hAnsi="Times New Roman" w:cs="Times New Roman"/>
        </w:rPr>
        <w:t>Net loss for the nine months ended October 31, 2019 increased by $1,309,569 as compared to the nine months ended October 31, 2018.  The increase was due primarily to an increase in operating expenses by $2,993,677</w:t>
      </w:r>
      <w:r w:rsidR="00396358">
        <w:rPr>
          <w:rFonts w:ascii="Times New Roman" w:hAnsi="Times New Roman" w:cs="Times New Roman"/>
        </w:rPr>
        <w:t>, offset by a decrease in amortization of discount on convertible debentures</w:t>
      </w:r>
      <w:r w:rsidR="00BF14F2">
        <w:rPr>
          <w:rFonts w:ascii="Times New Roman" w:hAnsi="Times New Roman" w:cs="Times New Roman"/>
        </w:rPr>
        <w:t xml:space="preserve"> and other items recorded in 2018 but not in 2019, such as</w:t>
      </w:r>
      <w:r w:rsidR="00396358">
        <w:rPr>
          <w:rFonts w:ascii="Times New Roman" w:hAnsi="Times New Roman" w:cs="Times New Roman"/>
        </w:rPr>
        <w:t xml:space="preserve"> loss on extinguishment of convertible debentures and write-off of deposit.  </w:t>
      </w:r>
      <w:r w:rsidR="00396358" w:rsidRPr="004F6500">
        <w:rPr>
          <w:rFonts w:ascii="Times New Roman" w:hAnsi="Times New Roman" w:cs="Times New Roman"/>
        </w:rPr>
        <w:t>In May 2019, the Company closed on a non-brokered private placement of $15 million by issuing 60 million units</w:t>
      </w:r>
      <w:r w:rsidR="00396358">
        <w:rPr>
          <w:rFonts w:ascii="Times New Roman" w:hAnsi="Times New Roman" w:cs="Times New Roman"/>
        </w:rPr>
        <w:t>,</w:t>
      </w:r>
      <w:r w:rsidR="00396358" w:rsidRPr="004F6500">
        <w:rPr>
          <w:rFonts w:ascii="Times New Roman" w:hAnsi="Times New Roman" w:cs="Times New Roman"/>
        </w:rPr>
        <w:t xml:space="preserve"> consisting of one common share and one share purchase warrant entitling the holder to purchase one common share at $0.35 per share and with an expiry term of two years.  Closing of this private placement allowed </w:t>
      </w:r>
      <w:r w:rsidR="00396358">
        <w:rPr>
          <w:rFonts w:ascii="Times New Roman" w:hAnsi="Times New Roman" w:cs="Times New Roman"/>
        </w:rPr>
        <w:t>BetterLife</w:t>
      </w:r>
      <w:r w:rsidR="00396358" w:rsidRPr="004F6500">
        <w:rPr>
          <w:rFonts w:ascii="Times New Roman" w:hAnsi="Times New Roman" w:cs="Times New Roman"/>
        </w:rPr>
        <w:t xml:space="preserve"> to </w:t>
      </w:r>
      <w:r w:rsidR="00396358">
        <w:rPr>
          <w:rFonts w:ascii="Times New Roman" w:hAnsi="Times New Roman" w:cs="Times New Roman"/>
        </w:rPr>
        <w:t>progress on</w:t>
      </w:r>
      <w:r w:rsidR="00396358" w:rsidRPr="004F6500">
        <w:rPr>
          <w:rFonts w:ascii="Times New Roman" w:hAnsi="Times New Roman" w:cs="Times New Roman"/>
        </w:rPr>
        <w:t xml:space="preserve"> its business plans, including </w:t>
      </w:r>
      <w:r w:rsidR="00396358">
        <w:rPr>
          <w:rFonts w:ascii="Times New Roman" w:hAnsi="Times New Roman" w:cs="Times New Roman"/>
        </w:rPr>
        <w:t xml:space="preserve">incurring expenditures required to prepare for </w:t>
      </w:r>
      <w:r w:rsidR="00396358" w:rsidRPr="004F6500">
        <w:rPr>
          <w:rFonts w:ascii="Times New Roman" w:hAnsi="Times New Roman" w:cs="Times New Roman"/>
        </w:rPr>
        <w:t xml:space="preserve">commercialization of products in </w:t>
      </w:r>
      <w:r w:rsidR="00396358">
        <w:rPr>
          <w:rFonts w:ascii="Times New Roman" w:hAnsi="Times New Roman" w:cs="Times New Roman"/>
        </w:rPr>
        <w:t xml:space="preserve">the US and </w:t>
      </w:r>
      <w:r w:rsidR="00396358" w:rsidRPr="004F6500">
        <w:rPr>
          <w:rFonts w:ascii="Times New Roman" w:hAnsi="Times New Roman" w:cs="Times New Roman"/>
        </w:rPr>
        <w:t>Germany</w:t>
      </w:r>
      <w:r w:rsidR="00396358">
        <w:rPr>
          <w:rFonts w:ascii="Times New Roman" w:hAnsi="Times New Roman" w:cs="Times New Roman"/>
        </w:rPr>
        <w:t xml:space="preserve"> and </w:t>
      </w:r>
      <w:r w:rsidR="00396358" w:rsidRPr="004F6500">
        <w:rPr>
          <w:rFonts w:ascii="Times New Roman" w:hAnsi="Times New Roman" w:cs="Times New Roman"/>
        </w:rPr>
        <w:t>strengthening of its leadership team</w:t>
      </w:r>
      <w:r w:rsidR="00BF14F2">
        <w:rPr>
          <w:rFonts w:ascii="Times New Roman" w:hAnsi="Times New Roman" w:cs="Times New Roman"/>
        </w:rPr>
        <w:t xml:space="preserve"> and </w:t>
      </w:r>
      <w:r w:rsidR="00396358">
        <w:rPr>
          <w:rFonts w:ascii="Times New Roman" w:hAnsi="Times New Roman" w:cs="Times New Roman"/>
        </w:rPr>
        <w:t>which led to an increase in operating expenses.</w:t>
      </w:r>
    </w:p>
    <w:p w14:paraId="5485B303" w14:textId="77777777" w:rsidR="003333FE" w:rsidRDefault="003333FE" w:rsidP="004F6500">
      <w:pPr>
        <w:spacing w:after="0" w:line="254" w:lineRule="auto"/>
        <w:jc w:val="both"/>
        <w:rPr>
          <w:rFonts w:ascii="Times New Roman" w:hAnsi="Times New Roman" w:cs="Times New Roman"/>
        </w:rPr>
      </w:pPr>
    </w:p>
    <w:p w14:paraId="4DEEC82B" w14:textId="77777777" w:rsidR="003116A0" w:rsidRDefault="003116A0">
      <w:pPr>
        <w:rPr>
          <w:rFonts w:ascii="Times New Roman" w:hAnsi="Times New Roman" w:cs="Times New Roman"/>
          <w:b/>
        </w:rPr>
      </w:pPr>
      <w:r>
        <w:rPr>
          <w:rFonts w:ascii="Times New Roman" w:hAnsi="Times New Roman" w:cs="Times New Roman"/>
          <w:b/>
        </w:rPr>
        <w:br w:type="page"/>
      </w:r>
    </w:p>
    <w:p w14:paraId="10254A76" w14:textId="264F5EA6" w:rsidR="00613D2C" w:rsidRPr="004F6500" w:rsidRDefault="00613D2C"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Expenses</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548"/>
        <w:gridCol w:w="1512"/>
        <w:gridCol w:w="246"/>
        <w:gridCol w:w="1464"/>
        <w:gridCol w:w="1530"/>
      </w:tblGrid>
      <w:tr w:rsidR="006E21FA" w:rsidRPr="004F6500" w14:paraId="7D6F2261" w14:textId="77777777" w:rsidTr="00E374A6">
        <w:tc>
          <w:tcPr>
            <w:tcW w:w="3150" w:type="dxa"/>
          </w:tcPr>
          <w:p w14:paraId="01A64A91" w14:textId="77777777" w:rsidR="006E21FA" w:rsidRPr="004F6500" w:rsidRDefault="006E21FA" w:rsidP="004F6500">
            <w:pPr>
              <w:spacing w:line="254" w:lineRule="auto"/>
              <w:jc w:val="both"/>
              <w:rPr>
                <w:sz w:val="22"/>
              </w:rPr>
            </w:pPr>
          </w:p>
        </w:tc>
        <w:tc>
          <w:tcPr>
            <w:tcW w:w="3060" w:type="dxa"/>
            <w:gridSpan w:val="2"/>
            <w:tcBorders>
              <w:bottom w:val="single" w:sz="4" w:space="0" w:color="auto"/>
            </w:tcBorders>
          </w:tcPr>
          <w:p w14:paraId="63874AE8" w14:textId="77777777" w:rsidR="006E21FA" w:rsidRPr="004F6500" w:rsidRDefault="006E21FA" w:rsidP="004F6500">
            <w:pPr>
              <w:spacing w:line="254" w:lineRule="auto"/>
              <w:jc w:val="center"/>
              <w:rPr>
                <w:b/>
                <w:sz w:val="22"/>
              </w:rPr>
            </w:pPr>
            <w:r w:rsidRPr="004F6500">
              <w:rPr>
                <w:b/>
                <w:sz w:val="22"/>
              </w:rPr>
              <w:t>THREE MONTHS ENDED</w:t>
            </w:r>
          </w:p>
        </w:tc>
        <w:tc>
          <w:tcPr>
            <w:tcW w:w="246" w:type="dxa"/>
          </w:tcPr>
          <w:p w14:paraId="585182E5" w14:textId="77777777" w:rsidR="006E21FA" w:rsidRPr="004F6500" w:rsidRDefault="006E21FA" w:rsidP="004F6500">
            <w:pPr>
              <w:spacing w:line="254" w:lineRule="auto"/>
              <w:jc w:val="center"/>
              <w:rPr>
                <w:b/>
                <w:sz w:val="22"/>
              </w:rPr>
            </w:pPr>
          </w:p>
        </w:tc>
        <w:tc>
          <w:tcPr>
            <w:tcW w:w="2994" w:type="dxa"/>
            <w:gridSpan w:val="2"/>
            <w:tcBorders>
              <w:bottom w:val="single" w:sz="4" w:space="0" w:color="auto"/>
            </w:tcBorders>
          </w:tcPr>
          <w:p w14:paraId="4A175D9D" w14:textId="7929A37A" w:rsidR="006E21FA" w:rsidRPr="004F6500" w:rsidRDefault="003306DA" w:rsidP="004F6500">
            <w:pPr>
              <w:spacing w:line="254" w:lineRule="auto"/>
              <w:jc w:val="center"/>
              <w:rPr>
                <w:b/>
                <w:sz w:val="22"/>
              </w:rPr>
            </w:pPr>
            <w:r>
              <w:rPr>
                <w:b/>
                <w:sz w:val="22"/>
              </w:rPr>
              <w:t>NINE</w:t>
            </w:r>
            <w:r w:rsidR="006E21FA" w:rsidRPr="004F6500">
              <w:rPr>
                <w:b/>
                <w:sz w:val="22"/>
              </w:rPr>
              <w:t xml:space="preserve"> MONTHS ENDED</w:t>
            </w:r>
          </w:p>
        </w:tc>
      </w:tr>
      <w:tr w:rsidR="006E21FA" w:rsidRPr="004F6500" w14:paraId="074056B1" w14:textId="77777777" w:rsidTr="00E374A6">
        <w:tc>
          <w:tcPr>
            <w:tcW w:w="3150" w:type="dxa"/>
          </w:tcPr>
          <w:p w14:paraId="2B86D4FB" w14:textId="77777777" w:rsidR="006E21FA" w:rsidRPr="004F6500" w:rsidRDefault="006E21FA" w:rsidP="004F6500">
            <w:pPr>
              <w:spacing w:line="254" w:lineRule="auto"/>
              <w:jc w:val="both"/>
              <w:rPr>
                <w:sz w:val="22"/>
              </w:rPr>
            </w:pPr>
          </w:p>
        </w:tc>
        <w:tc>
          <w:tcPr>
            <w:tcW w:w="1548" w:type="dxa"/>
            <w:tcBorders>
              <w:top w:val="single" w:sz="4" w:space="0" w:color="auto"/>
              <w:bottom w:val="single" w:sz="4" w:space="0" w:color="auto"/>
            </w:tcBorders>
          </w:tcPr>
          <w:p w14:paraId="6EA570D4" w14:textId="0A4AC965" w:rsidR="006E21FA" w:rsidRPr="004F6500" w:rsidRDefault="003306DA" w:rsidP="004F6500">
            <w:pPr>
              <w:spacing w:line="254" w:lineRule="auto"/>
              <w:jc w:val="center"/>
              <w:rPr>
                <w:b/>
                <w:sz w:val="22"/>
              </w:rPr>
            </w:pPr>
            <w:r>
              <w:rPr>
                <w:b/>
                <w:sz w:val="22"/>
              </w:rPr>
              <w:t>October</w:t>
            </w:r>
            <w:r w:rsidR="006E21FA" w:rsidRPr="004F6500">
              <w:rPr>
                <w:b/>
                <w:sz w:val="22"/>
              </w:rPr>
              <w:t xml:space="preserve"> 31, 2019</w:t>
            </w:r>
          </w:p>
        </w:tc>
        <w:tc>
          <w:tcPr>
            <w:tcW w:w="1512" w:type="dxa"/>
            <w:tcBorders>
              <w:top w:val="single" w:sz="4" w:space="0" w:color="auto"/>
              <w:bottom w:val="single" w:sz="4" w:space="0" w:color="auto"/>
            </w:tcBorders>
          </w:tcPr>
          <w:p w14:paraId="5BE67870" w14:textId="288521D7" w:rsidR="006E21FA" w:rsidRPr="004F6500" w:rsidRDefault="003306DA" w:rsidP="004F6500">
            <w:pPr>
              <w:spacing w:line="254" w:lineRule="auto"/>
              <w:jc w:val="center"/>
              <w:rPr>
                <w:b/>
                <w:sz w:val="22"/>
              </w:rPr>
            </w:pPr>
            <w:r>
              <w:rPr>
                <w:b/>
                <w:sz w:val="22"/>
              </w:rPr>
              <w:t>October</w:t>
            </w:r>
            <w:r w:rsidR="00A56B94">
              <w:rPr>
                <w:b/>
                <w:sz w:val="22"/>
              </w:rPr>
              <w:t xml:space="preserve"> 31, 2018</w:t>
            </w:r>
          </w:p>
        </w:tc>
        <w:tc>
          <w:tcPr>
            <w:tcW w:w="246" w:type="dxa"/>
          </w:tcPr>
          <w:p w14:paraId="33A7519B" w14:textId="77777777" w:rsidR="006E21FA" w:rsidRPr="004F6500" w:rsidRDefault="006E21FA" w:rsidP="004F6500">
            <w:pPr>
              <w:spacing w:line="254" w:lineRule="auto"/>
              <w:jc w:val="center"/>
              <w:rPr>
                <w:b/>
                <w:sz w:val="22"/>
              </w:rPr>
            </w:pPr>
          </w:p>
        </w:tc>
        <w:tc>
          <w:tcPr>
            <w:tcW w:w="1464" w:type="dxa"/>
            <w:tcBorders>
              <w:top w:val="single" w:sz="4" w:space="0" w:color="auto"/>
              <w:bottom w:val="single" w:sz="4" w:space="0" w:color="auto"/>
            </w:tcBorders>
          </w:tcPr>
          <w:p w14:paraId="34F276E2" w14:textId="44D27540" w:rsidR="006E21FA" w:rsidRPr="004F6500" w:rsidRDefault="003306DA" w:rsidP="004F6500">
            <w:pPr>
              <w:spacing w:line="254" w:lineRule="auto"/>
              <w:jc w:val="center"/>
              <w:rPr>
                <w:b/>
                <w:sz w:val="22"/>
              </w:rPr>
            </w:pPr>
            <w:r>
              <w:rPr>
                <w:b/>
                <w:sz w:val="22"/>
              </w:rPr>
              <w:t>October</w:t>
            </w:r>
            <w:r w:rsidR="006E21FA" w:rsidRPr="004F6500">
              <w:rPr>
                <w:b/>
                <w:sz w:val="22"/>
              </w:rPr>
              <w:t xml:space="preserve"> 31, 2019</w:t>
            </w:r>
          </w:p>
        </w:tc>
        <w:tc>
          <w:tcPr>
            <w:tcW w:w="1530" w:type="dxa"/>
            <w:tcBorders>
              <w:top w:val="single" w:sz="4" w:space="0" w:color="auto"/>
              <w:bottom w:val="single" w:sz="4" w:space="0" w:color="auto"/>
            </w:tcBorders>
          </w:tcPr>
          <w:p w14:paraId="54C79231" w14:textId="06752554" w:rsidR="006E21FA" w:rsidRPr="004F6500" w:rsidRDefault="003306DA" w:rsidP="004F6500">
            <w:pPr>
              <w:spacing w:line="254" w:lineRule="auto"/>
              <w:jc w:val="center"/>
              <w:rPr>
                <w:b/>
                <w:sz w:val="22"/>
              </w:rPr>
            </w:pPr>
            <w:r>
              <w:rPr>
                <w:b/>
                <w:sz w:val="22"/>
              </w:rPr>
              <w:t>October</w:t>
            </w:r>
            <w:r w:rsidR="006E21FA" w:rsidRPr="004F6500">
              <w:rPr>
                <w:b/>
                <w:sz w:val="22"/>
              </w:rPr>
              <w:t xml:space="preserve"> 31, 2018</w:t>
            </w:r>
          </w:p>
        </w:tc>
      </w:tr>
      <w:tr w:rsidR="006E21FA" w:rsidRPr="004F6500" w14:paraId="33B7871A" w14:textId="77777777" w:rsidTr="00E374A6">
        <w:tc>
          <w:tcPr>
            <w:tcW w:w="3150" w:type="dxa"/>
          </w:tcPr>
          <w:p w14:paraId="4A4A8590" w14:textId="5E33764C" w:rsidR="006E21FA" w:rsidRPr="004F6500" w:rsidRDefault="00396358" w:rsidP="004F6500">
            <w:pPr>
              <w:spacing w:line="254" w:lineRule="auto"/>
              <w:jc w:val="both"/>
              <w:rPr>
                <w:sz w:val="22"/>
              </w:rPr>
            </w:pPr>
            <w:r>
              <w:rPr>
                <w:sz w:val="22"/>
              </w:rPr>
              <w:t>Depreciation and a</w:t>
            </w:r>
            <w:r w:rsidR="006E21FA" w:rsidRPr="004F6500">
              <w:rPr>
                <w:sz w:val="22"/>
              </w:rPr>
              <w:t>mortization</w:t>
            </w:r>
          </w:p>
        </w:tc>
        <w:tc>
          <w:tcPr>
            <w:tcW w:w="1548" w:type="dxa"/>
            <w:tcBorders>
              <w:top w:val="single" w:sz="4" w:space="0" w:color="auto"/>
            </w:tcBorders>
          </w:tcPr>
          <w:p w14:paraId="27F2C72C" w14:textId="51CF8E45" w:rsidR="006E21FA" w:rsidRPr="004F6500" w:rsidRDefault="00396358" w:rsidP="004F6500">
            <w:pPr>
              <w:spacing w:line="254" w:lineRule="auto"/>
              <w:jc w:val="right"/>
              <w:rPr>
                <w:sz w:val="22"/>
              </w:rPr>
            </w:pPr>
            <w:r>
              <w:rPr>
                <w:sz w:val="22"/>
              </w:rPr>
              <w:t>$247,568</w:t>
            </w:r>
          </w:p>
        </w:tc>
        <w:tc>
          <w:tcPr>
            <w:tcW w:w="1512" w:type="dxa"/>
            <w:tcBorders>
              <w:top w:val="single" w:sz="4" w:space="0" w:color="auto"/>
            </w:tcBorders>
          </w:tcPr>
          <w:p w14:paraId="27CF9F01" w14:textId="05D9CC14" w:rsidR="006E21FA" w:rsidRPr="004F6500" w:rsidRDefault="00396358" w:rsidP="004F6500">
            <w:pPr>
              <w:spacing w:line="254" w:lineRule="auto"/>
              <w:jc w:val="right"/>
              <w:rPr>
                <w:sz w:val="22"/>
              </w:rPr>
            </w:pPr>
            <w:r>
              <w:rPr>
                <w:sz w:val="22"/>
              </w:rPr>
              <w:t>$243,785</w:t>
            </w:r>
          </w:p>
        </w:tc>
        <w:tc>
          <w:tcPr>
            <w:tcW w:w="246" w:type="dxa"/>
          </w:tcPr>
          <w:p w14:paraId="6313AFCB" w14:textId="77777777" w:rsidR="006E21FA" w:rsidRPr="004F6500" w:rsidRDefault="006E21FA" w:rsidP="004F6500">
            <w:pPr>
              <w:spacing w:line="254" w:lineRule="auto"/>
              <w:jc w:val="right"/>
              <w:rPr>
                <w:sz w:val="22"/>
              </w:rPr>
            </w:pPr>
          </w:p>
        </w:tc>
        <w:tc>
          <w:tcPr>
            <w:tcW w:w="1464" w:type="dxa"/>
            <w:tcBorders>
              <w:top w:val="single" w:sz="4" w:space="0" w:color="auto"/>
            </w:tcBorders>
          </w:tcPr>
          <w:p w14:paraId="054BF510" w14:textId="72B54773" w:rsidR="006E21FA" w:rsidRPr="004F6500" w:rsidRDefault="00396358" w:rsidP="004F6500">
            <w:pPr>
              <w:spacing w:line="254" w:lineRule="auto"/>
              <w:jc w:val="right"/>
              <w:rPr>
                <w:sz w:val="22"/>
              </w:rPr>
            </w:pPr>
            <w:r>
              <w:rPr>
                <w:sz w:val="22"/>
              </w:rPr>
              <w:t>$736,951</w:t>
            </w:r>
          </w:p>
        </w:tc>
        <w:tc>
          <w:tcPr>
            <w:tcW w:w="1530" w:type="dxa"/>
            <w:tcBorders>
              <w:top w:val="single" w:sz="4" w:space="0" w:color="auto"/>
            </w:tcBorders>
          </w:tcPr>
          <w:p w14:paraId="4E051305" w14:textId="5410F9F2" w:rsidR="006E21FA" w:rsidRPr="004F6500" w:rsidRDefault="00396358" w:rsidP="004F6500">
            <w:pPr>
              <w:spacing w:line="254" w:lineRule="auto"/>
              <w:jc w:val="right"/>
              <w:rPr>
                <w:sz w:val="22"/>
              </w:rPr>
            </w:pPr>
            <w:r>
              <w:rPr>
                <w:sz w:val="22"/>
              </w:rPr>
              <w:t>$652,707</w:t>
            </w:r>
          </w:p>
        </w:tc>
      </w:tr>
      <w:tr w:rsidR="006E21FA" w:rsidRPr="004F6500" w14:paraId="2BF5AAA7" w14:textId="77777777" w:rsidTr="00E374A6">
        <w:tc>
          <w:tcPr>
            <w:tcW w:w="3150" w:type="dxa"/>
          </w:tcPr>
          <w:p w14:paraId="22C6B395" w14:textId="77777777" w:rsidR="006E21FA" w:rsidRPr="004F6500" w:rsidRDefault="006E21FA" w:rsidP="004F6500">
            <w:pPr>
              <w:spacing w:line="254" w:lineRule="auto"/>
              <w:jc w:val="both"/>
              <w:rPr>
                <w:sz w:val="22"/>
              </w:rPr>
            </w:pPr>
            <w:r w:rsidRPr="004F6500">
              <w:rPr>
                <w:sz w:val="22"/>
              </w:rPr>
              <w:t>Due diligence costs</w:t>
            </w:r>
          </w:p>
        </w:tc>
        <w:tc>
          <w:tcPr>
            <w:tcW w:w="1548" w:type="dxa"/>
          </w:tcPr>
          <w:p w14:paraId="3BE42B61" w14:textId="77777777" w:rsidR="006E21FA" w:rsidRPr="004F6500" w:rsidRDefault="006E21FA" w:rsidP="004F6500">
            <w:pPr>
              <w:spacing w:line="254" w:lineRule="auto"/>
              <w:jc w:val="right"/>
              <w:rPr>
                <w:sz w:val="22"/>
              </w:rPr>
            </w:pPr>
            <w:r w:rsidRPr="004F6500">
              <w:rPr>
                <w:sz w:val="22"/>
              </w:rPr>
              <w:t>$nil</w:t>
            </w:r>
          </w:p>
        </w:tc>
        <w:tc>
          <w:tcPr>
            <w:tcW w:w="1512" w:type="dxa"/>
          </w:tcPr>
          <w:p w14:paraId="3B60F052" w14:textId="15FF417C" w:rsidR="006E21FA" w:rsidRPr="004F6500" w:rsidRDefault="00396358" w:rsidP="004F6500">
            <w:pPr>
              <w:spacing w:line="254" w:lineRule="auto"/>
              <w:jc w:val="right"/>
              <w:rPr>
                <w:sz w:val="22"/>
              </w:rPr>
            </w:pPr>
            <w:r>
              <w:rPr>
                <w:sz w:val="22"/>
              </w:rPr>
              <w:t>$68,100</w:t>
            </w:r>
          </w:p>
        </w:tc>
        <w:tc>
          <w:tcPr>
            <w:tcW w:w="246" w:type="dxa"/>
          </w:tcPr>
          <w:p w14:paraId="10F04997" w14:textId="77777777" w:rsidR="006E21FA" w:rsidRPr="004F6500" w:rsidRDefault="006E21FA" w:rsidP="004F6500">
            <w:pPr>
              <w:spacing w:line="254" w:lineRule="auto"/>
              <w:jc w:val="right"/>
              <w:rPr>
                <w:sz w:val="22"/>
              </w:rPr>
            </w:pPr>
          </w:p>
        </w:tc>
        <w:tc>
          <w:tcPr>
            <w:tcW w:w="1464" w:type="dxa"/>
          </w:tcPr>
          <w:p w14:paraId="6D43EA7D" w14:textId="77777777" w:rsidR="006E21FA" w:rsidRPr="004F6500" w:rsidRDefault="006E21FA" w:rsidP="004F6500">
            <w:pPr>
              <w:spacing w:line="254" w:lineRule="auto"/>
              <w:jc w:val="right"/>
              <w:rPr>
                <w:sz w:val="22"/>
              </w:rPr>
            </w:pPr>
            <w:r w:rsidRPr="004F6500">
              <w:rPr>
                <w:sz w:val="22"/>
              </w:rPr>
              <w:t>$nil</w:t>
            </w:r>
          </w:p>
        </w:tc>
        <w:tc>
          <w:tcPr>
            <w:tcW w:w="1530" w:type="dxa"/>
          </w:tcPr>
          <w:p w14:paraId="6187A5EF" w14:textId="4F91465A" w:rsidR="006E21FA" w:rsidRPr="004F6500" w:rsidRDefault="00396358" w:rsidP="004F6500">
            <w:pPr>
              <w:spacing w:line="254" w:lineRule="auto"/>
              <w:jc w:val="right"/>
              <w:rPr>
                <w:sz w:val="22"/>
              </w:rPr>
            </w:pPr>
            <w:r>
              <w:rPr>
                <w:sz w:val="22"/>
              </w:rPr>
              <w:t>$234,362</w:t>
            </w:r>
          </w:p>
        </w:tc>
      </w:tr>
      <w:tr w:rsidR="006E21FA" w:rsidRPr="004F6500" w14:paraId="61A4EB03" w14:textId="77777777" w:rsidTr="00E374A6">
        <w:tc>
          <w:tcPr>
            <w:tcW w:w="3150" w:type="dxa"/>
          </w:tcPr>
          <w:p w14:paraId="0AA08091" w14:textId="77777777" w:rsidR="006E21FA" w:rsidRPr="004F6500" w:rsidRDefault="006E21FA" w:rsidP="004F6500">
            <w:pPr>
              <w:spacing w:line="254" w:lineRule="auto"/>
              <w:jc w:val="both"/>
              <w:rPr>
                <w:sz w:val="22"/>
              </w:rPr>
            </w:pPr>
            <w:r w:rsidRPr="004F6500">
              <w:rPr>
                <w:sz w:val="22"/>
              </w:rPr>
              <w:t>Finder</w:t>
            </w:r>
            <w:r w:rsidR="00A56B94">
              <w:rPr>
                <w:sz w:val="22"/>
              </w:rPr>
              <w:t>’</w:t>
            </w:r>
            <w:r w:rsidRPr="004F6500">
              <w:rPr>
                <w:sz w:val="22"/>
              </w:rPr>
              <w:t>s fee expense</w:t>
            </w:r>
          </w:p>
        </w:tc>
        <w:tc>
          <w:tcPr>
            <w:tcW w:w="1548" w:type="dxa"/>
          </w:tcPr>
          <w:p w14:paraId="4A71017C" w14:textId="3DCD2815" w:rsidR="006E21FA" w:rsidRPr="004F6500" w:rsidRDefault="00396358" w:rsidP="004F6500">
            <w:pPr>
              <w:spacing w:line="254" w:lineRule="auto"/>
              <w:jc w:val="right"/>
              <w:rPr>
                <w:sz w:val="22"/>
              </w:rPr>
            </w:pPr>
            <w:r>
              <w:rPr>
                <w:sz w:val="22"/>
              </w:rPr>
              <w:t>$nil</w:t>
            </w:r>
          </w:p>
        </w:tc>
        <w:tc>
          <w:tcPr>
            <w:tcW w:w="1512" w:type="dxa"/>
          </w:tcPr>
          <w:p w14:paraId="6C52BE79" w14:textId="77777777" w:rsidR="006E21FA" w:rsidRPr="004F6500" w:rsidRDefault="006E21FA" w:rsidP="004F6500">
            <w:pPr>
              <w:spacing w:line="254" w:lineRule="auto"/>
              <w:jc w:val="right"/>
              <w:rPr>
                <w:sz w:val="22"/>
              </w:rPr>
            </w:pPr>
            <w:r w:rsidRPr="004F6500">
              <w:rPr>
                <w:sz w:val="22"/>
              </w:rPr>
              <w:t>$</w:t>
            </w:r>
            <w:r w:rsidR="00DE5E29" w:rsidRPr="004F6500">
              <w:rPr>
                <w:sz w:val="22"/>
              </w:rPr>
              <w:t>nil</w:t>
            </w:r>
          </w:p>
        </w:tc>
        <w:tc>
          <w:tcPr>
            <w:tcW w:w="246" w:type="dxa"/>
          </w:tcPr>
          <w:p w14:paraId="3D620C49" w14:textId="77777777" w:rsidR="006E21FA" w:rsidRPr="004F6500" w:rsidRDefault="006E21FA" w:rsidP="004F6500">
            <w:pPr>
              <w:spacing w:line="254" w:lineRule="auto"/>
              <w:jc w:val="right"/>
              <w:rPr>
                <w:sz w:val="22"/>
              </w:rPr>
            </w:pPr>
          </w:p>
        </w:tc>
        <w:tc>
          <w:tcPr>
            <w:tcW w:w="1464" w:type="dxa"/>
          </w:tcPr>
          <w:p w14:paraId="757E2EBF" w14:textId="0860D7D6" w:rsidR="006E21FA" w:rsidRPr="004F6500" w:rsidRDefault="00396358" w:rsidP="004F6500">
            <w:pPr>
              <w:spacing w:line="254" w:lineRule="auto"/>
              <w:jc w:val="right"/>
              <w:rPr>
                <w:sz w:val="22"/>
              </w:rPr>
            </w:pPr>
            <w:r>
              <w:rPr>
                <w:sz w:val="22"/>
              </w:rPr>
              <w:t>$100,000</w:t>
            </w:r>
          </w:p>
        </w:tc>
        <w:tc>
          <w:tcPr>
            <w:tcW w:w="1530" w:type="dxa"/>
          </w:tcPr>
          <w:p w14:paraId="04D45A9D" w14:textId="77777777" w:rsidR="006E21FA" w:rsidRPr="004F6500" w:rsidRDefault="006E21FA" w:rsidP="004F6500">
            <w:pPr>
              <w:spacing w:line="254" w:lineRule="auto"/>
              <w:jc w:val="right"/>
              <w:rPr>
                <w:sz w:val="22"/>
              </w:rPr>
            </w:pPr>
            <w:r w:rsidRPr="004F6500">
              <w:rPr>
                <w:sz w:val="22"/>
              </w:rPr>
              <w:t>$nil</w:t>
            </w:r>
          </w:p>
        </w:tc>
      </w:tr>
      <w:tr w:rsidR="006E21FA" w:rsidRPr="004F6500" w14:paraId="20BA7EB1" w14:textId="77777777" w:rsidTr="00E374A6">
        <w:tc>
          <w:tcPr>
            <w:tcW w:w="3150" w:type="dxa"/>
          </w:tcPr>
          <w:p w14:paraId="0ED8B1DA" w14:textId="77777777" w:rsidR="006E21FA" w:rsidRPr="004F6500" w:rsidRDefault="006E21FA" w:rsidP="004F6500">
            <w:pPr>
              <w:spacing w:line="254" w:lineRule="auto"/>
              <w:jc w:val="both"/>
              <w:rPr>
                <w:sz w:val="22"/>
              </w:rPr>
            </w:pPr>
            <w:r w:rsidRPr="004F6500">
              <w:rPr>
                <w:sz w:val="22"/>
              </w:rPr>
              <w:t>Foreign exchange loss</w:t>
            </w:r>
          </w:p>
        </w:tc>
        <w:tc>
          <w:tcPr>
            <w:tcW w:w="1548" w:type="dxa"/>
          </w:tcPr>
          <w:p w14:paraId="2A2BB0EB" w14:textId="2C2EF9FF" w:rsidR="006E21FA" w:rsidRPr="00396358" w:rsidRDefault="00396358" w:rsidP="004F6500">
            <w:pPr>
              <w:spacing w:line="254" w:lineRule="auto"/>
              <w:jc w:val="right"/>
              <w:rPr>
                <w:sz w:val="22"/>
              </w:rPr>
            </w:pPr>
            <w:r w:rsidRPr="00396358">
              <w:rPr>
                <w:sz w:val="22"/>
              </w:rPr>
              <w:t>$7,833</w:t>
            </w:r>
          </w:p>
        </w:tc>
        <w:tc>
          <w:tcPr>
            <w:tcW w:w="1512" w:type="dxa"/>
          </w:tcPr>
          <w:p w14:paraId="692EEE1A" w14:textId="36F3A51D" w:rsidR="006E21FA" w:rsidRPr="00396358" w:rsidRDefault="00396358" w:rsidP="004F6500">
            <w:pPr>
              <w:spacing w:line="254" w:lineRule="auto"/>
              <w:jc w:val="right"/>
              <w:rPr>
                <w:sz w:val="22"/>
              </w:rPr>
            </w:pPr>
            <w:r w:rsidRPr="00396358">
              <w:rPr>
                <w:sz w:val="22"/>
              </w:rPr>
              <w:t>$39,881</w:t>
            </w:r>
          </w:p>
        </w:tc>
        <w:tc>
          <w:tcPr>
            <w:tcW w:w="246" w:type="dxa"/>
          </w:tcPr>
          <w:p w14:paraId="48714744" w14:textId="77777777" w:rsidR="006E21FA" w:rsidRPr="00396358" w:rsidRDefault="006E21FA" w:rsidP="004F6500">
            <w:pPr>
              <w:spacing w:line="254" w:lineRule="auto"/>
              <w:jc w:val="right"/>
              <w:rPr>
                <w:sz w:val="22"/>
              </w:rPr>
            </w:pPr>
          </w:p>
        </w:tc>
        <w:tc>
          <w:tcPr>
            <w:tcW w:w="1464" w:type="dxa"/>
          </w:tcPr>
          <w:p w14:paraId="3CC7E427" w14:textId="3F4E9E96" w:rsidR="006E21FA" w:rsidRPr="00396358" w:rsidRDefault="00396358" w:rsidP="004F6500">
            <w:pPr>
              <w:spacing w:line="254" w:lineRule="auto"/>
              <w:jc w:val="right"/>
              <w:rPr>
                <w:sz w:val="22"/>
              </w:rPr>
            </w:pPr>
            <w:r w:rsidRPr="00396358">
              <w:rPr>
                <w:sz w:val="22"/>
              </w:rPr>
              <w:t>$49,930</w:t>
            </w:r>
          </w:p>
        </w:tc>
        <w:tc>
          <w:tcPr>
            <w:tcW w:w="1530" w:type="dxa"/>
          </w:tcPr>
          <w:p w14:paraId="5B888DF3" w14:textId="732D7D2C" w:rsidR="006E21FA" w:rsidRPr="00396358" w:rsidRDefault="00396358" w:rsidP="004F6500">
            <w:pPr>
              <w:spacing w:line="254" w:lineRule="auto"/>
              <w:jc w:val="right"/>
              <w:rPr>
                <w:sz w:val="22"/>
              </w:rPr>
            </w:pPr>
            <w:r w:rsidRPr="00396358">
              <w:rPr>
                <w:sz w:val="22"/>
              </w:rPr>
              <w:t>$83,848</w:t>
            </w:r>
          </w:p>
        </w:tc>
      </w:tr>
      <w:tr w:rsidR="00396358" w:rsidRPr="004F6500" w14:paraId="1B24C220" w14:textId="77777777" w:rsidTr="00E374A6">
        <w:tc>
          <w:tcPr>
            <w:tcW w:w="3150" w:type="dxa"/>
          </w:tcPr>
          <w:p w14:paraId="2D9B16DB" w14:textId="77777777" w:rsidR="00396358" w:rsidRPr="004F6500" w:rsidRDefault="00396358" w:rsidP="00396358">
            <w:pPr>
              <w:spacing w:line="254" w:lineRule="auto"/>
              <w:jc w:val="both"/>
              <w:rPr>
                <w:sz w:val="22"/>
              </w:rPr>
            </w:pPr>
            <w:r w:rsidRPr="004F6500">
              <w:rPr>
                <w:sz w:val="22"/>
              </w:rPr>
              <w:t>General and administrative</w:t>
            </w:r>
          </w:p>
        </w:tc>
        <w:tc>
          <w:tcPr>
            <w:tcW w:w="1548" w:type="dxa"/>
          </w:tcPr>
          <w:p w14:paraId="31C89F22" w14:textId="1A43270A" w:rsidR="00396358" w:rsidRPr="00396358" w:rsidRDefault="00396358" w:rsidP="00396358">
            <w:pPr>
              <w:spacing w:line="254" w:lineRule="auto"/>
              <w:jc w:val="right"/>
              <w:rPr>
                <w:sz w:val="22"/>
              </w:rPr>
            </w:pPr>
            <w:r w:rsidRPr="00396358">
              <w:rPr>
                <w:sz w:val="22"/>
              </w:rPr>
              <w:t>$722,258</w:t>
            </w:r>
          </w:p>
        </w:tc>
        <w:tc>
          <w:tcPr>
            <w:tcW w:w="1512" w:type="dxa"/>
          </w:tcPr>
          <w:p w14:paraId="788DB171" w14:textId="0F1BCD62" w:rsidR="00396358" w:rsidRPr="00396358" w:rsidRDefault="00396358" w:rsidP="00396358">
            <w:pPr>
              <w:spacing w:line="254" w:lineRule="auto"/>
              <w:jc w:val="right"/>
              <w:rPr>
                <w:sz w:val="22"/>
              </w:rPr>
            </w:pPr>
            <w:r w:rsidRPr="00396358">
              <w:rPr>
                <w:sz w:val="22"/>
              </w:rPr>
              <w:t>$554,923</w:t>
            </w:r>
          </w:p>
        </w:tc>
        <w:tc>
          <w:tcPr>
            <w:tcW w:w="246" w:type="dxa"/>
          </w:tcPr>
          <w:p w14:paraId="6EDD30F0" w14:textId="77777777" w:rsidR="00396358" w:rsidRPr="00396358" w:rsidRDefault="00396358" w:rsidP="00396358">
            <w:pPr>
              <w:spacing w:line="254" w:lineRule="auto"/>
              <w:jc w:val="right"/>
              <w:rPr>
                <w:sz w:val="22"/>
              </w:rPr>
            </w:pPr>
          </w:p>
        </w:tc>
        <w:tc>
          <w:tcPr>
            <w:tcW w:w="1464" w:type="dxa"/>
          </w:tcPr>
          <w:p w14:paraId="36AB4ED0" w14:textId="70B3BAC3" w:rsidR="00396358" w:rsidRPr="00396358" w:rsidRDefault="00396358" w:rsidP="00396358">
            <w:pPr>
              <w:spacing w:line="254" w:lineRule="auto"/>
              <w:jc w:val="right"/>
              <w:rPr>
                <w:sz w:val="22"/>
              </w:rPr>
            </w:pPr>
            <w:r w:rsidRPr="00396358">
              <w:rPr>
                <w:sz w:val="22"/>
              </w:rPr>
              <w:t>$3,934,838</w:t>
            </w:r>
          </w:p>
        </w:tc>
        <w:tc>
          <w:tcPr>
            <w:tcW w:w="1530" w:type="dxa"/>
          </w:tcPr>
          <w:p w14:paraId="64FB637E" w14:textId="681B8515" w:rsidR="00396358" w:rsidRPr="00396358" w:rsidRDefault="00396358" w:rsidP="00396358">
            <w:pPr>
              <w:spacing w:line="254" w:lineRule="auto"/>
              <w:jc w:val="right"/>
              <w:rPr>
                <w:sz w:val="22"/>
              </w:rPr>
            </w:pPr>
            <w:r w:rsidRPr="00396358">
              <w:rPr>
                <w:sz w:val="22"/>
              </w:rPr>
              <w:t>$2,073,262</w:t>
            </w:r>
          </w:p>
        </w:tc>
      </w:tr>
      <w:tr w:rsidR="00396358" w:rsidRPr="004F6500" w14:paraId="0C3E1A5F" w14:textId="77777777" w:rsidTr="00E374A6">
        <w:tc>
          <w:tcPr>
            <w:tcW w:w="3150" w:type="dxa"/>
          </w:tcPr>
          <w:p w14:paraId="6C3807EF" w14:textId="77777777" w:rsidR="00396358" w:rsidRPr="004F6500" w:rsidRDefault="00396358" w:rsidP="00396358">
            <w:pPr>
              <w:spacing w:line="254" w:lineRule="auto"/>
              <w:jc w:val="both"/>
              <w:rPr>
                <w:sz w:val="22"/>
              </w:rPr>
            </w:pPr>
            <w:r w:rsidRPr="004F6500">
              <w:rPr>
                <w:sz w:val="22"/>
              </w:rPr>
              <w:t>Lease expense</w:t>
            </w:r>
          </w:p>
        </w:tc>
        <w:tc>
          <w:tcPr>
            <w:tcW w:w="1548" w:type="dxa"/>
          </w:tcPr>
          <w:p w14:paraId="3C955283" w14:textId="1D3D65D4" w:rsidR="00396358" w:rsidRPr="00396358" w:rsidRDefault="00396358" w:rsidP="00396358">
            <w:pPr>
              <w:spacing w:line="254" w:lineRule="auto"/>
              <w:jc w:val="right"/>
              <w:rPr>
                <w:sz w:val="22"/>
              </w:rPr>
            </w:pPr>
            <w:r w:rsidRPr="00396358">
              <w:rPr>
                <w:sz w:val="22"/>
              </w:rPr>
              <w:t>$104,541</w:t>
            </w:r>
          </w:p>
        </w:tc>
        <w:tc>
          <w:tcPr>
            <w:tcW w:w="1512" w:type="dxa"/>
          </w:tcPr>
          <w:p w14:paraId="478B3AA4" w14:textId="38A2DD94" w:rsidR="00396358" w:rsidRPr="00396358" w:rsidRDefault="00396358" w:rsidP="00396358">
            <w:pPr>
              <w:spacing w:line="254" w:lineRule="auto"/>
              <w:jc w:val="right"/>
              <w:rPr>
                <w:sz w:val="22"/>
              </w:rPr>
            </w:pPr>
            <w:r w:rsidRPr="00396358">
              <w:rPr>
                <w:sz w:val="22"/>
              </w:rPr>
              <w:t>$103,533</w:t>
            </w:r>
          </w:p>
        </w:tc>
        <w:tc>
          <w:tcPr>
            <w:tcW w:w="246" w:type="dxa"/>
          </w:tcPr>
          <w:p w14:paraId="43557141" w14:textId="77777777" w:rsidR="00396358" w:rsidRPr="00396358" w:rsidRDefault="00396358" w:rsidP="00396358">
            <w:pPr>
              <w:spacing w:line="254" w:lineRule="auto"/>
              <w:jc w:val="right"/>
              <w:rPr>
                <w:sz w:val="22"/>
              </w:rPr>
            </w:pPr>
          </w:p>
        </w:tc>
        <w:tc>
          <w:tcPr>
            <w:tcW w:w="1464" w:type="dxa"/>
          </w:tcPr>
          <w:p w14:paraId="3FE6B5FC" w14:textId="3A10B17E" w:rsidR="00396358" w:rsidRPr="00396358" w:rsidRDefault="00396358" w:rsidP="00396358">
            <w:pPr>
              <w:spacing w:line="254" w:lineRule="auto"/>
              <w:jc w:val="right"/>
              <w:rPr>
                <w:sz w:val="22"/>
              </w:rPr>
            </w:pPr>
            <w:r w:rsidRPr="00396358">
              <w:rPr>
                <w:sz w:val="22"/>
              </w:rPr>
              <w:t>$314,098</w:t>
            </w:r>
          </w:p>
        </w:tc>
        <w:tc>
          <w:tcPr>
            <w:tcW w:w="1530" w:type="dxa"/>
          </w:tcPr>
          <w:p w14:paraId="10E0698E" w14:textId="02CD653A" w:rsidR="00396358" w:rsidRPr="00396358" w:rsidRDefault="00396358" w:rsidP="00396358">
            <w:pPr>
              <w:spacing w:line="254" w:lineRule="auto"/>
              <w:jc w:val="right"/>
              <w:rPr>
                <w:sz w:val="22"/>
              </w:rPr>
            </w:pPr>
            <w:r w:rsidRPr="00396358">
              <w:rPr>
                <w:sz w:val="22"/>
              </w:rPr>
              <w:t>$137,974</w:t>
            </w:r>
          </w:p>
        </w:tc>
      </w:tr>
      <w:tr w:rsidR="00396358" w:rsidRPr="004F6500" w14:paraId="56466890" w14:textId="77777777" w:rsidTr="00E374A6">
        <w:tc>
          <w:tcPr>
            <w:tcW w:w="3150" w:type="dxa"/>
          </w:tcPr>
          <w:p w14:paraId="45866150" w14:textId="77777777" w:rsidR="00396358" w:rsidRPr="004F6500" w:rsidRDefault="00396358" w:rsidP="00396358">
            <w:pPr>
              <w:spacing w:line="254" w:lineRule="auto"/>
              <w:jc w:val="both"/>
              <w:rPr>
                <w:sz w:val="22"/>
              </w:rPr>
            </w:pPr>
            <w:r w:rsidRPr="004F6500">
              <w:rPr>
                <w:sz w:val="22"/>
              </w:rPr>
              <w:t>Lease liability expense</w:t>
            </w:r>
          </w:p>
        </w:tc>
        <w:tc>
          <w:tcPr>
            <w:tcW w:w="1548" w:type="dxa"/>
          </w:tcPr>
          <w:p w14:paraId="4F5019BF" w14:textId="57783C86" w:rsidR="00396358" w:rsidRPr="00396358" w:rsidRDefault="00396358" w:rsidP="00396358">
            <w:pPr>
              <w:spacing w:line="254" w:lineRule="auto"/>
              <w:jc w:val="right"/>
              <w:rPr>
                <w:sz w:val="22"/>
              </w:rPr>
            </w:pPr>
            <w:r w:rsidRPr="00396358">
              <w:rPr>
                <w:sz w:val="22"/>
              </w:rPr>
              <w:t>$42,115</w:t>
            </w:r>
          </w:p>
        </w:tc>
        <w:tc>
          <w:tcPr>
            <w:tcW w:w="1512" w:type="dxa"/>
          </w:tcPr>
          <w:p w14:paraId="4EF88C80" w14:textId="5B1B3A5A" w:rsidR="00396358" w:rsidRPr="00396358" w:rsidRDefault="00396358" w:rsidP="00396358">
            <w:pPr>
              <w:spacing w:line="254" w:lineRule="auto"/>
              <w:jc w:val="right"/>
              <w:rPr>
                <w:sz w:val="22"/>
              </w:rPr>
            </w:pPr>
            <w:r w:rsidRPr="00396358">
              <w:rPr>
                <w:sz w:val="22"/>
              </w:rPr>
              <w:t>$53,291</w:t>
            </w:r>
          </w:p>
        </w:tc>
        <w:tc>
          <w:tcPr>
            <w:tcW w:w="246" w:type="dxa"/>
          </w:tcPr>
          <w:p w14:paraId="3032FBB8" w14:textId="77777777" w:rsidR="00396358" w:rsidRPr="00396358" w:rsidRDefault="00396358" w:rsidP="00396358">
            <w:pPr>
              <w:spacing w:line="254" w:lineRule="auto"/>
              <w:jc w:val="right"/>
              <w:rPr>
                <w:sz w:val="22"/>
              </w:rPr>
            </w:pPr>
          </w:p>
        </w:tc>
        <w:tc>
          <w:tcPr>
            <w:tcW w:w="1464" w:type="dxa"/>
          </w:tcPr>
          <w:p w14:paraId="2EEF86EE" w14:textId="2D7602EB" w:rsidR="00396358" w:rsidRPr="00396358" w:rsidRDefault="00396358" w:rsidP="00396358">
            <w:pPr>
              <w:spacing w:line="254" w:lineRule="auto"/>
              <w:jc w:val="right"/>
              <w:rPr>
                <w:sz w:val="22"/>
              </w:rPr>
            </w:pPr>
            <w:r w:rsidRPr="00396358">
              <w:rPr>
                <w:sz w:val="22"/>
              </w:rPr>
              <w:t>$135,209</w:t>
            </w:r>
          </w:p>
        </w:tc>
        <w:tc>
          <w:tcPr>
            <w:tcW w:w="1530" w:type="dxa"/>
          </w:tcPr>
          <w:p w14:paraId="36181E12" w14:textId="1CB11972" w:rsidR="00396358" w:rsidRPr="00396358" w:rsidRDefault="00396358" w:rsidP="00396358">
            <w:pPr>
              <w:spacing w:line="254" w:lineRule="auto"/>
              <w:jc w:val="right"/>
              <w:rPr>
                <w:sz w:val="22"/>
              </w:rPr>
            </w:pPr>
            <w:r w:rsidRPr="00396358">
              <w:rPr>
                <w:sz w:val="22"/>
              </w:rPr>
              <w:t>$71,916</w:t>
            </w:r>
          </w:p>
        </w:tc>
      </w:tr>
      <w:tr w:rsidR="00396358" w:rsidRPr="004F6500" w14:paraId="7B7E016F" w14:textId="77777777" w:rsidTr="00E374A6">
        <w:tc>
          <w:tcPr>
            <w:tcW w:w="3150" w:type="dxa"/>
          </w:tcPr>
          <w:p w14:paraId="662635DA" w14:textId="77777777" w:rsidR="00396358" w:rsidRPr="004F6500" w:rsidRDefault="00396358" w:rsidP="00396358">
            <w:pPr>
              <w:spacing w:line="254" w:lineRule="auto"/>
              <w:jc w:val="both"/>
              <w:rPr>
                <w:sz w:val="22"/>
              </w:rPr>
            </w:pPr>
            <w:r w:rsidRPr="004F6500">
              <w:rPr>
                <w:sz w:val="22"/>
              </w:rPr>
              <w:t>Licensing fees</w:t>
            </w:r>
          </w:p>
        </w:tc>
        <w:tc>
          <w:tcPr>
            <w:tcW w:w="1548" w:type="dxa"/>
          </w:tcPr>
          <w:p w14:paraId="62ECC85B" w14:textId="3AB6B799" w:rsidR="00396358" w:rsidRPr="00396358" w:rsidRDefault="00396358" w:rsidP="00396358">
            <w:pPr>
              <w:spacing w:line="254" w:lineRule="auto"/>
              <w:jc w:val="right"/>
              <w:rPr>
                <w:sz w:val="22"/>
              </w:rPr>
            </w:pPr>
            <w:r w:rsidRPr="00396358">
              <w:rPr>
                <w:sz w:val="22"/>
              </w:rPr>
              <w:t>$(39,837)</w:t>
            </w:r>
          </w:p>
        </w:tc>
        <w:tc>
          <w:tcPr>
            <w:tcW w:w="1512" w:type="dxa"/>
          </w:tcPr>
          <w:p w14:paraId="30CF34EF" w14:textId="3E9A6264" w:rsidR="00396358" w:rsidRPr="00396358" w:rsidRDefault="00396358" w:rsidP="00396358">
            <w:pPr>
              <w:spacing w:line="254" w:lineRule="auto"/>
              <w:jc w:val="right"/>
              <w:rPr>
                <w:sz w:val="22"/>
              </w:rPr>
            </w:pPr>
            <w:r w:rsidRPr="00396358">
              <w:rPr>
                <w:sz w:val="22"/>
              </w:rPr>
              <w:t>$30,000</w:t>
            </w:r>
          </w:p>
        </w:tc>
        <w:tc>
          <w:tcPr>
            <w:tcW w:w="246" w:type="dxa"/>
          </w:tcPr>
          <w:p w14:paraId="182E818E" w14:textId="77777777" w:rsidR="00396358" w:rsidRPr="00396358" w:rsidRDefault="00396358" w:rsidP="00396358">
            <w:pPr>
              <w:spacing w:line="254" w:lineRule="auto"/>
              <w:jc w:val="right"/>
              <w:rPr>
                <w:sz w:val="22"/>
              </w:rPr>
            </w:pPr>
          </w:p>
        </w:tc>
        <w:tc>
          <w:tcPr>
            <w:tcW w:w="1464" w:type="dxa"/>
          </w:tcPr>
          <w:p w14:paraId="4B2CD810" w14:textId="235ACA8A" w:rsidR="00396358" w:rsidRPr="00396358" w:rsidRDefault="00396358" w:rsidP="00396358">
            <w:pPr>
              <w:spacing w:line="254" w:lineRule="auto"/>
              <w:jc w:val="right"/>
              <w:rPr>
                <w:sz w:val="22"/>
              </w:rPr>
            </w:pPr>
            <w:r w:rsidRPr="00396358">
              <w:rPr>
                <w:sz w:val="22"/>
              </w:rPr>
              <w:t>$40,029</w:t>
            </w:r>
          </w:p>
        </w:tc>
        <w:tc>
          <w:tcPr>
            <w:tcW w:w="1530" w:type="dxa"/>
          </w:tcPr>
          <w:p w14:paraId="1269AF7D" w14:textId="5129E6CF" w:rsidR="00396358" w:rsidRPr="00396358" w:rsidRDefault="00396358" w:rsidP="00396358">
            <w:pPr>
              <w:spacing w:line="254" w:lineRule="auto"/>
              <w:jc w:val="right"/>
              <w:rPr>
                <w:sz w:val="22"/>
              </w:rPr>
            </w:pPr>
            <w:r w:rsidRPr="00396358">
              <w:rPr>
                <w:sz w:val="22"/>
              </w:rPr>
              <w:t>$30,000</w:t>
            </w:r>
          </w:p>
        </w:tc>
      </w:tr>
      <w:tr w:rsidR="00396358" w:rsidRPr="004F6500" w14:paraId="67FD5490" w14:textId="77777777" w:rsidTr="00E374A6">
        <w:tc>
          <w:tcPr>
            <w:tcW w:w="3150" w:type="dxa"/>
          </w:tcPr>
          <w:p w14:paraId="2C09F3EA" w14:textId="77777777" w:rsidR="00396358" w:rsidRPr="004F6500" w:rsidRDefault="00396358" w:rsidP="00396358">
            <w:pPr>
              <w:spacing w:line="254" w:lineRule="auto"/>
              <w:jc w:val="both"/>
              <w:rPr>
                <w:sz w:val="22"/>
              </w:rPr>
            </w:pPr>
            <w:r w:rsidRPr="004F6500">
              <w:rPr>
                <w:sz w:val="22"/>
              </w:rPr>
              <w:t>Professional fees</w:t>
            </w:r>
          </w:p>
        </w:tc>
        <w:tc>
          <w:tcPr>
            <w:tcW w:w="1548" w:type="dxa"/>
          </w:tcPr>
          <w:p w14:paraId="14DF23C3" w14:textId="0EAE3709" w:rsidR="00396358" w:rsidRPr="00396358" w:rsidRDefault="00396358" w:rsidP="00396358">
            <w:pPr>
              <w:spacing w:line="254" w:lineRule="auto"/>
              <w:jc w:val="right"/>
              <w:rPr>
                <w:sz w:val="22"/>
              </w:rPr>
            </w:pPr>
            <w:r w:rsidRPr="00396358">
              <w:rPr>
                <w:sz w:val="22"/>
              </w:rPr>
              <w:t>$390,221</w:t>
            </w:r>
          </w:p>
        </w:tc>
        <w:tc>
          <w:tcPr>
            <w:tcW w:w="1512" w:type="dxa"/>
          </w:tcPr>
          <w:p w14:paraId="4F6BBBD1" w14:textId="43BD6C0C" w:rsidR="00396358" w:rsidRPr="00396358" w:rsidRDefault="00396358" w:rsidP="00396358">
            <w:pPr>
              <w:spacing w:line="254" w:lineRule="auto"/>
              <w:jc w:val="right"/>
              <w:rPr>
                <w:sz w:val="22"/>
              </w:rPr>
            </w:pPr>
            <w:r w:rsidRPr="00396358">
              <w:rPr>
                <w:sz w:val="22"/>
              </w:rPr>
              <w:t>$278,634</w:t>
            </w:r>
          </w:p>
        </w:tc>
        <w:tc>
          <w:tcPr>
            <w:tcW w:w="246" w:type="dxa"/>
          </w:tcPr>
          <w:p w14:paraId="731121CE" w14:textId="77777777" w:rsidR="00396358" w:rsidRPr="00396358" w:rsidRDefault="00396358" w:rsidP="00396358">
            <w:pPr>
              <w:spacing w:line="254" w:lineRule="auto"/>
              <w:jc w:val="right"/>
              <w:rPr>
                <w:sz w:val="22"/>
              </w:rPr>
            </w:pPr>
          </w:p>
        </w:tc>
        <w:tc>
          <w:tcPr>
            <w:tcW w:w="1464" w:type="dxa"/>
          </w:tcPr>
          <w:p w14:paraId="734AD6B7" w14:textId="6D18C973" w:rsidR="00396358" w:rsidRPr="00396358" w:rsidRDefault="00396358" w:rsidP="00396358">
            <w:pPr>
              <w:spacing w:line="254" w:lineRule="auto"/>
              <w:jc w:val="right"/>
              <w:rPr>
                <w:sz w:val="22"/>
              </w:rPr>
            </w:pPr>
            <w:r w:rsidRPr="00396358">
              <w:rPr>
                <w:sz w:val="22"/>
              </w:rPr>
              <w:t>$821,658</w:t>
            </w:r>
          </w:p>
        </w:tc>
        <w:tc>
          <w:tcPr>
            <w:tcW w:w="1530" w:type="dxa"/>
          </w:tcPr>
          <w:p w14:paraId="191C267D" w14:textId="4F886D1D" w:rsidR="00396358" w:rsidRPr="00396358" w:rsidRDefault="00396358" w:rsidP="00396358">
            <w:pPr>
              <w:spacing w:line="254" w:lineRule="auto"/>
              <w:jc w:val="right"/>
              <w:rPr>
                <w:sz w:val="22"/>
              </w:rPr>
            </w:pPr>
            <w:r w:rsidRPr="00396358">
              <w:rPr>
                <w:sz w:val="22"/>
              </w:rPr>
              <w:t>$605,731</w:t>
            </w:r>
          </w:p>
        </w:tc>
      </w:tr>
      <w:tr w:rsidR="00396358" w:rsidRPr="004F6500" w14:paraId="0546D461" w14:textId="77777777" w:rsidTr="00E374A6">
        <w:tc>
          <w:tcPr>
            <w:tcW w:w="3150" w:type="dxa"/>
          </w:tcPr>
          <w:p w14:paraId="7CA1F944" w14:textId="77777777" w:rsidR="00396358" w:rsidRPr="004F6500" w:rsidRDefault="00396358" w:rsidP="00396358">
            <w:pPr>
              <w:spacing w:line="254" w:lineRule="auto"/>
              <w:jc w:val="both"/>
              <w:rPr>
                <w:sz w:val="22"/>
              </w:rPr>
            </w:pPr>
            <w:r w:rsidRPr="004F6500">
              <w:rPr>
                <w:sz w:val="22"/>
              </w:rPr>
              <w:t>Research and development</w:t>
            </w:r>
          </w:p>
        </w:tc>
        <w:tc>
          <w:tcPr>
            <w:tcW w:w="1548" w:type="dxa"/>
          </w:tcPr>
          <w:p w14:paraId="6CE4A78D" w14:textId="02270937" w:rsidR="00396358" w:rsidRPr="00396358" w:rsidRDefault="00396358" w:rsidP="00396358">
            <w:pPr>
              <w:spacing w:line="254" w:lineRule="auto"/>
              <w:jc w:val="right"/>
              <w:rPr>
                <w:sz w:val="22"/>
              </w:rPr>
            </w:pPr>
            <w:r w:rsidRPr="00396358">
              <w:rPr>
                <w:sz w:val="22"/>
              </w:rPr>
              <w:t>$nil</w:t>
            </w:r>
          </w:p>
        </w:tc>
        <w:tc>
          <w:tcPr>
            <w:tcW w:w="1512" w:type="dxa"/>
          </w:tcPr>
          <w:p w14:paraId="1AFCC42F" w14:textId="54E6DA68" w:rsidR="00396358" w:rsidRPr="00396358" w:rsidRDefault="00396358" w:rsidP="00396358">
            <w:pPr>
              <w:spacing w:line="254" w:lineRule="auto"/>
              <w:jc w:val="right"/>
              <w:rPr>
                <w:sz w:val="22"/>
              </w:rPr>
            </w:pPr>
            <w:r w:rsidRPr="00396358">
              <w:rPr>
                <w:sz w:val="22"/>
              </w:rPr>
              <w:t>$84,905</w:t>
            </w:r>
          </w:p>
        </w:tc>
        <w:tc>
          <w:tcPr>
            <w:tcW w:w="246" w:type="dxa"/>
          </w:tcPr>
          <w:p w14:paraId="6DFF1191" w14:textId="77777777" w:rsidR="00396358" w:rsidRPr="00396358" w:rsidRDefault="00396358" w:rsidP="00396358">
            <w:pPr>
              <w:spacing w:line="254" w:lineRule="auto"/>
              <w:jc w:val="right"/>
              <w:rPr>
                <w:sz w:val="22"/>
              </w:rPr>
            </w:pPr>
          </w:p>
        </w:tc>
        <w:tc>
          <w:tcPr>
            <w:tcW w:w="1464" w:type="dxa"/>
          </w:tcPr>
          <w:p w14:paraId="6D51E75A" w14:textId="6AF53F41" w:rsidR="00396358" w:rsidRPr="00396358" w:rsidRDefault="00396358" w:rsidP="00396358">
            <w:pPr>
              <w:spacing w:line="254" w:lineRule="auto"/>
              <w:jc w:val="right"/>
              <w:rPr>
                <w:sz w:val="22"/>
              </w:rPr>
            </w:pPr>
            <w:r w:rsidRPr="00396358">
              <w:rPr>
                <w:sz w:val="22"/>
              </w:rPr>
              <w:t>$59,487</w:t>
            </w:r>
          </w:p>
        </w:tc>
        <w:tc>
          <w:tcPr>
            <w:tcW w:w="1530" w:type="dxa"/>
          </w:tcPr>
          <w:p w14:paraId="7A255550" w14:textId="3FCECA2D" w:rsidR="00396358" w:rsidRPr="00396358" w:rsidRDefault="00396358" w:rsidP="00396358">
            <w:pPr>
              <w:spacing w:line="254" w:lineRule="auto"/>
              <w:jc w:val="right"/>
              <w:rPr>
                <w:sz w:val="22"/>
              </w:rPr>
            </w:pPr>
            <w:r w:rsidRPr="00396358">
              <w:rPr>
                <w:sz w:val="22"/>
              </w:rPr>
              <w:t>$306,851</w:t>
            </w:r>
          </w:p>
        </w:tc>
      </w:tr>
      <w:tr w:rsidR="00396358" w:rsidRPr="004F6500" w14:paraId="7456FB49" w14:textId="77777777" w:rsidTr="00E374A6">
        <w:tc>
          <w:tcPr>
            <w:tcW w:w="3150" w:type="dxa"/>
          </w:tcPr>
          <w:p w14:paraId="094E3986" w14:textId="77777777" w:rsidR="00396358" w:rsidRPr="004F6500" w:rsidRDefault="00396358" w:rsidP="00396358">
            <w:pPr>
              <w:spacing w:line="254" w:lineRule="auto"/>
              <w:jc w:val="both"/>
              <w:rPr>
                <w:sz w:val="22"/>
              </w:rPr>
            </w:pPr>
            <w:r w:rsidRPr="004F6500">
              <w:rPr>
                <w:sz w:val="22"/>
              </w:rPr>
              <w:t>Sales and marketing</w:t>
            </w:r>
          </w:p>
        </w:tc>
        <w:tc>
          <w:tcPr>
            <w:tcW w:w="1548" w:type="dxa"/>
          </w:tcPr>
          <w:p w14:paraId="19018A92" w14:textId="747EDF5E" w:rsidR="00396358" w:rsidRPr="00396358" w:rsidRDefault="00396358" w:rsidP="00396358">
            <w:pPr>
              <w:spacing w:line="254" w:lineRule="auto"/>
              <w:jc w:val="right"/>
              <w:rPr>
                <w:sz w:val="22"/>
              </w:rPr>
            </w:pPr>
            <w:r w:rsidRPr="00396358">
              <w:rPr>
                <w:sz w:val="22"/>
              </w:rPr>
              <w:t>$nil</w:t>
            </w:r>
          </w:p>
        </w:tc>
        <w:tc>
          <w:tcPr>
            <w:tcW w:w="1512" w:type="dxa"/>
          </w:tcPr>
          <w:p w14:paraId="6B2DC20D" w14:textId="37559DA6" w:rsidR="00396358" w:rsidRPr="00396358" w:rsidRDefault="00396358" w:rsidP="00396358">
            <w:pPr>
              <w:spacing w:line="254" w:lineRule="auto"/>
              <w:jc w:val="right"/>
              <w:rPr>
                <w:sz w:val="22"/>
              </w:rPr>
            </w:pPr>
            <w:r w:rsidRPr="00396358">
              <w:rPr>
                <w:sz w:val="22"/>
              </w:rPr>
              <w:t>$431</w:t>
            </w:r>
          </w:p>
        </w:tc>
        <w:tc>
          <w:tcPr>
            <w:tcW w:w="246" w:type="dxa"/>
          </w:tcPr>
          <w:p w14:paraId="557A63B5" w14:textId="77777777" w:rsidR="00396358" w:rsidRPr="00396358" w:rsidRDefault="00396358" w:rsidP="00396358">
            <w:pPr>
              <w:spacing w:line="254" w:lineRule="auto"/>
              <w:jc w:val="right"/>
              <w:rPr>
                <w:sz w:val="22"/>
              </w:rPr>
            </w:pPr>
          </w:p>
        </w:tc>
        <w:tc>
          <w:tcPr>
            <w:tcW w:w="1464" w:type="dxa"/>
          </w:tcPr>
          <w:p w14:paraId="535001AD" w14:textId="65D7BEBA" w:rsidR="00396358" w:rsidRPr="00396358" w:rsidRDefault="00396358" w:rsidP="00396358">
            <w:pPr>
              <w:spacing w:line="254" w:lineRule="auto"/>
              <w:jc w:val="right"/>
              <w:rPr>
                <w:sz w:val="22"/>
              </w:rPr>
            </w:pPr>
            <w:r w:rsidRPr="00396358">
              <w:rPr>
                <w:sz w:val="22"/>
              </w:rPr>
              <w:t>$nil</w:t>
            </w:r>
          </w:p>
        </w:tc>
        <w:tc>
          <w:tcPr>
            <w:tcW w:w="1530" w:type="dxa"/>
          </w:tcPr>
          <w:p w14:paraId="3F5D2B68" w14:textId="7B2EF59D" w:rsidR="00396358" w:rsidRPr="00396358" w:rsidRDefault="00396358" w:rsidP="00396358">
            <w:pPr>
              <w:spacing w:line="254" w:lineRule="auto"/>
              <w:jc w:val="right"/>
              <w:rPr>
                <w:sz w:val="22"/>
              </w:rPr>
            </w:pPr>
            <w:r w:rsidRPr="00396358">
              <w:rPr>
                <w:sz w:val="22"/>
              </w:rPr>
              <w:t>$9,459</w:t>
            </w:r>
          </w:p>
        </w:tc>
      </w:tr>
      <w:tr w:rsidR="00396358" w:rsidRPr="004F6500" w14:paraId="634B2B49" w14:textId="77777777" w:rsidTr="00E374A6">
        <w:tc>
          <w:tcPr>
            <w:tcW w:w="3150" w:type="dxa"/>
          </w:tcPr>
          <w:p w14:paraId="47F31CCD" w14:textId="77777777" w:rsidR="00396358" w:rsidRPr="004F6500" w:rsidRDefault="00396358" w:rsidP="00396358">
            <w:pPr>
              <w:spacing w:line="254" w:lineRule="auto"/>
              <w:jc w:val="both"/>
              <w:rPr>
                <w:sz w:val="22"/>
              </w:rPr>
            </w:pPr>
            <w:r w:rsidRPr="004F6500">
              <w:rPr>
                <w:sz w:val="22"/>
              </w:rPr>
              <w:t>Wages and salaries</w:t>
            </w:r>
          </w:p>
        </w:tc>
        <w:tc>
          <w:tcPr>
            <w:tcW w:w="1548" w:type="dxa"/>
          </w:tcPr>
          <w:p w14:paraId="54A4B2EC" w14:textId="424C1CCC" w:rsidR="00396358" w:rsidRPr="00396358" w:rsidRDefault="00396358" w:rsidP="00396358">
            <w:pPr>
              <w:spacing w:line="254" w:lineRule="auto"/>
              <w:jc w:val="right"/>
              <w:rPr>
                <w:sz w:val="22"/>
              </w:rPr>
            </w:pPr>
            <w:r w:rsidRPr="00396358">
              <w:rPr>
                <w:sz w:val="22"/>
              </w:rPr>
              <w:t>$834,945</w:t>
            </w:r>
          </w:p>
        </w:tc>
        <w:tc>
          <w:tcPr>
            <w:tcW w:w="1512" w:type="dxa"/>
          </w:tcPr>
          <w:p w14:paraId="4D70E864" w14:textId="6A8DC949" w:rsidR="00396358" w:rsidRPr="00396358" w:rsidRDefault="00396358" w:rsidP="00396358">
            <w:pPr>
              <w:spacing w:line="254" w:lineRule="auto"/>
              <w:jc w:val="right"/>
              <w:rPr>
                <w:sz w:val="22"/>
              </w:rPr>
            </w:pPr>
            <w:r w:rsidRPr="00396358">
              <w:rPr>
                <w:sz w:val="22"/>
              </w:rPr>
              <w:t>$407,859</w:t>
            </w:r>
          </w:p>
        </w:tc>
        <w:tc>
          <w:tcPr>
            <w:tcW w:w="246" w:type="dxa"/>
          </w:tcPr>
          <w:p w14:paraId="7F902A4D" w14:textId="77777777" w:rsidR="00396358" w:rsidRPr="00396358" w:rsidRDefault="00396358" w:rsidP="00396358">
            <w:pPr>
              <w:spacing w:line="254" w:lineRule="auto"/>
              <w:jc w:val="right"/>
              <w:rPr>
                <w:sz w:val="22"/>
              </w:rPr>
            </w:pPr>
          </w:p>
        </w:tc>
        <w:tc>
          <w:tcPr>
            <w:tcW w:w="1464" w:type="dxa"/>
          </w:tcPr>
          <w:p w14:paraId="58B3D457" w14:textId="20BCE493" w:rsidR="00396358" w:rsidRPr="00396358" w:rsidRDefault="00396358" w:rsidP="00396358">
            <w:pPr>
              <w:spacing w:line="254" w:lineRule="auto"/>
              <w:jc w:val="right"/>
              <w:rPr>
                <w:sz w:val="22"/>
              </w:rPr>
            </w:pPr>
            <w:r w:rsidRPr="00396358">
              <w:rPr>
                <w:sz w:val="22"/>
              </w:rPr>
              <w:t>$2,037,202</w:t>
            </w:r>
          </w:p>
        </w:tc>
        <w:tc>
          <w:tcPr>
            <w:tcW w:w="1530" w:type="dxa"/>
          </w:tcPr>
          <w:p w14:paraId="05E5FDED" w14:textId="53917CFF" w:rsidR="00396358" w:rsidRPr="00396358" w:rsidRDefault="00396358" w:rsidP="00396358">
            <w:pPr>
              <w:spacing w:line="254" w:lineRule="auto"/>
              <w:jc w:val="right"/>
              <w:rPr>
                <w:sz w:val="22"/>
              </w:rPr>
            </w:pPr>
            <w:r w:rsidRPr="00396358">
              <w:rPr>
                <w:sz w:val="22"/>
              </w:rPr>
              <w:t>$1,057,970</w:t>
            </w:r>
          </w:p>
        </w:tc>
      </w:tr>
      <w:tr w:rsidR="00396358" w:rsidRPr="004F6500" w14:paraId="7068CE77" w14:textId="77777777" w:rsidTr="00E374A6">
        <w:tc>
          <w:tcPr>
            <w:tcW w:w="3150" w:type="dxa"/>
          </w:tcPr>
          <w:p w14:paraId="55C88694" w14:textId="77777777" w:rsidR="00396358" w:rsidRPr="004F6500" w:rsidRDefault="00396358" w:rsidP="00396358">
            <w:pPr>
              <w:spacing w:line="254" w:lineRule="auto"/>
              <w:jc w:val="both"/>
              <w:rPr>
                <w:sz w:val="22"/>
              </w:rPr>
            </w:pPr>
            <w:r w:rsidRPr="004F6500">
              <w:rPr>
                <w:sz w:val="22"/>
              </w:rPr>
              <w:t>Write-off of equipment</w:t>
            </w:r>
          </w:p>
        </w:tc>
        <w:tc>
          <w:tcPr>
            <w:tcW w:w="1548" w:type="dxa"/>
            <w:tcBorders>
              <w:bottom w:val="single" w:sz="4" w:space="0" w:color="auto"/>
            </w:tcBorders>
          </w:tcPr>
          <w:p w14:paraId="08DFCDA9" w14:textId="7CF99D7D" w:rsidR="00396358" w:rsidRPr="00396358" w:rsidRDefault="00396358" w:rsidP="00396358">
            <w:pPr>
              <w:spacing w:line="254" w:lineRule="auto"/>
              <w:jc w:val="right"/>
              <w:rPr>
                <w:sz w:val="22"/>
              </w:rPr>
            </w:pPr>
            <w:r w:rsidRPr="00396358">
              <w:rPr>
                <w:sz w:val="22"/>
              </w:rPr>
              <w:t>$24,454</w:t>
            </w:r>
          </w:p>
        </w:tc>
        <w:tc>
          <w:tcPr>
            <w:tcW w:w="1512" w:type="dxa"/>
            <w:tcBorders>
              <w:bottom w:val="single" w:sz="4" w:space="0" w:color="auto"/>
            </w:tcBorders>
          </w:tcPr>
          <w:p w14:paraId="0CE18378" w14:textId="56D03896" w:rsidR="00396358" w:rsidRPr="00396358" w:rsidRDefault="00396358" w:rsidP="00396358">
            <w:pPr>
              <w:spacing w:line="254" w:lineRule="auto"/>
              <w:jc w:val="right"/>
              <w:rPr>
                <w:sz w:val="22"/>
              </w:rPr>
            </w:pPr>
            <w:r w:rsidRPr="00396358">
              <w:rPr>
                <w:sz w:val="22"/>
              </w:rPr>
              <w:t>$nil</w:t>
            </w:r>
          </w:p>
        </w:tc>
        <w:tc>
          <w:tcPr>
            <w:tcW w:w="246" w:type="dxa"/>
          </w:tcPr>
          <w:p w14:paraId="427D597A" w14:textId="77777777" w:rsidR="00396358" w:rsidRPr="00396358" w:rsidRDefault="00396358" w:rsidP="00396358">
            <w:pPr>
              <w:spacing w:line="254" w:lineRule="auto"/>
              <w:jc w:val="right"/>
              <w:rPr>
                <w:sz w:val="22"/>
              </w:rPr>
            </w:pPr>
          </w:p>
        </w:tc>
        <w:tc>
          <w:tcPr>
            <w:tcW w:w="1464" w:type="dxa"/>
            <w:tcBorders>
              <w:bottom w:val="single" w:sz="4" w:space="0" w:color="auto"/>
            </w:tcBorders>
          </w:tcPr>
          <w:p w14:paraId="5DDE70B7" w14:textId="0999B0AD" w:rsidR="00396358" w:rsidRPr="00396358" w:rsidRDefault="00396358" w:rsidP="00396358">
            <w:pPr>
              <w:spacing w:line="254" w:lineRule="auto"/>
              <w:jc w:val="right"/>
              <w:rPr>
                <w:sz w:val="22"/>
              </w:rPr>
            </w:pPr>
            <w:r w:rsidRPr="00396358">
              <w:rPr>
                <w:sz w:val="22"/>
              </w:rPr>
              <w:t>$28,355</w:t>
            </w:r>
          </w:p>
        </w:tc>
        <w:tc>
          <w:tcPr>
            <w:tcW w:w="1530" w:type="dxa"/>
            <w:tcBorders>
              <w:bottom w:val="single" w:sz="4" w:space="0" w:color="auto"/>
            </w:tcBorders>
          </w:tcPr>
          <w:p w14:paraId="3996FCB0" w14:textId="4C4F84E1" w:rsidR="00396358" w:rsidRPr="00396358" w:rsidRDefault="00396358" w:rsidP="00396358">
            <w:pPr>
              <w:spacing w:line="254" w:lineRule="auto"/>
              <w:jc w:val="right"/>
              <w:rPr>
                <w:sz w:val="22"/>
              </w:rPr>
            </w:pPr>
            <w:r w:rsidRPr="00396358">
              <w:rPr>
                <w:sz w:val="22"/>
              </w:rPr>
              <w:t>$nil</w:t>
            </w:r>
          </w:p>
        </w:tc>
      </w:tr>
      <w:tr w:rsidR="00396358" w:rsidRPr="00396358" w14:paraId="449887FE" w14:textId="77777777" w:rsidTr="00E374A6">
        <w:tc>
          <w:tcPr>
            <w:tcW w:w="3150" w:type="dxa"/>
          </w:tcPr>
          <w:p w14:paraId="7FC5A5F6" w14:textId="77777777" w:rsidR="00396358" w:rsidRPr="00396358" w:rsidRDefault="00396358" w:rsidP="00396358">
            <w:pPr>
              <w:spacing w:line="254" w:lineRule="auto"/>
              <w:jc w:val="both"/>
              <w:rPr>
                <w:sz w:val="22"/>
              </w:rPr>
            </w:pPr>
            <w:r w:rsidRPr="00396358">
              <w:rPr>
                <w:sz w:val="22"/>
              </w:rPr>
              <w:t>Total expenses</w:t>
            </w:r>
          </w:p>
        </w:tc>
        <w:tc>
          <w:tcPr>
            <w:tcW w:w="1548" w:type="dxa"/>
            <w:tcBorders>
              <w:top w:val="single" w:sz="4" w:space="0" w:color="auto"/>
              <w:bottom w:val="single" w:sz="4" w:space="0" w:color="auto"/>
            </w:tcBorders>
          </w:tcPr>
          <w:p w14:paraId="5C7CBC96" w14:textId="42A0E661" w:rsidR="00396358" w:rsidRPr="00396358" w:rsidRDefault="00396358" w:rsidP="00396358">
            <w:pPr>
              <w:spacing w:line="254" w:lineRule="auto"/>
              <w:jc w:val="right"/>
              <w:rPr>
                <w:sz w:val="22"/>
              </w:rPr>
            </w:pPr>
            <w:r>
              <w:rPr>
                <w:sz w:val="22"/>
              </w:rPr>
              <w:t>$</w:t>
            </w:r>
            <w:r w:rsidRPr="00396358">
              <w:rPr>
                <w:sz w:val="22"/>
              </w:rPr>
              <w:t>2,334,098</w:t>
            </w:r>
          </w:p>
        </w:tc>
        <w:tc>
          <w:tcPr>
            <w:tcW w:w="1512" w:type="dxa"/>
            <w:tcBorders>
              <w:top w:val="single" w:sz="4" w:space="0" w:color="auto"/>
              <w:bottom w:val="single" w:sz="4" w:space="0" w:color="auto"/>
            </w:tcBorders>
          </w:tcPr>
          <w:p w14:paraId="385BA7D3" w14:textId="31B2FD84" w:rsidR="00396358" w:rsidRPr="00396358" w:rsidRDefault="00396358" w:rsidP="00396358">
            <w:pPr>
              <w:spacing w:line="254" w:lineRule="auto"/>
              <w:jc w:val="right"/>
              <w:rPr>
                <w:sz w:val="22"/>
              </w:rPr>
            </w:pPr>
            <w:r>
              <w:rPr>
                <w:sz w:val="22"/>
              </w:rPr>
              <w:t>$</w:t>
            </w:r>
            <w:r w:rsidRPr="00396358">
              <w:rPr>
                <w:sz w:val="22"/>
              </w:rPr>
              <w:t>1,865,342</w:t>
            </w:r>
          </w:p>
        </w:tc>
        <w:tc>
          <w:tcPr>
            <w:tcW w:w="246" w:type="dxa"/>
          </w:tcPr>
          <w:p w14:paraId="2F42219F" w14:textId="77777777" w:rsidR="00396358" w:rsidRPr="00396358" w:rsidRDefault="00396358" w:rsidP="00396358">
            <w:pPr>
              <w:spacing w:line="254" w:lineRule="auto"/>
              <w:jc w:val="right"/>
              <w:rPr>
                <w:sz w:val="22"/>
              </w:rPr>
            </w:pPr>
          </w:p>
        </w:tc>
        <w:tc>
          <w:tcPr>
            <w:tcW w:w="1464" w:type="dxa"/>
            <w:tcBorders>
              <w:top w:val="single" w:sz="4" w:space="0" w:color="auto"/>
              <w:bottom w:val="single" w:sz="4" w:space="0" w:color="auto"/>
            </w:tcBorders>
          </w:tcPr>
          <w:p w14:paraId="17108DAE" w14:textId="3AB48878" w:rsidR="00396358" w:rsidRPr="00396358" w:rsidRDefault="00396358" w:rsidP="00396358">
            <w:pPr>
              <w:spacing w:line="254" w:lineRule="auto"/>
              <w:jc w:val="right"/>
              <w:rPr>
                <w:sz w:val="22"/>
              </w:rPr>
            </w:pPr>
            <w:r>
              <w:rPr>
                <w:sz w:val="22"/>
              </w:rPr>
              <w:t>$</w:t>
            </w:r>
            <w:r w:rsidRPr="00396358">
              <w:rPr>
                <w:sz w:val="22"/>
              </w:rPr>
              <w:t>8,257,757</w:t>
            </w:r>
          </w:p>
        </w:tc>
        <w:tc>
          <w:tcPr>
            <w:tcW w:w="1530" w:type="dxa"/>
            <w:tcBorders>
              <w:top w:val="single" w:sz="4" w:space="0" w:color="auto"/>
              <w:bottom w:val="single" w:sz="4" w:space="0" w:color="auto"/>
            </w:tcBorders>
          </w:tcPr>
          <w:p w14:paraId="71181989" w14:textId="3AE4436D" w:rsidR="00396358" w:rsidRPr="00396358" w:rsidRDefault="00396358" w:rsidP="00396358">
            <w:pPr>
              <w:spacing w:line="254" w:lineRule="auto"/>
              <w:jc w:val="right"/>
              <w:rPr>
                <w:sz w:val="22"/>
              </w:rPr>
            </w:pPr>
            <w:r>
              <w:rPr>
                <w:sz w:val="22"/>
              </w:rPr>
              <w:t>$</w:t>
            </w:r>
            <w:r w:rsidRPr="00396358">
              <w:rPr>
                <w:sz w:val="22"/>
              </w:rPr>
              <w:t>5,264,080</w:t>
            </w:r>
          </w:p>
        </w:tc>
      </w:tr>
    </w:tbl>
    <w:p w14:paraId="2AA5F26B" w14:textId="77777777" w:rsidR="004F2102" w:rsidRDefault="004F2102" w:rsidP="004F6500">
      <w:pPr>
        <w:spacing w:after="0" w:line="254" w:lineRule="auto"/>
        <w:jc w:val="both"/>
        <w:rPr>
          <w:rFonts w:ascii="Times New Roman" w:hAnsi="Times New Roman" w:cs="Times New Roman"/>
        </w:rPr>
      </w:pPr>
    </w:p>
    <w:p w14:paraId="3B51AFDD" w14:textId="198567B0" w:rsidR="00E374A6" w:rsidRDefault="00E374A6" w:rsidP="004F6500">
      <w:pPr>
        <w:spacing w:after="0" w:line="254" w:lineRule="auto"/>
        <w:jc w:val="both"/>
        <w:rPr>
          <w:rFonts w:ascii="Times New Roman" w:hAnsi="Times New Roman" w:cs="Times New Roman"/>
        </w:rPr>
      </w:pPr>
      <w:r>
        <w:rPr>
          <w:rFonts w:ascii="Times New Roman" w:hAnsi="Times New Roman" w:cs="Times New Roman"/>
        </w:rPr>
        <w:t xml:space="preserve">Operating expenses were </w:t>
      </w:r>
      <w:r w:rsidR="00A56B94">
        <w:rPr>
          <w:rFonts w:ascii="Times New Roman" w:hAnsi="Times New Roman" w:cs="Times New Roman"/>
        </w:rPr>
        <w:t>$</w:t>
      </w:r>
      <w:r w:rsidR="00BF14F2" w:rsidRPr="00BF14F2">
        <w:rPr>
          <w:rFonts w:ascii="Times New Roman" w:hAnsi="Times New Roman" w:cs="Times New Roman"/>
        </w:rPr>
        <w:t>2,334,098</w:t>
      </w:r>
      <w:r w:rsidR="00BF14F2">
        <w:rPr>
          <w:rFonts w:ascii="Times New Roman" w:hAnsi="Times New Roman" w:cs="Times New Roman"/>
        </w:rPr>
        <w:t xml:space="preserve"> </w:t>
      </w:r>
      <w:r w:rsidR="00A56B94">
        <w:rPr>
          <w:rFonts w:ascii="Times New Roman" w:hAnsi="Times New Roman" w:cs="Times New Roman"/>
        </w:rPr>
        <w:t>and $</w:t>
      </w:r>
      <w:r w:rsidR="00BF14F2" w:rsidRPr="00BF14F2">
        <w:rPr>
          <w:rFonts w:ascii="Times New Roman" w:hAnsi="Times New Roman" w:cs="Times New Roman"/>
        </w:rPr>
        <w:t>8,257,757</w:t>
      </w:r>
      <w:r w:rsidR="00BF14F2">
        <w:rPr>
          <w:rFonts w:ascii="Times New Roman" w:hAnsi="Times New Roman" w:cs="Times New Roman"/>
        </w:rPr>
        <w:t xml:space="preserve"> </w:t>
      </w:r>
      <w:r w:rsidR="00A56B94">
        <w:rPr>
          <w:rFonts w:ascii="Times New Roman" w:hAnsi="Times New Roman" w:cs="Times New Roman"/>
        </w:rPr>
        <w:t xml:space="preserve">for the </w:t>
      </w:r>
      <w:r w:rsidR="00CA0D0C">
        <w:rPr>
          <w:rFonts w:ascii="Times New Roman" w:hAnsi="Times New Roman" w:cs="Times New Roman"/>
        </w:rPr>
        <w:t>three and nine</w:t>
      </w:r>
      <w:r w:rsidR="00A56B94">
        <w:rPr>
          <w:rFonts w:ascii="Times New Roman" w:hAnsi="Times New Roman" w:cs="Times New Roman"/>
        </w:rPr>
        <w:t xml:space="preserve"> months ended </w:t>
      </w:r>
      <w:r w:rsidR="00BF14F2">
        <w:rPr>
          <w:rFonts w:ascii="Times New Roman" w:hAnsi="Times New Roman" w:cs="Times New Roman"/>
        </w:rPr>
        <w:t>October</w:t>
      </w:r>
      <w:r w:rsidR="00A56B94">
        <w:rPr>
          <w:rFonts w:ascii="Times New Roman" w:hAnsi="Times New Roman" w:cs="Times New Roman"/>
        </w:rPr>
        <w:t xml:space="preserve"> 31, 2019, respectively, compared to $</w:t>
      </w:r>
      <w:r w:rsidR="00BF14F2" w:rsidRPr="00BF14F2">
        <w:rPr>
          <w:rFonts w:ascii="Times New Roman" w:hAnsi="Times New Roman" w:cs="Times New Roman"/>
        </w:rPr>
        <w:t>1,865,342</w:t>
      </w:r>
      <w:r w:rsidR="00BF14F2">
        <w:rPr>
          <w:rFonts w:ascii="Times New Roman" w:hAnsi="Times New Roman" w:cs="Times New Roman"/>
        </w:rPr>
        <w:t xml:space="preserve"> </w:t>
      </w:r>
      <w:r w:rsidR="00A56B94">
        <w:rPr>
          <w:rFonts w:ascii="Times New Roman" w:hAnsi="Times New Roman" w:cs="Times New Roman"/>
        </w:rPr>
        <w:t>and $</w:t>
      </w:r>
      <w:r w:rsidR="00BF14F2" w:rsidRPr="00BF14F2">
        <w:rPr>
          <w:rFonts w:ascii="Times New Roman" w:hAnsi="Times New Roman" w:cs="Times New Roman"/>
        </w:rPr>
        <w:t>5,264,080</w:t>
      </w:r>
      <w:r w:rsidR="00BF14F2">
        <w:rPr>
          <w:rFonts w:ascii="Times New Roman" w:hAnsi="Times New Roman" w:cs="Times New Roman"/>
        </w:rPr>
        <w:t xml:space="preserve"> </w:t>
      </w:r>
      <w:r w:rsidR="00A56B94">
        <w:rPr>
          <w:rFonts w:ascii="Times New Roman" w:hAnsi="Times New Roman" w:cs="Times New Roman"/>
        </w:rPr>
        <w:t xml:space="preserve">for the </w:t>
      </w:r>
      <w:r w:rsidR="00CA0D0C">
        <w:rPr>
          <w:rFonts w:ascii="Times New Roman" w:hAnsi="Times New Roman" w:cs="Times New Roman"/>
        </w:rPr>
        <w:t>three and nine</w:t>
      </w:r>
      <w:r w:rsidR="00A56B94">
        <w:rPr>
          <w:rFonts w:ascii="Times New Roman" w:hAnsi="Times New Roman" w:cs="Times New Roman"/>
        </w:rPr>
        <w:t xml:space="preserve"> months ended </w:t>
      </w:r>
      <w:r w:rsidR="00BF14F2">
        <w:rPr>
          <w:rFonts w:ascii="Times New Roman" w:hAnsi="Times New Roman" w:cs="Times New Roman"/>
        </w:rPr>
        <w:t>October</w:t>
      </w:r>
      <w:r w:rsidR="00A56B94">
        <w:rPr>
          <w:rFonts w:ascii="Times New Roman" w:hAnsi="Times New Roman" w:cs="Times New Roman"/>
        </w:rPr>
        <w:t xml:space="preserve"> 31, 2018, respectively.  Increases in operating expenses were due to the following:  </w:t>
      </w:r>
      <w:r w:rsidR="00A56B94" w:rsidRPr="004F6500">
        <w:rPr>
          <w:rFonts w:ascii="Times New Roman" w:hAnsi="Times New Roman" w:cs="Times New Roman"/>
        </w:rPr>
        <w:t xml:space="preserve">In connection with advisory services rendered for the </w:t>
      </w:r>
      <w:r w:rsidR="00A56B94">
        <w:rPr>
          <w:rFonts w:ascii="Times New Roman" w:hAnsi="Times New Roman" w:cs="Times New Roman"/>
        </w:rPr>
        <w:t>$15 million</w:t>
      </w:r>
      <w:r w:rsidR="0093112B">
        <w:rPr>
          <w:rFonts w:ascii="Times New Roman" w:hAnsi="Times New Roman" w:cs="Times New Roman"/>
        </w:rPr>
        <w:t xml:space="preserve"> non-brokered</w:t>
      </w:r>
      <w:r w:rsidR="00A56B94">
        <w:rPr>
          <w:rFonts w:ascii="Times New Roman" w:hAnsi="Times New Roman" w:cs="Times New Roman"/>
        </w:rPr>
        <w:t xml:space="preserve"> </w:t>
      </w:r>
      <w:r w:rsidR="00A56B94" w:rsidRPr="004F6500">
        <w:rPr>
          <w:rFonts w:ascii="Times New Roman" w:hAnsi="Times New Roman" w:cs="Times New Roman"/>
        </w:rPr>
        <w:t>private placement</w:t>
      </w:r>
      <w:r w:rsidR="00A56B94">
        <w:rPr>
          <w:rFonts w:ascii="Times New Roman" w:hAnsi="Times New Roman" w:cs="Times New Roman"/>
        </w:rPr>
        <w:t xml:space="preserve"> in May 2019</w:t>
      </w:r>
      <w:r w:rsidR="00A56B94" w:rsidRPr="004F6500">
        <w:rPr>
          <w:rFonts w:ascii="Times New Roman" w:hAnsi="Times New Roman" w:cs="Times New Roman"/>
        </w:rPr>
        <w:t xml:space="preserve">, </w:t>
      </w:r>
      <w:r w:rsidR="00A56B94">
        <w:rPr>
          <w:rFonts w:ascii="Times New Roman" w:hAnsi="Times New Roman" w:cs="Times New Roman"/>
        </w:rPr>
        <w:t>the Company</w:t>
      </w:r>
      <w:r w:rsidR="00A56B94" w:rsidRPr="004F6500">
        <w:rPr>
          <w:rFonts w:ascii="Times New Roman" w:hAnsi="Times New Roman" w:cs="Times New Roman"/>
        </w:rPr>
        <w:t xml:space="preserve"> issued 4,200,000 units, consisting of one common share and one share purchase warrant entitling the holder to purchase one common share at $0.35 per share and with an expiry term of two years.  Consulting fee of $1,869,000</w:t>
      </w:r>
      <w:r w:rsidR="00A56B94">
        <w:rPr>
          <w:rFonts w:ascii="Times New Roman" w:hAnsi="Times New Roman" w:cs="Times New Roman"/>
        </w:rPr>
        <w:t xml:space="preserve"> </w:t>
      </w:r>
      <w:r w:rsidR="00A56B94" w:rsidRPr="004F6500">
        <w:rPr>
          <w:rFonts w:ascii="Times New Roman" w:hAnsi="Times New Roman" w:cs="Times New Roman"/>
        </w:rPr>
        <w:t>related to</w:t>
      </w:r>
      <w:r w:rsidR="0093112B">
        <w:rPr>
          <w:rFonts w:ascii="Times New Roman" w:hAnsi="Times New Roman" w:cs="Times New Roman"/>
        </w:rPr>
        <w:t xml:space="preserve"> common shares issued for</w:t>
      </w:r>
      <w:r w:rsidR="00A56B94" w:rsidRPr="004F6500">
        <w:rPr>
          <w:rFonts w:ascii="Times New Roman" w:hAnsi="Times New Roman" w:cs="Times New Roman"/>
        </w:rPr>
        <w:t xml:space="preserve"> these advisory services was recorded during the </w:t>
      </w:r>
      <w:r w:rsidR="00CA0D0C">
        <w:rPr>
          <w:rFonts w:ascii="Times New Roman" w:hAnsi="Times New Roman" w:cs="Times New Roman"/>
        </w:rPr>
        <w:t>nine</w:t>
      </w:r>
      <w:r w:rsidR="00A56B94">
        <w:rPr>
          <w:rFonts w:ascii="Times New Roman" w:hAnsi="Times New Roman" w:cs="Times New Roman"/>
        </w:rPr>
        <w:t xml:space="preserve"> months</w:t>
      </w:r>
      <w:r w:rsidR="00A56B94" w:rsidRPr="004F6500">
        <w:rPr>
          <w:rFonts w:ascii="Times New Roman" w:hAnsi="Times New Roman" w:cs="Times New Roman"/>
        </w:rPr>
        <w:t xml:space="preserve"> ended </w:t>
      </w:r>
      <w:r w:rsidR="00BF14F2">
        <w:rPr>
          <w:rFonts w:ascii="Times New Roman" w:hAnsi="Times New Roman" w:cs="Times New Roman"/>
        </w:rPr>
        <w:t>October</w:t>
      </w:r>
      <w:r w:rsidR="00A56B94" w:rsidRPr="004F6500">
        <w:rPr>
          <w:rFonts w:ascii="Times New Roman" w:hAnsi="Times New Roman" w:cs="Times New Roman"/>
        </w:rPr>
        <w:t xml:space="preserve"> 31, 2019</w:t>
      </w:r>
      <w:r w:rsidR="00A56B94">
        <w:rPr>
          <w:rFonts w:ascii="Times New Roman" w:hAnsi="Times New Roman" w:cs="Times New Roman"/>
        </w:rPr>
        <w:t xml:space="preserve"> </w:t>
      </w:r>
      <w:r w:rsidR="0093112B">
        <w:rPr>
          <w:rFonts w:ascii="Times New Roman" w:hAnsi="Times New Roman" w:cs="Times New Roman"/>
        </w:rPr>
        <w:t>within</w:t>
      </w:r>
      <w:r w:rsidR="00A56B94">
        <w:rPr>
          <w:rFonts w:ascii="Times New Roman" w:hAnsi="Times New Roman" w:cs="Times New Roman"/>
        </w:rPr>
        <w:t xml:space="preserve"> general and administrative expense</w:t>
      </w:r>
      <w:r w:rsidR="00A56B94" w:rsidRPr="004F6500">
        <w:rPr>
          <w:rFonts w:ascii="Times New Roman" w:hAnsi="Times New Roman" w:cs="Times New Roman"/>
        </w:rPr>
        <w:t xml:space="preserve">.   </w:t>
      </w:r>
      <w:r w:rsidR="00A56B94">
        <w:rPr>
          <w:rFonts w:ascii="Times New Roman" w:hAnsi="Times New Roman" w:cs="Times New Roman"/>
        </w:rPr>
        <w:t>Legal services</w:t>
      </w:r>
      <w:r w:rsidR="00A56B94" w:rsidRPr="004F6500">
        <w:rPr>
          <w:rFonts w:ascii="Times New Roman" w:hAnsi="Times New Roman" w:cs="Times New Roman"/>
        </w:rPr>
        <w:t xml:space="preserve"> performed for closing of the private placement resulted in incr</w:t>
      </w:r>
      <w:r w:rsidR="00A56B94">
        <w:rPr>
          <w:rFonts w:ascii="Times New Roman" w:hAnsi="Times New Roman" w:cs="Times New Roman"/>
        </w:rPr>
        <w:t xml:space="preserve">eased professional fees for </w:t>
      </w:r>
      <w:r w:rsidR="00BF14F2">
        <w:rPr>
          <w:rFonts w:ascii="Times New Roman" w:hAnsi="Times New Roman" w:cs="Times New Roman"/>
        </w:rPr>
        <w:t>nine months ended October 31, 2019</w:t>
      </w:r>
      <w:r w:rsidR="00A56B94" w:rsidRPr="004F6500">
        <w:rPr>
          <w:rFonts w:ascii="Times New Roman" w:hAnsi="Times New Roman" w:cs="Times New Roman"/>
        </w:rPr>
        <w:t>.</w:t>
      </w:r>
      <w:r w:rsidR="00BF14F2">
        <w:rPr>
          <w:rFonts w:ascii="Times New Roman" w:hAnsi="Times New Roman" w:cs="Times New Roman"/>
        </w:rPr>
        <w:t xml:space="preserve"> </w:t>
      </w:r>
      <w:r w:rsidR="00A56B94" w:rsidRPr="004F6500">
        <w:rPr>
          <w:rFonts w:ascii="Times New Roman" w:hAnsi="Times New Roman" w:cs="Times New Roman"/>
        </w:rPr>
        <w:t xml:space="preserve">  In addition, </w:t>
      </w:r>
      <w:r w:rsidR="00BF14F2">
        <w:rPr>
          <w:rFonts w:ascii="Times New Roman" w:hAnsi="Times New Roman" w:cs="Times New Roman"/>
        </w:rPr>
        <w:t xml:space="preserve">beginning in July 2019, </w:t>
      </w:r>
      <w:r w:rsidR="00A56B94">
        <w:rPr>
          <w:rFonts w:ascii="Times New Roman" w:hAnsi="Times New Roman" w:cs="Times New Roman"/>
        </w:rPr>
        <w:t>the Company</w:t>
      </w:r>
      <w:r w:rsidR="00A56B94" w:rsidRPr="004F6500">
        <w:rPr>
          <w:rFonts w:ascii="Times New Roman" w:hAnsi="Times New Roman" w:cs="Times New Roman"/>
        </w:rPr>
        <w:t xml:space="preserve"> began strengthening its executive</w:t>
      </w:r>
      <w:r w:rsidR="00A56B94">
        <w:rPr>
          <w:rFonts w:ascii="Times New Roman" w:hAnsi="Times New Roman" w:cs="Times New Roman"/>
        </w:rPr>
        <w:t xml:space="preserve"> leadership</w:t>
      </w:r>
      <w:r w:rsidR="00A56B94" w:rsidRPr="004F6500">
        <w:rPr>
          <w:rFonts w:ascii="Times New Roman" w:hAnsi="Times New Roman" w:cs="Times New Roman"/>
        </w:rPr>
        <w:t xml:space="preserve"> team a</w:t>
      </w:r>
      <w:r w:rsidR="0093112B">
        <w:rPr>
          <w:rFonts w:ascii="Times New Roman" w:hAnsi="Times New Roman" w:cs="Times New Roman"/>
        </w:rPr>
        <w:t>nd entered into contracts with</w:t>
      </w:r>
      <w:r w:rsidR="00A56B94" w:rsidRPr="004F6500">
        <w:rPr>
          <w:rFonts w:ascii="Times New Roman" w:hAnsi="Times New Roman" w:cs="Times New Roman"/>
        </w:rPr>
        <w:t xml:space="preserve"> newly appointed executives</w:t>
      </w:r>
      <w:r w:rsidR="00A56B94">
        <w:rPr>
          <w:rFonts w:ascii="Times New Roman" w:hAnsi="Times New Roman" w:cs="Times New Roman"/>
        </w:rPr>
        <w:t xml:space="preserve"> for the positions of</w:t>
      </w:r>
      <w:r w:rsidR="00A56B94" w:rsidRPr="004F6500">
        <w:rPr>
          <w:rFonts w:ascii="Times New Roman" w:hAnsi="Times New Roman" w:cs="Times New Roman"/>
        </w:rPr>
        <w:t xml:space="preserve"> </w:t>
      </w:r>
      <w:r w:rsidR="00BF14F2">
        <w:rPr>
          <w:rFonts w:ascii="Times New Roman" w:hAnsi="Times New Roman" w:cs="Times New Roman"/>
        </w:rPr>
        <w:t xml:space="preserve">Chief Executive Officer, </w:t>
      </w:r>
      <w:r w:rsidR="00A56B94" w:rsidRPr="004F6500">
        <w:rPr>
          <w:rFonts w:ascii="Times New Roman" w:hAnsi="Times New Roman" w:cs="Times New Roman"/>
        </w:rPr>
        <w:t>President and Chief Operating Officer</w:t>
      </w:r>
      <w:r w:rsidR="00A56B94">
        <w:rPr>
          <w:rFonts w:ascii="Times New Roman" w:hAnsi="Times New Roman" w:cs="Times New Roman"/>
        </w:rPr>
        <w:t>, which increased wages and salaries.  In addition, lease expense and lease liability expense related to</w:t>
      </w:r>
      <w:r w:rsidR="00D51F3D">
        <w:rPr>
          <w:rFonts w:ascii="Times New Roman" w:hAnsi="Times New Roman" w:cs="Times New Roman"/>
        </w:rPr>
        <w:t xml:space="preserve"> leases on the Company’s facilities in Kesmark, Quebec and Costa Mesa, California increased over the prior comparative periods as both leases were entered into in July 2018.  </w:t>
      </w:r>
      <w:r w:rsidR="0093112B">
        <w:rPr>
          <w:rFonts w:ascii="Times New Roman" w:hAnsi="Times New Roman" w:cs="Times New Roman"/>
        </w:rPr>
        <w:t>I</w:t>
      </w:r>
      <w:r w:rsidR="00D51F3D">
        <w:rPr>
          <w:rFonts w:ascii="Times New Roman" w:hAnsi="Times New Roman" w:cs="Times New Roman"/>
        </w:rPr>
        <w:t>ncreases in operating expenses for the 2019 periods were offset by decreases in due diligence costs and research and development expenses.</w:t>
      </w:r>
    </w:p>
    <w:p w14:paraId="47D48594" w14:textId="77777777" w:rsidR="00D51F3D" w:rsidRPr="004F6500" w:rsidRDefault="00D51F3D" w:rsidP="004F6500">
      <w:pPr>
        <w:spacing w:after="0" w:line="254" w:lineRule="auto"/>
        <w:jc w:val="both"/>
        <w:rPr>
          <w:rFonts w:ascii="Times New Roman" w:hAnsi="Times New Roman" w:cs="Times New Roman"/>
        </w:rPr>
      </w:pPr>
    </w:p>
    <w:p w14:paraId="3F1565DE" w14:textId="77777777" w:rsidR="009147F2" w:rsidRPr="004F6500" w:rsidRDefault="009147F2" w:rsidP="004F6500">
      <w:pPr>
        <w:spacing w:after="0" w:line="254" w:lineRule="auto"/>
        <w:jc w:val="both"/>
        <w:rPr>
          <w:rFonts w:ascii="Times New Roman" w:hAnsi="Times New Roman" w:cs="Times New Roman"/>
        </w:rPr>
      </w:pPr>
    </w:p>
    <w:p w14:paraId="7E747DE9" w14:textId="77777777" w:rsidR="003116A0" w:rsidRDefault="003116A0">
      <w:pPr>
        <w:rPr>
          <w:rFonts w:ascii="Times New Roman" w:hAnsi="Times New Roman" w:cs="Times New Roman"/>
          <w:b/>
        </w:rPr>
      </w:pPr>
      <w:r>
        <w:rPr>
          <w:rFonts w:ascii="Times New Roman" w:hAnsi="Times New Roman" w:cs="Times New Roman"/>
          <w:b/>
        </w:rPr>
        <w:br w:type="page"/>
      </w:r>
    </w:p>
    <w:p w14:paraId="0155C439" w14:textId="5C81E67F" w:rsidR="00496CAE" w:rsidRPr="004F6500" w:rsidRDefault="0082726B"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SUMMARY OF QUARTERLY RESULTS</w:t>
      </w:r>
    </w:p>
    <w:p w14:paraId="52558284" w14:textId="77777777" w:rsidR="00496CAE" w:rsidRPr="004F6500" w:rsidRDefault="00496CAE" w:rsidP="004F6500">
      <w:pPr>
        <w:spacing w:after="0" w:line="254" w:lineRule="auto"/>
        <w:jc w:val="both"/>
        <w:rPr>
          <w:rFonts w:ascii="Times New Roman" w:hAnsi="Times New Roman" w:cs="Times New Roman"/>
          <w:b/>
        </w:rPr>
      </w:pPr>
    </w:p>
    <w:p w14:paraId="357CEA8E" w14:textId="77777777" w:rsidR="0082726B" w:rsidRPr="004F6500" w:rsidRDefault="0082726B" w:rsidP="004F6500">
      <w:pPr>
        <w:spacing w:after="0" w:line="254" w:lineRule="auto"/>
        <w:jc w:val="both"/>
        <w:rPr>
          <w:rFonts w:ascii="Times New Roman" w:hAnsi="Times New Roman" w:cs="Times New Roman"/>
        </w:rPr>
      </w:pPr>
      <w:r w:rsidRPr="004F6500">
        <w:rPr>
          <w:rFonts w:ascii="Times New Roman" w:hAnsi="Times New Roman" w:cs="Times New Roman"/>
        </w:rPr>
        <w:t>The following table presents a summary of unaudited quarterly financial information for the last eight consecutive quarters:</w:t>
      </w:r>
    </w:p>
    <w:p w14:paraId="143F1E68" w14:textId="77777777" w:rsidR="0082726B" w:rsidRPr="004F6500" w:rsidRDefault="0082726B" w:rsidP="004F6500">
      <w:pPr>
        <w:spacing w:after="0" w:line="254" w:lineRule="auto"/>
        <w:jc w:val="both"/>
        <w:rPr>
          <w:rFonts w:ascii="Times New Roman" w:hAnsi="Times New Roman" w:cs="Times New Roman"/>
          <w:b/>
        </w:rPr>
      </w:pPr>
    </w:p>
    <w:tbl>
      <w:tblPr>
        <w:tblStyle w:val="TableGrid"/>
        <w:tblW w:w="9450" w:type="dxa"/>
        <w:tblLook w:val="04A0" w:firstRow="1" w:lastRow="0" w:firstColumn="1" w:lastColumn="0" w:noHBand="0" w:noVBand="1"/>
      </w:tblPr>
      <w:tblGrid>
        <w:gridCol w:w="2160"/>
        <w:gridCol w:w="1530"/>
        <w:gridCol w:w="1710"/>
        <w:gridCol w:w="2070"/>
        <w:gridCol w:w="1980"/>
      </w:tblGrid>
      <w:tr w:rsidR="007B4C16" w:rsidRPr="004F6500" w14:paraId="00F41726" w14:textId="77777777" w:rsidTr="001D619A">
        <w:tc>
          <w:tcPr>
            <w:tcW w:w="2160" w:type="dxa"/>
            <w:tcBorders>
              <w:top w:val="nil"/>
              <w:left w:val="nil"/>
              <w:bottom w:val="nil"/>
              <w:right w:val="nil"/>
            </w:tcBorders>
            <w:shd w:val="clear" w:color="auto" w:fill="auto"/>
          </w:tcPr>
          <w:p w14:paraId="547E46EF" w14:textId="77777777" w:rsidR="007B4C16" w:rsidRPr="004F6500" w:rsidRDefault="007B4C16" w:rsidP="004F6500">
            <w:pPr>
              <w:spacing w:line="254" w:lineRule="auto"/>
              <w:jc w:val="both"/>
              <w:rPr>
                <w:b/>
                <w:sz w:val="22"/>
              </w:rPr>
            </w:pPr>
          </w:p>
        </w:tc>
        <w:tc>
          <w:tcPr>
            <w:tcW w:w="7290" w:type="dxa"/>
            <w:gridSpan w:val="4"/>
            <w:tcBorders>
              <w:top w:val="nil"/>
              <w:left w:val="nil"/>
              <w:bottom w:val="single" w:sz="4" w:space="0" w:color="auto"/>
              <w:right w:val="nil"/>
            </w:tcBorders>
            <w:shd w:val="clear" w:color="auto" w:fill="auto"/>
          </w:tcPr>
          <w:p w14:paraId="0B741FC9" w14:textId="77777777" w:rsidR="007B4C16" w:rsidRPr="004F6500" w:rsidRDefault="007B4C16" w:rsidP="004F6500">
            <w:pPr>
              <w:spacing w:line="254" w:lineRule="auto"/>
              <w:jc w:val="center"/>
              <w:rPr>
                <w:b/>
                <w:sz w:val="22"/>
              </w:rPr>
            </w:pPr>
            <w:r w:rsidRPr="004F6500">
              <w:rPr>
                <w:b/>
                <w:sz w:val="22"/>
              </w:rPr>
              <w:t>QUARTER</w:t>
            </w:r>
            <w:r w:rsidR="00923180" w:rsidRPr="004F6500">
              <w:rPr>
                <w:b/>
                <w:sz w:val="22"/>
              </w:rPr>
              <w:t>S</w:t>
            </w:r>
            <w:r w:rsidRPr="004F6500">
              <w:rPr>
                <w:b/>
                <w:sz w:val="22"/>
              </w:rPr>
              <w:t xml:space="preserve"> ENDED</w:t>
            </w:r>
          </w:p>
        </w:tc>
      </w:tr>
      <w:tr w:rsidR="00F1577A" w:rsidRPr="004F6500" w14:paraId="0B02B73B" w14:textId="77777777" w:rsidTr="001D619A">
        <w:tc>
          <w:tcPr>
            <w:tcW w:w="2160" w:type="dxa"/>
            <w:tcBorders>
              <w:top w:val="nil"/>
              <w:left w:val="nil"/>
              <w:bottom w:val="nil"/>
              <w:right w:val="nil"/>
            </w:tcBorders>
            <w:shd w:val="clear" w:color="auto" w:fill="auto"/>
          </w:tcPr>
          <w:p w14:paraId="2F28B7F7" w14:textId="77777777" w:rsidR="00F1577A" w:rsidRPr="004F6500" w:rsidRDefault="00F1577A" w:rsidP="00F1577A">
            <w:pPr>
              <w:spacing w:line="254" w:lineRule="auto"/>
              <w:jc w:val="center"/>
              <w:rPr>
                <w:b/>
                <w:sz w:val="22"/>
              </w:rPr>
            </w:pPr>
          </w:p>
        </w:tc>
        <w:tc>
          <w:tcPr>
            <w:tcW w:w="1530" w:type="dxa"/>
            <w:tcBorders>
              <w:top w:val="single" w:sz="4" w:space="0" w:color="auto"/>
              <w:left w:val="nil"/>
              <w:bottom w:val="single" w:sz="4" w:space="0" w:color="auto"/>
              <w:right w:val="nil"/>
            </w:tcBorders>
            <w:shd w:val="clear" w:color="auto" w:fill="auto"/>
          </w:tcPr>
          <w:p w14:paraId="48264A2F" w14:textId="5E51111B" w:rsidR="00F1577A" w:rsidRPr="004F6500" w:rsidRDefault="00F1577A" w:rsidP="00F1577A">
            <w:pPr>
              <w:spacing w:line="254" w:lineRule="auto"/>
              <w:jc w:val="center"/>
              <w:rPr>
                <w:b/>
                <w:sz w:val="22"/>
              </w:rPr>
            </w:pPr>
            <w:r>
              <w:rPr>
                <w:b/>
                <w:sz w:val="22"/>
              </w:rPr>
              <w:t>October</w:t>
            </w:r>
            <w:r w:rsidRPr="004F6500">
              <w:rPr>
                <w:b/>
                <w:sz w:val="22"/>
              </w:rPr>
              <w:t xml:space="preserve"> 31,</w:t>
            </w:r>
            <w:r>
              <w:rPr>
                <w:b/>
                <w:sz w:val="22"/>
              </w:rPr>
              <w:t xml:space="preserve"> </w:t>
            </w:r>
            <w:r w:rsidRPr="004F6500">
              <w:rPr>
                <w:b/>
                <w:sz w:val="22"/>
              </w:rPr>
              <w:t>2019</w:t>
            </w:r>
          </w:p>
        </w:tc>
        <w:tc>
          <w:tcPr>
            <w:tcW w:w="1710" w:type="dxa"/>
            <w:tcBorders>
              <w:top w:val="single" w:sz="4" w:space="0" w:color="auto"/>
              <w:left w:val="nil"/>
              <w:bottom w:val="single" w:sz="4" w:space="0" w:color="auto"/>
              <w:right w:val="nil"/>
            </w:tcBorders>
            <w:shd w:val="clear" w:color="auto" w:fill="auto"/>
          </w:tcPr>
          <w:p w14:paraId="1FD2551F" w14:textId="77777777" w:rsidR="00F1577A" w:rsidRDefault="00F1577A" w:rsidP="00F1577A">
            <w:pPr>
              <w:spacing w:line="254" w:lineRule="auto"/>
              <w:jc w:val="center"/>
              <w:rPr>
                <w:b/>
                <w:sz w:val="22"/>
              </w:rPr>
            </w:pPr>
            <w:r w:rsidRPr="004F6500">
              <w:rPr>
                <w:b/>
                <w:sz w:val="22"/>
              </w:rPr>
              <w:t>July 31,</w:t>
            </w:r>
          </w:p>
          <w:p w14:paraId="7FF8CF0A" w14:textId="587872A0" w:rsidR="00F1577A" w:rsidRPr="004F6500" w:rsidRDefault="00F1577A" w:rsidP="00F1577A">
            <w:pPr>
              <w:spacing w:line="254" w:lineRule="auto"/>
              <w:jc w:val="center"/>
              <w:rPr>
                <w:b/>
                <w:sz w:val="22"/>
              </w:rPr>
            </w:pPr>
            <w:r w:rsidRPr="004F6500">
              <w:rPr>
                <w:b/>
                <w:sz w:val="22"/>
              </w:rPr>
              <w:t>2019</w:t>
            </w:r>
          </w:p>
        </w:tc>
        <w:tc>
          <w:tcPr>
            <w:tcW w:w="2070" w:type="dxa"/>
            <w:tcBorders>
              <w:top w:val="single" w:sz="4" w:space="0" w:color="auto"/>
              <w:left w:val="nil"/>
              <w:bottom w:val="single" w:sz="4" w:space="0" w:color="auto"/>
              <w:right w:val="nil"/>
            </w:tcBorders>
            <w:shd w:val="clear" w:color="auto" w:fill="auto"/>
          </w:tcPr>
          <w:p w14:paraId="57633814" w14:textId="77777777" w:rsidR="00F1577A" w:rsidRDefault="00F1577A" w:rsidP="00F1577A">
            <w:pPr>
              <w:spacing w:line="254" w:lineRule="auto"/>
              <w:jc w:val="center"/>
              <w:rPr>
                <w:b/>
                <w:sz w:val="22"/>
              </w:rPr>
            </w:pPr>
            <w:r w:rsidRPr="004F6500">
              <w:rPr>
                <w:b/>
                <w:sz w:val="22"/>
              </w:rPr>
              <w:t>April 30,</w:t>
            </w:r>
          </w:p>
          <w:p w14:paraId="072BB29D" w14:textId="32ED5F06" w:rsidR="00F1577A" w:rsidRPr="004F6500" w:rsidRDefault="00F1577A" w:rsidP="00F1577A">
            <w:pPr>
              <w:spacing w:line="254" w:lineRule="auto"/>
              <w:jc w:val="center"/>
              <w:rPr>
                <w:b/>
                <w:sz w:val="22"/>
              </w:rPr>
            </w:pPr>
            <w:r w:rsidRPr="004F6500">
              <w:rPr>
                <w:b/>
                <w:sz w:val="22"/>
              </w:rPr>
              <w:t>2019</w:t>
            </w:r>
          </w:p>
        </w:tc>
        <w:tc>
          <w:tcPr>
            <w:tcW w:w="1980" w:type="dxa"/>
            <w:tcBorders>
              <w:top w:val="single" w:sz="4" w:space="0" w:color="auto"/>
              <w:left w:val="nil"/>
              <w:bottom w:val="single" w:sz="4" w:space="0" w:color="auto"/>
              <w:right w:val="nil"/>
            </w:tcBorders>
            <w:shd w:val="clear" w:color="auto" w:fill="auto"/>
          </w:tcPr>
          <w:p w14:paraId="2F12B518" w14:textId="77777777" w:rsidR="00F1577A" w:rsidRDefault="00F1577A" w:rsidP="00F1577A">
            <w:pPr>
              <w:spacing w:line="254" w:lineRule="auto"/>
              <w:jc w:val="center"/>
              <w:rPr>
                <w:b/>
                <w:sz w:val="22"/>
              </w:rPr>
            </w:pPr>
            <w:r w:rsidRPr="004F6500">
              <w:rPr>
                <w:b/>
                <w:sz w:val="22"/>
              </w:rPr>
              <w:t>January 31,</w:t>
            </w:r>
          </w:p>
          <w:p w14:paraId="326FEDCE" w14:textId="70D178C3" w:rsidR="00F1577A" w:rsidRPr="004F6500" w:rsidRDefault="00F1577A" w:rsidP="00F1577A">
            <w:pPr>
              <w:spacing w:line="254" w:lineRule="auto"/>
              <w:jc w:val="center"/>
              <w:rPr>
                <w:b/>
                <w:sz w:val="22"/>
              </w:rPr>
            </w:pPr>
            <w:r w:rsidRPr="004F6500">
              <w:rPr>
                <w:b/>
                <w:sz w:val="22"/>
              </w:rPr>
              <w:t>2019</w:t>
            </w:r>
          </w:p>
        </w:tc>
      </w:tr>
      <w:tr w:rsidR="00F1577A" w:rsidRPr="004F6500" w14:paraId="5B2B180D" w14:textId="77777777" w:rsidTr="001D619A">
        <w:tc>
          <w:tcPr>
            <w:tcW w:w="2160" w:type="dxa"/>
            <w:tcBorders>
              <w:top w:val="nil"/>
              <w:left w:val="nil"/>
              <w:bottom w:val="nil"/>
              <w:right w:val="nil"/>
            </w:tcBorders>
          </w:tcPr>
          <w:p w14:paraId="023BF92D" w14:textId="77777777" w:rsidR="00F1577A" w:rsidRPr="004F6500" w:rsidRDefault="00F1577A" w:rsidP="00F1577A">
            <w:pPr>
              <w:spacing w:line="254" w:lineRule="auto"/>
              <w:rPr>
                <w:sz w:val="22"/>
              </w:rPr>
            </w:pPr>
            <w:r w:rsidRPr="004F6500">
              <w:rPr>
                <w:sz w:val="22"/>
              </w:rPr>
              <w:t>Total revenue</w:t>
            </w:r>
          </w:p>
        </w:tc>
        <w:tc>
          <w:tcPr>
            <w:tcW w:w="1530" w:type="dxa"/>
            <w:tcBorders>
              <w:top w:val="single" w:sz="4" w:space="0" w:color="auto"/>
              <w:left w:val="nil"/>
              <w:bottom w:val="nil"/>
              <w:right w:val="nil"/>
            </w:tcBorders>
          </w:tcPr>
          <w:p w14:paraId="51D2E34D" w14:textId="77777777" w:rsidR="00F1577A" w:rsidRPr="004F6500" w:rsidRDefault="00F1577A" w:rsidP="00F1577A">
            <w:pPr>
              <w:spacing w:line="254" w:lineRule="auto"/>
              <w:jc w:val="right"/>
              <w:rPr>
                <w:sz w:val="22"/>
              </w:rPr>
            </w:pPr>
            <w:r w:rsidRPr="004F6500">
              <w:rPr>
                <w:sz w:val="22"/>
              </w:rPr>
              <w:t>$nil</w:t>
            </w:r>
          </w:p>
        </w:tc>
        <w:tc>
          <w:tcPr>
            <w:tcW w:w="1710" w:type="dxa"/>
            <w:tcBorders>
              <w:top w:val="single" w:sz="4" w:space="0" w:color="auto"/>
              <w:left w:val="nil"/>
              <w:bottom w:val="nil"/>
              <w:right w:val="nil"/>
            </w:tcBorders>
          </w:tcPr>
          <w:p w14:paraId="2266E468" w14:textId="4D5A7BC3" w:rsidR="00F1577A" w:rsidRPr="004F6500" w:rsidRDefault="00F1577A" w:rsidP="00F1577A">
            <w:pPr>
              <w:spacing w:line="254" w:lineRule="auto"/>
              <w:jc w:val="right"/>
              <w:rPr>
                <w:sz w:val="22"/>
              </w:rPr>
            </w:pPr>
            <w:r w:rsidRPr="004F6500">
              <w:rPr>
                <w:sz w:val="22"/>
              </w:rPr>
              <w:t>$nil</w:t>
            </w:r>
          </w:p>
        </w:tc>
        <w:tc>
          <w:tcPr>
            <w:tcW w:w="2070" w:type="dxa"/>
            <w:tcBorders>
              <w:top w:val="single" w:sz="4" w:space="0" w:color="auto"/>
              <w:left w:val="nil"/>
              <w:bottom w:val="nil"/>
              <w:right w:val="nil"/>
            </w:tcBorders>
          </w:tcPr>
          <w:p w14:paraId="605535AF" w14:textId="052BCAF1" w:rsidR="00F1577A" w:rsidRPr="004F6500" w:rsidRDefault="00F1577A" w:rsidP="00F1577A">
            <w:pPr>
              <w:spacing w:line="254" w:lineRule="auto"/>
              <w:jc w:val="right"/>
              <w:rPr>
                <w:sz w:val="22"/>
              </w:rPr>
            </w:pPr>
            <w:r w:rsidRPr="004F6500">
              <w:rPr>
                <w:sz w:val="22"/>
              </w:rPr>
              <w:t>$nil</w:t>
            </w:r>
          </w:p>
        </w:tc>
        <w:tc>
          <w:tcPr>
            <w:tcW w:w="1980" w:type="dxa"/>
            <w:tcBorders>
              <w:top w:val="single" w:sz="4" w:space="0" w:color="auto"/>
              <w:left w:val="nil"/>
              <w:bottom w:val="nil"/>
              <w:right w:val="nil"/>
            </w:tcBorders>
          </w:tcPr>
          <w:p w14:paraId="3FF9547D" w14:textId="517F05CE" w:rsidR="00F1577A" w:rsidRPr="004F6500" w:rsidRDefault="00F1577A" w:rsidP="00F1577A">
            <w:pPr>
              <w:spacing w:line="254" w:lineRule="auto"/>
              <w:jc w:val="right"/>
              <w:rPr>
                <w:sz w:val="22"/>
              </w:rPr>
            </w:pPr>
            <w:r w:rsidRPr="004F6500">
              <w:rPr>
                <w:sz w:val="22"/>
              </w:rPr>
              <w:t>$nil</w:t>
            </w:r>
          </w:p>
        </w:tc>
      </w:tr>
      <w:tr w:rsidR="00F1577A" w:rsidRPr="004F6500" w14:paraId="04807D07" w14:textId="77777777" w:rsidTr="001D619A">
        <w:tc>
          <w:tcPr>
            <w:tcW w:w="2160" w:type="dxa"/>
            <w:tcBorders>
              <w:top w:val="nil"/>
              <w:left w:val="nil"/>
              <w:bottom w:val="nil"/>
              <w:right w:val="nil"/>
            </w:tcBorders>
          </w:tcPr>
          <w:p w14:paraId="1F467FFE" w14:textId="77777777" w:rsidR="00F1577A" w:rsidRPr="004F6500" w:rsidRDefault="00F1577A" w:rsidP="00F1577A">
            <w:pPr>
              <w:spacing w:line="254" w:lineRule="auto"/>
              <w:rPr>
                <w:sz w:val="22"/>
              </w:rPr>
            </w:pPr>
            <w:r w:rsidRPr="004F6500">
              <w:rPr>
                <w:sz w:val="22"/>
              </w:rPr>
              <w:t>Net income (loss)</w:t>
            </w:r>
          </w:p>
        </w:tc>
        <w:tc>
          <w:tcPr>
            <w:tcW w:w="1530" w:type="dxa"/>
            <w:tcBorders>
              <w:top w:val="nil"/>
              <w:left w:val="nil"/>
              <w:bottom w:val="nil"/>
              <w:right w:val="nil"/>
            </w:tcBorders>
          </w:tcPr>
          <w:p w14:paraId="6EA901DF" w14:textId="401CA9E5" w:rsidR="00F1577A" w:rsidRPr="004F6500" w:rsidRDefault="009275CA" w:rsidP="00F1577A">
            <w:pPr>
              <w:spacing w:line="254" w:lineRule="auto"/>
              <w:jc w:val="right"/>
              <w:rPr>
                <w:sz w:val="22"/>
              </w:rPr>
            </w:pPr>
            <w:r>
              <w:rPr>
                <w:sz w:val="22"/>
              </w:rPr>
              <w:t>$(2,593,187)</w:t>
            </w:r>
          </w:p>
        </w:tc>
        <w:tc>
          <w:tcPr>
            <w:tcW w:w="1710" w:type="dxa"/>
            <w:tcBorders>
              <w:top w:val="nil"/>
              <w:left w:val="nil"/>
              <w:bottom w:val="nil"/>
              <w:right w:val="nil"/>
            </w:tcBorders>
          </w:tcPr>
          <w:p w14:paraId="64B9B69B" w14:textId="76207F61" w:rsidR="00F1577A" w:rsidRPr="004F6500" w:rsidRDefault="00F1577A" w:rsidP="00F1577A">
            <w:pPr>
              <w:spacing w:line="254" w:lineRule="auto"/>
              <w:jc w:val="right"/>
              <w:rPr>
                <w:sz w:val="22"/>
              </w:rPr>
            </w:pPr>
            <w:r w:rsidRPr="004F6500">
              <w:rPr>
                <w:sz w:val="22"/>
              </w:rPr>
              <w:t>$(4,387,727)</w:t>
            </w:r>
          </w:p>
        </w:tc>
        <w:tc>
          <w:tcPr>
            <w:tcW w:w="2070" w:type="dxa"/>
            <w:tcBorders>
              <w:top w:val="nil"/>
              <w:left w:val="nil"/>
              <w:bottom w:val="nil"/>
              <w:right w:val="nil"/>
            </w:tcBorders>
          </w:tcPr>
          <w:p w14:paraId="439F360B" w14:textId="06261A8C" w:rsidR="00F1577A" w:rsidRPr="004F6500" w:rsidRDefault="00F1577A" w:rsidP="00F1577A">
            <w:pPr>
              <w:spacing w:line="254" w:lineRule="auto"/>
              <w:jc w:val="right"/>
              <w:rPr>
                <w:sz w:val="22"/>
              </w:rPr>
            </w:pPr>
            <w:r w:rsidRPr="004F6500">
              <w:rPr>
                <w:sz w:val="22"/>
              </w:rPr>
              <w:t>$(1,937,588)</w:t>
            </w:r>
          </w:p>
        </w:tc>
        <w:tc>
          <w:tcPr>
            <w:tcW w:w="1980" w:type="dxa"/>
            <w:tcBorders>
              <w:top w:val="nil"/>
              <w:left w:val="nil"/>
              <w:bottom w:val="nil"/>
              <w:right w:val="nil"/>
            </w:tcBorders>
          </w:tcPr>
          <w:p w14:paraId="4DE926C0" w14:textId="50913D10" w:rsidR="00F1577A" w:rsidRPr="004F6500" w:rsidRDefault="00F1577A" w:rsidP="00F1577A">
            <w:pPr>
              <w:spacing w:line="254" w:lineRule="auto"/>
              <w:jc w:val="right"/>
              <w:rPr>
                <w:sz w:val="22"/>
              </w:rPr>
            </w:pPr>
            <w:r w:rsidRPr="004F6500">
              <w:rPr>
                <w:sz w:val="22"/>
              </w:rPr>
              <w:t>$(1,201,673)</w:t>
            </w:r>
          </w:p>
        </w:tc>
      </w:tr>
      <w:tr w:rsidR="00F1577A" w:rsidRPr="004F6500" w14:paraId="2E9C823D" w14:textId="77777777" w:rsidTr="001D619A">
        <w:tc>
          <w:tcPr>
            <w:tcW w:w="2160" w:type="dxa"/>
            <w:tcBorders>
              <w:top w:val="nil"/>
              <w:left w:val="nil"/>
              <w:bottom w:val="nil"/>
              <w:right w:val="nil"/>
            </w:tcBorders>
          </w:tcPr>
          <w:p w14:paraId="504930E3" w14:textId="77777777" w:rsidR="00F1577A" w:rsidRPr="004F6500" w:rsidRDefault="00F1577A" w:rsidP="00F1577A">
            <w:pPr>
              <w:spacing w:line="254" w:lineRule="auto"/>
              <w:rPr>
                <w:sz w:val="22"/>
              </w:rPr>
            </w:pPr>
            <w:r w:rsidRPr="004F6500">
              <w:rPr>
                <w:sz w:val="22"/>
              </w:rPr>
              <w:t>Net income (loss) per share - basic</w:t>
            </w:r>
          </w:p>
        </w:tc>
        <w:tc>
          <w:tcPr>
            <w:tcW w:w="1530" w:type="dxa"/>
            <w:tcBorders>
              <w:top w:val="nil"/>
              <w:left w:val="nil"/>
              <w:bottom w:val="nil"/>
              <w:right w:val="nil"/>
            </w:tcBorders>
          </w:tcPr>
          <w:p w14:paraId="22E548E9" w14:textId="26AE89AA" w:rsidR="00F1577A" w:rsidRDefault="00F1577A" w:rsidP="00F1577A">
            <w:pPr>
              <w:spacing w:line="254" w:lineRule="auto"/>
              <w:jc w:val="right"/>
              <w:rPr>
                <w:sz w:val="22"/>
              </w:rPr>
            </w:pPr>
          </w:p>
          <w:p w14:paraId="512AE152" w14:textId="18EF2F59" w:rsidR="00F1577A" w:rsidRPr="004F6500" w:rsidRDefault="009275CA" w:rsidP="009275CA">
            <w:pPr>
              <w:spacing w:line="254" w:lineRule="auto"/>
              <w:jc w:val="right"/>
              <w:rPr>
                <w:sz w:val="22"/>
              </w:rPr>
            </w:pPr>
            <w:r>
              <w:rPr>
                <w:sz w:val="22"/>
              </w:rPr>
              <w:t>$(0.02)</w:t>
            </w:r>
          </w:p>
        </w:tc>
        <w:tc>
          <w:tcPr>
            <w:tcW w:w="1710" w:type="dxa"/>
            <w:tcBorders>
              <w:top w:val="nil"/>
              <w:left w:val="nil"/>
              <w:bottom w:val="nil"/>
              <w:right w:val="nil"/>
            </w:tcBorders>
          </w:tcPr>
          <w:p w14:paraId="30B73061" w14:textId="77777777" w:rsidR="00F1577A" w:rsidRPr="004F6500" w:rsidRDefault="00F1577A" w:rsidP="00F1577A">
            <w:pPr>
              <w:spacing w:line="254" w:lineRule="auto"/>
              <w:jc w:val="right"/>
              <w:rPr>
                <w:sz w:val="22"/>
              </w:rPr>
            </w:pPr>
          </w:p>
          <w:p w14:paraId="6EA82486" w14:textId="7EC7B8B3" w:rsidR="00F1577A" w:rsidRPr="004F6500" w:rsidRDefault="00F1577A" w:rsidP="00F1577A">
            <w:pPr>
              <w:spacing w:line="254" w:lineRule="auto"/>
              <w:jc w:val="right"/>
              <w:rPr>
                <w:sz w:val="22"/>
              </w:rPr>
            </w:pPr>
            <w:r>
              <w:rPr>
                <w:sz w:val="22"/>
              </w:rPr>
              <w:t>$(0.02</w:t>
            </w:r>
            <w:r w:rsidRPr="004F6500">
              <w:rPr>
                <w:sz w:val="22"/>
              </w:rPr>
              <w:t>)</w:t>
            </w:r>
          </w:p>
        </w:tc>
        <w:tc>
          <w:tcPr>
            <w:tcW w:w="2070" w:type="dxa"/>
            <w:tcBorders>
              <w:top w:val="nil"/>
              <w:left w:val="nil"/>
              <w:bottom w:val="nil"/>
              <w:right w:val="nil"/>
            </w:tcBorders>
          </w:tcPr>
          <w:p w14:paraId="26A97237" w14:textId="77777777" w:rsidR="00F1577A" w:rsidRPr="004F6500" w:rsidRDefault="00F1577A" w:rsidP="00F1577A">
            <w:pPr>
              <w:spacing w:line="254" w:lineRule="auto"/>
              <w:jc w:val="right"/>
              <w:rPr>
                <w:sz w:val="22"/>
              </w:rPr>
            </w:pPr>
          </w:p>
          <w:p w14:paraId="3B67EA07" w14:textId="4D8F735C" w:rsidR="00F1577A" w:rsidRPr="004F6500" w:rsidRDefault="00F1577A" w:rsidP="00F1577A">
            <w:pPr>
              <w:spacing w:line="254" w:lineRule="auto"/>
              <w:jc w:val="right"/>
              <w:rPr>
                <w:sz w:val="22"/>
              </w:rPr>
            </w:pPr>
            <w:r w:rsidRPr="004F6500">
              <w:rPr>
                <w:sz w:val="22"/>
              </w:rPr>
              <w:t>$(0.02)</w:t>
            </w:r>
          </w:p>
        </w:tc>
        <w:tc>
          <w:tcPr>
            <w:tcW w:w="1980" w:type="dxa"/>
            <w:tcBorders>
              <w:top w:val="nil"/>
              <w:left w:val="nil"/>
              <w:bottom w:val="nil"/>
              <w:right w:val="nil"/>
            </w:tcBorders>
          </w:tcPr>
          <w:p w14:paraId="00F1AFDD" w14:textId="77777777" w:rsidR="00F1577A" w:rsidRPr="004F6500" w:rsidRDefault="00F1577A" w:rsidP="00F1577A">
            <w:pPr>
              <w:spacing w:line="254" w:lineRule="auto"/>
              <w:jc w:val="right"/>
              <w:rPr>
                <w:sz w:val="22"/>
              </w:rPr>
            </w:pPr>
          </w:p>
          <w:p w14:paraId="70C7733B" w14:textId="52F45D91" w:rsidR="00F1577A" w:rsidRPr="004F6500" w:rsidRDefault="00F1577A" w:rsidP="00F1577A">
            <w:pPr>
              <w:spacing w:line="254" w:lineRule="auto"/>
              <w:jc w:val="right"/>
              <w:rPr>
                <w:sz w:val="22"/>
              </w:rPr>
            </w:pPr>
            <w:r w:rsidRPr="004F6500">
              <w:rPr>
                <w:sz w:val="22"/>
              </w:rPr>
              <w:t>$(0.01)</w:t>
            </w:r>
          </w:p>
        </w:tc>
      </w:tr>
      <w:tr w:rsidR="00F1577A" w:rsidRPr="004F6500" w14:paraId="52384F5D" w14:textId="77777777" w:rsidTr="001D619A">
        <w:tc>
          <w:tcPr>
            <w:tcW w:w="2160" w:type="dxa"/>
            <w:tcBorders>
              <w:top w:val="nil"/>
              <w:left w:val="nil"/>
              <w:bottom w:val="nil"/>
              <w:right w:val="nil"/>
            </w:tcBorders>
          </w:tcPr>
          <w:p w14:paraId="453D35E7" w14:textId="77777777" w:rsidR="00F1577A" w:rsidRPr="004F6500" w:rsidRDefault="00F1577A" w:rsidP="00F1577A">
            <w:pPr>
              <w:spacing w:line="254" w:lineRule="auto"/>
              <w:rPr>
                <w:sz w:val="22"/>
              </w:rPr>
            </w:pPr>
            <w:r w:rsidRPr="004F6500">
              <w:rPr>
                <w:sz w:val="22"/>
              </w:rPr>
              <w:t>Net income (loss) per share - diluted</w:t>
            </w:r>
          </w:p>
        </w:tc>
        <w:tc>
          <w:tcPr>
            <w:tcW w:w="1530" w:type="dxa"/>
            <w:tcBorders>
              <w:top w:val="nil"/>
              <w:left w:val="nil"/>
              <w:bottom w:val="single" w:sz="4" w:space="0" w:color="auto"/>
              <w:right w:val="nil"/>
            </w:tcBorders>
          </w:tcPr>
          <w:p w14:paraId="5849AD4B" w14:textId="77777777" w:rsidR="00F1577A" w:rsidRPr="004F6500" w:rsidRDefault="00F1577A" w:rsidP="00F1577A">
            <w:pPr>
              <w:spacing w:line="254" w:lineRule="auto"/>
              <w:jc w:val="right"/>
              <w:rPr>
                <w:sz w:val="22"/>
              </w:rPr>
            </w:pPr>
          </w:p>
          <w:p w14:paraId="1D89EFF0" w14:textId="47673BCE" w:rsidR="00F1577A" w:rsidRPr="004F6500" w:rsidRDefault="009275CA" w:rsidP="00F1577A">
            <w:pPr>
              <w:spacing w:line="254" w:lineRule="auto"/>
              <w:jc w:val="right"/>
              <w:rPr>
                <w:sz w:val="22"/>
              </w:rPr>
            </w:pPr>
            <w:r>
              <w:rPr>
                <w:sz w:val="22"/>
              </w:rPr>
              <w:t>$(0.02)</w:t>
            </w:r>
          </w:p>
        </w:tc>
        <w:tc>
          <w:tcPr>
            <w:tcW w:w="1710" w:type="dxa"/>
            <w:tcBorders>
              <w:top w:val="nil"/>
              <w:left w:val="nil"/>
              <w:bottom w:val="single" w:sz="4" w:space="0" w:color="auto"/>
              <w:right w:val="nil"/>
            </w:tcBorders>
          </w:tcPr>
          <w:p w14:paraId="0830F6F2" w14:textId="77777777" w:rsidR="00F1577A" w:rsidRPr="004F6500" w:rsidRDefault="00F1577A" w:rsidP="00F1577A">
            <w:pPr>
              <w:spacing w:line="254" w:lineRule="auto"/>
              <w:jc w:val="right"/>
              <w:rPr>
                <w:sz w:val="22"/>
              </w:rPr>
            </w:pPr>
          </w:p>
          <w:p w14:paraId="0F3F785F" w14:textId="597E4428" w:rsidR="00F1577A" w:rsidRPr="004F6500" w:rsidRDefault="00F1577A" w:rsidP="00F1577A">
            <w:pPr>
              <w:spacing w:line="254" w:lineRule="auto"/>
              <w:jc w:val="right"/>
              <w:rPr>
                <w:sz w:val="22"/>
              </w:rPr>
            </w:pPr>
            <w:r w:rsidRPr="004F6500">
              <w:rPr>
                <w:sz w:val="22"/>
              </w:rPr>
              <w:t>$(</w:t>
            </w:r>
            <w:r>
              <w:rPr>
                <w:sz w:val="22"/>
              </w:rPr>
              <w:t>0.02</w:t>
            </w:r>
            <w:r w:rsidRPr="004F6500">
              <w:rPr>
                <w:sz w:val="22"/>
              </w:rPr>
              <w:t>)</w:t>
            </w:r>
          </w:p>
        </w:tc>
        <w:tc>
          <w:tcPr>
            <w:tcW w:w="2070" w:type="dxa"/>
            <w:tcBorders>
              <w:top w:val="nil"/>
              <w:left w:val="nil"/>
              <w:bottom w:val="single" w:sz="4" w:space="0" w:color="auto"/>
              <w:right w:val="nil"/>
            </w:tcBorders>
          </w:tcPr>
          <w:p w14:paraId="75694989" w14:textId="77777777" w:rsidR="00F1577A" w:rsidRPr="004F6500" w:rsidRDefault="00F1577A" w:rsidP="00F1577A">
            <w:pPr>
              <w:spacing w:line="254" w:lineRule="auto"/>
              <w:jc w:val="right"/>
              <w:rPr>
                <w:sz w:val="22"/>
              </w:rPr>
            </w:pPr>
          </w:p>
          <w:p w14:paraId="4E087BEC" w14:textId="6336F7EA" w:rsidR="00F1577A" w:rsidRPr="004F6500" w:rsidRDefault="00F1577A" w:rsidP="00F1577A">
            <w:pPr>
              <w:spacing w:line="254" w:lineRule="auto"/>
              <w:jc w:val="right"/>
              <w:rPr>
                <w:sz w:val="22"/>
              </w:rPr>
            </w:pPr>
            <w:r w:rsidRPr="004F6500">
              <w:rPr>
                <w:sz w:val="22"/>
              </w:rPr>
              <w:t>$(0.02)</w:t>
            </w:r>
          </w:p>
        </w:tc>
        <w:tc>
          <w:tcPr>
            <w:tcW w:w="1980" w:type="dxa"/>
            <w:tcBorders>
              <w:top w:val="nil"/>
              <w:left w:val="nil"/>
              <w:bottom w:val="single" w:sz="4" w:space="0" w:color="auto"/>
              <w:right w:val="nil"/>
            </w:tcBorders>
          </w:tcPr>
          <w:p w14:paraId="602415D7" w14:textId="77777777" w:rsidR="00F1577A" w:rsidRPr="004F6500" w:rsidRDefault="00F1577A" w:rsidP="00F1577A">
            <w:pPr>
              <w:spacing w:line="254" w:lineRule="auto"/>
              <w:jc w:val="right"/>
              <w:rPr>
                <w:sz w:val="22"/>
              </w:rPr>
            </w:pPr>
          </w:p>
          <w:p w14:paraId="6EA1DA15" w14:textId="6366CF44" w:rsidR="00F1577A" w:rsidRPr="004F6500" w:rsidRDefault="00F1577A" w:rsidP="00F1577A">
            <w:pPr>
              <w:spacing w:line="254" w:lineRule="auto"/>
              <w:jc w:val="right"/>
              <w:rPr>
                <w:sz w:val="22"/>
              </w:rPr>
            </w:pPr>
            <w:r w:rsidRPr="004F6500">
              <w:rPr>
                <w:sz w:val="22"/>
              </w:rPr>
              <w:t>$(0.01)</w:t>
            </w:r>
          </w:p>
        </w:tc>
      </w:tr>
    </w:tbl>
    <w:p w14:paraId="554986D0" w14:textId="77777777" w:rsidR="007B4C16" w:rsidRPr="004F6500" w:rsidRDefault="007B4C16" w:rsidP="004F6500">
      <w:pPr>
        <w:spacing w:after="0" w:line="254" w:lineRule="auto"/>
        <w:jc w:val="both"/>
        <w:rPr>
          <w:rFonts w:ascii="Times New Roman" w:hAnsi="Times New Roman" w:cs="Times New Roman"/>
          <w:b/>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530"/>
        <w:gridCol w:w="1710"/>
        <w:gridCol w:w="2070"/>
        <w:gridCol w:w="1980"/>
      </w:tblGrid>
      <w:tr w:rsidR="00D70643" w:rsidRPr="004F6500" w14:paraId="6264464D" w14:textId="77777777" w:rsidTr="001D619A">
        <w:tc>
          <w:tcPr>
            <w:tcW w:w="2160" w:type="dxa"/>
            <w:shd w:val="clear" w:color="auto" w:fill="auto"/>
          </w:tcPr>
          <w:p w14:paraId="00C5C636" w14:textId="77777777" w:rsidR="00923180" w:rsidRPr="004F6500" w:rsidRDefault="00923180" w:rsidP="004F6500">
            <w:pPr>
              <w:spacing w:line="254" w:lineRule="auto"/>
              <w:jc w:val="both"/>
              <w:rPr>
                <w:b/>
                <w:sz w:val="22"/>
              </w:rPr>
            </w:pPr>
          </w:p>
        </w:tc>
        <w:tc>
          <w:tcPr>
            <w:tcW w:w="7290" w:type="dxa"/>
            <w:gridSpan w:val="4"/>
            <w:tcBorders>
              <w:bottom w:val="single" w:sz="4" w:space="0" w:color="auto"/>
            </w:tcBorders>
            <w:shd w:val="clear" w:color="auto" w:fill="auto"/>
          </w:tcPr>
          <w:p w14:paraId="3E51C7A1" w14:textId="77777777" w:rsidR="00923180" w:rsidRPr="004F6500" w:rsidRDefault="00923180" w:rsidP="004F6500">
            <w:pPr>
              <w:spacing w:line="254" w:lineRule="auto"/>
              <w:jc w:val="center"/>
              <w:rPr>
                <w:b/>
                <w:sz w:val="22"/>
              </w:rPr>
            </w:pPr>
            <w:r w:rsidRPr="004F6500">
              <w:rPr>
                <w:b/>
                <w:sz w:val="22"/>
              </w:rPr>
              <w:t>QUARTERS ENDED</w:t>
            </w:r>
          </w:p>
        </w:tc>
      </w:tr>
      <w:tr w:rsidR="00F1577A" w:rsidRPr="004F6500" w14:paraId="39C1CC25" w14:textId="77777777" w:rsidTr="001D619A">
        <w:tc>
          <w:tcPr>
            <w:tcW w:w="2160" w:type="dxa"/>
            <w:shd w:val="clear" w:color="auto" w:fill="auto"/>
          </w:tcPr>
          <w:p w14:paraId="3BE9E2F9" w14:textId="77777777" w:rsidR="00F1577A" w:rsidRPr="004F6500" w:rsidRDefault="00F1577A" w:rsidP="00F1577A">
            <w:pPr>
              <w:spacing w:line="254" w:lineRule="auto"/>
              <w:jc w:val="center"/>
              <w:rPr>
                <w:b/>
                <w:sz w:val="22"/>
              </w:rPr>
            </w:pPr>
          </w:p>
        </w:tc>
        <w:tc>
          <w:tcPr>
            <w:tcW w:w="1530" w:type="dxa"/>
            <w:tcBorders>
              <w:top w:val="single" w:sz="4" w:space="0" w:color="auto"/>
              <w:bottom w:val="single" w:sz="4" w:space="0" w:color="auto"/>
            </w:tcBorders>
            <w:shd w:val="clear" w:color="auto" w:fill="auto"/>
          </w:tcPr>
          <w:p w14:paraId="16B52C9F" w14:textId="177F04C6" w:rsidR="00F1577A" w:rsidRPr="004F6500" w:rsidRDefault="00F1577A" w:rsidP="00F1577A">
            <w:pPr>
              <w:spacing w:line="254" w:lineRule="auto"/>
              <w:jc w:val="center"/>
              <w:rPr>
                <w:b/>
                <w:sz w:val="22"/>
              </w:rPr>
            </w:pPr>
            <w:r w:rsidRPr="004F6500">
              <w:rPr>
                <w:b/>
                <w:sz w:val="22"/>
              </w:rPr>
              <w:t>October 31, 2018</w:t>
            </w:r>
          </w:p>
        </w:tc>
        <w:tc>
          <w:tcPr>
            <w:tcW w:w="1710" w:type="dxa"/>
            <w:tcBorders>
              <w:top w:val="single" w:sz="4" w:space="0" w:color="auto"/>
              <w:bottom w:val="single" w:sz="4" w:space="0" w:color="auto"/>
            </w:tcBorders>
            <w:shd w:val="clear" w:color="auto" w:fill="auto"/>
          </w:tcPr>
          <w:p w14:paraId="2F628EED" w14:textId="77777777" w:rsidR="00F1577A" w:rsidRDefault="00F1577A" w:rsidP="00F1577A">
            <w:pPr>
              <w:spacing w:line="254" w:lineRule="auto"/>
              <w:jc w:val="center"/>
              <w:rPr>
                <w:b/>
                <w:sz w:val="22"/>
              </w:rPr>
            </w:pPr>
            <w:r w:rsidRPr="004F6500">
              <w:rPr>
                <w:b/>
                <w:sz w:val="22"/>
              </w:rPr>
              <w:t>July 31,</w:t>
            </w:r>
          </w:p>
          <w:p w14:paraId="3F7D9226" w14:textId="1094969C" w:rsidR="00F1577A" w:rsidRPr="004F6500" w:rsidRDefault="00F1577A" w:rsidP="00F1577A">
            <w:pPr>
              <w:spacing w:line="254" w:lineRule="auto"/>
              <w:jc w:val="center"/>
              <w:rPr>
                <w:b/>
                <w:sz w:val="22"/>
              </w:rPr>
            </w:pPr>
            <w:r w:rsidRPr="004F6500">
              <w:rPr>
                <w:b/>
                <w:sz w:val="22"/>
              </w:rPr>
              <w:t>2018</w:t>
            </w:r>
          </w:p>
        </w:tc>
        <w:tc>
          <w:tcPr>
            <w:tcW w:w="2070" w:type="dxa"/>
            <w:tcBorders>
              <w:top w:val="single" w:sz="4" w:space="0" w:color="auto"/>
              <w:bottom w:val="single" w:sz="4" w:space="0" w:color="auto"/>
            </w:tcBorders>
            <w:shd w:val="clear" w:color="auto" w:fill="auto"/>
          </w:tcPr>
          <w:p w14:paraId="5348E11D" w14:textId="77777777" w:rsidR="00F1577A" w:rsidRDefault="00F1577A" w:rsidP="00F1577A">
            <w:pPr>
              <w:spacing w:line="254" w:lineRule="auto"/>
              <w:jc w:val="center"/>
              <w:rPr>
                <w:b/>
                <w:sz w:val="22"/>
              </w:rPr>
            </w:pPr>
            <w:r w:rsidRPr="004F6500">
              <w:rPr>
                <w:b/>
                <w:sz w:val="22"/>
              </w:rPr>
              <w:t>April 30,</w:t>
            </w:r>
          </w:p>
          <w:p w14:paraId="4F5C9318" w14:textId="31924409" w:rsidR="00F1577A" w:rsidRPr="004F6500" w:rsidRDefault="00F1577A" w:rsidP="00F1577A">
            <w:pPr>
              <w:spacing w:line="254" w:lineRule="auto"/>
              <w:jc w:val="center"/>
              <w:rPr>
                <w:b/>
                <w:sz w:val="22"/>
              </w:rPr>
            </w:pPr>
            <w:r w:rsidRPr="004F6500">
              <w:rPr>
                <w:b/>
                <w:sz w:val="22"/>
              </w:rPr>
              <w:t>2018</w:t>
            </w:r>
          </w:p>
        </w:tc>
        <w:tc>
          <w:tcPr>
            <w:tcW w:w="1980" w:type="dxa"/>
            <w:tcBorders>
              <w:top w:val="single" w:sz="4" w:space="0" w:color="auto"/>
              <w:bottom w:val="single" w:sz="4" w:space="0" w:color="auto"/>
            </w:tcBorders>
            <w:shd w:val="clear" w:color="auto" w:fill="auto"/>
          </w:tcPr>
          <w:p w14:paraId="2D83F103" w14:textId="544B4190" w:rsidR="00F1577A" w:rsidRPr="004F6500" w:rsidRDefault="00F1577A" w:rsidP="00F1577A">
            <w:pPr>
              <w:spacing w:line="254" w:lineRule="auto"/>
              <w:jc w:val="center"/>
              <w:rPr>
                <w:b/>
                <w:sz w:val="22"/>
              </w:rPr>
            </w:pPr>
            <w:r w:rsidRPr="004F6500">
              <w:rPr>
                <w:b/>
                <w:sz w:val="22"/>
              </w:rPr>
              <w:t>January 31, 2018</w:t>
            </w:r>
            <w:r w:rsidRPr="004F6500">
              <w:rPr>
                <w:b/>
                <w:sz w:val="22"/>
                <w:vertAlign w:val="superscript"/>
              </w:rPr>
              <w:t>(a)</w:t>
            </w:r>
          </w:p>
        </w:tc>
      </w:tr>
      <w:tr w:rsidR="00F1577A" w:rsidRPr="004F6500" w14:paraId="3A8E9411" w14:textId="77777777" w:rsidTr="001D619A">
        <w:tc>
          <w:tcPr>
            <w:tcW w:w="2160" w:type="dxa"/>
            <w:shd w:val="clear" w:color="auto" w:fill="auto"/>
          </w:tcPr>
          <w:p w14:paraId="5AC168ED" w14:textId="77777777" w:rsidR="00F1577A" w:rsidRPr="004F6500" w:rsidRDefault="00F1577A" w:rsidP="00F1577A">
            <w:pPr>
              <w:spacing w:line="254" w:lineRule="auto"/>
              <w:rPr>
                <w:sz w:val="22"/>
              </w:rPr>
            </w:pPr>
            <w:r w:rsidRPr="004F6500">
              <w:rPr>
                <w:sz w:val="22"/>
              </w:rPr>
              <w:t>Total revenue</w:t>
            </w:r>
          </w:p>
        </w:tc>
        <w:tc>
          <w:tcPr>
            <w:tcW w:w="1530" w:type="dxa"/>
            <w:tcBorders>
              <w:top w:val="single" w:sz="4" w:space="0" w:color="auto"/>
            </w:tcBorders>
            <w:shd w:val="clear" w:color="auto" w:fill="auto"/>
          </w:tcPr>
          <w:p w14:paraId="48E342DC" w14:textId="7CA45C45" w:rsidR="00F1577A" w:rsidRPr="004F6500" w:rsidRDefault="00F1577A" w:rsidP="00F1577A">
            <w:pPr>
              <w:spacing w:line="254" w:lineRule="auto"/>
              <w:jc w:val="right"/>
              <w:rPr>
                <w:sz w:val="22"/>
              </w:rPr>
            </w:pPr>
            <w:r w:rsidRPr="004F6500">
              <w:rPr>
                <w:sz w:val="22"/>
              </w:rPr>
              <w:t>$nil</w:t>
            </w:r>
          </w:p>
        </w:tc>
        <w:tc>
          <w:tcPr>
            <w:tcW w:w="1710" w:type="dxa"/>
            <w:tcBorders>
              <w:top w:val="single" w:sz="4" w:space="0" w:color="auto"/>
            </w:tcBorders>
            <w:shd w:val="clear" w:color="auto" w:fill="auto"/>
          </w:tcPr>
          <w:p w14:paraId="5188C7F0" w14:textId="5185771F" w:rsidR="00F1577A" w:rsidRPr="004F6500" w:rsidRDefault="00F1577A" w:rsidP="00F1577A">
            <w:pPr>
              <w:spacing w:line="254" w:lineRule="auto"/>
              <w:jc w:val="right"/>
              <w:rPr>
                <w:sz w:val="22"/>
              </w:rPr>
            </w:pPr>
            <w:r w:rsidRPr="004F6500">
              <w:rPr>
                <w:sz w:val="22"/>
              </w:rPr>
              <w:t>$nil</w:t>
            </w:r>
          </w:p>
        </w:tc>
        <w:tc>
          <w:tcPr>
            <w:tcW w:w="2070" w:type="dxa"/>
            <w:tcBorders>
              <w:top w:val="single" w:sz="4" w:space="0" w:color="auto"/>
            </w:tcBorders>
            <w:shd w:val="clear" w:color="auto" w:fill="auto"/>
          </w:tcPr>
          <w:p w14:paraId="076B301C" w14:textId="5E7AD724" w:rsidR="00F1577A" w:rsidRPr="004F6500" w:rsidRDefault="00F1577A" w:rsidP="00F1577A">
            <w:pPr>
              <w:spacing w:line="254" w:lineRule="auto"/>
              <w:jc w:val="right"/>
              <w:rPr>
                <w:sz w:val="22"/>
              </w:rPr>
            </w:pPr>
            <w:r w:rsidRPr="004F6500">
              <w:rPr>
                <w:sz w:val="22"/>
              </w:rPr>
              <w:t>$nil</w:t>
            </w:r>
          </w:p>
        </w:tc>
        <w:tc>
          <w:tcPr>
            <w:tcW w:w="1980" w:type="dxa"/>
            <w:tcBorders>
              <w:top w:val="single" w:sz="4" w:space="0" w:color="auto"/>
            </w:tcBorders>
            <w:shd w:val="clear" w:color="auto" w:fill="auto"/>
          </w:tcPr>
          <w:p w14:paraId="3621678E" w14:textId="6E85BA4A" w:rsidR="00F1577A" w:rsidRPr="004F6500" w:rsidRDefault="00F1577A" w:rsidP="00F1577A">
            <w:pPr>
              <w:spacing w:line="254" w:lineRule="auto"/>
              <w:jc w:val="right"/>
              <w:rPr>
                <w:sz w:val="22"/>
              </w:rPr>
            </w:pPr>
            <w:r w:rsidRPr="004F6500">
              <w:rPr>
                <w:sz w:val="22"/>
              </w:rPr>
              <w:t>$nil</w:t>
            </w:r>
          </w:p>
        </w:tc>
      </w:tr>
      <w:tr w:rsidR="00F1577A" w:rsidRPr="004F6500" w14:paraId="10BCF5A7" w14:textId="77777777" w:rsidTr="001D619A">
        <w:tc>
          <w:tcPr>
            <w:tcW w:w="2160" w:type="dxa"/>
            <w:shd w:val="clear" w:color="auto" w:fill="auto"/>
          </w:tcPr>
          <w:p w14:paraId="0AD33615" w14:textId="77777777" w:rsidR="00F1577A" w:rsidRPr="004F6500" w:rsidRDefault="00F1577A" w:rsidP="00F1577A">
            <w:pPr>
              <w:spacing w:line="254" w:lineRule="auto"/>
              <w:rPr>
                <w:sz w:val="22"/>
              </w:rPr>
            </w:pPr>
            <w:r w:rsidRPr="004F6500">
              <w:rPr>
                <w:sz w:val="22"/>
              </w:rPr>
              <w:t>Net income (loss)</w:t>
            </w:r>
          </w:p>
        </w:tc>
        <w:tc>
          <w:tcPr>
            <w:tcW w:w="1530" w:type="dxa"/>
            <w:shd w:val="clear" w:color="auto" w:fill="auto"/>
          </w:tcPr>
          <w:p w14:paraId="63CE784D" w14:textId="443FEB1F" w:rsidR="00F1577A" w:rsidRPr="004F6500" w:rsidRDefault="00F1577A" w:rsidP="00F1577A">
            <w:pPr>
              <w:spacing w:line="254" w:lineRule="auto"/>
              <w:jc w:val="right"/>
              <w:rPr>
                <w:sz w:val="22"/>
              </w:rPr>
            </w:pPr>
            <w:r w:rsidRPr="004F6500">
              <w:rPr>
                <w:sz w:val="22"/>
              </w:rPr>
              <w:t>$(4,114,089)</w:t>
            </w:r>
          </w:p>
        </w:tc>
        <w:tc>
          <w:tcPr>
            <w:tcW w:w="1710" w:type="dxa"/>
            <w:shd w:val="clear" w:color="auto" w:fill="auto"/>
          </w:tcPr>
          <w:p w14:paraId="02EA166A" w14:textId="4CD0AB38" w:rsidR="00F1577A" w:rsidRPr="004F6500" w:rsidRDefault="00F1577A" w:rsidP="00F1577A">
            <w:pPr>
              <w:spacing w:line="254" w:lineRule="auto"/>
              <w:jc w:val="right"/>
              <w:rPr>
                <w:sz w:val="22"/>
              </w:rPr>
            </w:pPr>
            <w:r w:rsidRPr="004F6500">
              <w:rPr>
                <w:sz w:val="22"/>
              </w:rPr>
              <w:t>$(1,845,</w:t>
            </w:r>
            <w:r>
              <w:rPr>
                <w:sz w:val="22"/>
              </w:rPr>
              <w:t>118</w:t>
            </w:r>
            <w:r w:rsidRPr="004F6500">
              <w:rPr>
                <w:sz w:val="22"/>
              </w:rPr>
              <w:t>)</w:t>
            </w:r>
          </w:p>
        </w:tc>
        <w:tc>
          <w:tcPr>
            <w:tcW w:w="2070" w:type="dxa"/>
            <w:shd w:val="clear" w:color="auto" w:fill="auto"/>
          </w:tcPr>
          <w:p w14:paraId="696A9E52" w14:textId="0E002FA2" w:rsidR="00F1577A" w:rsidRPr="004F6500" w:rsidRDefault="00F1577A" w:rsidP="00F1577A">
            <w:pPr>
              <w:spacing w:line="254" w:lineRule="auto"/>
              <w:jc w:val="right"/>
              <w:rPr>
                <w:sz w:val="22"/>
              </w:rPr>
            </w:pPr>
            <w:r w:rsidRPr="004F6500">
              <w:rPr>
                <w:sz w:val="22"/>
              </w:rPr>
              <w:t>$(2,089,887)</w:t>
            </w:r>
          </w:p>
        </w:tc>
        <w:tc>
          <w:tcPr>
            <w:tcW w:w="1980" w:type="dxa"/>
            <w:shd w:val="clear" w:color="auto" w:fill="auto"/>
          </w:tcPr>
          <w:p w14:paraId="3A48AA60" w14:textId="2A0E3810" w:rsidR="00F1577A" w:rsidRPr="004F6500" w:rsidRDefault="00F1577A" w:rsidP="00F1577A">
            <w:pPr>
              <w:spacing w:line="254" w:lineRule="auto"/>
              <w:jc w:val="right"/>
              <w:rPr>
                <w:sz w:val="22"/>
              </w:rPr>
            </w:pPr>
            <w:r w:rsidRPr="004F6500">
              <w:rPr>
                <w:sz w:val="22"/>
              </w:rPr>
              <w:t>$(241,353)</w:t>
            </w:r>
          </w:p>
        </w:tc>
      </w:tr>
      <w:tr w:rsidR="00F1577A" w:rsidRPr="004F6500" w14:paraId="6B7063D6" w14:textId="77777777" w:rsidTr="001D619A">
        <w:tc>
          <w:tcPr>
            <w:tcW w:w="2160" w:type="dxa"/>
            <w:shd w:val="clear" w:color="auto" w:fill="auto"/>
          </w:tcPr>
          <w:p w14:paraId="3C28B3CD" w14:textId="77777777" w:rsidR="00F1577A" w:rsidRPr="004F6500" w:rsidRDefault="00F1577A" w:rsidP="00F1577A">
            <w:pPr>
              <w:spacing w:line="254" w:lineRule="auto"/>
              <w:rPr>
                <w:sz w:val="22"/>
              </w:rPr>
            </w:pPr>
            <w:r w:rsidRPr="004F6500">
              <w:rPr>
                <w:sz w:val="22"/>
              </w:rPr>
              <w:t>Net income (loss) per share - basic</w:t>
            </w:r>
          </w:p>
        </w:tc>
        <w:tc>
          <w:tcPr>
            <w:tcW w:w="1530" w:type="dxa"/>
            <w:shd w:val="clear" w:color="auto" w:fill="auto"/>
          </w:tcPr>
          <w:p w14:paraId="24DA7E48" w14:textId="77777777" w:rsidR="00F1577A" w:rsidRPr="004F6500" w:rsidRDefault="00F1577A" w:rsidP="00F1577A">
            <w:pPr>
              <w:spacing w:line="254" w:lineRule="auto"/>
              <w:jc w:val="right"/>
              <w:rPr>
                <w:sz w:val="22"/>
              </w:rPr>
            </w:pPr>
          </w:p>
          <w:p w14:paraId="46A044A4" w14:textId="6D2B6845" w:rsidR="00F1577A" w:rsidRPr="004F6500" w:rsidRDefault="00F1577A" w:rsidP="00F1577A">
            <w:pPr>
              <w:spacing w:line="254" w:lineRule="auto"/>
              <w:jc w:val="right"/>
              <w:rPr>
                <w:sz w:val="22"/>
              </w:rPr>
            </w:pPr>
            <w:r w:rsidRPr="004F6500">
              <w:rPr>
                <w:sz w:val="22"/>
              </w:rPr>
              <w:t>$(0.05)</w:t>
            </w:r>
          </w:p>
        </w:tc>
        <w:tc>
          <w:tcPr>
            <w:tcW w:w="1710" w:type="dxa"/>
            <w:shd w:val="clear" w:color="auto" w:fill="auto"/>
          </w:tcPr>
          <w:p w14:paraId="7E8EBEB8" w14:textId="77777777" w:rsidR="00F1577A" w:rsidRPr="004F6500" w:rsidRDefault="00F1577A" w:rsidP="00F1577A">
            <w:pPr>
              <w:spacing w:line="254" w:lineRule="auto"/>
              <w:jc w:val="right"/>
              <w:rPr>
                <w:sz w:val="22"/>
              </w:rPr>
            </w:pPr>
          </w:p>
          <w:p w14:paraId="066E9436" w14:textId="453783C4" w:rsidR="00F1577A" w:rsidRPr="004F6500" w:rsidRDefault="00F1577A" w:rsidP="00F1577A">
            <w:pPr>
              <w:spacing w:line="254" w:lineRule="auto"/>
              <w:jc w:val="right"/>
              <w:rPr>
                <w:sz w:val="22"/>
              </w:rPr>
            </w:pPr>
            <w:r w:rsidRPr="004F6500">
              <w:rPr>
                <w:sz w:val="22"/>
              </w:rPr>
              <w:t>$(0.02)</w:t>
            </w:r>
          </w:p>
        </w:tc>
        <w:tc>
          <w:tcPr>
            <w:tcW w:w="2070" w:type="dxa"/>
            <w:shd w:val="clear" w:color="auto" w:fill="auto"/>
          </w:tcPr>
          <w:p w14:paraId="5052FA38" w14:textId="77777777" w:rsidR="00F1577A" w:rsidRPr="004F6500" w:rsidRDefault="00F1577A" w:rsidP="00F1577A">
            <w:pPr>
              <w:spacing w:line="254" w:lineRule="auto"/>
              <w:jc w:val="right"/>
              <w:rPr>
                <w:sz w:val="22"/>
              </w:rPr>
            </w:pPr>
          </w:p>
          <w:p w14:paraId="243818FF" w14:textId="1A56094B" w:rsidR="00F1577A" w:rsidRPr="004F6500" w:rsidRDefault="00F1577A" w:rsidP="00F1577A">
            <w:pPr>
              <w:spacing w:line="254" w:lineRule="auto"/>
              <w:jc w:val="right"/>
              <w:rPr>
                <w:sz w:val="22"/>
              </w:rPr>
            </w:pPr>
            <w:r w:rsidRPr="004F6500">
              <w:rPr>
                <w:sz w:val="22"/>
              </w:rPr>
              <w:t>$(0.02)</w:t>
            </w:r>
          </w:p>
        </w:tc>
        <w:tc>
          <w:tcPr>
            <w:tcW w:w="1980" w:type="dxa"/>
            <w:shd w:val="clear" w:color="auto" w:fill="auto"/>
          </w:tcPr>
          <w:p w14:paraId="6A1CE6D5" w14:textId="77777777" w:rsidR="00F1577A" w:rsidRPr="004F6500" w:rsidRDefault="00F1577A" w:rsidP="00F1577A">
            <w:pPr>
              <w:spacing w:line="254" w:lineRule="auto"/>
              <w:jc w:val="right"/>
              <w:rPr>
                <w:sz w:val="22"/>
              </w:rPr>
            </w:pPr>
          </w:p>
          <w:p w14:paraId="4EFD6DF6" w14:textId="71D071F0" w:rsidR="00F1577A" w:rsidRPr="004F6500" w:rsidRDefault="00F1577A" w:rsidP="00F1577A">
            <w:pPr>
              <w:spacing w:line="254" w:lineRule="auto"/>
              <w:jc w:val="right"/>
              <w:rPr>
                <w:sz w:val="22"/>
              </w:rPr>
            </w:pPr>
            <w:r w:rsidRPr="004F6500">
              <w:rPr>
                <w:sz w:val="22"/>
              </w:rPr>
              <w:t>$(0.00)</w:t>
            </w:r>
          </w:p>
        </w:tc>
      </w:tr>
      <w:tr w:rsidR="00F1577A" w:rsidRPr="004F6500" w14:paraId="2ADB9730" w14:textId="77777777" w:rsidTr="001D619A">
        <w:tc>
          <w:tcPr>
            <w:tcW w:w="2160" w:type="dxa"/>
            <w:shd w:val="clear" w:color="auto" w:fill="auto"/>
          </w:tcPr>
          <w:p w14:paraId="51B2F10B" w14:textId="77777777" w:rsidR="00F1577A" w:rsidRPr="004F6500" w:rsidRDefault="00F1577A" w:rsidP="00F1577A">
            <w:pPr>
              <w:spacing w:line="254" w:lineRule="auto"/>
              <w:rPr>
                <w:sz w:val="22"/>
              </w:rPr>
            </w:pPr>
            <w:r w:rsidRPr="004F6500">
              <w:rPr>
                <w:sz w:val="22"/>
              </w:rPr>
              <w:t>Net income (loss) per share - diluted</w:t>
            </w:r>
          </w:p>
        </w:tc>
        <w:tc>
          <w:tcPr>
            <w:tcW w:w="1530" w:type="dxa"/>
            <w:tcBorders>
              <w:bottom w:val="single" w:sz="4" w:space="0" w:color="auto"/>
            </w:tcBorders>
            <w:shd w:val="clear" w:color="auto" w:fill="auto"/>
          </w:tcPr>
          <w:p w14:paraId="421985AE" w14:textId="77777777" w:rsidR="00F1577A" w:rsidRPr="004F6500" w:rsidRDefault="00F1577A" w:rsidP="00F1577A">
            <w:pPr>
              <w:spacing w:line="254" w:lineRule="auto"/>
              <w:jc w:val="right"/>
              <w:rPr>
                <w:sz w:val="22"/>
              </w:rPr>
            </w:pPr>
          </w:p>
          <w:p w14:paraId="25D149C3" w14:textId="682A30C9" w:rsidR="00F1577A" w:rsidRPr="004F6500" w:rsidRDefault="00F1577A" w:rsidP="00F1577A">
            <w:pPr>
              <w:spacing w:line="254" w:lineRule="auto"/>
              <w:jc w:val="right"/>
              <w:rPr>
                <w:sz w:val="22"/>
              </w:rPr>
            </w:pPr>
            <w:r w:rsidRPr="004F6500">
              <w:rPr>
                <w:sz w:val="22"/>
              </w:rPr>
              <w:t>$(0.05)</w:t>
            </w:r>
          </w:p>
        </w:tc>
        <w:tc>
          <w:tcPr>
            <w:tcW w:w="1710" w:type="dxa"/>
            <w:tcBorders>
              <w:bottom w:val="single" w:sz="4" w:space="0" w:color="auto"/>
            </w:tcBorders>
            <w:shd w:val="clear" w:color="auto" w:fill="auto"/>
          </w:tcPr>
          <w:p w14:paraId="4B63D304" w14:textId="77777777" w:rsidR="00F1577A" w:rsidRPr="004F6500" w:rsidRDefault="00F1577A" w:rsidP="00F1577A">
            <w:pPr>
              <w:spacing w:line="254" w:lineRule="auto"/>
              <w:jc w:val="right"/>
              <w:rPr>
                <w:sz w:val="22"/>
              </w:rPr>
            </w:pPr>
          </w:p>
          <w:p w14:paraId="60EB9B8F" w14:textId="4FA30ED4" w:rsidR="00F1577A" w:rsidRPr="004F6500" w:rsidRDefault="00F1577A" w:rsidP="00F1577A">
            <w:pPr>
              <w:spacing w:line="254" w:lineRule="auto"/>
              <w:jc w:val="right"/>
              <w:rPr>
                <w:sz w:val="22"/>
              </w:rPr>
            </w:pPr>
            <w:r w:rsidRPr="004F6500">
              <w:rPr>
                <w:sz w:val="22"/>
              </w:rPr>
              <w:t>$(0.02)</w:t>
            </w:r>
          </w:p>
        </w:tc>
        <w:tc>
          <w:tcPr>
            <w:tcW w:w="2070" w:type="dxa"/>
            <w:tcBorders>
              <w:bottom w:val="single" w:sz="4" w:space="0" w:color="auto"/>
            </w:tcBorders>
            <w:shd w:val="clear" w:color="auto" w:fill="auto"/>
          </w:tcPr>
          <w:p w14:paraId="742D477C" w14:textId="77777777" w:rsidR="00F1577A" w:rsidRPr="004F6500" w:rsidRDefault="00F1577A" w:rsidP="00F1577A">
            <w:pPr>
              <w:spacing w:line="254" w:lineRule="auto"/>
              <w:jc w:val="right"/>
              <w:rPr>
                <w:sz w:val="22"/>
              </w:rPr>
            </w:pPr>
          </w:p>
          <w:p w14:paraId="3C72169B" w14:textId="081C680C" w:rsidR="00F1577A" w:rsidRPr="004F6500" w:rsidRDefault="00F1577A" w:rsidP="00F1577A">
            <w:pPr>
              <w:spacing w:line="254" w:lineRule="auto"/>
              <w:jc w:val="right"/>
              <w:rPr>
                <w:sz w:val="22"/>
              </w:rPr>
            </w:pPr>
            <w:r w:rsidRPr="004F6500">
              <w:rPr>
                <w:sz w:val="22"/>
              </w:rPr>
              <w:t>$(0.02)</w:t>
            </w:r>
          </w:p>
        </w:tc>
        <w:tc>
          <w:tcPr>
            <w:tcW w:w="1980" w:type="dxa"/>
            <w:tcBorders>
              <w:bottom w:val="single" w:sz="4" w:space="0" w:color="auto"/>
            </w:tcBorders>
            <w:shd w:val="clear" w:color="auto" w:fill="auto"/>
          </w:tcPr>
          <w:p w14:paraId="038943A1" w14:textId="77777777" w:rsidR="00F1577A" w:rsidRPr="004F6500" w:rsidRDefault="00F1577A" w:rsidP="00F1577A">
            <w:pPr>
              <w:spacing w:line="254" w:lineRule="auto"/>
              <w:jc w:val="right"/>
              <w:rPr>
                <w:sz w:val="22"/>
              </w:rPr>
            </w:pPr>
          </w:p>
          <w:p w14:paraId="6D8F3B1C" w14:textId="43F41BD4" w:rsidR="00F1577A" w:rsidRPr="004F6500" w:rsidRDefault="00F1577A" w:rsidP="00F1577A">
            <w:pPr>
              <w:spacing w:line="254" w:lineRule="auto"/>
              <w:jc w:val="right"/>
              <w:rPr>
                <w:sz w:val="22"/>
              </w:rPr>
            </w:pPr>
            <w:r w:rsidRPr="004F6500">
              <w:rPr>
                <w:sz w:val="22"/>
              </w:rPr>
              <w:t>$(0.00)</w:t>
            </w:r>
          </w:p>
        </w:tc>
      </w:tr>
    </w:tbl>
    <w:p w14:paraId="4543C336" w14:textId="77777777" w:rsidR="00923180" w:rsidRPr="004F6500" w:rsidRDefault="007B5F81" w:rsidP="005D3F8B">
      <w:pPr>
        <w:pStyle w:val="ListParagraph"/>
        <w:numPr>
          <w:ilvl w:val="0"/>
          <w:numId w:val="12"/>
        </w:numPr>
        <w:spacing w:before="120" w:after="0" w:line="254" w:lineRule="auto"/>
        <w:ind w:left="2520"/>
        <w:jc w:val="both"/>
        <w:rPr>
          <w:rFonts w:ascii="Times New Roman" w:hAnsi="Times New Roman" w:cs="Times New Roman"/>
          <w:sz w:val="18"/>
          <w:szCs w:val="18"/>
        </w:rPr>
      </w:pPr>
      <w:r>
        <w:rPr>
          <w:rFonts w:ascii="Times New Roman" w:hAnsi="Times New Roman" w:cs="Times New Roman"/>
          <w:sz w:val="18"/>
          <w:szCs w:val="18"/>
        </w:rPr>
        <w:t>The Company</w:t>
      </w:r>
      <w:r w:rsidR="00097ABF" w:rsidRPr="004F6500">
        <w:rPr>
          <w:rFonts w:ascii="Times New Roman" w:hAnsi="Times New Roman" w:cs="Times New Roman"/>
          <w:sz w:val="18"/>
          <w:szCs w:val="18"/>
        </w:rPr>
        <w:t xml:space="preserve"> transitioned to </w:t>
      </w:r>
      <w:r w:rsidR="00F60052" w:rsidRPr="004F6500">
        <w:rPr>
          <w:rFonts w:ascii="Times New Roman" w:hAnsi="Times New Roman" w:cs="Times New Roman"/>
          <w:sz w:val="18"/>
          <w:szCs w:val="18"/>
        </w:rPr>
        <w:t>IFRS</w:t>
      </w:r>
      <w:r w:rsidR="00097ABF" w:rsidRPr="004F6500">
        <w:rPr>
          <w:rFonts w:ascii="Times New Roman" w:hAnsi="Times New Roman" w:cs="Times New Roman"/>
          <w:sz w:val="18"/>
          <w:szCs w:val="18"/>
        </w:rPr>
        <w:t xml:space="preserve"> effective February 1, 2018.  Results for the quarters ended January 31, 2018 and October 31, 2017 have been presented under </w:t>
      </w:r>
      <w:r w:rsidR="008712FC">
        <w:rPr>
          <w:rFonts w:ascii="Times New Roman" w:hAnsi="Times New Roman" w:cs="Times New Roman"/>
          <w:sz w:val="18"/>
          <w:szCs w:val="18"/>
        </w:rPr>
        <w:t>U.S. GAAP</w:t>
      </w:r>
      <w:r w:rsidR="00097ABF" w:rsidRPr="004F6500">
        <w:rPr>
          <w:rFonts w:ascii="Times New Roman" w:hAnsi="Times New Roman" w:cs="Times New Roman"/>
          <w:sz w:val="18"/>
          <w:szCs w:val="18"/>
        </w:rPr>
        <w:t>.</w:t>
      </w:r>
    </w:p>
    <w:p w14:paraId="53A4BFFD" w14:textId="77777777" w:rsidR="00097ABF" w:rsidRPr="004F6500" w:rsidRDefault="00097ABF" w:rsidP="004F6500">
      <w:pPr>
        <w:spacing w:after="0" w:line="254" w:lineRule="auto"/>
        <w:jc w:val="both"/>
        <w:rPr>
          <w:rFonts w:ascii="Times New Roman" w:hAnsi="Times New Roman" w:cs="Times New Roman"/>
          <w:b/>
        </w:rPr>
      </w:pPr>
    </w:p>
    <w:p w14:paraId="74C026F8" w14:textId="560F4370" w:rsidR="00496CAE" w:rsidRPr="004F6500" w:rsidRDefault="00B31EC5"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Net losses for the quarters beginning on February 1, 2018 increased significantly.  In March 2018, </w:t>
      </w:r>
      <w:r w:rsidR="00CA0D0C">
        <w:rPr>
          <w:rFonts w:ascii="Times New Roman" w:hAnsi="Times New Roman" w:cs="Times New Roman"/>
        </w:rPr>
        <w:t>BetterLife</w:t>
      </w:r>
      <w:r w:rsidRPr="004F6500">
        <w:rPr>
          <w:rFonts w:ascii="Times New Roman" w:hAnsi="Times New Roman" w:cs="Times New Roman"/>
        </w:rPr>
        <w:t xml:space="preserve"> secured convertible debentures totaling $5,000,000, which allowed </w:t>
      </w:r>
      <w:r w:rsidR="005D3F8B">
        <w:rPr>
          <w:rFonts w:ascii="Times New Roman" w:hAnsi="Times New Roman" w:cs="Times New Roman"/>
        </w:rPr>
        <w:t>the Company</w:t>
      </w:r>
      <w:r w:rsidRPr="004F6500">
        <w:rPr>
          <w:rFonts w:ascii="Times New Roman" w:hAnsi="Times New Roman" w:cs="Times New Roman"/>
        </w:rPr>
        <w:t xml:space="preserve"> to pursue development of </w:t>
      </w:r>
      <w:r w:rsidR="005D3F8B">
        <w:rPr>
          <w:rFonts w:ascii="Times New Roman" w:hAnsi="Times New Roman" w:cs="Times New Roman"/>
        </w:rPr>
        <w:t>its</w:t>
      </w:r>
      <w:r w:rsidRPr="004F6500">
        <w:rPr>
          <w:rFonts w:ascii="Times New Roman" w:hAnsi="Times New Roman" w:cs="Times New Roman"/>
        </w:rPr>
        <w:t xml:space="preserve"> platform technologies and to secure and develop further intellectual property.  In February and March 2018, </w:t>
      </w:r>
      <w:r w:rsidR="00CA0D0C">
        <w:rPr>
          <w:rFonts w:ascii="Times New Roman" w:hAnsi="Times New Roman" w:cs="Times New Roman"/>
        </w:rPr>
        <w:t>BetterLife</w:t>
      </w:r>
      <w:r w:rsidRPr="004F6500">
        <w:rPr>
          <w:rFonts w:ascii="Times New Roman" w:hAnsi="Times New Roman" w:cs="Times New Roman"/>
        </w:rPr>
        <w:t xml:space="preserve"> completed the acquisitions of</w:t>
      </w:r>
      <w:r w:rsidR="00F1577A">
        <w:rPr>
          <w:rFonts w:ascii="Times New Roman" w:hAnsi="Times New Roman" w:cs="Times New Roman"/>
        </w:rPr>
        <w:t xml:space="preserve"> Pivot </w:t>
      </w:r>
      <w:r w:rsidR="005D3F8B">
        <w:rPr>
          <w:rFonts w:ascii="Times New Roman" w:hAnsi="Times New Roman" w:cs="Times New Roman"/>
        </w:rPr>
        <w:t xml:space="preserve">Naturals </w:t>
      </w:r>
      <w:r w:rsidRPr="004F6500">
        <w:rPr>
          <w:rFonts w:ascii="Times New Roman" w:hAnsi="Times New Roman" w:cs="Times New Roman"/>
        </w:rPr>
        <w:t>and its RTIC patents, as well as the Thrudermic Transdermal Nanotechnology, which resulted in increases to amortization, due diligence costs, consulting fees, professional fees and research and development beginning with the quarter ended April 30, 2018. Pursuant to these acquisition</w:t>
      </w:r>
      <w:r w:rsidR="003116A0">
        <w:rPr>
          <w:rFonts w:ascii="Times New Roman" w:hAnsi="Times New Roman" w:cs="Times New Roman"/>
        </w:rPr>
        <w:t>s</w:t>
      </w:r>
      <w:r w:rsidRPr="004F6500">
        <w:rPr>
          <w:rFonts w:ascii="Times New Roman" w:hAnsi="Times New Roman" w:cs="Times New Roman"/>
        </w:rPr>
        <w:t xml:space="preserve">, </w:t>
      </w:r>
      <w:r w:rsidR="005D3F8B">
        <w:rPr>
          <w:rFonts w:ascii="Times New Roman" w:hAnsi="Times New Roman" w:cs="Times New Roman"/>
        </w:rPr>
        <w:t>the Company</w:t>
      </w:r>
      <w:r w:rsidRPr="004F6500">
        <w:rPr>
          <w:rFonts w:ascii="Times New Roman" w:hAnsi="Times New Roman" w:cs="Times New Roman"/>
        </w:rPr>
        <w:t xml:space="preserve"> entered into employment contracts which increased </w:t>
      </w:r>
      <w:r w:rsidR="005D3F8B">
        <w:rPr>
          <w:rFonts w:ascii="Times New Roman" w:hAnsi="Times New Roman" w:cs="Times New Roman"/>
        </w:rPr>
        <w:t>its</w:t>
      </w:r>
      <w:r w:rsidRPr="004F6500">
        <w:rPr>
          <w:rFonts w:ascii="Times New Roman" w:hAnsi="Times New Roman" w:cs="Times New Roman"/>
        </w:rPr>
        <w:t xml:space="preserve"> salaries and wages expense.  </w:t>
      </w:r>
    </w:p>
    <w:p w14:paraId="0AA3F886" w14:textId="77777777" w:rsidR="00B31EC5" w:rsidRPr="004F6500" w:rsidRDefault="00B31EC5" w:rsidP="004F6500">
      <w:pPr>
        <w:spacing w:after="0" w:line="254" w:lineRule="auto"/>
        <w:jc w:val="both"/>
        <w:rPr>
          <w:rFonts w:ascii="Times New Roman" w:hAnsi="Times New Roman" w:cs="Times New Roman"/>
        </w:rPr>
      </w:pPr>
    </w:p>
    <w:p w14:paraId="4F81ED0B" w14:textId="760C094F" w:rsidR="00B31EC5" w:rsidRPr="004F6500" w:rsidRDefault="00B31EC5"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During the quarter ended October 31, 2018, </w:t>
      </w:r>
      <w:r w:rsidR="00F8064D">
        <w:rPr>
          <w:rFonts w:ascii="Times New Roman" w:hAnsi="Times New Roman" w:cs="Times New Roman"/>
        </w:rPr>
        <w:t>the Company</w:t>
      </w:r>
      <w:r w:rsidRPr="004F6500">
        <w:rPr>
          <w:rFonts w:ascii="Times New Roman" w:hAnsi="Times New Roman" w:cs="Times New Roman"/>
        </w:rPr>
        <w:t xml:space="preserve"> settled convertible debentures totaling $1,500,000 through the issuance of 3,750,000 units, with each unit consisting of one common stock </w:t>
      </w:r>
      <w:r w:rsidR="006D2F8A" w:rsidRPr="004F6500">
        <w:rPr>
          <w:rFonts w:ascii="Times New Roman" w:hAnsi="Times New Roman" w:cs="Times New Roman"/>
        </w:rPr>
        <w:t xml:space="preserve">and one share purchase warrant.  Pursuant to this settlement, a loss </w:t>
      </w:r>
      <w:r w:rsidRPr="004F6500">
        <w:rPr>
          <w:rFonts w:ascii="Times New Roman" w:hAnsi="Times New Roman" w:cs="Times New Roman"/>
        </w:rPr>
        <w:t>on extinguishment of convertible debentures of $1,</w:t>
      </w:r>
      <w:r w:rsidR="006D2F8A" w:rsidRPr="004F6500">
        <w:rPr>
          <w:rFonts w:ascii="Times New Roman" w:hAnsi="Times New Roman" w:cs="Times New Roman"/>
        </w:rPr>
        <w:t>240,773 was recorded, which increased the net loss for the quarter ended October 31, 2018 as compared to other quarters.</w:t>
      </w:r>
    </w:p>
    <w:p w14:paraId="466F99F5" w14:textId="77777777" w:rsidR="009272AD" w:rsidRPr="004F6500" w:rsidRDefault="009272AD" w:rsidP="004F6500">
      <w:pPr>
        <w:spacing w:after="0" w:line="254" w:lineRule="auto"/>
        <w:jc w:val="both"/>
        <w:rPr>
          <w:rFonts w:ascii="Times New Roman" w:hAnsi="Times New Roman" w:cs="Times New Roman"/>
        </w:rPr>
      </w:pPr>
    </w:p>
    <w:p w14:paraId="42723979" w14:textId="54C4DE00" w:rsidR="005D3F8B" w:rsidRDefault="005D3F8B" w:rsidP="004F6500">
      <w:pPr>
        <w:spacing w:after="0" w:line="254" w:lineRule="auto"/>
        <w:jc w:val="both"/>
        <w:rPr>
          <w:rFonts w:ascii="Times New Roman" w:hAnsi="Times New Roman" w:cs="Times New Roman"/>
        </w:rPr>
      </w:pPr>
      <w:r>
        <w:rPr>
          <w:rFonts w:ascii="Times New Roman" w:hAnsi="Times New Roman" w:cs="Times New Roman"/>
        </w:rPr>
        <w:t>In May 2019</w:t>
      </w:r>
      <w:r w:rsidR="009272AD" w:rsidRPr="004F6500">
        <w:rPr>
          <w:rFonts w:ascii="Times New Roman" w:hAnsi="Times New Roman" w:cs="Times New Roman"/>
        </w:rPr>
        <w:t xml:space="preserve">, </w:t>
      </w:r>
      <w:r>
        <w:rPr>
          <w:rFonts w:ascii="Times New Roman" w:hAnsi="Times New Roman" w:cs="Times New Roman"/>
        </w:rPr>
        <w:t>the Company</w:t>
      </w:r>
      <w:r w:rsidR="009272AD" w:rsidRPr="004F6500">
        <w:rPr>
          <w:rFonts w:ascii="Times New Roman" w:hAnsi="Times New Roman" w:cs="Times New Roman"/>
        </w:rPr>
        <w:t xml:space="preserve"> </w:t>
      </w:r>
      <w:r w:rsidR="000B08D0" w:rsidRPr="004F6500">
        <w:rPr>
          <w:rFonts w:ascii="Times New Roman" w:hAnsi="Times New Roman" w:cs="Times New Roman"/>
        </w:rPr>
        <w:t xml:space="preserve">closed on a non-brokered private placement of $15 million </w:t>
      </w:r>
      <w:r>
        <w:rPr>
          <w:rFonts w:ascii="Times New Roman" w:hAnsi="Times New Roman" w:cs="Times New Roman"/>
        </w:rPr>
        <w:t>as discussed above</w:t>
      </w:r>
      <w:r w:rsidR="0094569B" w:rsidRPr="004F6500">
        <w:rPr>
          <w:rFonts w:ascii="Times New Roman" w:hAnsi="Times New Roman" w:cs="Times New Roman"/>
        </w:rPr>
        <w:t>.  4,200,000 units</w:t>
      </w:r>
      <w:r>
        <w:rPr>
          <w:rFonts w:ascii="Times New Roman" w:hAnsi="Times New Roman" w:cs="Times New Roman"/>
        </w:rPr>
        <w:t xml:space="preserve"> issued as advisory fees, valued at $1,869,000, and professional fees incurred for the close of the private placement resulted in </w:t>
      </w:r>
      <w:r w:rsidR="00F8064D">
        <w:rPr>
          <w:rFonts w:ascii="Times New Roman" w:hAnsi="Times New Roman" w:cs="Times New Roman"/>
        </w:rPr>
        <w:t>a higher</w:t>
      </w:r>
      <w:r>
        <w:rPr>
          <w:rFonts w:ascii="Times New Roman" w:hAnsi="Times New Roman" w:cs="Times New Roman"/>
        </w:rPr>
        <w:t xml:space="preserve"> net loss for the quarter ended July 31, 2019</w:t>
      </w:r>
      <w:r w:rsidR="00F8064D">
        <w:rPr>
          <w:rFonts w:ascii="Times New Roman" w:hAnsi="Times New Roman" w:cs="Times New Roman"/>
        </w:rPr>
        <w:t xml:space="preserve"> as compared to the April 2019 and October 2019 quarter ends.</w:t>
      </w:r>
    </w:p>
    <w:p w14:paraId="4E7993CF" w14:textId="77777777" w:rsidR="00F1577A" w:rsidRDefault="00F1577A" w:rsidP="004F6500">
      <w:pPr>
        <w:spacing w:after="0" w:line="254" w:lineRule="auto"/>
        <w:jc w:val="both"/>
        <w:rPr>
          <w:rFonts w:ascii="Times New Roman" w:hAnsi="Times New Roman" w:cs="Times New Roman"/>
        </w:rPr>
      </w:pPr>
    </w:p>
    <w:p w14:paraId="609A205C" w14:textId="77777777" w:rsidR="00F8064D" w:rsidRDefault="00F8064D" w:rsidP="004F6500">
      <w:pPr>
        <w:spacing w:after="0" w:line="254" w:lineRule="auto"/>
        <w:jc w:val="both"/>
        <w:rPr>
          <w:rFonts w:ascii="Times New Roman" w:hAnsi="Times New Roman" w:cs="Times New Roman"/>
          <w:b/>
        </w:rPr>
      </w:pPr>
    </w:p>
    <w:p w14:paraId="7C5B86B7" w14:textId="1F858709" w:rsidR="00496CAE" w:rsidRPr="004F6500" w:rsidRDefault="00F60052"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LIQUIDITY AND CAPITAL RESOURCES</w:t>
      </w:r>
    </w:p>
    <w:p w14:paraId="5E4C1776" w14:textId="77777777" w:rsidR="00496CAE" w:rsidRPr="004F6500" w:rsidRDefault="00496CAE" w:rsidP="004F6500">
      <w:pPr>
        <w:spacing w:after="0" w:line="254" w:lineRule="auto"/>
        <w:jc w:val="both"/>
        <w:rPr>
          <w:rFonts w:ascii="Times New Roman" w:hAnsi="Times New Roman" w:cs="Times New Roman"/>
          <w:b/>
        </w:rPr>
      </w:pPr>
    </w:p>
    <w:p w14:paraId="282CEE59" w14:textId="6383DBE6" w:rsidR="004370E9" w:rsidRPr="004F6500" w:rsidRDefault="00385E32" w:rsidP="004F6500">
      <w:pPr>
        <w:spacing w:after="0" w:line="254" w:lineRule="auto"/>
        <w:jc w:val="both"/>
        <w:rPr>
          <w:rFonts w:ascii="Times New Roman" w:hAnsi="Times New Roman" w:cs="Times New Roman"/>
        </w:rPr>
      </w:pPr>
      <w:r>
        <w:rPr>
          <w:rFonts w:ascii="Times New Roman" w:hAnsi="Times New Roman" w:cs="Times New Roman"/>
        </w:rPr>
        <w:t>The Company</w:t>
      </w:r>
      <w:r w:rsidR="004370E9" w:rsidRPr="004F6500">
        <w:rPr>
          <w:rFonts w:ascii="Times New Roman" w:hAnsi="Times New Roman" w:cs="Times New Roman"/>
        </w:rPr>
        <w:t xml:space="preserve"> manages its liquidity risk by reviewing, on an ongoing basis, </w:t>
      </w:r>
      <w:r>
        <w:rPr>
          <w:rFonts w:ascii="Times New Roman" w:hAnsi="Times New Roman" w:cs="Times New Roman"/>
        </w:rPr>
        <w:t>its</w:t>
      </w:r>
      <w:r w:rsidR="004370E9" w:rsidRPr="004F6500">
        <w:rPr>
          <w:rFonts w:ascii="Times New Roman" w:hAnsi="Times New Roman" w:cs="Times New Roman"/>
        </w:rPr>
        <w:t xml:space="preserve"> capital requirements and capital structure.  </w:t>
      </w:r>
      <w:r>
        <w:rPr>
          <w:rFonts w:ascii="Times New Roman" w:hAnsi="Times New Roman" w:cs="Times New Roman"/>
        </w:rPr>
        <w:t>The Company</w:t>
      </w:r>
      <w:r w:rsidR="004370E9" w:rsidRPr="004F6500">
        <w:rPr>
          <w:rFonts w:ascii="Times New Roman" w:hAnsi="Times New Roman" w:cs="Times New Roman"/>
        </w:rPr>
        <w:t xml:space="preserve"> make</w:t>
      </w:r>
      <w:r>
        <w:rPr>
          <w:rFonts w:ascii="Times New Roman" w:hAnsi="Times New Roman" w:cs="Times New Roman"/>
        </w:rPr>
        <w:t>s</w:t>
      </w:r>
      <w:r w:rsidR="004370E9" w:rsidRPr="004F6500">
        <w:rPr>
          <w:rFonts w:ascii="Times New Roman" w:hAnsi="Times New Roman" w:cs="Times New Roman"/>
        </w:rPr>
        <w:t xml:space="preserve"> adjustments to </w:t>
      </w:r>
      <w:r>
        <w:rPr>
          <w:rFonts w:ascii="Times New Roman" w:hAnsi="Times New Roman" w:cs="Times New Roman"/>
        </w:rPr>
        <w:t>its</w:t>
      </w:r>
      <w:r w:rsidR="004370E9" w:rsidRPr="004F6500">
        <w:rPr>
          <w:rFonts w:ascii="Times New Roman" w:hAnsi="Times New Roman" w:cs="Times New Roman"/>
        </w:rPr>
        <w:t xml:space="preserve"> capital structure in light of changes in economic conditions and the risk characteristics of </w:t>
      </w:r>
      <w:r>
        <w:rPr>
          <w:rFonts w:ascii="Times New Roman" w:hAnsi="Times New Roman" w:cs="Times New Roman"/>
        </w:rPr>
        <w:t>its</w:t>
      </w:r>
      <w:r w:rsidR="004370E9" w:rsidRPr="004F6500">
        <w:rPr>
          <w:rFonts w:ascii="Times New Roman" w:hAnsi="Times New Roman" w:cs="Times New Roman"/>
        </w:rPr>
        <w:t xml:space="preserve"> assets.  To maintain or adjust </w:t>
      </w:r>
      <w:r>
        <w:rPr>
          <w:rFonts w:ascii="Times New Roman" w:hAnsi="Times New Roman" w:cs="Times New Roman"/>
        </w:rPr>
        <w:t>its</w:t>
      </w:r>
      <w:r w:rsidR="004370E9" w:rsidRPr="004F6500">
        <w:rPr>
          <w:rFonts w:ascii="Times New Roman" w:hAnsi="Times New Roman" w:cs="Times New Roman"/>
        </w:rPr>
        <w:t xml:space="preserve"> capital structure, </w:t>
      </w:r>
      <w:r w:rsidR="00CA0D0C">
        <w:rPr>
          <w:rFonts w:ascii="Times New Roman" w:hAnsi="Times New Roman" w:cs="Times New Roman"/>
        </w:rPr>
        <w:t>BetterLife</w:t>
      </w:r>
      <w:r w:rsidR="004370E9" w:rsidRPr="004F6500">
        <w:rPr>
          <w:rFonts w:ascii="Times New Roman" w:hAnsi="Times New Roman" w:cs="Times New Roman"/>
        </w:rPr>
        <w:t xml:space="preserve"> may issue new common shares or debenture, acquire or dispose of assets or adjust the amount of cash.  As of </w:t>
      </w:r>
      <w:r w:rsidR="00F8064D">
        <w:rPr>
          <w:rFonts w:ascii="Times New Roman" w:hAnsi="Times New Roman" w:cs="Times New Roman"/>
        </w:rPr>
        <w:t>October</w:t>
      </w:r>
      <w:r w:rsidR="004370E9" w:rsidRPr="004F6500">
        <w:rPr>
          <w:rFonts w:ascii="Times New Roman" w:hAnsi="Times New Roman" w:cs="Times New Roman"/>
        </w:rPr>
        <w:t xml:space="preserve"> 31, 2019, </w:t>
      </w:r>
      <w:r>
        <w:rPr>
          <w:rFonts w:ascii="Times New Roman" w:hAnsi="Times New Roman" w:cs="Times New Roman"/>
        </w:rPr>
        <w:t>the Company</w:t>
      </w:r>
      <w:r w:rsidR="004370E9" w:rsidRPr="004F6500">
        <w:rPr>
          <w:rFonts w:ascii="Times New Roman" w:hAnsi="Times New Roman" w:cs="Times New Roman"/>
        </w:rPr>
        <w:t xml:space="preserve"> believe</w:t>
      </w:r>
      <w:r>
        <w:rPr>
          <w:rFonts w:ascii="Times New Roman" w:hAnsi="Times New Roman" w:cs="Times New Roman"/>
        </w:rPr>
        <w:t>s</w:t>
      </w:r>
      <w:r w:rsidR="004370E9" w:rsidRPr="004F6500">
        <w:rPr>
          <w:rFonts w:ascii="Times New Roman" w:hAnsi="Times New Roman" w:cs="Times New Roman"/>
        </w:rPr>
        <w:t xml:space="preserve"> </w:t>
      </w:r>
      <w:r>
        <w:rPr>
          <w:rFonts w:ascii="Times New Roman" w:hAnsi="Times New Roman" w:cs="Times New Roman"/>
        </w:rPr>
        <w:t>it has</w:t>
      </w:r>
      <w:r w:rsidR="004370E9" w:rsidRPr="004F6500">
        <w:rPr>
          <w:rFonts w:ascii="Times New Roman" w:hAnsi="Times New Roman" w:cs="Times New Roman"/>
        </w:rPr>
        <w:t xml:space="preserve"> adequate available liquidity to meet operating requirements and fund product development initiatives and capital expenditures.  While </w:t>
      </w:r>
      <w:r>
        <w:rPr>
          <w:rFonts w:ascii="Times New Roman" w:hAnsi="Times New Roman" w:cs="Times New Roman"/>
        </w:rPr>
        <w:t>the Company</w:t>
      </w:r>
      <w:r w:rsidR="004370E9" w:rsidRPr="004F6500">
        <w:rPr>
          <w:rFonts w:ascii="Times New Roman" w:hAnsi="Times New Roman" w:cs="Times New Roman"/>
        </w:rPr>
        <w:t xml:space="preserve"> has incurred losses to date, with an accumulated deficit of $</w:t>
      </w:r>
      <w:r w:rsidR="00F8064D" w:rsidRPr="00F8064D">
        <w:rPr>
          <w:rFonts w:ascii="Times New Roman" w:hAnsi="Times New Roman" w:cs="Times New Roman"/>
        </w:rPr>
        <w:t>43,986,179</w:t>
      </w:r>
      <w:r w:rsidR="00F8064D">
        <w:rPr>
          <w:rFonts w:ascii="Times New Roman" w:hAnsi="Times New Roman" w:cs="Times New Roman"/>
        </w:rPr>
        <w:t xml:space="preserve"> </w:t>
      </w:r>
      <w:r w:rsidR="004370E9" w:rsidRPr="004F6500">
        <w:rPr>
          <w:rFonts w:ascii="Times New Roman" w:hAnsi="Times New Roman" w:cs="Times New Roman"/>
        </w:rPr>
        <w:t xml:space="preserve">at </w:t>
      </w:r>
      <w:r w:rsidR="00F8064D">
        <w:rPr>
          <w:rFonts w:ascii="Times New Roman" w:hAnsi="Times New Roman" w:cs="Times New Roman"/>
        </w:rPr>
        <w:t>October</w:t>
      </w:r>
      <w:r w:rsidR="004370E9" w:rsidRPr="004F6500">
        <w:rPr>
          <w:rFonts w:ascii="Times New Roman" w:hAnsi="Times New Roman" w:cs="Times New Roman"/>
        </w:rPr>
        <w:t xml:space="preserve"> 31, 2019, management anticipates the success and eventual profitability from commercialization of </w:t>
      </w:r>
      <w:r w:rsidR="00CA0D0C">
        <w:rPr>
          <w:rFonts w:ascii="Times New Roman" w:hAnsi="Times New Roman" w:cs="Times New Roman"/>
        </w:rPr>
        <w:t>BetterLife</w:t>
      </w:r>
      <w:r>
        <w:rPr>
          <w:rFonts w:ascii="Times New Roman" w:hAnsi="Times New Roman" w:cs="Times New Roman"/>
        </w:rPr>
        <w:t>’s</w:t>
      </w:r>
      <w:r w:rsidR="004370E9" w:rsidRPr="004F6500">
        <w:rPr>
          <w:rFonts w:ascii="Times New Roman" w:hAnsi="Times New Roman" w:cs="Times New Roman"/>
        </w:rPr>
        <w:t xml:space="preserve"> product portfolio. </w:t>
      </w:r>
      <w:r>
        <w:rPr>
          <w:rFonts w:ascii="Times New Roman" w:hAnsi="Times New Roman" w:cs="Times New Roman"/>
        </w:rPr>
        <w:t>The Company</w:t>
      </w:r>
      <w:r w:rsidR="004370E9" w:rsidRPr="004F6500">
        <w:rPr>
          <w:rFonts w:ascii="Times New Roman" w:hAnsi="Times New Roman" w:cs="Times New Roman"/>
        </w:rPr>
        <w:t xml:space="preserve"> also ensures that it has access to public capital markets.  However, there can be no assurance that </w:t>
      </w:r>
      <w:r>
        <w:rPr>
          <w:rFonts w:ascii="Times New Roman" w:hAnsi="Times New Roman" w:cs="Times New Roman"/>
        </w:rPr>
        <w:t>it</w:t>
      </w:r>
      <w:r w:rsidR="004370E9" w:rsidRPr="004F6500">
        <w:rPr>
          <w:rFonts w:ascii="Times New Roman" w:hAnsi="Times New Roman" w:cs="Times New Roman"/>
        </w:rPr>
        <w:t xml:space="preserve"> will gain adequate market acceptance for its products or be able to generate sufficient positive cash flow to achieve its business plans. Therefore, </w:t>
      </w:r>
      <w:r>
        <w:rPr>
          <w:rFonts w:ascii="Times New Roman" w:hAnsi="Times New Roman" w:cs="Times New Roman"/>
        </w:rPr>
        <w:t>the Company</w:t>
      </w:r>
      <w:r w:rsidR="004370E9" w:rsidRPr="004F6500">
        <w:rPr>
          <w:rFonts w:ascii="Times New Roman" w:hAnsi="Times New Roman" w:cs="Times New Roman"/>
        </w:rPr>
        <w:t xml:space="preserve"> is subject to risks including, but not limited to, its inability to raise additional funds through equity and/or debt financing to support ongoing operations. See “Risks and Uncertainties”.</w:t>
      </w:r>
    </w:p>
    <w:p w14:paraId="5EC0960F" w14:textId="77777777" w:rsidR="004370E9" w:rsidRPr="004F6500" w:rsidRDefault="004370E9" w:rsidP="004F6500">
      <w:pPr>
        <w:spacing w:after="0" w:line="254" w:lineRule="auto"/>
        <w:jc w:val="both"/>
        <w:rPr>
          <w:rFonts w:ascii="Times New Roman" w:hAnsi="Times New Roman" w:cs="Times New Roman"/>
          <w:b/>
        </w:rPr>
      </w:pPr>
    </w:p>
    <w:p w14:paraId="1D49B377" w14:textId="77777777" w:rsidR="004370E9" w:rsidRPr="004F6500" w:rsidRDefault="00BB2296" w:rsidP="004F6500">
      <w:pPr>
        <w:spacing w:after="0" w:line="254" w:lineRule="auto"/>
        <w:jc w:val="both"/>
        <w:rPr>
          <w:rFonts w:ascii="Times New Roman" w:hAnsi="Times New Roman" w:cs="Times New Roman"/>
          <w:b/>
        </w:rPr>
      </w:pPr>
      <w:r>
        <w:rPr>
          <w:rFonts w:ascii="Times New Roman" w:hAnsi="Times New Roman" w:cs="Times New Roman"/>
          <w:b/>
        </w:rPr>
        <w:t>Working C</w:t>
      </w:r>
      <w:r w:rsidR="004370E9" w:rsidRPr="004F6500">
        <w:rPr>
          <w:rFonts w:ascii="Times New Roman" w:hAnsi="Times New Roman" w:cs="Times New Roman"/>
          <w:b/>
        </w:rPr>
        <w:t>apital</w:t>
      </w:r>
    </w:p>
    <w:p w14:paraId="2F7692EE" w14:textId="77777777" w:rsidR="004370E9" w:rsidRPr="004F6500" w:rsidRDefault="004370E9" w:rsidP="004F6500">
      <w:pPr>
        <w:spacing w:after="0" w:line="254" w:lineRule="auto"/>
        <w:jc w:val="both"/>
        <w:rPr>
          <w:rFonts w:ascii="Times New Roman" w:hAnsi="Times New Roman" w:cs="Times New Roman"/>
        </w:rPr>
      </w:pPr>
    </w:p>
    <w:p w14:paraId="72EF7EDD" w14:textId="052CE266" w:rsidR="00F60052" w:rsidRPr="004F6500" w:rsidRDefault="00F6005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The following table presents </w:t>
      </w:r>
      <w:r w:rsidR="004370E9" w:rsidRPr="004F6500">
        <w:rPr>
          <w:rFonts w:ascii="Times New Roman" w:hAnsi="Times New Roman" w:cs="Times New Roman"/>
        </w:rPr>
        <w:t>the Company’s working capital</w:t>
      </w:r>
      <w:r w:rsidRPr="004F6500">
        <w:rPr>
          <w:rFonts w:ascii="Times New Roman" w:hAnsi="Times New Roman" w:cs="Times New Roman"/>
        </w:rPr>
        <w:t xml:space="preserve"> as at </w:t>
      </w:r>
      <w:r w:rsidR="00F1577A">
        <w:rPr>
          <w:rFonts w:ascii="Times New Roman" w:hAnsi="Times New Roman" w:cs="Times New Roman"/>
        </w:rPr>
        <w:t>October</w:t>
      </w:r>
      <w:r w:rsidRPr="004F6500">
        <w:rPr>
          <w:rFonts w:ascii="Times New Roman" w:hAnsi="Times New Roman" w:cs="Times New Roman"/>
        </w:rPr>
        <w:t xml:space="preserve"> 31, 2019, January 31, 2019 and February 1, 2018 (date of transition to IFRS):</w:t>
      </w:r>
    </w:p>
    <w:p w14:paraId="68E2CC49" w14:textId="77777777" w:rsidR="00AB402B" w:rsidRPr="004F6500" w:rsidRDefault="00AB402B" w:rsidP="004F6500">
      <w:pPr>
        <w:spacing w:after="0" w:line="254" w:lineRule="auto"/>
        <w:jc w:val="both"/>
        <w:rPr>
          <w:rFonts w:ascii="Times New Roman" w:hAnsi="Times New Roman" w:cs="Times New Roman"/>
          <w:b/>
        </w:rPr>
      </w:pPr>
    </w:p>
    <w:tbl>
      <w:tblPr>
        <w:tblStyle w:val="TableGrid"/>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1798"/>
        <w:gridCol w:w="1711"/>
        <w:gridCol w:w="1713"/>
      </w:tblGrid>
      <w:tr w:rsidR="00724A80" w:rsidRPr="004F6500" w14:paraId="3165D5B6" w14:textId="77777777" w:rsidTr="00D70643">
        <w:tc>
          <w:tcPr>
            <w:tcW w:w="4225" w:type="dxa"/>
          </w:tcPr>
          <w:p w14:paraId="5FC3EADA" w14:textId="77777777" w:rsidR="00724A80" w:rsidRPr="004F6500" w:rsidRDefault="00724A80" w:rsidP="004F6500">
            <w:pPr>
              <w:spacing w:line="254" w:lineRule="auto"/>
              <w:jc w:val="center"/>
              <w:rPr>
                <w:sz w:val="22"/>
              </w:rPr>
            </w:pPr>
          </w:p>
        </w:tc>
        <w:tc>
          <w:tcPr>
            <w:tcW w:w="1798" w:type="dxa"/>
            <w:tcBorders>
              <w:bottom w:val="single" w:sz="4" w:space="0" w:color="auto"/>
            </w:tcBorders>
          </w:tcPr>
          <w:p w14:paraId="7A15A155" w14:textId="56C89A42" w:rsidR="00724A80" w:rsidRPr="004F6500" w:rsidRDefault="00F1577A" w:rsidP="004F6500">
            <w:pPr>
              <w:spacing w:line="254" w:lineRule="auto"/>
              <w:jc w:val="center"/>
              <w:rPr>
                <w:b/>
                <w:sz w:val="22"/>
              </w:rPr>
            </w:pPr>
            <w:r>
              <w:rPr>
                <w:b/>
                <w:sz w:val="22"/>
              </w:rPr>
              <w:t>October</w:t>
            </w:r>
            <w:r w:rsidR="00724A80" w:rsidRPr="004F6500">
              <w:rPr>
                <w:b/>
                <w:sz w:val="22"/>
              </w:rPr>
              <w:t xml:space="preserve"> 31,</w:t>
            </w:r>
          </w:p>
          <w:p w14:paraId="2ADB288D" w14:textId="77777777" w:rsidR="00724A80" w:rsidRPr="004F6500" w:rsidRDefault="00724A80" w:rsidP="004F6500">
            <w:pPr>
              <w:spacing w:line="254" w:lineRule="auto"/>
              <w:jc w:val="center"/>
              <w:rPr>
                <w:b/>
                <w:sz w:val="22"/>
              </w:rPr>
            </w:pPr>
            <w:r w:rsidRPr="004F6500">
              <w:rPr>
                <w:b/>
                <w:sz w:val="22"/>
              </w:rPr>
              <w:t>2019</w:t>
            </w:r>
          </w:p>
        </w:tc>
        <w:tc>
          <w:tcPr>
            <w:tcW w:w="1711" w:type="dxa"/>
            <w:tcBorders>
              <w:bottom w:val="single" w:sz="4" w:space="0" w:color="auto"/>
            </w:tcBorders>
          </w:tcPr>
          <w:p w14:paraId="34AF67A4" w14:textId="77777777" w:rsidR="00724A80" w:rsidRPr="004F6500" w:rsidRDefault="00724A80" w:rsidP="004F6500">
            <w:pPr>
              <w:spacing w:line="254" w:lineRule="auto"/>
              <w:jc w:val="center"/>
              <w:rPr>
                <w:b/>
                <w:sz w:val="22"/>
              </w:rPr>
            </w:pPr>
            <w:r w:rsidRPr="004F6500">
              <w:rPr>
                <w:b/>
                <w:sz w:val="22"/>
              </w:rPr>
              <w:t>January 31,</w:t>
            </w:r>
          </w:p>
          <w:p w14:paraId="4827BDD1" w14:textId="77777777" w:rsidR="00724A80" w:rsidRPr="004F6500" w:rsidRDefault="00724A80" w:rsidP="004F6500">
            <w:pPr>
              <w:spacing w:line="254" w:lineRule="auto"/>
              <w:jc w:val="center"/>
              <w:rPr>
                <w:b/>
                <w:sz w:val="22"/>
              </w:rPr>
            </w:pPr>
            <w:r w:rsidRPr="004F6500">
              <w:rPr>
                <w:b/>
                <w:sz w:val="22"/>
              </w:rPr>
              <w:t>2019</w:t>
            </w:r>
          </w:p>
        </w:tc>
        <w:tc>
          <w:tcPr>
            <w:tcW w:w="1713" w:type="dxa"/>
            <w:tcBorders>
              <w:bottom w:val="single" w:sz="4" w:space="0" w:color="auto"/>
            </w:tcBorders>
          </w:tcPr>
          <w:p w14:paraId="37A9E074" w14:textId="77777777" w:rsidR="00724A80" w:rsidRPr="004F6500" w:rsidRDefault="00724A80" w:rsidP="004F6500">
            <w:pPr>
              <w:spacing w:line="254" w:lineRule="auto"/>
              <w:jc w:val="center"/>
              <w:rPr>
                <w:b/>
                <w:sz w:val="22"/>
              </w:rPr>
            </w:pPr>
            <w:r w:rsidRPr="004F6500">
              <w:rPr>
                <w:b/>
                <w:sz w:val="22"/>
              </w:rPr>
              <w:t>February 1,</w:t>
            </w:r>
          </w:p>
          <w:p w14:paraId="0B14A0B4" w14:textId="77777777" w:rsidR="00724A80" w:rsidRPr="004F6500" w:rsidRDefault="00724A80" w:rsidP="004F6500">
            <w:pPr>
              <w:spacing w:line="254" w:lineRule="auto"/>
              <w:jc w:val="center"/>
              <w:rPr>
                <w:b/>
                <w:sz w:val="22"/>
              </w:rPr>
            </w:pPr>
            <w:r w:rsidRPr="004F6500">
              <w:rPr>
                <w:b/>
                <w:sz w:val="22"/>
              </w:rPr>
              <w:t>2018</w:t>
            </w:r>
          </w:p>
        </w:tc>
      </w:tr>
      <w:tr w:rsidR="00724A80" w:rsidRPr="004F6500" w14:paraId="57147D7D" w14:textId="77777777" w:rsidTr="00D70643">
        <w:tc>
          <w:tcPr>
            <w:tcW w:w="4225" w:type="dxa"/>
          </w:tcPr>
          <w:p w14:paraId="2AC46310" w14:textId="77777777" w:rsidR="00724A80" w:rsidRPr="004F6500" w:rsidRDefault="004370E9" w:rsidP="004F6500">
            <w:pPr>
              <w:spacing w:line="254" w:lineRule="auto"/>
              <w:jc w:val="both"/>
              <w:rPr>
                <w:sz w:val="22"/>
              </w:rPr>
            </w:pPr>
            <w:r w:rsidRPr="004F6500">
              <w:rPr>
                <w:sz w:val="22"/>
              </w:rPr>
              <w:t>Current assets</w:t>
            </w:r>
          </w:p>
        </w:tc>
        <w:tc>
          <w:tcPr>
            <w:tcW w:w="1798" w:type="dxa"/>
            <w:tcBorders>
              <w:top w:val="single" w:sz="4" w:space="0" w:color="auto"/>
            </w:tcBorders>
          </w:tcPr>
          <w:p w14:paraId="4B191C47" w14:textId="63C3E03A" w:rsidR="00724A80" w:rsidRPr="004F6500" w:rsidRDefault="009275CA" w:rsidP="004F6500">
            <w:pPr>
              <w:spacing w:line="254" w:lineRule="auto"/>
              <w:jc w:val="right"/>
              <w:rPr>
                <w:sz w:val="22"/>
              </w:rPr>
            </w:pPr>
            <w:r>
              <w:rPr>
                <w:sz w:val="22"/>
              </w:rPr>
              <w:t>$7,598,224</w:t>
            </w:r>
          </w:p>
        </w:tc>
        <w:tc>
          <w:tcPr>
            <w:tcW w:w="1711" w:type="dxa"/>
            <w:tcBorders>
              <w:top w:val="single" w:sz="4" w:space="0" w:color="auto"/>
            </w:tcBorders>
          </w:tcPr>
          <w:p w14:paraId="1D5EA3DD" w14:textId="77777777" w:rsidR="00724A80" w:rsidRPr="004F6500" w:rsidRDefault="004370E9" w:rsidP="004F6500">
            <w:pPr>
              <w:spacing w:line="254" w:lineRule="auto"/>
              <w:jc w:val="right"/>
              <w:rPr>
                <w:sz w:val="22"/>
              </w:rPr>
            </w:pPr>
            <w:r w:rsidRPr="004F6500">
              <w:rPr>
                <w:sz w:val="22"/>
              </w:rPr>
              <w:t>$241,874</w:t>
            </w:r>
          </w:p>
        </w:tc>
        <w:tc>
          <w:tcPr>
            <w:tcW w:w="1713" w:type="dxa"/>
            <w:tcBorders>
              <w:top w:val="single" w:sz="4" w:space="0" w:color="auto"/>
            </w:tcBorders>
          </w:tcPr>
          <w:p w14:paraId="52C1277B" w14:textId="77777777" w:rsidR="00724A80" w:rsidRPr="004F6500" w:rsidRDefault="004370E9" w:rsidP="004F6500">
            <w:pPr>
              <w:spacing w:line="254" w:lineRule="auto"/>
              <w:jc w:val="right"/>
              <w:rPr>
                <w:sz w:val="22"/>
              </w:rPr>
            </w:pPr>
            <w:r w:rsidRPr="004F6500">
              <w:rPr>
                <w:sz w:val="22"/>
              </w:rPr>
              <w:t>$183,477</w:t>
            </w:r>
          </w:p>
        </w:tc>
      </w:tr>
      <w:tr w:rsidR="00724A80" w:rsidRPr="004F6500" w14:paraId="2856129E" w14:textId="77777777" w:rsidTr="004F6500">
        <w:tc>
          <w:tcPr>
            <w:tcW w:w="4225" w:type="dxa"/>
          </w:tcPr>
          <w:p w14:paraId="481EFC27" w14:textId="77777777" w:rsidR="00724A80" w:rsidRPr="004F6500" w:rsidRDefault="004370E9" w:rsidP="004F6500">
            <w:pPr>
              <w:spacing w:line="254" w:lineRule="auto"/>
              <w:jc w:val="both"/>
              <w:rPr>
                <w:sz w:val="22"/>
              </w:rPr>
            </w:pPr>
            <w:r w:rsidRPr="004F6500">
              <w:rPr>
                <w:sz w:val="22"/>
              </w:rPr>
              <w:t>Current liabilities</w:t>
            </w:r>
          </w:p>
        </w:tc>
        <w:tc>
          <w:tcPr>
            <w:tcW w:w="1798" w:type="dxa"/>
          </w:tcPr>
          <w:p w14:paraId="67BC328A" w14:textId="08F32A65" w:rsidR="00724A80" w:rsidRPr="004F6500" w:rsidRDefault="009275CA" w:rsidP="004F6500">
            <w:pPr>
              <w:spacing w:line="254" w:lineRule="auto"/>
              <w:jc w:val="right"/>
              <w:rPr>
                <w:sz w:val="22"/>
              </w:rPr>
            </w:pPr>
            <w:r>
              <w:rPr>
                <w:sz w:val="22"/>
              </w:rPr>
              <w:t>$703,680</w:t>
            </w:r>
          </w:p>
        </w:tc>
        <w:tc>
          <w:tcPr>
            <w:tcW w:w="1711" w:type="dxa"/>
          </w:tcPr>
          <w:p w14:paraId="39EBD830" w14:textId="77777777" w:rsidR="00724A80" w:rsidRPr="004F6500" w:rsidRDefault="004370E9" w:rsidP="004F6500">
            <w:pPr>
              <w:spacing w:line="254" w:lineRule="auto"/>
              <w:jc w:val="right"/>
              <w:rPr>
                <w:sz w:val="22"/>
              </w:rPr>
            </w:pPr>
            <w:r w:rsidRPr="004F6500">
              <w:rPr>
                <w:sz w:val="22"/>
              </w:rPr>
              <w:t>$5,339,427</w:t>
            </w:r>
          </w:p>
        </w:tc>
        <w:tc>
          <w:tcPr>
            <w:tcW w:w="1713" w:type="dxa"/>
          </w:tcPr>
          <w:p w14:paraId="27D16D2D" w14:textId="77777777" w:rsidR="00724A80" w:rsidRPr="004F6500" w:rsidRDefault="004370E9" w:rsidP="004F6500">
            <w:pPr>
              <w:spacing w:line="254" w:lineRule="auto"/>
              <w:jc w:val="right"/>
              <w:rPr>
                <w:sz w:val="22"/>
              </w:rPr>
            </w:pPr>
            <w:r w:rsidRPr="004F6500">
              <w:rPr>
                <w:sz w:val="22"/>
              </w:rPr>
              <w:t>$527,618</w:t>
            </w:r>
          </w:p>
        </w:tc>
      </w:tr>
      <w:tr w:rsidR="00724A80" w:rsidRPr="004F6500" w14:paraId="3CEC1CB1" w14:textId="77777777" w:rsidTr="004F6500">
        <w:tc>
          <w:tcPr>
            <w:tcW w:w="4225" w:type="dxa"/>
          </w:tcPr>
          <w:p w14:paraId="091504E1" w14:textId="77777777" w:rsidR="00724A80" w:rsidRPr="004F6500" w:rsidRDefault="004370E9" w:rsidP="004F6500">
            <w:pPr>
              <w:spacing w:line="254" w:lineRule="auto"/>
              <w:jc w:val="both"/>
              <w:rPr>
                <w:sz w:val="22"/>
              </w:rPr>
            </w:pPr>
            <w:r w:rsidRPr="004F6500">
              <w:rPr>
                <w:sz w:val="22"/>
              </w:rPr>
              <w:t>Working capital (deficit)</w:t>
            </w:r>
          </w:p>
        </w:tc>
        <w:tc>
          <w:tcPr>
            <w:tcW w:w="1798" w:type="dxa"/>
            <w:tcBorders>
              <w:bottom w:val="single" w:sz="4" w:space="0" w:color="auto"/>
            </w:tcBorders>
          </w:tcPr>
          <w:p w14:paraId="0668D82D" w14:textId="21EB23F6" w:rsidR="00724A80" w:rsidRPr="004F6500" w:rsidRDefault="009275CA" w:rsidP="004F6500">
            <w:pPr>
              <w:spacing w:line="254" w:lineRule="auto"/>
              <w:jc w:val="right"/>
              <w:rPr>
                <w:sz w:val="22"/>
              </w:rPr>
            </w:pPr>
            <w:r>
              <w:rPr>
                <w:sz w:val="22"/>
              </w:rPr>
              <w:t>$6,894,544</w:t>
            </w:r>
          </w:p>
        </w:tc>
        <w:tc>
          <w:tcPr>
            <w:tcW w:w="1711" w:type="dxa"/>
            <w:tcBorders>
              <w:bottom w:val="single" w:sz="4" w:space="0" w:color="auto"/>
            </w:tcBorders>
          </w:tcPr>
          <w:p w14:paraId="7F39DECE" w14:textId="77777777" w:rsidR="00724A80" w:rsidRPr="004F6500" w:rsidRDefault="004370E9" w:rsidP="004F6500">
            <w:pPr>
              <w:spacing w:line="254" w:lineRule="auto"/>
              <w:jc w:val="right"/>
              <w:rPr>
                <w:sz w:val="22"/>
              </w:rPr>
            </w:pPr>
            <w:r w:rsidRPr="004F6500">
              <w:rPr>
                <w:sz w:val="22"/>
              </w:rPr>
              <w:t>$(5,097,553)</w:t>
            </w:r>
          </w:p>
        </w:tc>
        <w:tc>
          <w:tcPr>
            <w:tcW w:w="1713" w:type="dxa"/>
            <w:tcBorders>
              <w:bottom w:val="single" w:sz="4" w:space="0" w:color="auto"/>
            </w:tcBorders>
          </w:tcPr>
          <w:p w14:paraId="6A258855" w14:textId="77777777" w:rsidR="00724A80" w:rsidRPr="004F6500" w:rsidRDefault="004370E9" w:rsidP="004F6500">
            <w:pPr>
              <w:spacing w:line="254" w:lineRule="auto"/>
              <w:jc w:val="right"/>
              <w:rPr>
                <w:sz w:val="22"/>
              </w:rPr>
            </w:pPr>
            <w:r w:rsidRPr="004F6500">
              <w:rPr>
                <w:sz w:val="22"/>
              </w:rPr>
              <w:t>$(344,141)</w:t>
            </w:r>
          </w:p>
        </w:tc>
      </w:tr>
    </w:tbl>
    <w:p w14:paraId="491576C9" w14:textId="77777777" w:rsidR="00496CAE" w:rsidRPr="004F6500" w:rsidRDefault="00496CAE" w:rsidP="004F6500">
      <w:pPr>
        <w:spacing w:after="0" w:line="254" w:lineRule="auto"/>
        <w:jc w:val="both"/>
        <w:rPr>
          <w:rFonts w:ascii="Times New Roman" w:hAnsi="Times New Roman" w:cs="Times New Roman"/>
        </w:rPr>
      </w:pPr>
    </w:p>
    <w:p w14:paraId="577AD79B" w14:textId="783F6AF7" w:rsidR="00724A80" w:rsidRPr="004F6500" w:rsidRDefault="005B0635" w:rsidP="004F6500">
      <w:pPr>
        <w:spacing w:after="0" w:line="254" w:lineRule="auto"/>
        <w:jc w:val="both"/>
        <w:rPr>
          <w:rFonts w:ascii="Times New Roman" w:hAnsi="Times New Roman" w:cs="Times New Roman"/>
        </w:rPr>
      </w:pPr>
      <w:r w:rsidRPr="00141887">
        <w:rPr>
          <w:rFonts w:ascii="Times New Roman" w:hAnsi="Times New Roman" w:cs="Times New Roman"/>
        </w:rPr>
        <w:t xml:space="preserve">As at </w:t>
      </w:r>
      <w:r w:rsidR="00F8064D">
        <w:rPr>
          <w:rFonts w:ascii="Times New Roman" w:hAnsi="Times New Roman" w:cs="Times New Roman"/>
        </w:rPr>
        <w:t>October</w:t>
      </w:r>
      <w:r w:rsidRPr="00141887">
        <w:rPr>
          <w:rFonts w:ascii="Times New Roman" w:hAnsi="Times New Roman" w:cs="Times New Roman"/>
        </w:rPr>
        <w:t xml:space="preserve"> 31, 2019, </w:t>
      </w:r>
      <w:r w:rsidR="00B37E52" w:rsidRPr="00141887">
        <w:rPr>
          <w:rFonts w:ascii="Times New Roman" w:hAnsi="Times New Roman" w:cs="Times New Roman"/>
        </w:rPr>
        <w:t>current assets increased from $241,874 at January 31, 2019 to $</w:t>
      </w:r>
      <w:r w:rsidR="00F8064D" w:rsidRPr="00F8064D">
        <w:rPr>
          <w:rFonts w:ascii="Times New Roman" w:hAnsi="Times New Roman" w:cs="Times New Roman"/>
        </w:rPr>
        <w:t>7,598,224</w:t>
      </w:r>
      <w:r w:rsidR="00B37E52" w:rsidRPr="00141887">
        <w:rPr>
          <w:rFonts w:ascii="Times New Roman" w:hAnsi="Times New Roman" w:cs="Times New Roman"/>
        </w:rPr>
        <w:t xml:space="preserve">.  Included in current assets at </w:t>
      </w:r>
      <w:r w:rsidR="00F8064D">
        <w:rPr>
          <w:rFonts w:ascii="Times New Roman" w:hAnsi="Times New Roman" w:cs="Times New Roman"/>
        </w:rPr>
        <w:t>October</w:t>
      </w:r>
      <w:r w:rsidR="00B37E52" w:rsidRPr="00141887">
        <w:rPr>
          <w:rFonts w:ascii="Times New Roman" w:hAnsi="Times New Roman" w:cs="Times New Roman"/>
        </w:rPr>
        <w:t xml:space="preserve"> 31, 2019 are</w:t>
      </w:r>
      <w:r w:rsidRPr="00141887">
        <w:rPr>
          <w:rFonts w:ascii="Times New Roman" w:hAnsi="Times New Roman" w:cs="Times New Roman"/>
        </w:rPr>
        <w:t xml:space="preserve"> cash of $</w:t>
      </w:r>
      <w:r w:rsidR="00F8064D" w:rsidRPr="00F8064D">
        <w:rPr>
          <w:rFonts w:ascii="Times New Roman" w:hAnsi="Times New Roman" w:cs="Times New Roman"/>
        </w:rPr>
        <w:t>5,750,974</w:t>
      </w:r>
      <w:r w:rsidR="00F8064D">
        <w:rPr>
          <w:rFonts w:ascii="Times New Roman" w:hAnsi="Times New Roman" w:cs="Times New Roman"/>
        </w:rPr>
        <w:t xml:space="preserve"> </w:t>
      </w:r>
      <w:r w:rsidR="00B37E52" w:rsidRPr="00141887">
        <w:rPr>
          <w:rFonts w:ascii="Times New Roman" w:hAnsi="Times New Roman" w:cs="Times New Roman"/>
        </w:rPr>
        <w:t xml:space="preserve">and </w:t>
      </w:r>
      <w:r w:rsidR="00F8064D">
        <w:rPr>
          <w:rFonts w:ascii="Times New Roman" w:hAnsi="Times New Roman" w:cs="Times New Roman"/>
        </w:rPr>
        <w:t xml:space="preserve">prepaid </w:t>
      </w:r>
      <w:r w:rsidR="003116A0">
        <w:rPr>
          <w:rFonts w:ascii="Times New Roman" w:hAnsi="Times New Roman" w:cs="Times New Roman"/>
        </w:rPr>
        <w:t>assets</w:t>
      </w:r>
      <w:r w:rsidR="00B37E52" w:rsidRPr="00141887">
        <w:rPr>
          <w:rFonts w:ascii="Times New Roman" w:hAnsi="Times New Roman" w:cs="Times New Roman"/>
        </w:rPr>
        <w:t xml:space="preserve"> of $1,</w:t>
      </w:r>
      <w:r w:rsidR="003116A0">
        <w:rPr>
          <w:rFonts w:ascii="Times New Roman" w:hAnsi="Times New Roman" w:cs="Times New Roman"/>
        </w:rPr>
        <w:t>590,157</w:t>
      </w:r>
      <w:r w:rsidR="00B37E52" w:rsidRPr="00141887">
        <w:rPr>
          <w:rFonts w:ascii="Times New Roman" w:hAnsi="Times New Roman" w:cs="Times New Roman"/>
        </w:rPr>
        <w:t xml:space="preserve">.  Current liabilities at </w:t>
      </w:r>
      <w:r w:rsidR="00F8064D">
        <w:rPr>
          <w:rFonts w:ascii="Times New Roman" w:hAnsi="Times New Roman" w:cs="Times New Roman"/>
        </w:rPr>
        <w:t>October</w:t>
      </w:r>
      <w:r w:rsidR="00B37E52" w:rsidRPr="00141887">
        <w:rPr>
          <w:rFonts w:ascii="Times New Roman" w:hAnsi="Times New Roman" w:cs="Times New Roman"/>
        </w:rPr>
        <w:t xml:space="preserve"> 31, 219 decreased from </w:t>
      </w:r>
      <w:r w:rsidR="00F8064D">
        <w:rPr>
          <w:rFonts w:ascii="Times New Roman" w:hAnsi="Times New Roman" w:cs="Times New Roman"/>
        </w:rPr>
        <w:t xml:space="preserve">$5,339,427 at </w:t>
      </w:r>
      <w:r w:rsidR="00B37E52" w:rsidRPr="00141887">
        <w:rPr>
          <w:rFonts w:ascii="Times New Roman" w:hAnsi="Times New Roman" w:cs="Times New Roman"/>
        </w:rPr>
        <w:t xml:space="preserve">January 31, 2019 </w:t>
      </w:r>
      <w:r w:rsidR="00F8064D">
        <w:rPr>
          <w:rFonts w:ascii="Times New Roman" w:hAnsi="Times New Roman" w:cs="Times New Roman"/>
        </w:rPr>
        <w:t>to $703,680</w:t>
      </w:r>
      <w:r w:rsidR="00B37E52" w:rsidRPr="00141887">
        <w:rPr>
          <w:rFonts w:ascii="Times New Roman" w:hAnsi="Times New Roman" w:cs="Times New Roman"/>
        </w:rPr>
        <w:t xml:space="preserve">.  </w:t>
      </w:r>
      <w:r w:rsidR="00736F15" w:rsidRPr="00141887">
        <w:rPr>
          <w:rFonts w:ascii="Times New Roman" w:hAnsi="Times New Roman" w:cs="Times New Roman"/>
        </w:rPr>
        <w:t xml:space="preserve">The increase in </w:t>
      </w:r>
      <w:r w:rsidR="00B37E52" w:rsidRPr="00141887">
        <w:rPr>
          <w:rFonts w:ascii="Times New Roman" w:hAnsi="Times New Roman" w:cs="Times New Roman"/>
        </w:rPr>
        <w:t>current assets and decrease</w:t>
      </w:r>
      <w:r w:rsidR="00736F15" w:rsidRPr="00141887">
        <w:rPr>
          <w:rFonts w:ascii="Times New Roman" w:hAnsi="Times New Roman" w:cs="Times New Roman"/>
        </w:rPr>
        <w:t xml:space="preserve"> in </w:t>
      </w:r>
      <w:r w:rsidR="00B37E52" w:rsidRPr="00141887">
        <w:rPr>
          <w:rFonts w:ascii="Times New Roman" w:hAnsi="Times New Roman" w:cs="Times New Roman"/>
        </w:rPr>
        <w:t>current liabilities from January 31, 2019 was due to the closing of a non-brokered private placement of $15 million in May 2019</w:t>
      </w:r>
      <w:r w:rsidR="00141887" w:rsidRPr="00141887">
        <w:rPr>
          <w:rFonts w:ascii="Times New Roman" w:hAnsi="Times New Roman" w:cs="Times New Roman"/>
        </w:rPr>
        <w:t xml:space="preserve">.  Proceeds from the private placement were used </w:t>
      </w:r>
      <w:r w:rsidR="00141887">
        <w:rPr>
          <w:rFonts w:ascii="Times New Roman" w:hAnsi="Times New Roman" w:cs="Times New Roman"/>
        </w:rPr>
        <w:t xml:space="preserve">in a purchase order to Solmic for the order of </w:t>
      </w:r>
      <w:r w:rsidR="00141887" w:rsidRPr="004F6500">
        <w:rPr>
          <w:rFonts w:ascii="Times New Roman" w:hAnsi="Times New Roman" w:cs="Times New Roman"/>
        </w:rPr>
        <w:t>micellized CBD Solution</w:t>
      </w:r>
      <w:r w:rsidR="00F8064D">
        <w:rPr>
          <w:rFonts w:ascii="Times New Roman" w:hAnsi="Times New Roman" w:cs="Times New Roman"/>
        </w:rPr>
        <w:t xml:space="preserve">, </w:t>
      </w:r>
      <w:r w:rsidR="00141887" w:rsidRPr="00141887">
        <w:rPr>
          <w:rFonts w:ascii="Times New Roman" w:hAnsi="Times New Roman" w:cs="Times New Roman"/>
        </w:rPr>
        <w:t xml:space="preserve">to </w:t>
      </w:r>
      <w:r w:rsidR="00CA3BF4" w:rsidRPr="00141887">
        <w:rPr>
          <w:rFonts w:ascii="Times New Roman" w:hAnsi="Times New Roman" w:cs="Times New Roman"/>
        </w:rPr>
        <w:t>settle outstanding obligations</w:t>
      </w:r>
      <w:r w:rsidR="00141887" w:rsidRPr="00141887">
        <w:rPr>
          <w:rFonts w:ascii="Times New Roman" w:hAnsi="Times New Roman" w:cs="Times New Roman"/>
        </w:rPr>
        <w:t>, including accounts payable and accrued liabilities, due to related parties, convertible debentures and acquisition obligation</w:t>
      </w:r>
      <w:r w:rsidR="00F8064D">
        <w:rPr>
          <w:rFonts w:ascii="Times New Roman" w:hAnsi="Times New Roman" w:cs="Times New Roman"/>
        </w:rPr>
        <w:t>, and to fund expenditures required for the Company to pursue commercialization of its products in Germany and U.S.</w:t>
      </w:r>
    </w:p>
    <w:p w14:paraId="1EAE464E" w14:textId="77777777" w:rsidR="00461805" w:rsidRPr="004F6500" w:rsidRDefault="00461805" w:rsidP="004F6500">
      <w:pPr>
        <w:spacing w:after="0" w:line="254" w:lineRule="auto"/>
        <w:jc w:val="both"/>
        <w:rPr>
          <w:rFonts w:ascii="Times New Roman" w:hAnsi="Times New Roman" w:cs="Times New Roman"/>
        </w:rPr>
      </w:pPr>
    </w:p>
    <w:p w14:paraId="36E8D575" w14:textId="77777777" w:rsidR="003116A0" w:rsidRDefault="003116A0">
      <w:pPr>
        <w:rPr>
          <w:rFonts w:ascii="Times New Roman" w:hAnsi="Times New Roman" w:cs="Times New Roman"/>
          <w:b/>
        </w:rPr>
      </w:pPr>
      <w:r>
        <w:rPr>
          <w:rFonts w:ascii="Times New Roman" w:hAnsi="Times New Roman" w:cs="Times New Roman"/>
          <w:b/>
        </w:rPr>
        <w:br w:type="page"/>
      </w:r>
    </w:p>
    <w:p w14:paraId="1ECBCE84" w14:textId="33F7724D" w:rsidR="002A2078" w:rsidRPr="004F6500" w:rsidRDefault="002A2078"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Stateme</w:t>
      </w:r>
      <w:r w:rsidR="00B80ECC">
        <w:rPr>
          <w:rFonts w:ascii="Times New Roman" w:hAnsi="Times New Roman" w:cs="Times New Roman"/>
          <w:b/>
        </w:rPr>
        <w:t>nts of Cash F</w:t>
      </w:r>
      <w:r w:rsidRPr="004F6500">
        <w:rPr>
          <w:rFonts w:ascii="Times New Roman" w:hAnsi="Times New Roman" w:cs="Times New Roman"/>
          <w:b/>
        </w:rPr>
        <w:t>lows</w:t>
      </w:r>
    </w:p>
    <w:p w14:paraId="0BBE6FEE" w14:textId="77777777" w:rsidR="002A2078" w:rsidRPr="004F6500" w:rsidRDefault="002A2078" w:rsidP="004F6500">
      <w:pPr>
        <w:spacing w:after="0" w:line="254" w:lineRule="auto"/>
        <w:jc w:val="both"/>
        <w:rPr>
          <w:rFonts w:ascii="Times New Roman" w:hAnsi="Times New Roman" w:cs="Times New Roman"/>
        </w:rPr>
      </w:pPr>
    </w:p>
    <w:p w14:paraId="23D8A600" w14:textId="7C17C83E" w:rsidR="00CA3BF4" w:rsidRPr="004F6500" w:rsidRDefault="00D70643"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The following table presents </w:t>
      </w:r>
      <w:r w:rsidR="00141887">
        <w:rPr>
          <w:rFonts w:ascii="Times New Roman" w:hAnsi="Times New Roman" w:cs="Times New Roman"/>
        </w:rPr>
        <w:t>the Company’s</w:t>
      </w:r>
      <w:r w:rsidRPr="004F6500">
        <w:rPr>
          <w:rFonts w:ascii="Times New Roman" w:hAnsi="Times New Roman" w:cs="Times New Roman"/>
        </w:rPr>
        <w:t xml:space="preserve"> cash flows for the </w:t>
      </w:r>
      <w:r w:rsidR="00F1577A">
        <w:rPr>
          <w:rFonts w:ascii="Times New Roman" w:hAnsi="Times New Roman" w:cs="Times New Roman"/>
        </w:rPr>
        <w:t>nine</w:t>
      </w:r>
      <w:r w:rsidRPr="004F6500">
        <w:rPr>
          <w:rFonts w:ascii="Times New Roman" w:hAnsi="Times New Roman" w:cs="Times New Roman"/>
        </w:rPr>
        <w:t xml:space="preserve"> months ended </w:t>
      </w:r>
      <w:r w:rsidR="00F1577A">
        <w:rPr>
          <w:rFonts w:ascii="Times New Roman" w:hAnsi="Times New Roman" w:cs="Times New Roman"/>
        </w:rPr>
        <w:t>October</w:t>
      </w:r>
      <w:r w:rsidRPr="004F6500">
        <w:rPr>
          <w:rFonts w:ascii="Times New Roman" w:hAnsi="Times New Roman" w:cs="Times New Roman"/>
        </w:rPr>
        <w:t xml:space="preserve"> 31, 2019 and 2018:</w:t>
      </w:r>
    </w:p>
    <w:p w14:paraId="49650BBE" w14:textId="77777777" w:rsidR="00D70643" w:rsidRPr="004F6500" w:rsidRDefault="00D70643" w:rsidP="004F6500">
      <w:pPr>
        <w:spacing w:after="0" w:line="254" w:lineRule="auto"/>
        <w:jc w:val="both"/>
        <w:rPr>
          <w:rFonts w:ascii="Times New Roman" w:hAnsi="Times New Roman" w:cs="Times New Roman"/>
        </w:rPr>
      </w:pPr>
    </w:p>
    <w:tbl>
      <w:tblPr>
        <w:tblStyle w:val="TableGrid"/>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798"/>
        <w:gridCol w:w="1711"/>
      </w:tblGrid>
      <w:tr w:rsidR="00D70643" w:rsidRPr="004F6500" w14:paraId="61B27EC3" w14:textId="77777777" w:rsidTr="00377A7B">
        <w:tc>
          <w:tcPr>
            <w:tcW w:w="5940" w:type="dxa"/>
          </w:tcPr>
          <w:p w14:paraId="44804546" w14:textId="77777777" w:rsidR="00D70643" w:rsidRPr="004F6500" w:rsidRDefault="00D70643" w:rsidP="004F6500">
            <w:pPr>
              <w:spacing w:line="254" w:lineRule="auto"/>
              <w:jc w:val="center"/>
              <w:rPr>
                <w:b/>
                <w:sz w:val="22"/>
              </w:rPr>
            </w:pPr>
          </w:p>
        </w:tc>
        <w:tc>
          <w:tcPr>
            <w:tcW w:w="3509" w:type="dxa"/>
            <w:gridSpan w:val="2"/>
            <w:tcBorders>
              <w:bottom w:val="single" w:sz="4" w:space="0" w:color="auto"/>
            </w:tcBorders>
          </w:tcPr>
          <w:p w14:paraId="07EE72B0" w14:textId="7243EFC1" w:rsidR="00D70643" w:rsidRPr="004F6500" w:rsidRDefault="00F1577A" w:rsidP="004F6500">
            <w:pPr>
              <w:spacing w:line="254" w:lineRule="auto"/>
              <w:jc w:val="center"/>
              <w:rPr>
                <w:b/>
                <w:sz w:val="22"/>
              </w:rPr>
            </w:pPr>
            <w:r>
              <w:rPr>
                <w:b/>
                <w:sz w:val="22"/>
              </w:rPr>
              <w:t>NINE</w:t>
            </w:r>
            <w:r w:rsidR="00D70643" w:rsidRPr="004F6500">
              <w:rPr>
                <w:b/>
                <w:sz w:val="22"/>
              </w:rPr>
              <w:t xml:space="preserve"> MONTHS ENDED</w:t>
            </w:r>
          </w:p>
        </w:tc>
      </w:tr>
      <w:tr w:rsidR="00D70643" w:rsidRPr="004F6500" w14:paraId="686255B7" w14:textId="77777777" w:rsidTr="00377A7B">
        <w:tc>
          <w:tcPr>
            <w:tcW w:w="5940" w:type="dxa"/>
          </w:tcPr>
          <w:p w14:paraId="17B5DADB" w14:textId="77777777" w:rsidR="00D70643" w:rsidRPr="004F6500" w:rsidRDefault="00D70643" w:rsidP="004F6500">
            <w:pPr>
              <w:spacing w:line="254" w:lineRule="auto"/>
              <w:rPr>
                <w:sz w:val="22"/>
              </w:rPr>
            </w:pPr>
          </w:p>
          <w:p w14:paraId="3699B922" w14:textId="77777777" w:rsidR="00D70643" w:rsidRPr="004F6500" w:rsidRDefault="00D70643" w:rsidP="004F6500">
            <w:pPr>
              <w:spacing w:line="254" w:lineRule="auto"/>
              <w:rPr>
                <w:sz w:val="22"/>
              </w:rPr>
            </w:pPr>
            <w:r w:rsidRPr="004F6500">
              <w:rPr>
                <w:sz w:val="22"/>
              </w:rPr>
              <w:t>Net cash provided by (used in):</w:t>
            </w:r>
          </w:p>
        </w:tc>
        <w:tc>
          <w:tcPr>
            <w:tcW w:w="1798" w:type="dxa"/>
            <w:tcBorders>
              <w:top w:val="single" w:sz="4" w:space="0" w:color="auto"/>
              <w:bottom w:val="single" w:sz="4" w:space="0" w:color="auto"/>
            </w:tcBorders>
          </w:tcPr>
          <w:p w14:paraId="42602252" w14:textId="3571F45A" w:rsidR="00D70643" w:rsidRPr="004F6500" w:rsidRDefault="00F1577A" w:rsidP="004F6500">
            <w:pPr>
              <w:spacing w:line="254" w:lineRule="auto"/>
              <w:jc w:val="center"/>
              <w:rPr>
                <w:b/>
                <w:sz w:val="22"/>
              </w:rPr>
            </w:pPr>
            <w:r>
              <w:rPr>
                <w:b/>
                <w:sz w:val="22"/>
              </w:rPr>
              <w:t>October</w:t>
            </w:r>
            <w:r w:rsidR="00D70643" w:rsidRPr="004F6500">
              <w:rPr>
                <w:b/>
                <w:sz w:val="22"/>
              </w:rPr>
              <w:t xml:space="preserve"> 31,</w:t>
            </w:r>
          </w:p>
          <w:p w14:paraId="7D117CE0" w14:textId="77777777" w:rsidR="00D70643" w:rsidRPr="004F6500" w:rsidRDefault="00D70643" w:rsidP="004F6500">
            <w:pPr>
              <w:spacing w:line="254" w:lineRule="auto"/>
              <w:jc w:val="center"/>
              <w:rPr>
                <w:b/>
                <w:sz w:val="22"/>
              </w:rPr>
            </w:pPr>
            <w:r w:rsidRPr="004F6500">
              <w:rPr>
                <w:b/>
                <w:sz w:val="22"/>
              </w:rPr>
              <w:t>2019</w:t>
            </w:r>
          </w:p>
        </w:tc>
        <w:tc>
          <w:tcPr>
            <w:tcW w:w="1711" w:type="dxa"/>
            <w:tcBorders>
              <w:top w:val="single" w:sz="4" w:space="0" w:color="auto"/>
              <w:bottom w:val="single" w:sz="4" w:space="0" w:color="auto"/>
            </w:tcBorders>
          </w:tcPr>
          <w:p w14:paraId="22F09C75" w14:textId="3F4C17B2" w:rsidR="00D70643" w:rsidRPr="004F6500" w:rsidRDefault="00F1577A" w:rsidP="004F6500">
            <w:pPr>
              <w:spacing w:line="254" w:lineRule="auto"/>
              <w:jc w:val="center"/>
              <w:rPr>
                <w:b/>
                <w:sz w:val="22"/>
              </w:rPr>
            </w:pPr>
            <w:r>
              <w:rPr>
                <w:b/>
                <w:sz w:val="22"/>
              </w:rPr>
              <w:t>October</w:t>
            </w:r>
            <w:r w:rsidR="00D70643" w:rsidRPr="004F6500">
              <w:rPr>
                <w:b/>
                <w:sz w:val="22"/>
              </w:rPr>
              <w:t xml:space="preserve"> 31,</w:t>
            </w:r>
          </w:p>
          <w:p w14:paraId="03AEEA62" w14:textId="77777777" w:rsidR="00D70643" w:rsidRPr="004F6500" w:rsidRDefault="00D70643" w:rsidP="004F6500">
            <w:pPr>
              <w:spacing w:line="254" w:lineRule="auto"/>
              <w:jc w:val="center"/>
              <w:rPr>
                <w:b/>
                <w:sz w:val="22"/>
              </w:rPr>
            </w:pPr>
            <w:r w:rsidRPr="004F6500">
              <w:rPr>
                <w:b/>
                <w:sz w:val="22"/>
              </w:rPr>
              <w:t>2018</w:t>
            </w:r>
          </w:p>
        </w:tc>
      </w:tr>
      <w:tr w:rsidR="00D70643" w:rsidRPr="00F62C4A" w14:paraId="2D076975" w14:textId="77777777" w:rsidTr="00377A7B">
        <w:tc>
          <w:tcPr>
            <w:tcW w:w="5940" w:type="dxa"/>
          </w:tcPr>
          <w:p w14:paraId="1F7F3C74" w14:textId="77777777" w:rsidR="00D70643" w:rsidRPr="004F6500" w:rsidRDefault="00D70643" w:rsidP="004F6500">
            <w:pPr>
              <w:spacing w:line="254" w:lineRule="auto"/>
              <w:jc w:val="both"/>
              <w:rPr>
                <w:sz w:val="22"/>
              </w:rPr>
            </w:pPr>
            <w:r w:rsidRPr="004F6500">
              <w:rPr>
                <w:sz w:val="22"/>
              </w:rPr>
              <w:t>Operating activities</w:t>
            </w:r>
          </w:p>
        </w:tc>
        <w:tc>
          <w:tcPr>
            <w:tcW w:w="1798" w:type="dxa"/>
            <w:tcBorders>
              <w:top w:val="single" w:sz="4" w:space="0" w:color="auto"/>
            </w:tcBorders>
          </w:tcPr>
          <w:p w14:paraId="6F3EE1FD" w14:textId="16A8FB8D" w:rsidR="00D70643" w:rsidRPr="004F6500" w:rsidRDefault="009275CA" w:rsidP="00F62C4A">
            <w:pPr>
              <w:spacing w:line="254" w:lineRule="auto"/>
              <w:jc w:val="right"/>
              <w:rPr>
                <w:sz w:val="22"/>
              </w:rPr>
            </w:pPr>
            <w:r>
              <w:rPr>
                <w:sz w:val="22"/>
              </w:rPr>
              <w:t>$(6,462,473)</w:t>
            </w:r>
          </w:p>
        </w:tc>
        <w:tc>
          <w:tcPr>
            <w:tcW w:w="1711" w:type="dxa"/>
            <w:tcBorders>
              <w:top w:val="single" w:sz="4" w:space="0" w:color="auto"/>
            </w:tcBorders>
          </w:tcPr>
          <w:p w14:paraId="5A709B6C" w14:textId="2B93DE05" w:rsidR="00D70643" w:rsidRPr="00F62C4A" w:rsidRDefault="009275CA" w:rsidP="00F62C4A">
            <w:pPr>
              <w:spacing w:line="254" w:lineRule="auto"/>
              <w:jc w:val="right"/>
              <w:rPr>
                <w:sz w:val="22"/>
              </w:rPr>
            </w:pPr>
            <w:r>
              <w:rPr>
                <w:sz w:val="22"/>
              </w:rPr>
              <w:t>$(4,257,557)</w:t>
            </w:r>
          </w:p>
        </w:tc>
      </w:tr>
      <w:tr w:rsidR="00D70643" w:rsidRPr="00F62C4A" w14:paraId="2D6608D1" w14:textId="77777777" w:rsidTr="00377A7B">
        <w:tc>
          <w:tcPr>
            <w:tcW w:w="5940" w:type="dxa"/>
          </w:tcPr>
          <w:p w14:paraId="10658493" w14:textId="77777777" w:rsidR="00D70643" w:rsidRPr="004F6500" w:rsidRDefault="00D70643" w:rsidP="004F6500">
            <w:pPr>
              <w:spacing w:line="254" w:lineRule="auto"/>
              <w:jc w:val="both"/>
              <w:rPr>
                <w:sz w:val="22"/>
              </w:rPr>
            </w:pPr>
            <w:r w:rsidRPr="004F6500">
              <w:rPr>
                <w:sz w:val="22"/>
              </w:rPr>
              <w:t>Investing activities</w:t>
            </w:r>
          </w:p>
        </w:tc>
        <w:tc>
          <w:tcPr>
            <w:tcW w:w="1798" w:type="dxa"/>
          </w:tcPr>
          <w:p w14:paraId="219BB16E" w14:textId="649B2A3A" w:rsidR="00D70643" w:rsidRPr="004F6500" w:rsidRDefault="009275CA" w:rsidP="004F6500">
            <w:pPr>
              <w:spacing w:line="254" w:lineRule="auto"/>
              <w:jc w:val="right"/>
              <w:rPr>
                <w:sz w:val="22"/>
              </w:rPr>
            </w:pPr>
            <w:r>
              <w:rPr>
                <w:sz w:val="22"/>
              </w:rPr>
              <w:t>$(652,778)</w:t>
            </w:r>
          </w:p>
        </w:tc>
        <w:tc>
          <w:tcPr>
            <w:tcW w:w="1711" w:type="dxa"/>
          </w:tcPr>
          <w:p w14:paraId="6CF27B03" w14:textId="18C9368D" w:rsidR="00D70643" w:rsidRPr="00F62C4A" w:rsidRDefault="009275CA" w:rsidP="004F6500">
            <w:pPr>
              <w:spacing w:line="254" w:lineRule="auto"/>
              <w:jc w:val="right"/>
              <w:rPr>
                <w:sz w:val="22"/>
              </w:rPr>
            </w:pPr>
            <w:r>
              <w:rPr>
                <w:sz w:val="22"/>
              </w:rPr>
              <w:t>$(844,382)</w:t>
            </w:r>
          </w:p>
        </w:tc>
      </w:tr>
      <w:tr w:rsidR="00D70643" w:rsidRPr="00F62C4A" w14:paraId="7510C1BF" w14:textId="77777777" w:rsidTr="00377A7B">
        <w:tc>
          <w:tcPr>
            <w:tcW w:w="5940" w:type="dxa"/>
          </w:tcPr>
          <w:p w14:paraId="3E6D14F7" w14:textId="77777777" w:rsidR="00D70643" w:rsidRPr="004F6500" w:rsidRDefault="00D70643" w:rsidP="004F6500">
            <w:pPr>
              <w:spacing w:line="254" w:lineRule="auto"/>
              <w:jc w:val="both"/>
              <w:rPr>
                <w:sz w:val="22"/>
              </w:rPr>
            </w:pPr>
            <w:r w:rsidRPr="004F6500">
              <w:rPr>
                <w:sz w:val="22"/>
              </w:rPr>
              <w:t>Financing activities</w:t>
            </w:r>
          </w:p>
        </w:tc>
        <w:tc>
          <w:tcPr>
            <w:tcW w:w="1798" w:type="dxa"/>
          </w:tcPr>
          <w:p w14:paraId="79CA15CD" w14:textId="797F3292" w:rsidR="00D70643" w:rsidRPr="004F6500" w:rsidRDefault="009275CA" w:rsidP="00F62C4A">
            <w:pPr>
              <w:spacing w:line="254" w:lineRule="auto"/>
              <w:jc w:val="right"/>
              <w:rPr>
                <w:sz w:val="22"/>
              </w:rPr>
            </w:pPr>
            <w:r>
              <w:rPr>
                <w:sz w:val="22"/>
              </w:rPr>
              <w:t>$12,786,000</w:t>
            </w:r>
          </w:p>
        </w:tc>
        <w:tc>
          <w:tcPr>
            <w:tcW w:w="1711" w:type="dxa"/>
          </w:tcPr>
          <w:p w14:paraId="58B36404" w14:textId="410E3224" w:rsidR="00D70643" w:rsidRPr="00F62C4A" w:rsidRDefault="009275CA" w:rsidP="00F62C4A">
            <w:pPr>
              <w:spacing w:line="254" w:lineRule="auto"/>
              <w:jc w:val="right"/>
              <w:rPr>
                <w:sz w:val="22"/>
              </w:rPr>
            </w:pPr>
            <w:r>
              <w:rPr>
                <w:sz w:val="22"/>
              </w:rPr>
              <w:t>$5,554,606</w:t>
            </w:r>
          </w:p>
        </w:tc>
      </w:tr>
      <w:tr w:rsidR="00D70643" w:rsidRPr="00F62C4A" w14:paraId="1F97EEA0" w14:textId="77777777" w:rsidTr="004F6500">
        <w:tc>
          <w:tcPr>
            <w:tcW w:w="5940" w:type="dxa"/>
          </w:tcPr>
          <w:p w14:paraId="1EE5A37E" w14:textId="77777777" w:rsidR="00D70643" w:rsidRPr="004F6500" w:rsidRDefault="00D70643" w:rsidP="004F6500">
            <w:pPr>
              <w:spacing w:line="254" w:lineRule="auto"/>
              <w:jc w:val="both"/>
              <w:rPr>
                <w:sz w:val="22"/>
              </w:rPr>
            </w:pPr>
            <w:r w:rsidRPr="004F6500">
              <w:rPr>
                <w:sz w:val="22"/>
              </w:rPr>
              <w:t>Effect of foreign exchange rate changes on cash</w:t>
            </w:r>
          </w:p>
        </w:tc>
        <w:tc>
          <w:tcPr>
            <w:tcW w:w="1798" w:type="dxa"/>
            <w:tcBorders>
              <w:bottom w:val="single" w:sz="4" w:space="0" w:color="auto"/>
            </w:tcBorders>
          </w:tcPr>
          <w:p w14:paraId="6ABDC9D9" w14:textId="27D84E98" w:rsidR="00D70643" w:rsidRPr="004F6500" w:rsidRDefault="009275CA" w:rsidP="00F62C4A">
            <w:pPr>
              <w:spacing w:line="254" w:lineRule="auto"/>
              <w:jc w:val="right"/>
              <w:rPr>
                <w:sz w:val="22"/>
              </w:rPr>
            </w:pPr>
            <w:r>
              <w:rPr>
                <w:sz w:val="22"/>
              </w:rPr>
              <w:t>$5,425</w:t>
            </w:r>
          </w:p>
        </w:tc>
        <w:tc>
          <w:tcPr>
            <w:tcW w:w="1711" w:type="dxa"/>
            <w:tcBorders>
              <w:bottom w:val="single" w:sz="4" w:space="0" w:color="auto"/>
            </w:tcBorders>
          </w:tcPr>
          <w:p w14:paraId="0DF58910" w14:textId="4CFAE4A4" w:rsidR="00D70643" w:rsidRPr="00F62C4A" w:rsidRDefault="009275CA" w:rsidP="00F62C4A">
            <w:pPr>
              <w:spacing w:line="254" w:lineRule="auto"/>
              <w:jc w:val="right"/>
              <w:rPr>
                <w:sz w:val="22"/>
              </w:rPr>
            </w:pPr>
            <w:r>
              <w:rPr>
                <w:sz w:val="22"/>
              </w:rPr>
              <w:t>$2,778</w:t>
            </w:r>
          </w:p>
        </w:tc>
      </w:tr>
      <w:tr w:rsidR="00D70643" w:rsidRPr="00F62C4A" w14:paraId="08F7F5B5" w14:textId="77777777" w:rsidTr="004F6500">
        <w:tc>
          <w:tcPr>
            <w:tcW w:w="5940" w:type="dxa"/>
          </w:tcPr>
          <w:p w14:paraId="22AA325D" w14:textId="77777777" w:rsidR="00D70643" w:rsidRPr="004F6500" w:rsidRDefault="00D70643" w:rsidP="00570511">
            <w:pPr>
              <w:spacing w:line="254" w:lineRule="auto"/>
              <w:jc w:val="both"/>
              <w:rPr>
                <w:sz w:val="22"/>
              </w:rPr>
            </w:pPr>
            <w:r w:rsidRPr="004F6500">
              <w:rPr>
                <w:sz w:val="22"/>
              </w:rPr>
              <w:t>I</w:t>
            </w:r>
            <w:r w:rsidR="00570511">
              <w:rPr>
                <w:sz w:val="22"/>
              </w:rPr>
              <w:t>ncrease</w:t>
            </w:r>
            <w:r w:rsidRPr="004F6500">
              <w:rPr>
                <w:sz w:val="22"/>
              </w:rPr>
              <w:t xml:space="preserve"> in cash for the period</w:t>
            </w:r>
          </w:p>
        </w:tc>
        <w:tc>
          <w:tcPr>
            <w:tcW w:w="1798" w:type="dxa"/>
            <w:tcBorders>
              <w:top w:val="single" w:sz="4" w:space="0" w:color="auto"/>
              <w:bottom w:val="single" w:sz="4" w:space="0" w:color="auto"/>
            </w:tcBorders>
          </w:tcPr>
          <w:p w14:paraId="765AE323" w14:textId="5655348F" w:rsidR="00D70643" w:rsidRPr="004F6500" w:rsidRDefault="009275CA" w:rsidP="004F6500">
            <w:pPr>
              <w:spacing w:line="254" w:lineRule="auto"/>
              <w:jc w:val="right"/>
              <w:rPr>
                <w:sz w:val="22"/>
              </w:rPr>
            </w:pPr>
            <w:r>
              <w:rPr>
                <w:sz w:val="22"/>
              </w:rPr>
              <w:t>$5,676,174</w:t>
            </w:r>
          </w:p>
        </w:tc>
        <w:tc>
          <w:tcPr>
            <w:tcW w:w="1711" w:type="dxa"/>
            <w:tcBorders>
              <w:top w:val="single" w:sz="4" w:space="0" w:color="auto"/>
              <w:bottom w:val="single" w:sz="4" w:space="0" w:color="auto"/>
            </w:tcBorders>
          </w:tcPr>
          <w:p w14:paraId="17C8AF40" w14:textId="6D58B172" w:rsidR="00D70643" w:rsidRPr="00F62C4A" w:rsidRDefault="009275CA" w:rsidP="004F6500">
            <w:pPr>
              <w:spacing w:line="254" w:lineRule="auto"/>
              <w:jc w:val="right"/>
              <w:rPr>
                <w:sz w:val="22"/>
              </w:rPr>
            </w:pPr>
            <w:r>
              <w:rPr>
                <w:sz w:val="22"/>
              </w:rPr>
              <w:t>$455,445</w:t>
            </w:r>
          </w:p>
        </w:tc>
      </w:tr>
    </w:tbl>
    <w:p w14:paraId="2B99D0DC" w14:textId="77777777" w:rsidR="00D70643" w:rsidRPr="004F6500" w:rsidRDefault="00D70643" w:rsidP="004F6500">
      <w:pPr>
        <w:spacing w:after="0" w:line="254" w:lineRule="auto"/>
        <w:jc w:val="both"/>
        <w:rPr>
          <w:rFonts w:ascii="Times New Roman" w:hAnsi="Times New Roman" w:cs="Times New Roman"/>
        </w:rPr>
      </w:pPr>
    </w:p>
    <w:p w14:paraId="46EE52ED" w14:textId="60CEE608" w:rsidR="00CA3BF4" w:rsidRPr="004F6500" w:rsidRDefault="00A12DB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Cash used in operating activities for the </w:t>
      </w:r>
      <w:r w:rsidR="00F8064D">
        <w:rPr>
          <w:rFonts w:ascii="Times New Roman" w:hAnsi="Times New Roman" w:cs="Times New Roman"/>
        </w:rPr>
        <w:t>nine</w:t>
      </w:r>
      <w:r w:rsidRPr="004F6500">
        <w:rPr>
          <w:rFonts w:ascii="Times New Roman" w:hAnsi="Times New Roman" w:cs="Times New Roman"/>
        </w:rPr>
        <w:t xml:space="preserve"> months ended </w:t>
      </w:r>
      <w:r w:rsidR="00F8064D">
        <w:rPr>
          <w:rFonts w:ascii="Times New Roman" w:hAnsi="Times New Roman" w:cs="Times New Roman"/>
        </w:rPr>
        <w:t>October</w:t>
      </w:r>
      <w:r w:rsidRPr="004F6500">
        <w:rPr>
          <w:rFonts w:ascii="Times New Roman" w:hAnsi="Times New Roman" w:cs="Times New Roman"/>
        </w:rPr>
        <w:t xml:space="preserve"> 31, 2019 </w:t>
      </w:r>
      <w:r w:rsidRPr="00F8064D">
        <w:rPr>
          <w:rFonts w:ascii="Times New Roman" w:hAnsi="Times New Roman" w:cs="Times New Roman"/>
        </w:rPr>
        <w:t>was $</w:t>
      </w:r>
      <w:r w:rsidR="00F8064D" w:rsidRPr="00F8064D">
        <w:rPr>
          <w:rFonts w:ascii="Times New Roman" w:hAnsi="Times New Roman" w:cs="Times New Roman"/>
        </w:rPr>
        <w:t>6,462,473</w:t>
      </w:r>
      <w:r w:rsidRPr="00F8064D">
        <w:rPr>
          <w:rFonts w:ascii="Times New Roman" w:hAnsi="Times New Roman" w:cs="Times New Roman"/>
        </w:rPr>
        <w:t>, as compared to $</w:t>
      </w:r>
      <w:r w:rsidR="00F8064D" w:rsidRPr="00F8064D">
        <w:rPr>
          <w:rFonts w:ascii="Times New Roman" w:hAnsi="Times New Roman" w:cs="Times New Roman"/>
        </w:rPr>
        <w:t>4,257,557</w:t>
      </w:r>
      <w:r w:rsidR="00F8064D">
        <w:rPr>
          <w:rFonts w:ascii="Times New Roman" w:hAnsi="Times New Roman" w:cs="Times New Roman"/>
        </w:rPr>
        <w:t xml:space="preserve"> </w:t>
      </w:r>
      <w:r w:rsidRPr="00F8064D">
        <w:rPr>
          <w:rFonts w:ascii="Times New Roman" w:hAnsi="Times New Roman" w:cs="Times New Roman"/>
        </w:rPr>
        <w:t xml:space="preserve">for the </w:t>
      </w:r>
      <w:r w:rsidR="00F8064D">
        <w:rPr>
          <w:rFonts w:ascii="Times New Roman" w:hAnsi="Times New Roman" w:cs="Times New Roman"/>
        </w:rPr>
        <w:t>nine</w:t>
      </w:r>
      <w:r w:rsidRPr="00F8064D">
        <w:rPr>
          <w:rFonts w:ascii="Times New Roman" w:hAnsi="Times New Roman" w:cs="Times New Roman"/>
        </w:rPr>
        <w:t xml:space="preserve"> months ended </w:t>
      </w:r>
      <w:r w:rsidR="00F8064D">
        <w:rPr>
          <w:rFonts w:ascii="Times New Roman" w:hAnsi="Times New Roman" w:cs="Times New Roman"/>
        </w:rPr>
        <w:t>October</w:t>
      </w:r>
      <w:r w:rsidRPr="00F8064D">
        <w:rPr>
          <w:rFonts w:ascii="Times New Roman" w:hAnsi="Times New Roman" w:cs="Times New Roman"/>
        </w:rPr>
        <w:t xml:space="preserve"> 31, 2018.  The increase was due to </w:t>
      </w:r>
      <w:r w:rsidR="00F8064D">
        <w:rPr>
          <w:rFonts w:ascii="Times New Roman" w:hAnsi="Times New Roman" w:cs="Times New Roman"/>
        </w:rPr>
        <w:t>a higher</w:t>
      </w:r>
      <w:r w:rsidRPr="004F6500">
        <w:rPr>
          <w:rFonts w:ascii="Times New Roman" w:hAnsi="Times New Roman" w:cs="Times New Roman"/>
        </w:rPr>
        <w:t xml:space="preserve"> net loss </w:t>
      </w:r>
      <w:r w:rsidR="00F8064D">
        <w:rPr>
          <w:rFonts w:ascii="Times New Roman" w:hAnsi="Times New Roman" w:cs="Times New Roman"/>
        </w:rPr>
        <w:t>incurred during</w:t>
      </w:r>
      <w:r w:rsidRPr="004F6500">
        <w:rPr>
          <w:rFonts w:ascii="Times New Roman" w:hAnsi="Times New Roman" w:cs="Times New Roman"/>
        </w:rPr>
        <w:t xml:space="preserve"> the 2019 period,</w:t>
      </w:r>
      <w:r w:rsidR="006F77A6" w:rsidRPr="004F6500">
        <w:rPr>
          <w:rFonts w:ascii="Times New Roman" w:hAnsi="Times New Roman" w:cs="Times New Roman"/>
        </w:rPr>
        <w:t xml:space="preserve"> partially offset by an increase in non-cash expense items impacting net loss</w:t>
      </w:r>
      <w:r w:rsidRPr="004F6500">
        <w:rPr>
          <w:rFonts w:ascii="Times New Roman" w:hAnsi="Times New Roman" w:cs="Times New Roman"/>
        </w:rPr>
        <w:t>.</w:t>
      </w:r>
    </w:p>
    <w:p w14:paraId="3FF0211E" w14:textId="77777777" w:rsidR="00BC3E4F" w:rsidRPr="004F6500" w:rsidRDefault="00BC3E4F" w:rsidP="004F6500">
      <w:pPr>
        <w:spacing w:after="0" w:line="254" w:lineRule="auto"/>
        <w:jc w:val="both"/>
        <w:rPr>
          <w:rFonts w:ascii="Times New Roman" w:hAnsi="Times New Roman" w:cs="Times New Roman"/>
        </w:rPr>
      </w:pPr>
    </w:p>
    <w:p w14:paraId="7A335FA0" w14:textId="4DAFBB84" w:rsidR="00BC3E4F" w:rsidRPr="004F6500" w:rsidRDefault="00BC3E4F"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Cash used in investing activities for the </w:t>
      </w:r>
      <w:r w:rsidR="00F8064D">
        <w:rPr>
          <w:rFonts w:ascii="Times New Roman" w:hAnsi="Times New Roman" w:cs="Times New Roman"/>
        </w:rPr>
        <w:t>nine</w:t>
      </w:r>
      <w:r w:rsidRPr="004F6500">
        <w:rPr>
          <w:rFonts w:ascii="Times New Roman" w:hAnsi="Times New Roman" w:cs="Times New Roman"/>
        </w:rPr>
        <w:t xml:space="preserve"> months ended </w:t>
      </w:r>
      <w:r w:rsidR="00F8064D">
        <w:rPr>
          <w:rFonts w:ascii="Times New Roman" w:hAnsi="Times New Roman" w:cs="Times New Roman"/>
        </w:rPr>
        <w:t>October</w:t>
      </w:r>
      <w:r w:rsidRPr="004F6500">
        <w:rPr>
          <w:rFonts w:ascii="Times New Roman" w:hAnsi="Times New Roman" w:cs="Times New Roman"/>
        </w:rPr>
        <w:t xml:space="preserve"> 31, 2019 </w:t>
      </w:r>
      <w:r w:rsidR="00F8064D">
        <w:rPr>
          <w:rFonts w:ascii="Times New Roman" w:hAnsi="Times New Roman" w:cs="Times New Roman"/>
        </w:rPr>
        <w:t>decreased</w:t>
      </w:r>
      <w:r w:rsidRPr="004F6500">
        <w:rPr>
          <w:rFonts w:ascii="Times New Roman" w:hAnsi="Times New Roman" w:cs="Times New Roman"/>
        </w:rPr>
        <w:t xml:space="preserve"> as compared to the </w:t>
      </w:r>
      <w:r w:rsidR="00F8064D">
        <w:rPr>
          <w:rFonts w:ascii="Times New Roman" w:hAnsi="Times New Roman" w:cs="Times New Roman"/>
        </w:rPr>
        <w:t>nine</w:t>
      </w:r>
      <w:r w:rsidRPr="004F6500">
        <w:rPr>
          <w:rFonts w:ascii="Times New Roman" w:hAnsi="Times New Roman" w:cs="Times New Roman"/>
        </w:rPr>
        <w:t xml:space="preserve"> months ended </w:t>
      </w:r>
      <w:r w:rsidR="00F8064D">
        <w:rPr>
          <w:rFonts w:ascii="Times New Roman" w:hAnsi="Times New Roman" w:cs="Times New Roman"/>
        </w:rPr>
        <w:t>October</w:t>
      </w:r>
      <w:r w:rsidRPr="004F6500">
        <w:rPr>
          <w:rFonts w:ascii="Times New Roman" w:hAnsi="Times New Roman" w:cs="Times New Roman"/>
        </w:rPr>
        <w:t xml:space="preserve"> 31, 2018.  In both the 2018 periods, </w:t>
      </w:r>
      <w:r w:rsidR="00F8064D">
        <w:rPr>
          <w:rFonts w:ascii="Times New Roman" w:hAnsi="Times New Roman" w:cs="Times New Roman"/>
        </w:rPr>
        <w:t>BetterLife</w:t>
      </w:r>
      <w:r w:rsidRPr="004F6500">
        <w:rPr>
          <w:rFonts w:ascii="Times New Roman" w:hAnsi="Times New Roman" w:cs="Times New Roman"/>
        </w:rPr>
        <w:t xml:space="preserve"> paid US$</w:t>
      </w:r>
      <w:r w:rsidR="00BF4327">
        <w:rPr>
          <w:rFonts w:ascii="Times New Roman" w:hAnsi="Times New Roman" w:cs="Times New Roman"/>
        </w:rPr>
        <w:t>659,999</w:t>
      </w:r>
      <w:r w:rsidRPr="004F6500">
        <w:rPr>
          <w:rFonts w:ascii="Times New Roman" w:hAnsi="Times New Roman" w:cs="Times New Roman"/>
        </w:rPr>
        <w:t xml:space="preserve"> as consideration for the acquisition of </w:t>
      </w:r>
      <w:r w:rsidR="00BF4327">
        <w:rPr>
          <w:rFonts w:ascii="Times New Roman" w:hAnsi="Times New Roman" w:cs="Times New Roman"/>
        </w:rPr>
        <w:t>Pivot</w:t>
      </w:r>
      <w:r w:rsidRPr="004F6500">
        <w:rPr>
          <w:rFonts w:ascii="Times New Roman" w:hAnsi="Times New Roman" w:cs="Times New Roman"/>
        </w:rPr>
        <w:t xml:space="preserve"> Naturals, which closed on February 28, 2018.</w:t>
      </w:r>
      <w:r w:rsidR="00BF4327">
        <w:rPr>
          <w:rFonts w:ascii="Times New Roman" w:hAnsi="Times New Roman" w:cs="Times New Roman"/>
        </w:rPr>
        <w:t xml:space="preserve">  During the 2019 period, BetterLife paid US$340,000 as its last instalment payment pursuant to this acquisition.</w:t>
      </w:r>
      <w:r w:rsidR="00141887">
        <w:rPr>
          <w:rFonts w:ascii="Times New Roman" w:hAnsi="Times New Roman" w:cs="Times New Roman"/>
        </w:rPr>
        <w:t xml:space="preserve">  </w:t>
      </w:r>
      <w:r w:rsidR="00BF4327">
        <w:rPr>
          <w:rFonts w:ascii="Times New Roman" w:hAnsi="Times New Roman" w:cs="Times New Roman"/>
        </w:rPr>
        <w:t xml:space="preserve">During the nine months ended October 31, 2019, the Company entered into a loan agreement whereby it loaned a third party </w:t>
      </w:r>
      <w:r w:rsidR="00BF4327" w:rsidRPr="00BF4327">
        <w:rPr>
          <w:rFonts w:ascii="Times New Roman" w:hAnsi="Times New Roman" w:cs="Times New Roman"/>
        </w:rPr>
        <w:t>€150,000</w:t>
      </w:r>
      <w:r w:rsidR="00BF4327">
        <w:rPr>
          <w:rFonts w:ascii="Times New Roman" w:hAnsi="Times New Roman" w:cs="Times New Roman"/>
        </w:rPr>
        <w:t xml:space="preserve"> with a </w:t>
      </w:r>
      <w:r w:rsidR="00BF4327" w:rsidRPr="00BF4327">
        <w:rPr>
          <w:rFonts w:ascii="Times New Roman" w:hAnsi="Times New Roman" w:cs="Times New Roman"/>
        </w:rPr>
        <w:t>term of six months and interest rate of 18% per annum</w:t>
      </w:r>
      <w:r w:rsidR="00BF4327">
        <w:rPr>
          <w:rFonts w:ascii="Times New Roman" w:hAnsi="Times New Roman" w:cs="Times New Roman"/>
        </w:rPr>
        <w:t>.</w:t>
      </w:r>
    </w:p>
    <w:p w14:paraId="1FE87443" w14:textId="77777777" w:rsidR="00BC3E4F" w:rsidRPr="004F6500" w:rsidRDefault="00BC3E4F" w:rsidP="004F6500">
      <w:pPr>
        <w:spacing w:after="0" w:line="254" w:lineRule="auto"/>
        <w:jc w:val="both"/>
        <w:rPr>
          <w:rFonts w:ascii="Times New Roman" w:hAnsi="Times New Roman" w:cs="Times New Roman"/>
        </w:rPr>
      </w:pPr>
    </w:p>
    <w:p w14:paraId="33C100FD" w14:textId="7BEF0E68" w:rsidR="00BC3E4F" w:rsidRPr="004F6500" w:rsidRDefault="00BC3E4F"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Cash provided by financing activities for the </w:t>
      </w:r>
      <w:r w:rsidR="00BF4327">
        <w:rPr>
          <w:rFonts w:ascii="Times New Roman" w:hAnsi="Times New Roman" w:cs="Times New Roman"/>
        </w:rPr>
        <w:t>nine</w:t>
      </w:r>
      <w:r w:rsidRPr="004F6500">
        <w:rPr>
          <w:rFonts w:ascii="Times New Roman" w:hAnsi="Times New Roman" w:cs="Times New Roman"/>
        </w:rPr>
        <w:t xml:space="preserve"> months ended </w:t>
      </w:r>
      <w:r w:rsidR="00BF4327">
        <w:rPr>
          <w:rFonts w:ascii="Times New Roman" w:hAnsi="Times New Roman" w:cs="Times New Roman"/>
        </w:rPr>
        <w:t>October</w:t>
      </w:r>
      <w:r w:rsidRPr="004F6500">
        <w:rPr>
          <w:rFonts w:ascii="Times New Roman" w:hAnsi="Times New Roman" w:cs="Times New Roman"/>
        </w:rPr>
        <w:t xml:space="preserve"> 31, 2019 was $12,</w:t>
      </w:r>
      <w:r w:rsidR="00E4514E" w:rsidRPr="00E4514E">
        <w:rPr>
          <w:rFonts w:ascii="Times New Roman" w:hAnsi="Times New Roman" w:cs="Times New Roman"/>
        </w:rPr>
        <w:t>786,000</w:t>
      </w:r>
      <w:r w:rsidR="00E4514E">
        <w:rPr>
          <w:rFonts w:ascii="Times New Roman" w:hAnsi="Times New Roman" w:cs="Times New Roman"/>
        </w:rPr>
        <w:t xml:space="preserve"> </w:t>
      </w:r>
      <w:r w:rsidRPr="004F6500">
        <w:rPr>
          <w:rFonts w:ascii="Times New Roman" w:hAnsi="Times New Roman" w:cs="Times New Roman"/>
        </w:rPr>
        <w:t>as compared to $</w:t>
      </w:r>
      <w:r w:rsidR="00BF4327" w:rsidRPr="00BF4327">
        <w:rPr>
          <w:rFonts w:ascii="Times New Roman" w:hAnsi="Times New Roman" w:cs="Times New Roman"/>
        </w:rPr>
        <w:t>5,554,606</w:t>
      </w:r>
      <w:r w:rsidR="00BF4327">
        <w:rPr>
          <w:rFonts w:ascii="Times New Roman" w:hAnsi="Times New Roman" w:cs="Times New Roman"/>
        </w:rPr>
        <w:t xml:space="preserve"> </w:t>
      </w:r>
      <w:r w:rsidRPr="004F6500">
        <w:rPr>
          <w:rFonts w:ascii="Times New Roman" w:hAnsi="Times New Roman" w:cs="Times New Roman"/>
        </w:rPr>
        <w:t xml:space="preserve">for the </w:t>
      </w:r>
      <w:r w:rsidR="00BF4327">
        <w:rPr>
          <w:rFonts w:ascii="Times New Roman" w:hAnsi="Times New Roman" w:cs="Times New Roman"/>
        </w:rPr>
        <w:t>nine</w:t>
      </w:r>
      <w:r w:rsidRPr="004F6500">
        <w:rPr>
          <w:rFonts w:ascii="Times New Roman" w:hAnsi="Times New Roman" w:cs="Times New Roman"/>
        </w:rPr>
        <w:t xml:space="preserve"> months ended </w:t>
      </w:r>
      <w:r w:rsidR="00BF4327">
        <w:rPr>
          <w:rFonts w:ascii="Times New Roman" w:hAnsi="Times New Roman" w:cs="Times New Roman"/>
        </w:rPr>
        <w:t>October</w:t>
      </w:r>
      <w:r w:rsidRPr="004F6500">
        <w:rPr>
          <w:rFonts w:ascii="Times New Roman" w:hAnsi="Times New Roman" w:cs="Times New Roman"/>
        </w:rPr>
        <w:t xml:space="preserve"> 31, 2018.  During the </w:t>
      </w:r>
      <w:r w:rsidR="00BF4327">
        <w:rPr>
          <w:rFonts w:ascii="Times New Roman" w:hAnsi="Times New Roman" w:cs="Times New Roman"/>
        </w:rPr>
        <w:t>nine</w:t>
      </w:r>
      <w:r w:rsidRPr="004F6500">
        <w:rPr>
          <w:rFonts w:ascii="Times New Roman" w:hAnsi="Times New Roman" w:cs="Times New Roman"/>
        </w:rPr>
        <w:t xml:space="preserve"> months ended </w:t>
      </w:r>
      <w:r w:rsidR="00BF4327">
        <w:rPr>
          <w:rFonts w:ascii="Times New Roman" w:hAnsi="Times New Roman" w:cs="Times New Roman"/>
        </w:rPr>
        <w:t>October</w:t>
      </w:r>
      <w:r w:rsidRPr="004F6500">
        <w:rPr>
          <w:rFonts w:ascii="Times New Roman" w:hAnsi="Times New Roman" w:cs="Times New Roman"/>
        </w:rPr>
        <w:t xml:space="preserve"> 31, 2019, </w:t>
      </w:r>
      <w:r w:rsidR="00B80ECC">
        <w:rPr>
          <w:rFonts w:ascii="Times New Roman" w:hAnsi="Times New Roman" w:cs="Times New Roman"/>
        </w:rPr>
        <w:t>the Company</w:t>
      </w:r>
      <w:r w:rsidRPr="004F6500">
        <w:rPr>
          <w:rFonts w:ascii="Times New Roman" w:hAnsi="Times New Roman" w:cs="Times New Roman"/>
        </w:rPr>
        <w:t xml:space="preserve"> closed on non-brokered private placements for gross proceeds of $16,390,000.  Proceeds from the private placements were used to extend the maturity date of convertible debentures in March 2019 ($250,000) and repay the outstanding balances of convertible debentures in May 2019 ($3,250,000).  During the </w:t>
      </w:r>
      <w:r w:rsidR="00BF4327">
        <w:rPr>
          <w:rFonts w:ascii="Times New Roman" w:hAnsi="Times New Roman" w:cs="Times New Roman"/>
        </w:rPr>
        <w:t>nine</w:t>
      </w:r>
      <w:r w:rsidRPr="004F6500">
        <w:rPr>
          <w:rFonts w:ascii="Times New Roman" w:hAnsi="Times New Roman" w:cs="Times New Roman"/>
        </w:rPr>
        <w:t xml:space="preserve"> months ended </w:t>
      </w:r>
      <w:r w:rsidR="00BF4327">
        <w:rPr>
          <w:rFonts w:ascii="Times New Roman" w:hAnsi="Times New Roman" w:cs="Times New Roman"/>
        </w:rPr>
        <w:t>October</w:t>
      </w:r>
      <w:r w:rsidRPr="004F6500">
        <w:rPr>
          <w:rFonts w:ascii="Times New Roman" w:hAnsi="Times New Roman" w:cs="Times New Roman"/>
        </w:rPr>
        <w:t xml:space="preserve"> 31, 2018, </w:t>
      </w:r>
      <w:r w:rsidR="00BF4327">
        <w:rPr>
          <w:rFonts w:ascii="Times New Roman" w:hAnsi="Times New Roman" w:cs="Times New Roman"/>
        </w:rPr>
        <w:t>the Company</w:t>
      </w:r>
      <w:r w:rsidRPr="004F6500">
        <w:rPr>
          <w:rFonts w:ascii="Times New Roman" w:hAnsi="Times New Roman" w:cs="Times New Roman"/>
        </w:rPr>
        <w:t xml:space="preserve"> received gross proceeds of $5,000,000 from issuances of convertible debentures</w:t>
      </w:r>
      <w:r w:rsidR="00BF4327">
        <w:rPr>
          <w:rFonts w:ascii="Times New Roman" w:hAnsi="Times New Roman" w:cs="Times New Roman"/>
        </w:rPr>
        <w:t xml:space="preserve"> and $1,331,300 from the close of a non-brokered private placement, which were offset by repayment of</w:t>
      </w:r>
      <w:r w:rsidRPr="004F6500">
        <w:rPr>
          <w:rFonts w:ascii="Times New Roman" w:hAnsi="Times New Roman" w:cs="Times New Roman"/>
        </w:rPr>
        <w:t xml:space="preserve"> promissory note payable and loan payable totaling $</w:t>
      </w:r>
      <w:r w:rsidR="00BF4327">
        <w:rPr>
          <w:rFonts w:ascii="Times New Roman" w:hAnsi="Times New Roman" w:cs="Times New Roman"/>
        </w:rPr>
        <w:t>267,845</w:t>
      </w:r>
      <w:r w:rsidRPr="004F6500">
        <w:rPr>
          <w:rFonts w:ascii="Times New Roman" w:hAnsi="Times New Roman" w:cs="Times New Roman"/>
        </w:rPr>
        <w:t>.</w:t>
      </w:r>
    </w:p>
    <w:p w14:paraId="0E4FAACD" w14:textId="77777777" w:rsidR="002C1B81" w:rsidRPr="004F6500" w:rsidRDefault="002C1B81" w:rsidP="004F6500">
      <w:pPr>
        <w:spacing w:after="0" w:line="254" w:lineRule="auto"/>
        <w:jc w:val="both"/>
        <w:rPr>
          <w:rFonts w:ascii="Times New Roman" w:hAnsi="Times New Roman" w:cs="Times New Roman"/>
        </w:rPr>
      </w:pPr>
    </w:p>
    <w:p w14:paraId="2158397D" w14:textId="77777777" w:rsidR="002A2078" w:rsidRPr="004F6500" w:rsidRDefault="00B80ECC" w:rsidP="004F6500">
      <w:pPr>
        <w:spacing w:after="0" w:line="254" w:lineRule="auto"/>
        <w:jc w:val="both"/>
        <w:rPr>
          <w:rFonts w:ascii="Times New Roman" w:hAnsi="Times New Roman" w:cs="Times New Roman"/>
          <w:b/>
        </w:rPr>
      </w:pPr>
      <w:r>
        <w:rPr>
          <w:rFonts w:ascii="Times New Roman" w:hAnsi="Times New Roman" w:cs="Times New Roman"/>
          <w:b/>
        </w:rPr>
        <w:t>Commitments and C</w:t>
      </w:r>
      <w:r w:rsidR="002A2078" w:rsidRPr="004F6500">
        <w:rPr>
          <w:rFonts w:ascii="Times New Roman" w:hAnsi="Times New Roman" w:cs="Times New Roman"/>
          <w:b/>
        </w:rPr>
        <w:t>ontingencies</w:t>
      </w:r>
    </w:p>
    <w:p w14:paraId="50A24108" w14:textId="77777777" w:rsidR="005B0635" w:rsidRPr="004F6500" w:rsidRDefault="005B0635" w:rsidP="004F6500">
      <w:pPr>
        <w:spacing w:after="0" w:line="254" w:lineRule="auto"/>
        <w:jc w:val="both"/>
        <w:rPr>
          <w:rFonts w:ascii="Times New Roman" w:hAnsi="Times New Roman" w:cs="Times New Roman"/>
          <w:b/>
        </w:rPr>
      </w:pPr>
    </w:p>
    <w:p w14:paraId="7BA5BAD3" w14:textId="5BEBB197" w:rsidR="002A2078" w:rsidRPr="004F6500" w:rsidRDefault="006529AF" w:rsidP="004F6500">
      <w:pPr>
        <w:spacing w:after="0" w:line="254" w:lineRule="auto"/>
        <w:jc w:val="both"/>
        <w:rPr>
          <w:rFonts w:ascii="Times New Roman" w:hAnsi="Times New Roman" w:cs="Times New Roman"/>
        </w:rPr>
      </w:pPr>
      <w:r>
        <w:rPr>
          <w:rFonts w:ascii="Times New Roman" w:hAnsi="Times New Roman" w:cs="Times New Roman"/>
        </w:rPr>
        <w:t>As at October 31, 2019, the Company</w:t>
      </w:r>
      <w:r w:rsidR="00121878" w:rsidRPr="004F6500">
        <w:rPr>
          <w:rFonts w:ascii="Times New Roman" w:hAnsi="Times New Roman" w:cs="Times New Roman"/>
        </w:rPr>
        <w:t xml:space="preserve"> is a </w:t>
      </w:r>
      <w:r>
        <w:rPr>
          <w:rFonts w:ascii="Times New Roman" w:hAnsi="Times New Roman" w:cs="Times New Roman"/>
        </w:rPr>
        <w:t xml:space="preserve">sub-lessee and a </w:t>
      </w:r>
      <w:r w:rsidR="00121878" w:rsidRPr="004F6500">
        <w:rPr>
          <w:rFonts w:ascii="Times New Roman" w:hAnsi="Times New Roman" w:cs="Times New Roman"/>
        </w:rPr>
        <w:t xml:space="preserve">lessee in two leases that have expiry dates ranging between </w:t>
      </w:r>
      <w:r>
        <w:rPr>
          <w:rFonts w:ascii="Times New Roman" w:hAnsi="Times New Roman" w:cs="Times New Roman"/>
        </w:rPr>
        <w:t>six (6)</w:t>
      </w:r>
      <w:r w:rsidR="00121878" w:rsidRPr="004F6500">
        <w:rPr>
          <w:rFonts w:ascii="Times New Roman" w:hAnsi="Times New Roman" w:cs="Times New Roman"/>
        </w:rPr>
        <w:t xml:space="preserve"> months and four (4) years</w:t>
      </w:r>
      <w:r>
        <w:rPr>
          <w:rFonts w:ascii="Times New Roman" w:hAnsi="Times New Roman" w:cs="Times New Roman"/>
        </w:rPr>
        <w:t>, respectively</w:t>
      </w:r>
      <w:r w:rsidR="000746D9" w:rsidRPr="004F6500">
        <w:rPr>
          <w:rFonts w:ascii="Times New Roman" w:hAnsi="Times New Roman" w:cs="Times New Roman"/>
        </w:rPr>
        <w:t>, with annual minimum</w:t>
      </w:r>
      <w:r w:rsidR="00121878" w:rsidRPr="004F6500">
        <w:rPr>
          <w:rFonts w:ascii="Times New Roman" w:hAnsi="Times New Roman" w:cs="Times New Roman"/>
        </w:rPr>
        <w:t xml:space="preserve"> lease payments ranging from $</w:t>
      </w:r>
      <w:r>
        <w:rPr>
          <w:rFonts w:ascii="Times New Roman" w:hAnsi="Times New Roman" w:cs="Times New Roman"/>
        </w:rPr>
        <w:t>132,700</w:t>
      </w:r>
      <w:r w:rsidR="00121878" w:rsidRPr="004F6500">
        <w:rPr>
          <w:rFonts w:ascii="Times New Roman" w:hAnsi="Times New Roman" w:cs="Times New Roman"/>
        </w:rPr>
        <w:t xml:space="preserve"> to $333,</w:t>
      </w:r>
      <w:r>
        <w:rPr>
          <w:rFonts w:ascii="Times New Roman" w:hAnsi="Times New Roman" w:cs="Times New Roman"/>
        </w:rPr>
        <w:t>700</w:t>
      </w:r>
      <w:r w:rsidR="00121878" w:rsidRPr="004F6500">
        <w:rPr>
          <w:rFonts w:ascii="Times New Roman" w:hAnsi="Times New Roman" w:cs="Times New Roman"/>
        </w:rPr>
        <w:t xml:space="preserve">. </w:t>
      </w:r>
      <w:r>
        <w:rPr>
          <w:rFonts w:ascii="Times New Roman" w:hAnsi="Times New Roman" w:cs="Times New Roman"/>
        </w:rPr>
        <w:t xml:space="preserve"> On November 1, 2019, the Company’s sub-lease agreement terminated as it entered into a direct lease agreement for the same premise.</w:t>
      </w:r>
    </w:p>
    <w:p w14:paraId="1FFD3893" w14:textId="77777777" w:rsidR="00121878" w:rsidRPr="004F6500" w:rsidRDefault="00121878" w:rsidP="004F6500">
      <w:pPr>
        <w:spacing w:after="0" w:line="254" w:lineRule="auto"/>
        <w:jc w:val="both"/>
        <w:rPr>
          <w:rFonts w:ascii="Times New Roman" w:hAnsi="Times New Roman" w:cs="Times New Roman"/>
        </w:rPr>
      </w:pPr>
    </w:p>
    <w:p w14:paraId="5070260F" w14:textId="05A0921D" w:rsidR="002A2078" w:rsidRPr="004F6500" w:rsidRDefault="00A5764C" w:rsidP="004F6500">
      <w:pPr>
        <w:spacing w:after="0" w:line="254" w:lineRule="auto"/>
        <w:jc w:val="both"/>
        <w:rPr>
          <w:rFonts w:ascii="Times New Roman" w:hAnsi="Times New Roman" w:cs="Times New Roman"/>
        </w:rPr>
      </w:pPr>
      <w:r w:rsidRPr="00A5764C">
        <w:rPr>
          <w:rFonts w:ascii="Times New Roman" w:hAnsi="Times New Roman" w:cs="Times New Roman"/>
        </w:rPr>
        <w:t xml:space="preserve">In April 2019, the employment of two of </w:t>
      </w:r>
      <w:r>
        <w:rPr>
          <w:rFonts w:ascii="Times New Roman" w:hAnsi="Times New Roman" w:cs="Times New Roman"/>
        </w:rPr>
        <w:t>BetterLife’s</w:t>
      </w:r>
      <w:r w:rsidRPr="00A5764C">
        <w:rPr>
          <w:rFonts w:ascii="Times New Roman" w:hAnsi="Times New Roman" w:cs="Times New Roman"/>
        </w:rPr>
        <w:t xml:space="preserve"> employees in Pivot Naturals, including the President of Pivot Naturals, which was pursuant to written employment contracts, terminated.  A demand for arbitration before the American Arbitration Association (“AAA”) has been made by these former employees.  An arbitration claim and complaint has been filed and is pending before the AAA that alleges claims for breach of the written employment contracts, fraud, illegal retaliation in violation of California’s </w:t>
      </w:r>
      <w:r w:rsidRPr="00A5764C">
        <w:rPr>
          <w:rFonts w:ascii="Times New Roman" w:hAnsi="Times New Roman" w:cs="Times New Roman"/>
        </w:rPr>
        <w:lastRenderedPageBreak/>
        <w:t>whistleblower statute and tortious discharge in violation of public policy seeking, among other things, recovery of damages for breach of employment contracts, including recovery of severance amounts totaling US$475,000, damages of $580,000 for breach of alleged option rights, waiting time penalties, as well as other general and punitive damages on the tort claims.  The Company intends to vigorously defend these claims and file cross-claims against the former employees for breach of contract and related tort claims and motions for dismissal of certain claims as non-arbitrable.  In June 2019, the Company paid all accrued and unpaid salary and wages, including accrued vacation payable and state wage penalties where applicable, to these former employees.  Additionally, the Company has filed suit in British Columbia against the former President and former Director of Pivot Naturals for declaratory relief and related matters concerning control and use of the Company’s assets.  The Company has accrued a provision of $263,200 (US$200,000) as an estimate of costs associated with this matter</w:t>
      </w:r>
      <w:r w:rsidR="003A57D2" w:rsidRPr="003A57D2">
        <w:rPr>
          <w:rFonts w:ascii="Times New Roman" w:hAnsi="Times New Roman" w:cs="Times New Roman"/>
        </w:rPr>
        <w:t>.</w:t>
      </w:r>
      <w:r w:rsidR="0044403D">
        <w:rPr>
          <w:rFonts w:ascii="Times New Roman" w:hAnsi="Times New Roman" w:cs="Times New Roman"/>
        </w:rPr>
        <w:t xml:space="preserve"> </w:t>
      </w:r>
    </w:p>
    <w:p w14:paraId="7970F24D" w14:textId="77777777" w:rsidR="0055021D" w:rsidRPr="004F6500" w:rsidRDefault="0055021D" w:rsidP="004F6500">
      <w:pPr>
        <w:spacing w:after="0" w:line="254" w:lineRule="auto"/>
        <w:jc w:val="both"/>
        <w:rPr>
          <w:rFonts w:ascii="Times New Roman" w:hAnsi="Times New Roman" w:cs="Times New Roman"/>
        </w:rPr>
      </w:pPr>
    </w:p>
    <w:p w14:paraId="7D0C608A" w14:textId="42655C57" w:rsidR="003A57D2" w:rsidRDefault="004855CD" w:rsidP="004F6500">
      <w:pPr>
        <w:spacing w:after="0" w:line="254" w:lineRule="auto"/>
        <w:jc w:val="both"/>
        <w:rPr>
          <w:rFonts w:ascii="Times New Roman" w:hAnsi="Times New Roman" w:cs="Times New Roman"/>
        </w:rPr>
      </w:pPr>
      <w:r w:rsidRPr="004855CD">
        <w:rPr>
          <w:rFonts w:ascii="Times New Roman" w:hAnsi="Times New Roman" w:cs="Times New Roman"/>
        </w:rPr>
        <w:t xml:space="preserve">In September 2019, </w:t>
      </w:r>
      <w:r w:rsidR="006529AF">
        <w:rPr>
          <w:rFonts w:ascii="Times New Roman" w:hAnsi="Times New Roman" w:cs="Times New Roman"/>
        </w:rPr>
        <w:t>BetterLife</w:t>
      </w:r>
      <w:r w:rsidRPr="004855CD">
        <w:rPr>
          <w:rFonts w:ascii="Times New Roman" w:hAnsi="Times New Roman" w:cs="Times New Roman"/>
        </w:rPr>
        <w:t xml:space="preserve"> was served with a claim from Green Stream Botanicals Corp. (“GSB”) for a finder’s fee in the amount of $600,000</w:t>
      </w:r>
      <w:r w:rsidR="006529AF">
        <w:rPr>
          <w:rFonts w:ascii="Times New Roman" w:hAnsi="Times New Roman" w:cs="Times New Roman"/>
        </w:rPr>
        <w:t xml:space="preserve"> in relation to the non-brokered private placement of $15 million that it closed in May 2019</w:t>
      </w:r>
      <w:r w:rsidRPr="004855CD">
        <w:rPr>
          <w:rFonts w:ascii="Times New Roman" w:hAnsi="Times New Roman" w:cs="Times New Roman"/>
        </w:rPr>
        <w:t>.  The Company believes no service was performed by GSB and intends to vigorously defend these claims</w:t>
      </w:r>
      <w:r w:rsidR="00F94ACD">
        <w:rPr>
          <w:rFonts w:ascii="Times New Roman" w:hAnsi="Times New Roman" w:cs="Times New Roman"/>
        </w:rPr>
        <w:t>.</w:t>
      </w:r>
    </w:p>
    <w:p w14:paraId="1302806D" w14:textId="62059F2D" w:rsidR="00F1577A" w:rsidRDefault="00F1577A" w:rsidP="004F6500">
      <w:pPr>
        <w:spacing w:after="0" w:line="254" w:lineRule="auto"/>
        <w:jc w:val="both"/>
        <w:rPr>
          <w:rFonts w:ascii="Times New Roman" w:hAnsi="Times New Roman" w:cs="Times New Roman"/>
        </w:rPr>
      </w:pPr>
    </w:p>
    <w:p w14:paraId="68E67DCC" w14:textId="2A13BBD3" w:rsidR="005354A6" w:rsidRDefault="00F1577A" w:rsidP="00F1577A">
      <w:pPr>
        <w:spacing w:after="0" w:line="254" w:lineRule="auto"/>
        <w:jc w:val="both"/>
        <w:rPr>
          <w:rFonts w:ascii="Times New Roman" w:hAnsi="Times New Roman" w:cs="Times New Roman"/>
        </w:rPr>
      </w:pPr>
      <w:r>
        <w:rPr>
          <w:rFonts w:ascii="Times New Roman" w:hAnsi="Times New Roman" w:cs="Times New Roman"/>
        </w:rPr>
        <w:t>In</w:t>
      </w:r>
      <w:r w:rsidRPr="00F1577A">
        <w:rPr>
          <w:rFonts w:ascii="Times New Roman" w:hAnsi="Times New Roman" w:cs="Times New Roman"/>
        </w:rPr>
        <w:t xml:space="preserve"> November 2019, </w:t>
      </w:r>
      <w:r>
        <w:rPr>
          <w:rFonts w:ascii="Times New Roman" w:hAnsi="Times New Roman" w:cs="Times New Roman"/>
        </w:rPr>
        <w:t>BetterLife’s</w:t>
      </w:r>
      <w:r w:rsidRPr="00F1577A">
        <w:rPr>
          <w:rFonts w:ascii="Times New Roman" w:hAnsi="Times New Roman" w:cs="Times New Roman"/>
        </w:rPr>
        <w:t xml:space="preserve"> former Chief Executive Officer filed an originating application with the Superior Court in the province of Quebec for damages stemming from a termination of employment. </w:t>
      </w:r>
      <w:r>
        <w:rPr>
          <w:rFonts w:ascii="Times New Roman" w:hAnsi="Times New Roman" w:cs="Times New Roman"/>
        </w:rPr>
        <w:t>BetterLife</w:t>
      </w:r>
      <w:r w:rsidRPr="00F1577A">
        <w:rPr>
          <w:rFonts w:ascii="Times New Roman" w:hAnsi="Times New Roman" w:cs="Times New Roman"/>
        </w:rPr>
        <w:t xml:space="preserve"> is in the process of responding to the originating application.</w:t>
      </w:r>
    </w:p>
    <w:p w14:paraId="521961B9" w14:textId="77777777" w:rsidR="00F1577A" w:rsidRDefault="00F1577A" w:rsidP="00F1577A">
      <w:pPr>
        <w:spacing w:after="0" w:line="254" w:lineRule="auto"/>
        <w:jc w:val="both"/>
        <w:rPr>
          <w:rFonts w:ascii="Times New Roman" w:hAnsi="Times New Roman" w:cs="Times New Roman"/>
          <w:b/>
        </w:rPr>
      </w:pPr>
    </w:p>
    <w:p w14:paraId="6D74DD1D" w14:textId="77777777" w:rsidR="00121878" w:rsidRPr="004F6500" w:rsidRDefault="00B80ECC" w:rsidP="004F6500">
      <w:pPr>
        <w:spacing w:after="0" w:line="254" w:lineRule="auto"/>
        <w:jc w:val="both"/>
        <w:rPr>
          <w:rFonts w:ascii="Times New Roman" w:hAnsi="Times New Roman" w:cs="Times New Roman"/>
        </w:rPr>
      </w:pPr>
      <w:r>
        <w:rPr>
          <w:rFonts w:ascii="Times New Roman" w:hAnsi="Times New Roman" w:cs="Times New Roman"/>
          <w:b/>
        </w:rPr>
        <w:t>Risks and U</w:t>
      </w:r>
      <w:r w:rsidR="009A1302" w:rsidRPr="004F6500">
        <w:rPr>
          <w:rFonts w:ascii="Times New Roman" w:hAnsi="Times New Roman" w:cs="Times New Roman"/>
          <w:b/>
        </w:rPr>
        <w:t>ncertainties</w:t>
      </w:r>
    </w:p>
    <w:p w14:paraId="375391DB" w14:textId="77777777" w:rsidR="00121878" w:rsidRPr="004F6500" w:rsidRDefault="00121878" w:rsidP="004F6500">
      <w:pPr>
        <w:spacing w:after="0" w:line="254" w:lineRule="auto"/>
        <w:jc w:val="both"/>
        <w:rPr>
          <w:rFonts w:ascii="Times New Roman" w:hAnsi="Times New Roman" w:cs="Times New Roman"/>
        </w:rPr>
      </w:pPr>
    </w:p>
    <w:p w14:paraId="1C0F3CD4" w14:textId="500453DA" w:rsidR="00121878" w:rsidRPr="004F6500" w:rsidRDefault="00A5764C" w:rsidP="004F6500">
      <w:pPr>
        <w:spacing w:after="0" w:line="254" w:lineRule="auto"/>
        <w:jc w:val="both"/>
        <w:rPr>
          <w:rFonts w:ascii="Times New Roman" w:hAnsi="Times New Roman" w:cs="Times New Roman"/>
        </w:rPr>
      </w:pPr>
      <w:r>
        <w:rPr>
          <w:rFonts w:ascii="Times New Roman" w:hAnsi="Times New Roman" w:cs="Times New Roman"/>
        </w:rPr>
        <w:t>BetterLife</w:t>
      </w:r>
      <w:r w:rsidR="00121878" w:rsidRPr="004F6500">
        <w:rPr>
          <w:rFonts w:ascii="Times New Roman" w:hAnsi="Times New Roman" w:cs="Times New Roman"/>
        </w:rPr>
        <w:t xml:space="preserve"> is exposed to certain financial risks risks, including credit risk, interest rate risk, liquidity risk and currency risk.</w:t>
      </w:r>
    </w:p>
    <w:p w14:paraId="0F9D4252" w14:textId="77777777" w:rsidR="00121878" w:rsidRPr="004F6500" w:rsidRDefault="00121878" w:rsidP="004F6500">
      <w:pPr>
        <w:spacing w:after="0" w:line="254" w:lineRule="auto"/>
        <w:jc w:val="both"/>
        <w:rPr>
          <w:rFonts w:ascii="Times New Roman" w:hAnsi="Times New Roman" w:cs="Times New Roman"/>
        </w:rPr>
      </w:pPr>
    </w:p>
    <w:p w14:paraId="1F060B33" w14:textId="77777777" w:rsidR="00B80ECC" w:rsidRPr="00B80ECC" w:rsidRDefault="00B80ECC" w:rsidP="004F6500">
      <w:pPr>
        <w:spacing w:after="0" w:line="254" w:lineRule="auto"/>
        <w:jc w:val="both"/>
        <w:rPr>
          <w:rFonts w:ascii="Times New Roman" w:hAnsi="Times New Roman" w:cs="Times New Roman"/>
          <w:u w:val="single"/>
        </w:rPr>
      </w:pPr>
      <w:r w:rsidRPr="00B80ECC">
        <w:rPr>
          <w:rFonts w:ascii="Times New Roman" w:hAnsi="Times New Roman" w:cs="Times New Roman"/>
          <w:u w:val="single"/>
        </w:rPr>
        <w:t>Credit Risk</w:t>
      </w:r>
    </w:p>
    <w:p w14:paraId="45E85AF9" w14:textId="77777777" w:rsidR="00B80ECC" w:rsidRDefault="00B80ECC" w:rsidP="004F6500">
      <w:pPr>
        <w:spacing w:after="0" w:line="254" w:lineRule="auto"/>
        <w:jc w:val="both"/>
        <w:rPr>
          <w:rFonts w:ascii="Times New Roman" w:hAnsi="Times New Roman" w:cs="Times New Roman"/>
        </w:rPr>
      </w:pPr>
    </w:p>
    <w:p w14:paraId="7DF6EC2D" w14:textId="0BB51C70" w:rsidR="00121878" w:rsidRPr="004F6500" w:rsidRDefault="006529AF" w:rsidP="004F6500">
      <w:pPr>
        <w:spacing w:after="0" w:line="254" w:lineRule="auto"/>
        <w:jc w:val="both"/>
        <w:rPr>
          <w:rFonts w:ascii="Times New Roman" w:hAnsi="Times New Roman" w:cs="Times New Roman"/>
        </w:rPr>
      </w:pPr>
      <w:r w:rsidRPr="006529AF">
        <w:rPr>
          <w:rFonts w:ascii="Times New Roman" w:hAnsi="Times New Roman" w:cs="Times New Roman"/>
        </w:rPr>
        <w:t xml:space="preserve">Credit risk is the risk of loss if a customer or third party to a financial instrument fails to meet its contractual obligations.  </w:t>
      </w:r>
      <w:r w:rsidR="00A5764C">
        <w:rPr>
          <w:rFonts w:ascii="Times New Roman" w:hAnsi="Times New Roman" w:cs="Times New Roman"/>
        </w:rPr>
        <w:t>BetterLife’s</w:t>
      </w:r>
      <w:r w:rsidRPr="006529AF">
        <w:rPr>
          <w:rFonts w:ascii="Times New Roman" w:hAnsi="Times New Roman" w:cs="Times New Roman"/>
        </w:rPr>
        <w:t xml:space="preserve"> cash is held through reputable financial institutions in Canada and the U.S.  </w:t>
      </w:r>
      <w:r w:rsidR="00A5764C">
        <w:rPr>
          <w:rFonts w:ascii="Times New Roman" w:hAnsi="Times New Roman" w:cs="Times New Roman"/>
        </w:rPr>
        <w:t>It’s</w:t>
      </w:r>
      <w:r w:rsidRPr="006529AF">
        <w:rPr>
          <w:rFonts w:ascii="Times New Roman" w:hAnsi="Times New Roman" w:cs="Times New Roman"/>
        </w:rPr>
        <w:t xml:space="preserve"> amounts receivable consists of Goods and Services Tax due from the federal government of Canada. </w:t>
      </w:r>
      <w:r w:rsidR="00A5764C">
        <w:rPr>
          <w:rFonts w:ascii="Times New Roman" w:hAnsi="Times New Roman" w:cs="Times New Roman"/>
        </w:rPr>
        <w:t xml:space="preserve"> </w:t>
      </w:r>
      <w:r w:rsidRPr="006529AF">
        <w:rPr>
          <w:rFonts w:ascii="Times New Roman" w:hAnsi="Times New Roman" w:cs="Times New Roman"/>
        </w:rPr>
        <w:t>Loan receivable consist</w:t>
      </w:r>
      <w:r w:rsidR="00A5764C">
        <w:rPr>
          <w:rFonts w:ascii="Times New Roman" w:hAnsi="Times New Roman" w:cs="Times New Roman"/>
        </w:rPr>
        <w:t>s</w:t>
      </w:r>
      <w:r w:rsidRPr="006529AF">
        <w:rPr>
          <w:rFonts w:ascii="Times New Roman" w:hAnsi="Times New Roman" w:cs="Times New Roman"/>
        </w:rPr>
        <w:t xml:space="preserve"> of a loan with a third party.  The carrying amount of cash, amounts receivable and loan receivable represent the maximum exposure to credit risk.  As at October 31, 2019, this amounted to $6,008,067 (January 31, 2019 - $119,289; February 1, 2018 - $84,426)</w:t>
      </w:r>
      <w:r w:rsidR="00380C2B" w:rsidRPr="004F6500">
        <w:rPr>
          <w:rFonts w:ascii="Times New Roman" w:hAnsi="Times New Roman" w:cs="Times New Roman"/>
        </w:rPr>
        <w:t>.</w:t>
      </w:r>
    </w:p>
    <w:p w14:paraId="04CF85DE" w14:textId="77777777" w:rsidR="00380C2B" w:rsidRPr="004F6500" w:rsidRDefault="00380C2B" w:rsidP="004F6500">
      <w:pPr>
        <w:spacing w:after="0" w:line="254" w:lineRule="auto"/>
        <w:jc w:val="both"/>
        <w:rPr>
          <w:rFonts w:ascii="Times New Roman" w:hAnsi="Times New Roman" w:cs="Times New Roman"/>
        </w:rPr>
      </w:pPr>
    </w:p>
    <w:p w14:paraId="284F5185" w14:textId="77777777" w:rsidR="00B80ECC" w:rsidRPr="00B80ECC" w:rsidRDefault="00B80ECC" w:rsidP="004F6500">
      <w:pPr>
        <w:spacing w:after="0" w:line="254" w:lineRule="auto"/>
        <w:jc w:val="both"/>
        <w:rPr>
          <w:rFonts w:ascii="Times New Roman" w:hAnsi="Times New Roman" w:cs="Times New Roman"/>
          <w:u w:val="single"/>
        </w:rPr>
      </w:pPr>
      <w:r w:rsidRPr="00B80ECC">
        <w:rPr>
          <w:rFonts w:ascii="Times New Roman" w:hAnsi="Times New Roman" w:cs="Times New Roman"/>
          <w:u w:val="single"/>
        </w:rPr>
        <w:t>Interest Rate Risk</w:t>
      </w:r>
    </w:p>
    <w:p w14:paraId="05F713D1" w14:textId="77777777" w:rsidR="00B80ECC" w:rsidRDefault="00B80ECC" w:rsidP="004F6500">
      <w:pPr>
        <w:spacing w:after="0" w:line="254" w:lineRule="auto"/>
        <w:jc w:val="both"/>
        <w:rPr>
          <w:rFonts w:ascii="Times New Roman" w:hAnsi="Times New Roman" w:cs="Times New Roman"/>
        </w:rPr>
      </w:pPr>
    </w:p>
    <w:p w14:paraId="72BFEAC0" w14:textId="77777777" w:rsidR="00380C2B" w:rsidRPr="004F6500" w:rsidRDefault="00380C2B" w:rsidP="004F6500">
      <w:pPr>
        <w:spacing w:after="0" w:line="254" w:lineRule="auto"/>
        <w:jc w:val="both"/>
        <w:rPr>
          <w:rFonts w:ascii="Times New Roman" w:hAnsi="Times New Roman" w:cs="Times New Roman"/>
        </w:rPr>
      </w:pPr>
      <w:r w:rsidRPr="004F6500">
        <w:rPr>
          <w:rFonts w:ascii="Times New Roman" w:hAnsi="Times New Roman" w:cs="Times New Roman"/>
        </w:rPr>
        <w:t>Interest rate risk is the risk that fair values of future cash flows of a financial instrument will fluctuate because of changes in market interest rates.  The Company is not exposed to interest rate risk.</w:t>
      </w:r>
    </w:p>
    <w:p w14:paraId="479DBFEF" w14:textId="77777777" w:rsidR="00380C2B" w:rsidRPr="004F6500" w:rsidRDefault="00380C2B" w:rsidP="004F6500">
      <w:pPr>
        <w:spacing w:after="0" w:line="254" w:lineRule="auto"/>
        <w:jc w:val="both"/>
        <w:rPr>
          <w:rFonts w:ascii="Times New Roman" w:hAnsi="Times New Roman" w:cs="Times New Roman"/>
        </w:rPr>
      </w:pPr>
    </w:p>
    <w:p w14:paraId="09D91B27" w14:textId="77777777" w:rsidR="00B80ECC" w:rsidRPr="00B80ECC" w:rsidRDefault="00380C2B" w:rsidP="004F6500">
      <w:pPr>
        <w:spacing w:after="0" w:line="254" w:lineRule="auto"/>
        <w:jc w:val="both"/>
        <w:rPr>
          <w:rFonts w:ascii="Times New Roman" w:hAnsi="Times New Roman" w:cs="Times New Roman"/>
          <w:u w:val="single"/>
        </w:rPr>
      </w:pPr>
      <w:r w:rsidRPr="00B80ECC">
        <w:rPr>
          <w:rFonts w:ascii="Times New Roman" w:hAnsi="Times New Roman" w:cs="Times New Roman"/>
          <w:u w:val="single"/>
        </w:rPr>
        <w:t xml:space="preserve">Liquidity </w:t>
      </w:r>
      <w:r w:rsidR="00B80ECC" w:rsidRPr="00B80ECC">
        <w:rPr>
          <w:rFonts w:ascii="Times New Roman" w:hAnsi="Times New Roman" w:cs="Times New Roman"/>
          <w:u w:val="single"/>
        </w:rPr>
        <w:t>R</w:t>
      </w:r>
      <w:r w:rsidRPr="00B80ECC">
        <w:rPr>
          <w:rFonts w:ascii="Times New Roman" w:hAnsi="Times New Roman" w:cs="Times New Roman"/>
          <w:u w:val="single"/>
        </w:rPr>
        <w:t>isk</w:t>
      </w:r>
    </w:p>
    <w:p w14:paraId="68F36D26" w14:textId="77777777" w:rsidR="00B80ECC" w:rsidRDefault="00B80ECC" w:rsidP="004F6500">
      <w:pPr>
        <w:spacing w:after="0" w:line="254" w:lineRule="auto"/>
        <w:jc w:val="both"/>
        <w:rPr>
          <w:rFonts w:ascii="Times New Roman" w:hAnsi="Times New Roman" w:cs="Times New Roman"/>
        </w:rPr>
      </w:pPr>
    </w:p>
    <w:p w14:paraId="5DAF3DAB" w14:textId="77777777" w:rsidR="00380C2B" w:rsidRPr="004F6500" w:rsidRDefault="00380C2B" w:rsidP="004F6500">
      <w:pPr>
        <w:spacing w:after="0" w:line="254" w:lineRule="auto"/>
        <w:jc w:val="both"/>
        <w:rPr>
          <w:rFonts w:ascii="Times New Roman" w:hAnsi="Times New Roman" w:cs="Times New Roman"/>
        </w:rPr>
      </w:pPr>
      <w:r w:rsidRPr="004F6500">
        <w:rPr>
          <w:rFonts w:ascii="Times New Roman" w:hAnsi="Times New Roman" w:cs="Times New Roman"/>
        </w:rPr>
        <w:t>Liquidity risk is the risk that the Company will not be able to meet is financial obligations as they come due.  The Company manages liquidity risk through the management of its capital structure.  Accounts payable and accrued liabilities and due to related parties are due within the current operating period.</w:t>
      </w:r>
    </w:p>
    <w:p w14:paraId="26DDB46C" w14:textId="77777777" w:rsidR="00380C2B" w:rsidRPr="004F6500" w:rsidRDefault="00380C2B" w:rsidP="004F6500">
      <w:pPr>
        <w:spacing w:after="0" w:line="254" w:lineRule="auto"/>
        <w:jc w:val="both"/>
        <w:rPr>
          <w:rFonts w:ascii="Times New Roman" w:hAnsi="Times New Roman" w:cs="Times New Roman"/>
        </w:rPr>
      </w:pPr>
    </w:p>
    <w:p w14:paraId="4A3B5491" w14:textId="77777777" w:rsidR="00693CDD" w:rsidRDefault="00693CDD" w:rsidP="004F6500">
      <w:pPr>
        <w:spacing w:after="0" w:line="254" w:lineRule="auto"/>
        <w:jc w:val="both"/>
        <w:rPr>
          <w:rFonts w:ascii="Times New Roman" w:hAnsi="Times New Roman" w:cs="Times New Roman"/>
          <w:u w:val="single"/>
        </w:rPr>
      </w:pPr>
    </w:p>
    <w:p w14:paraId="59B477F6" w14:textId="77777777" w:rsidR="00693CDD" w:rsidRDefault="00693CDD" w:rsidP="004F6500">
      <w:pPr>
        <w:spacing w:after="0" w:line="254" w:lineRule="auto"/>
        <w:jc w:val="both"/>
        <w:rPr>
          <w:rFonts w:ascii="Times New Roman" w:hAnsi="Times New Roman" w:cs="Times New Roman"/>
          <w:u w:val="single"/>
        </w:rPr>
      </w:pPr>
    </w:p>
    <w:p w14:paraId="225F4AE9" w14:textId="612814D7" w:rsidR="00B80ECC" w:rsidRPr="00B80ECC" w:rsidRDefault="00B80ECC" w:rsidP="004F6500">
      <w:pPr>
        <w:spacing w:after="0" w:line="254" w:lineRule="auto"/>
        <w:jc w:val="both"/>
        <w:rPr>
          <w:rFonts w:ascii="Times New Roman" w:hAnsi="Times New Roman" w:cs="Times New Roman"/>
          <w:u w:val="single"/>
        </w:rPr>
      </w:pPr>
      <w:r w:rsidRPr="00B80ECC">
        <w:rPr>
          <w:rFonts w:ascii="Times New Roman" w:hAnsi="Times New Roman" w:cs="Times New Roman"/>
          <w:u w:val="single"/>
        </w:rPr>
        <w:lastRenderedPageBreak/>
        <w:t>Currency R</w:t>
      </w:r>
      <w:r w:rsidR="00380C2B" w:rsidRPr="00B80ECC">
        <w:rPr>
          <w:rFonts w:ascii="Times New Roman" w:hAnsi="Times New Roman" w:cs="Times New Roman"/>
          <w:u w:val="single"/>
        </w:rPr>
        <w:t>isk</w:t>
      </w:r>
    </w:p>
    <w:p w14:paraId="3CC97E8C" w14:textId="77777777" w:rsidR="00B80ECC" w:rsidRDefault="00B80ECC" w:rsidP="004F6500">
      <w:pPr>
        <w:spacing w:after="0" w:line="254" w:lineRule="auto"/>
        <w:jc w:val="both"/>
        <w:rPr>
          <w:rFonts w:ascii="Times New Roman" w:hAnsi="Times New Roman" w:cs="Times New Roman"/>
        </w:rPr>
      </w:pPr>
    </w:p>
    <w:p w14:paraId="190899A7" w14:textId="77777777" w:rsidR="00380C2B" w:rsidRPr="004F6500" w:rsidRDefault="00380C2B" w:rsidP="004F6500">
      <w:pPr>
        <w:spacing w:after="0" w:line="254" w:lineRule="auto"/>
        <w:jc w:val="both"/>
        <w:rPr>
          <w:rFonts w:ascii="Times New Roman" w:hAnsi="Times New Roman" w:cs="Times New Roman"/>
        </w:rPr>
      </w:pPr>
      <w:r w:rsidRPr="004F6500">
        <w:rPr>
          <w:rFonts w:ascii="Times New Roman" w:hAnsi="Times New Roman" w:cs="Times New Roman"/>
        </w:rPr>
        <w:t>Currency risk is the risk of loss due to fluctuation of foreign exchange rates and the effects of these fluctuations on foreign currency denominated monetary assets and liabilities.  The Company is not exposed to significant currency risk as the parent entity and subsidiaries primarily transact in their functional currencies.  The Company does not invest in derivatives to mitigate these risks.</w:t>
      </w:r>
    </w:p>
    <w:p w14:paraId="79FB5882" w14:textId="77777777" w:rsidR="009A1302" w:rsidRDefault="009A1302" w:rsidP="004F6500">
      <w:pPr>
        <w:spacing w:after="0" w:line="254" w:lineRule="auto"/>
        <w:jc w:val="both"/>
        <w:rPr>
          <w:rFonts w:ascii="Times New Roman" w:hAnsi="Times New Roman" w:cs="Times New Roman"/>
        </w:rPr>
      </w:pPr>
    </w:p>
    <w:p w14:paraId="3A7F5FF3" w14:textId="77777777" w:rsidR="00EA6742" w:rsidRDefault="00EA6742" w:rsidP="004F6500">
      <w:pPr>
        <w:spacing w:after="0" w:line="254" w:lineRule="auto"/>
        <w:jc w:val="both"/>
        <w:rPr>
          <w:rFonts w:ascii="Times New Roman" w:hAnsi="Times New Roman" w:cs="Times New Roman"/>
        </w:rPr>
      </w:pPr>
      <w:r>
        <w:rPr>
          <w:rFonts w:ascii="Times New Roman" w:hAnsi="Times New Roman" w:cs="Times New Roman"/>
          <w:u w:val="single"/>
        </w:rPr>
        <w:t>Other Risks and Uncertainties</w:t>
      </w:r>
    </w:p>
    <w:p w14:paraId="4390B655" w14:textId="77777777" w:rsidR="00EA6742" w:rsidRPr="00EA6742" w:rsidRDefault="00EA6742" w:rsidP="004F6500">
      <w:pPr>
        <w:spacing w:after="0" w:line="254" w:lineRule="auto"/>
        <w:jc w:val="both"/>
        <w:rPr>
          <w:rFonts w:ascii="Times New Roman" w:hAnsi="Times New Roman" w:cs="Times New Roman"/>
        </w:rPr>
      </w:pPr>
    </w:p>
    <w:p w14:paraId="21AFB88B" w14:textId="77777777" w:rsidR="009A1302" w:rsidRPr="004F6500" w:rsidRDefault="009A1302"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The Company is subject to other risks and </w:t>
      </w:r>
      <w:r w:rsidR="000E38EA" w:rsidRPr="004F6500">
        <w:rPr>
          <w:rFonts w:ascii="Times New Roman" w:hAnsi="Times New Roman" w:cs="Times New Roman"/>
        </w:rPr>
        <w:t>uncertainties</w:t>
      </w:r>
      <w:r w:rsidRPr="004F6500">
        <w:rPr>
          <w:rFonts w:ascii="Times New Roman" w:hAnsi="Times New Roman" w:cs="Times New Roman"/>
        </w:rPr>
        <w:t xml:space="preserve">.  Discussion of such risks are included in the Company’s recently filed </w:t>
      </w:r>
      <w:r w:rsidR="00A90105" w:rsidRPr="004F6500">
        <w:rPr>
          <w:rFonts w:ascii="Times New Roman" w:hAnsi="Times New Roman" w:cs="Times New Roman"/>
        </w:rPr>
        <w:t xml:space="preserve">Form 10-K </w:t>
      </w:r>
      <w:r w:rsidR="000E38EA" w:rsidRPr="004F6500">
        <w:rPr>
          <w:rFonts w:ascii="Times New Roman" w:hAnsi="Times New Roman" w:cs="Times New Roman"/>
        </w:rPr>
        <w:t xml:space="preserve">(Item 1A. Risk Factors) </w:t>
      </w:r>
      <w:r w:rsidR="00A90105" w:rsidRPr="004F6500">
        <w:rPr>
          <w:rFonts w:ascii="Times New Roman" w:hAnsi="Times New Roman" w:cs="Times New Roman"/>
        </w:rPr>
        <w:t>dated</w:t>
      </w:r>
      <w:r w:rsidR="000E38EA" w:rsidRPr="004F6500">
        <w:rPr>
          <w:rFonts w:ascii="Times New Roman" w:hAnsi="Times New Roman" w:cs="Times New Roman"/>
        </w:rPr>
        <w:t xml:space="preserve"> May 2, 2019 on SEDAR.  The risk factors discussed herein do not represent an exhaustive list of all the potential issues that could affect the financial results of the Company.  Additional risk factors not presently known to the Company or that the Company believes to be immaterial may also adversely affect the Company’s business, operations and profitability.</w:t>
      </w:r>
    </w:p>
    <w:p w14:paraId="668461C4" w14:textId="77777777" w:rsidR="002A2078" w:rsidRPr="004F6500" w:rsidRDefault="002A2078" w:rsidP="004F6500">
      <w:pPr>
        <w:spacing w:after="0" w:line="254" w:lineRule="auto"/>
        <w:jc w:val="both"/>
        <w:rPr>
          <w:rFonts w:ascii="Times New Roman" w:hAnsi="Times New Roman" w:cs="Times New Roman"/>
          <w:b/>
        </w:rPr>
      </w:pPr>
    </w:p>
    <w:p w14:paraId="399069F2" w14:textId="77777777" w:rsidR="00F1577A" w:rsidRDefault="00F1577A" w:rsidP="004F6500">
      <w:pPr>
        <w:spacing w:after="0" w:line="254" w:lineRule="auto"/>
        <w:jc w:val="both"/>
        <w:rPr>
          <w:rFonts w:ascii="Times New Roman" w:hAnsi="Times New Roman" w:cs="Times New Roman"/>
          <w:b/>
        </w:rPr>
      </w:pPr>
    </w:p>
    <w:p w14:paraId="7FA77D88" w14:textId="54902962" w:rsidR="00496CAE" w:rsidRPr="004F6500" w:rsidRDefault="00543ED6" w:rsidP="004F6500">
      <w:pPr>
        <w:spacing w:after="0" w:line="254" w:lineRule="auto"/>
        <w:jc w:val="both"/>
        <w:rPr>
          <w:rFonts w:ascii="Times New Roman" w:hAnsi="Times New Roman" w:cs="Times New Roman"/>
          <w:b/>
        </w:rPr>
      </w:pPr>
      <w:r w:rsidRPr="004F6500">
        <w:rPr>
          <w:rFonts w:ascii="Times New Roman" w:hAnsi="Times New Roman" w:cs="Times New Roman"/>
          <w:b/>
        </w:rPr>
        <w:t>OFF BALANCE SHEET ARRANGEMENTS</w:t>
      </w:r>
    </w:p>
    <w:p w14:paraId="5787C8BC" w14:textId="77777777" w:rsidR="00496CAE" w:rsidRPr="004F6500" w:rsidRDefault="00496CAE" w:rsidP="004F6500">
      <w:pPr>
        <w:spacing w:after="0" w:line="254" w:lineRule="auto"/>
        <w:jc w:val="both"/>
        <w:rPr>
          <w:rFonts w:ascii="Times New Roman" w:hAnsi="Times New Roman" w:cs="Times New Roman"/>
          <w:b/>
        </w:rPr>
      </w:pPr>
    </w:p>
    <w:p w14:paraId="0F2CB7BB" w14:textId="77777777" w:rsidR="00413733" w:rsidRPr="004F6500" w:rsidRDefault="00413733" w:rsidP="004F6500">
      <w:pPr>
        <w:spacing w:after="0" w:line="254" w:lineRule="auto"/>
        <w:jc w:val="both"/>
        <w:rPr>
          <w:rFonts w:ascii="Times New Roman" w:hAnsi="Times New Roman" w:cs="Times New Roman"/>
        </w:rPr>
      </w:pPr>
      <w:r w:rsidRPr="004F6500">
        <w:rPr>
          <w:rFonts w:ascii="Times New Roman" w:hAnsi="Times New Roman" w:cs="Times New Roman"/>
        </w:rPr>
        <w:t>The Company has no off-balance sheet arrangements that have, or are reasonably likely to have, a material current or future effect on the Company’s financial condition, results of operations or cash flows.</w:t>
      </w:r>
    </w:p>
    <w:p w14:paraId="419135D5" w14:textId="77777777" w:rsidR="000746D9" w:rsidRPr="004F6500" w:rsidRDefault="000746D9" w:rsidP="004F6500">
      <w:pPr>
        <w:spacing w:after="0" w:line="254" w:lineRule="auto"/>
        <w:jc w:val="both"/>
        <w:rPr>
          <w:rFonts w:ascii="Times New Roman" w:hAnsi="Times New Roman" w:cs="Times New Roman"/>
        </w:rPr>
      </w:pPr>
    </w:p>
    <w:p w14:paraId="7ACB0F5B" w14:textId="77777777" w:rsidR="00496CAE" w:rsidRPr="004F6500" w:rsidRDefault="00496CAE" w:rsidP="004F6500">
      <w:pPr>
        <w:spacing w:after="0" w:line="254" w:lineRule="auto"/>
        <w:jc w:val="both"/>
        <w:rPr>
          <w:rFonts w:ascii="Times New Roman" w:hAnsi="Times New Roman" w:cs="Times New Roman"/>
          <w:b/>
        </w:rPr>
      </w:pPr>
    </w:p>
    <w:p w14:paraId="5B19143D" w14:textId="77777777" w:rsidR="00496CAE" w:rsidRPr="004F6500" w:rsidRDefault="00413733" w:rsidP="004F6500">
      <w:pPr>
        <w:spacing w:after="0" w:line="254" w:lineRule="auto"/>
        <w:jc w:val="both"/>
        <w:rPr>
          <w:rFonts w:ascii="Times New Roman" w:hAnsi="Times New Roman" w:cs="Times New Roman"/>
          <w:b/>
        </w:rPr>
      </w:pPr>
      <w:r w:rsidRPr="004F6500">
        <w:rPr>
          <w:rFonts w:ascii="Times New Roman" w:hAnsi="Times New Roman" w:cs="Times New Roman"/>
          <w:b/>
        </w:rPr>
        <w:t>TRANSACTIONS BETWEEN RELATED PARTIES</w:t>
      </w:r>
    </w:p>
    <w:p w14:paraId="6C2A3D80" w14:textId="77777777" w:rsidR="00106AA4" w:rsidRPr="004F6500" w:rsidRDefault="00106AA4" w:rsidP="004F6500">
      <w:pPr>
        <w:spacing w:after="0" w:line="254" w:lineRule="auto"/>
        <w:jc w:val="both"/>
        <w:rPr>
          <w:rFonts w:ascii="Times New Roman" w:hAnsi="Times New Roman" w:cs="Times New Roman"/>
          <w:b/>
        </w:rPr>
      </w:pPr>
    </w:p>
    <w:p w14:paraId="2B86536F" w14:textId="74F77B0D" w:rsidR="00496CAE" w:rsidRPr="004F6500" w:rsidRDefault="00106AA4"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During the </w:t>
      </w:r>
      <w:r w:rsidR="00CA0D0C">
        <w:rPr>
          <w:rFonts w:ascii="Times New Roman" w:hAnsi="Times New Roman" w:cs="Times New Roman"/>
        </w:rPr>
        <w:t>three and nine</w:t>
      </w:r>
      <w:r w:rsidRPr="004F6500">
        <w:rPr>
          <w:rFonts w:ascii="Times New Roman" w:hAnsi="Times New Roman" w:cs="Times New Roman"/>
        </w:rPr>
        <w:t xml:space="preserve"> months ended </w:t>
      </w:r>
      <w:r w:rsidR="00A5764C">
        <w:rPr>
          <w:rFonts w:ascii="Times New Roman" w:hAnsi="Times New Roman" w:cs="Times New Roman"/>
        </w:rPr>
        <w:t>October</w:t>
      </w:r>
      <w:r w:rsidRPr="004F6500">
        <w:rPr>
          <w:rFonts w:ascii="Times New Roman" w:hAnsi="Times New Roman" w:cs="Times New Roman"/>
        </w:rPr>
        <w:t xml:space="preserve"> 31, 2019</w:t>
      </w:r>
      <w:r w:rsidR="00A53B3B">
        <w:rPr>
          <w:rFonts w:ascii="Times New Roman" w:hAnsi="Times New Roman" w:cs="Times New Roman"/>
        </w:rPr>
        <w:t>,</w:t>
      </w:r>
      <w:r w:rsidRPr="004F6500">
        <w:rPr>
          <w:rFonts w:ascii="Times New Roman" w:hAnsi="Times New Roman" w:cs="Times New Roman"/>
        </w:rPr>
        <w:t xml:space="preserve"> </w:t>
      </w:r>
      <w:r w:rsidR="00A5764C">
        <w:rPr>
          <w:rFonts w:ascii="Times New Roman" w:hAnsi="Times New Roman" w:cs="Times New Roman"/>
        </w:rPr>
        <w:t>BetterLife</w:t>
      </w:r>
      <w:r w:rsidRPr="004F6500">
        <w:rPr>
          <w:rFonts w:ascii="Times New Roman" w:hAnsi="Times New Roman" w:cs="Times New Roman"/>
        </w:rPr>
        <w:t xml:space="preserve"> entered into transactions and had outstanding balances with various related parties. The transactions with related parties are in the normal course of business.</w:t>
      </w:r>
    </w:p>
    <w:p w14:paraId="5B3B8D95" w14:textId="77777777" w:rsidR="00106AA4" w:rsidRPr="004F6500" w:rsidRDefault="00106AA4" w:rsidP="004F6500">
      <w:pPr>
        <w:spacing w:after="0" w:line="254" w:lineRule="auto"/>
        <w:jc w:val="both"/>
        <w:rPr>
          <w:rFonts w:ascii="Times New Roman" w:hAnsi="Times New Roman" w:cs="Times New Roman"/>
        </w:rPr>
      </w:pPr>
    </w:p>
    <w:p w14:paraId="16B3792E" w14:textId="1E0A237C" w:rsidR="00106AA4" w:rsidRPr="004F6500" w:rsidRDefault="00A5764C" w:rsidP="004F6500">
      <w:pPr>
        <w:spacing w:after="0" w:line="254" w:lineRule="auto"/>
        <w:jc w:val="both"/>
        <w:rPr>
          <w:rFonts w:ascii="Times New Roman" w:hAnsi="Times New Roman" w:cs="Times New Roman"/>
        </w:rPr>
      </w:pPr>
      <w:r w:rsidRPr="00A5764C">
        <w:rPr>
          <w:rFonts w:ascii="Times New Roman" w:hAnsi="Times New Roman" w:cs="Times New Roman"/>
        </w:rPr>
        <w:t>During the three and nine months ended October 31, 2019, compensation of key management and directors, including former key management and directors, of the Company totaled $409,066 and $1,120,657, respectively (three and nine months ended October 31, 2018 - $318,554 and $852,232, respectively), and consisted of salaries and consulting fees paid in cash and common shares issued.  The Company granted 4,200,000 share purchase options during the nine months ended October 31, 2019 (nine months ended October 31, 2018 –nil) valued at $978,049 to key management and directors.  Key management includes those persons having authority and responsibility for planning, directing and controlling the activities, directly or indirectly, of the Company</w:t>
      </w:r>
      <w:r w:rsidR="00273E6A">
        <w:rPr>
          <w:rFonts w:ascii="Times New Roman" w:hAnsi="Times New Roman" w:cs="Times New Roman"/>
        </w:rPr>
        <w:t>.</w:t>
      </w:r>
    </w:p>
    <w:p w14:paraId="7E3C8A56" w14:textId="77777777" w:rsidR="00592EBC" w:rsidRPr="004F6500" w:rsidRDefault="00592EBC" w:rsidP="004F6500">
      <w:pPr>
        <w:spacing w:after="0" w:line="254" w:lineRule="auto"/>
        <w:jc w:val="both"/>
        <w:rPr>
          <w:rFonts w:ascii="Times New Roman" w:hAnsi="Times New Roman" w:cs="Times New Roman"/>
        </w:rPr>
      </w:pPr>
    </w:p>
    <w:p w14:paraId="73940105" w14:textId="192BECCC" w:rsidR="00592EBC" w:rsidRPr="004F6500" w:rsidRDefault="00A5764C" w:rsidP="004F6500">
      <w:pPr>
        <w:spacing w:after="0" w:line="254" w:lineRule="auto"/>
        <w:jc w:val="both"/>
        <w:rPr>
          <w:rFonts w:ascii="Times New Roman" w:hAnsi="Times New Roman" w:cs="Times New Roman"/>
        </w:rPr>
      </w:pPr>
      <w:r w:rsidRPr="00A5764C">
        <w:rPr>
          <w:rFonts w:ascii="Times New Roman" w:hAnsi="Times New Roman" w:cs="Times New Roman"/>
        </w:rPr>
        <w:t>As at October 31, 2019, the Company owed $10,368 to key management and directors (January 31, 2019 - $281,587; February 1, 2018 - $12,421)</w:t>
      </w:r>
      <w:r w:rsidR="00F55E6E" w:rsidRPr="004F6500">
        <w:rPr>
          <w:rFonts w:ascii="Times New Roman" w:hAnsi="Times New Roman" w:cs="Times New Roman"/>
        </w:rPr>
        <w:t>.</w:t>
      </w:r>
    </w:p>
    <w:p w14:paraId="0FF81FB8" w14:textId="77777777" w:rsidR="00F55E6E" w:rsidRPr="004F6500" w:rsidRDefault="00F55E6E" w:rsidP="004F6500">
      <w:pPr>
        <w:spacing w:after="0" w:line="254" w:lineRule="auto"/>
        <w:jc w:val="both"/>
        <w:rPr>
          <w:rFonts w:ascii="Times New Roman" w:hAnsi="Times New Roman" w:cs="Times New Roman"/>
        </w:rPr>
      </w:pPr>
    </w:p>
    <w:p w14:paraId="3CE595E8" w14:textId="55DB96CB" w:rsidR="00F55E6E" w:rsidRPr="004F6500" w:rsidRDefault="00A5764C" w:rsidP="004F6500">
      <w:pPr>
        <w:spacing w:after="0" w:line="254" w:lineRule="auto"/>
        <w:jc w:val="both"/>
        <w:rPr>
          <w:rFonts w:ascii="Times New Roman" w:hAnsi="Times New Roman" w:cs="Times New Roman"/>
        </w:rPr>
      </w:pPr>
      <w:r w:rsidRPr="00A5764C">
        <w:rPr>
          <w:rFonts w:ascii="Times New Roman" w:hAnsi="Times New Roman" w:cs="Times New Roman"/>
        </w:rPr>
        <w:t>On September 12, 2017, the Company entered into a licensing agreement with Altum, a party related at that date by way of common officers and director, whereby the Company acquired worldwide rights to the BiPhasix™ transdermal drug delivery technology for the development and commercialization of cannabinoids, cannabidiol and tetrahydrocannabinol products.  As at October 31, 2019, the Company owed Altum $nil (January 31, 2019 - $48,896; February 1, 2018 - $nil) for expenses paid on behalf of the Company</w:t>
      </w:r>
      <w:r w:rsidR="00F55E6E" w:rsidRPr="004F6500">
        <w:rPr>
          <w:rFonts w:ascii="Times New Roman" w:hAnsi="Times New Roman" w:cs="Times New Roman"/>
        </w:rPr>
        <w:t>.</w:t>
      </w:r>
    </w:p>
    <w:p w14:paraId="4EB4CABC" w14:textId="77777777" w:rsidR="00106AA4" w:rsidRPr="004F6500" w:rsidRDefault="00106AA4" w:rsidP="004F6500">
      <w:pPr>
        <w:spacing w:after="0" w:line="254" w:lineRule="auto"/>
        <w:jc w:val="both"/>
        <w:rPr>
          <w:rFonts w:ascii="Times New Roman" w:hAnsi="Times New Roman" w:cs="Times New Roman"/>
        </w:rPr>
      </w:pPr>
    </w:p>
    <w:p w14:paraId="08D265E4" w14:textId="77777777" w:rsidR="00496CAE" w:rsidRPr="004F6500" w:rsidRDefault="00496CAE" w:rsidP="004F6500">
      <w:pPr>
        <w:spacing w:after="0" w:line="254" w:lineRule="auto"/>
        <w:jc w:val="both"/>
        <w:rPr>
          <w:rFonts w:ascii="Times New Roman" w:hAnsi="Times New Roman" w:cs="Times New Roman"/>
          <w:b/>
        </w:rPr>
      </w:pPr>
    </w:p>
    <w:p w14:paraId="0A9B9C45" w14:textId="77777777" w:rsidR="00496CAE" w:rsidRPr="004F6500" w:rsidRDefault="00413733" w:rsidP="004F6500">
      <w:pPr>
        <w:spacing w:after="0" w:line="254" w:lineRule="auto"/>
        <w:jc w:val="both"/>
        <w:rPr>
          <w:rFonts w:ascii="Times New Roman" w:hAnsi="Times New Roman" w:cs="Times New Roman"/>
          <w:b/>
        </w:rPr>
      </w:pPr>
      <w:r w:rsidRPr="004F6500">
        <w:rPr>
          <w:rFonts w:ascii="Times New Roman" w:hAnsi="Times New Roman" w:cs="Times New Roman"/>
          <w:b/>
        </w:rPr>
        <w:t>PROPOSED TRANSACTIONS</w:t>
      </w:r>
    </w:p>
    <w:p w14:paraId="0EC6BEA3" w14:textId="77777777" w:rsidR="00496CAE" w:rsidRPr="004F6500" w:rsidRDefault="00496CAE" w:rsidP="004F6500">
      <w:pPr>
        <w:spacing w:after="0" w:line="254" w:lineRule="auto"/>
        <w:jc w:val="both"/>
        <w:rPr>
          <w:rFonts w:ascii="Times New Roman" w:hAnsi="Times New Roman" w:cs="Times New Roman"/>
          <w:b/>
        </w:rPr>
      </w:pPr>
    </w:p>
    <w:p w14:paraId="798C3633" w14:textId="7587D0E0" w:rsidR="00C72FC4" w:rsidRPr="004F6500" w:rsidRDefault="00C72FC4" w:rsidP="004F6500">
      <w:pPr>
        <w:spacing w:after="0" w:line="254" w:lineRule="auto"/>
        <w:jc w:val="both"/>
        <w:rPr>
          <w:rFonts w:ascii="Times New Roman" w:hAnsi="Times New Roman" w:cs="Times New Roman"/>
        </w:rPr>
      </w:pPr>
      <w:r w:rsidRPr="003116A0">
        <w:rPr>
          <w:rFonts w:ascii="Times New Roman" w:hAnsi="Times New Roman" w:cs="Times New Roman"/>
        </w:rPr>
        <w:t xml:space="preserve">On September 5, 2019, the Company entered into a binding letter of intent to acquire 51% of </w:t>
      </w:r>
      <w:r w:rsidR="00693CDD">
        <w:rPr>
          <w:rFonts w:ascii="Times New Roman" w:hAnsi="Times New Roman" w:cs="Times New Roman"/>
        </w:rPr>
        <w:t>IAMHEALTH</w:t>
      </w:r>
      <w:r w:rsidRPr="003116A0">
        <w:rPr>
          <w:rFonts w:ascii="Times New Roman" w:hAnsi="Times New Roman" w:cs="Times New Roman"/>
        </w:rPr>
        <w:t>, an online nutraceutical distribution and sales platform serving the EU market, with negotiation of the final definitive agreement to be completed no later than December 31, 2019</w:t>
      </w:r>
      <w:r w:rsidRPr="00DE3ACB">
        <w:rPr>
          <w:rFonts w:ascii="Times New Roman" w:hAnsi="Times New Roman" w:cs="Times New Roman"/>
        </w:rPr>
        <w:t>.</w:t>
      </w:r>
      <w:r w:rsidR="00DE3ACB">
        <w:rPr>
          <w:rFonts w:ascii="Times New Roman" w:hAnsi="Times New Roman" w:cs="Times New Roman"/>
        </w:rPr>
        <w:t xml:space="preserve"> The transaction was closed on December 18</w:t>
      </w:r>
      <w:r w:rsidR="00FC49FD">
        <w:rPr>
          <w:rFonts w:ascii="Times New Roman" w:hAnsi="Times New Roman" w:cs="Times New Roman"/>
        </w:rPr>
        <w:t xml:space="preserve">, 2019 </w:t>
      </w:r>
      <w:r w:rsidR="00DE3ACB">
        <w:rPr>
          <w:rFonts w:ascii="Times New Roman" w:hAnsi="Times New Roman" w:cs="Times New Roman"/>
        </w:rPr>
        <w:t xml:space="preserve">for 100% </w:t>
      </w:r>
      <w:r w:rsidR="00FC49FD">
        <w:rPr>
          <w:rFonts w:ascii="Times New Roman" w:hAnsi="Times New Roman" w:cs="Times New Roman"/>
        </w:rPr>
        <w:t xml:space="preserve">of </w:t>
      </w:r>
      <w:r w:rsidR="00693CDD">
        <w:rPr>
          <w:rFonts w:ascii="Times New Roman" w:hAnsi="Times New Roman" w:cs="Times New Roman"/>
        </w:rPr>
        <w:t>IAMHEALTH</w:t>
      </w:r>
      <w:r w:rsidR="00FC49FD">
        <w:rPr>
          <w:rFonts w:ascii="Times New Roman" w:hAnsi="Times New Roman" w:cs="Times New Roman"/>
        </w:rPr>
        <w:t xml:space="preserve"> in exchange </w:t>
      </w:r>
      <w:r w:rsidR="00693CDD">
        <w:rPr>
          <w:rFonts w:ascii="Times New Roman" w:hAnsi="Times New Roman" w:cs="Times New Roman"/>
        </w:rPr>
        <w:t>for</w:t>
      </w:r>
      <w:r w:rsidR="00FC49FD">
        <w:rPr>
          <w:rFonts w:ascii="Times New Roman" w:hAnsi="Times New Roman" w:cs="Times New Roman"/>
        </w:rPr>
        <w:t xml:space="preserve"> </w:t>
      </w:r>
      <w:r w:rsidR="00DE3ACB" w:rsidRPr="001C2D42">
        <w:rPr>
          <w:rFonts w:ascii="Times New Roman" w:hAnsi="Times New Roman" w:cs="Times New Roman"/>
        </w:rPr>
        <w:t>517,817 common shares of the Company</w:t>
      </w:r>
      <w:r w:rsidR="00693CDD">
        <w:rPr>
          <w:rFonts w:ascii="Times New Roman" w:hAnsi="Times New Roman" w:cs="Times New Roman"/>
        </w:rPr>
        <w:t>.</w:t>
      </w:r>
    </w:p>
    <w:p w14:paraId="13082B35" w14:textId="77777777" w:rsidR="00C72FC4" w:rsidRPr="004F6500" w:rsidRDefault="00C72FC4" w:rsidP="004F6500">
      <w:pPr>
        <w:spacing w:after="0" w:line="254" w:lineRule="auto"/>
        <w:jc w:val="both"/>
        <w:rPr>
          <w:rFonts w:ascii="Times New Roman" w:hAnsi="Times New Roman" w:cs="Times New Roman"/>
          <w:b/>
        </w:rPr>
      </w:pPr>
    </w:p>
    <w:p w14:paraId="3B6E3A4A" w14:textId="77777777" w:rsidR="00F55E6E" w:rsidRPr="004F6500" w:rsidRDefault="00F55E6E" w:rsidP="004F6500">
      <w:pPr>
        <w:spacing w:after="0" w:line="254" w:lineRule="auto"/>
        <w:jc w:val="both"/>
        <w:rPr>
          <w:rFonts w:ascii="Times New Roman" w:hAnsi="Times New Roman" w:cs="Times New Roman"/>
          <w:b/>
        </w:rPr>
      </w:pPr>
    </w:p>
    <w:p w14:paraId="0EBEFEE7" w14:textId="77777777" w:rsidR="00496CAE" w:rsidRPr="004F6500" w:rsidRDefault="00413733" w:rsidP="004F6500">
      <w:pPr>
        <w:spacing w:after="0" w:line="254" w:lineRule="auto"/>
        <w:jc w:val="both"/>
        <w:rPr>
          <w:rFonts w:ascii="Times New Roman" w:hAnsi="Times New Roman" w:cs="Times New Roman"/>
          <w:b/>
        </w:rPr>
      </w:pPr>
      <w:r w:rsidRPr="004F6500">
        <w:rPr>
          <w:rFonts w:ascii="Times New Roman" w:hAnsi="Times New Roman" w:cs="Times New Roman"/>
          <w:b/>
        </w:rPr>
        <w:t>CRITICAL ACCOUNTING ESTIMATES</w:t>
      </w:r>
    </w:p>
    <w:p w14:paraId="5045AB79" w14:textId="77777777" w:rsidR="00496CAE" w:rsidRPr="004F6500" w:rsidRDefault="00496CAE" w:rsidP="004F6500">
      <w:pPr>
        <w:spacing w:after="0" w:line="254" w:lineRule="auto"/>
        <w:jc w:val="both"/>
        <w:rPr>
          <w:rFonts w:ascii="Times New Roman" w:hAnsi="Times New Roman" w:cs="Times New Roman"/>
          <w:b/>
        </w:rPr>
      </w:pPr>
    </w:p>
    <w:p w14:paraId="1BD02CB5" w14:textId="72BB21D8" w:rsidR="00413733" w:rsidRPr="004F6500" w:rsidRDefault="002C0B7B" w:rsidP="004F6500">
      <w:pPr>
        <w:spacing w:after="0" w:line="254" w:lineRule="auto"/>
        <w:jc w:val="both"/>
        <w:rPr>
          <w:rFonts w:ascii="Times New Roman" w:hAnsi="Times New Roman" w:cs="Times New Roman"/>
        </w:rPr>
      </w:pPr>
      <w:r w:rsidRPr="002C0B7B">
        <w:rPr>
          <w:rFonts w:ascii="Times New Roman" w:hAnsi="Times New Roman" w:cs="Times New Roman"/>
        </w:rPr>
        <w:t>Critical accounting estimates are estimates and assumptions made by management that may result in material adjustments to the carrying amount of assets and liabilities within the next financial year. Critical estimates used in the preparation of these condensed consolidated interim financial statements include, among others, the fair values of share-based payments, warrants issued with share units and debentures for the purpose of evaluating modification versus extinguishments, and the valuations of long-lived assets and deferred tax assets</w:t>
      </w:r>
      <w:r w:rsidR="00413733" w:rsidRPr="004F6500">
        <w:rPr>
          <w:rFonts w:ascii="Times New Roman" w:hAnsi="Times New Roman" w:cs="Times New Roman"/>
        </w:rPr>
        <w:t>.</w:t>
      </w:r>
    </w:p>
    <w:p w14:paraId="1C4FD6E0" w14:textId="77777777" w:rsidR="00413733" w:rsidRPr="004F6500" w:rsidRDefault="00413733" w:rsidP="004F6500">
      <w:pPr>
        <w:spacing w:after="0" w:line="254" w:lineRule="auto"/>
        <w:jc w:val="both"/>
        <w:rPr>
          <w:rFonts w:ascii="Times New Roman" w:hAnsi="Times New Roman" w:cs="Times New Roman"/>
        </w:rPr>
      </w:pPr>
    </w:p>
    <w:p w14:paraId="3DF30EEA" w14:textId="77777777" w:rsidR="00413733" w:rsidRPr="004F6500" w:rsidRDefault="00413733" w:rsidP="004F6500">
      <w:pPr>
        <w:spacing w:after="0" w:line="254" w:lineRule="auto"/>
        <w:jc w:val="both"/>
        <w:rPr>
          <w:rFonts w:ascii="Times New Roman" w:hAnsi="Times New Roman" w:cs="Times New Roman"/>
        </w:rPr>
      </w:pPr>
      <w:r w:rsidRPr="004F6500">
        <w:rPr>
          <w:rFonts w:ascii="Times New Roman" w:hAnsi="Times New Roman" w:cs="Times New Roman"/>
        </w:rPr>
        <w:t>Critical accounting judgments are accounting policies that have been identified as being complex or involving subjective judgments or assessments. Critical accounting judgments include the expected economic lives of and the estimated future operating results and net cash flows from long-lived assets and determining whether an acquisition is a business combination or an asset acquisition.</w:t>
      </w:r>
    </w:p>
    <w:p w14:paraId="3090020C" w14:textId="77777777" w:rsidR="00496CAE" w:rsidRDefault="00496CAE" w:rsidP="004F6500">
      <w:pPr>
        <w:spacing w:after="0" w:line="254" w:lineRule="auto"/>
        <w:jc w:val="both"/>
        <w:rPr>
          <w:rFonts w:ascii="Times New Roman" w:hAnsi="Times New Roman" w:cs="Times New Roman"/>
          <w:b/>
        </w:rPr>
      </w:pPr>
    </w:p>
    <w:p w14:paraId="1FAB5470" w14:textId="77777777" w:rsidR="008121F0" w:rsidRPr="004F6500" w:rsidRDefault="008121F0" w:rsidP="004F6500">
      <w:pPr>
        <w:spacing w:after="0" w:line="254" w:lineRule="auto"/>
        <w:jc w:val="both"/>
        <w:rPr>
          <w:rFonts w:ascii="Times New Roman" w:hAnsi="Times New Roman" w:cs="Times New Roman"/>
          <w:b/>
        </w:rPr>
      </w:pPr>
    </w:p>
    <w:p w14:paraId="0AD30A82" w14:textId="77777777" w:rsidR="00496CAE" w:rsidRPr="004F6500" w:rsidRDefault="00565FB9" w:rsidP="004F6500">
      <w:pPr>
        <w:spacing w:after="0" w:line="254" w:lineRule="auto"/>
        <w:jc w:val="both"/>
        <w:rPr>
          <w:rFonts w:ascii="Times New Roman" w:hAnsi="Times New Roman" w:cs="Times New Roman"/>
          <w:b/>
        </w:rPr>
      </w:pPr>
      <w:r w:rsidRPr="008121F0">
        <w:rPr>
          <w:rFonts w:ascii="Times New Roman" w:hAnsi="Times New Roman" w:cs="Times New Roman"/>
          <w:b/>
        </w:rPr>
        <w:t>CHANGES IN ACCOUNTING POLICIES</w:t>
      </w:r>
    </w:p>
    <w:p w14:paraId="5D46CB15" w14:textId="77777777" w:rsidR="00041086" w:rsidRPr="004F6500" w:rsidRDefault="00041086" w:rsidP="004F6500">
      <w:pPr>
        <w:spacing w:after="0" w:line="254" w:lineRule="auto"/>
        <w:jc w:val="both"/>
        <w:rPr>
          <w:rFonts w:ascii="Times New Roman" w:hAnsi="Times New Roman" w:cs="Times New Roman"/>
          <w:b/>
        </w:rPr>
      </w:pPr>
    </w:p>
    <w:p w14:paraId="7FE9C4C2" w14:textId="77777777" w:rsidR="00EE698B" w:rsidRDefault="008121F0" w:rsidP="004F6500">
      <w:pPr>
        <w:spacing w:after="0" w:line="254" w:lineRule="auto"/>
        <w:jc w:val="both"/>
        <w:rPr>
          <w:rFonts w:ascii="Times New Roman" w:hAnsi="Times New Roman" w:cs="Times New Roman"/>
        </w:rPr>
      </w:pPr>
      <w:r>
        <w:rPr>
          <w:rFonts w:ascii="Times New Roman" w:hAnsi="Times New Roman" w:cs="Times New Roman"/>
          <w:b/>
        </w:rPr>
        <w:t>International Financial Reporting Standards</w:t>
      </w:r>
    </w:p>
    <w:p w14:paraId="462E4867" w14:textId="77777777" w:rsidR="008121F0" w:rsidRDefault="008121F0" w:rsidP="004F6500">
      <w:pPr>
        <w:spacing w:after="0" w:line="254" w:lineRule="auto"/>
        <w:jc w:val="both"/>
        <w:rPr>
          <w:rFonts w:ascii="Times New Roman" w:hAnsi="Times New Roman" w:cs="Times New Roman"/>
        </w:rPr>
      </w:pPr>
    </w:p>
    <w:p w14:paraId="6E1E9597" w14:textId="77777777" w:rsidR="0058467C" w:rsidRDefault="0058467C" w:rsidP="0058467C">
      <w:pPr>
        <w:spacing w:after="0" w:line="254" w:lineRule="auto"/>
        <w:jc w:val="both"/>
        <w:rPr>
          <w:rFonts w:ascii="Times New Roman" w:hAnsi="Times New Roman" w:cs="Times New Roman"/>
        </w:rPr>
      </w:pPr>
      <w:r w:rsidRPr="0058467C">
        <w:rPr>
          <w:rFonts w:ascii="Times New Roman" w:hAnsi="Times New Roman" w:cs="Times New Roman"/>
        </w:rPr>
        <w:t>The Company adopted IFRS in accordance with IFRS 1, First-time Adoption of International Financial Reporting</w:t>
      </w:r>
      <w:r>
        <w:rPr>
          <w:rFonts w:ascii="Times New Roman" w:hAnsi="Times New Roman" w:cs="Times New Roman"/>
        </w:rPr>
        <w:t xml:space="preserve"> </w:t>
      </w:r>
      <w:r w:rsidRPr="0058467C">
        <w:rPr>
          <w:rFonts w:ascii="Times New Roman" w:hAnsi="Times New Roman" w:cs="Times New Roman"/>
        </w:rPr>
        <w:t xml:space="preserve">Standards (“IFRS 1). The first date at which IFRS was applied was </w:t>
      </w:r>
      <w:r>
        <w:rPr>
          <w:rFonts w:ascii="Times New Roman" w:hAnsi="Times New Roman" w:cs="Times New Roman"/>
        </w:rPr>
        <w:t>February 1, 2018</w:t>
      </w:r>
      <w:r w:rsidRPr="0058467C">
        <w:rPr>
          <w:rFonts w:ascii="Times New Roman" w:hAnsi="Times New Roman" w:cs="Times New Roman"/>
        </w:rPr>
        <w:t xml:space="preserve"> (“Transition Date”). </w:t>
      </w:r>
      <w:r>
        <w:rPr>
          <w:rFonts w:ascii="Times New Roman" w:hAnsi="Times New Roman" w:cs="Times New Roman"/>
        </w:rPr>
        <w:t xml:space="preserve"> </w:t>
      </w:r>
      <w:r w:rsidRPr="0058467C">
        <w:rPr>
          <w:rFonts w:ascii="Times New Roman" w:hAnsi="Times New Roman" w:cs="Times New Roman"/>
        </w:rPr>
        <w:t>IFRS 1</w:t>
      </w:r>
      <w:r>
        <w:rPr>
          <w:rFonts w:ascii="Times New Roman" w:hAnsi="Times New Roman" w:cs="Times New Roman"/>
        </w:rPr>
        <w:t xml:space="preserve"> </w:t>
      </w:r>
      <w:r w:rsidRPr="0058467C">
        <w:rPr>
          <w:rFonts w:ascii="Times New Roman" w:hAnsi="Times New Roman" w:cs="Times New Roman"/>
        </w:rPr>
        <w:t>provides for certain mandatory exceptions and optional exemptions for first-time adopters of IFRS.</w:t>
      </w:r>
    </w:p>
    <w:p w14:paraId="265DBE63" w14:textId="77777777" w:rsidR="0058467C" w:rsidRDefault="0058467C" w:rsidP="0058467C">
      <w:pPr>
        <w:spacing w:after="0" w:line="254" w:lineRule="auto"/>
        <w:jc w:val="both"/>
        <w:rPr>
          <w:rFonts w:ascii="Times New Roman" w:hAnsi="Times New Roman" w:cs="Times New Roman"/>
        </w:rPr>
      </w:pPr>
    </w:p>
    <w:p w14:paraId="755DB19B" w14:textId="122783ED" w:rsidR="0058467C" w:rsidRDefault="0058467C" w:rsidP="0058467C">
      <w:pPr>
        <w:spacing w:after="0" w:line="254" w:lineRule="auto"/>
        <w:jc w:val="both"/>
        <w:rPr>
          <w:rFonts w:ascii="Times New Roman" w:hAnsi="Times New Roman" w:cs="Times New Roman"/>
        </w:rPr>
      </w:pPr>
      <w:r w:rsidRPr="0058467C">
        <w:rPr>
          <w:rFonts w:ascii="Times New Roman" w:hAnsi="Times New Roman" w:cs="Times New Roman"/>
        </w:rPr>
        <w:t>IFRS 1 requires that the same policies are applied for all periods presented in the first IFRS financial statements</w:t>
      </w:r>
      <w:r>
        <w:rPr>
          <w:rFonts w:ascii="Times New Roman" w:hAnsi="Times New Roman" w:cs="Times New Roman"/>
        </w:rPr>
        <w:t xml:space="preserve"> </w:t>
      </w:r>
      <w:r w:rsidRPr="0058467C">
        <w:rPr>
          <w:rFonts w:ascii="Times New Roman" w:hAnsi="Times New Roman" w:cs="Times New Roman"/>
        </w:rPr>
        <w:t>and that those policies comply with IFRSs in effect as at the end of the first IFRS annual reporting period.</w:t>
      </w:r>
      <w:r w:rsidR="009A3B76">
        <w:rPr>
          <w:rFonts w:ascii="Times New Roman" w:hAnsi="Times New Roman" w:cs="Times New Roman"/>
        </w:rPr>
        <w:t xml:space="preserve">  </w:t>
      </w:r>
      <w:r w:rsidRPr="0058467C">
        <w:rPr>
          <w:rFonts w:ascii="Times New Roman" w:hAnsi="Times New Roman" w:cs="Times New Roman"/>
        </w:rPr>
        <w:t>Accordingly, the opening IFRS statement of financial position</w:t>
      </w:r>
      <w:r w:rsidR="009A3B76">
        <w:rPr>
          <w:rFonts w:ascii="Times New Roman" w:hAnsi="Times New Roman" w:cs="Times New Roman"/>
        </w:rPr>
        <w:t xml:space="preserve"> as at February 1, 2019</w:t>
      </w:r>
      <w:r w:rsidRPr="0058467C">
        <w:rPr>
          <w:rFonts w:ascii="Times New Roman" w:hAnsi="Times New Roman" w:cs="Times New Roman"/>
        </w:rPr>
        <w:t xml:space="preserve">, </w:t>
      </w:r>
      <w:r w:rsidR="009A3B76">
        <w:rPr>
          <w:rFonts w:ascii="Times New Roman" w:hAnsi="Times New Roman" w:cs="Times New Roman"/>
        </w:rPr>
        <w:t>comparative</w:t>
      </w:r>
      <w:r w:rsidRPr="0058467C">
        <w:rPr>
          <w:rFonts w:ascii="Times New Roman" w:hAnsi="Times New Roman" w:cs="Times New Roman"/>
        </w:rPr>
        <w:t xml:space="preserve"> and current </w:t>
      </w:r>
      <w:r w:rsidR="009A3B76">
        <w:rPr>
          <w:rFonts w:ascii="Times New Roman" w:hAnsi="Times New Roman" w:cs="Times New Roman"/>
        </w:rPr>
        <w:t>period</w:t>
      </w:r>
      <w:r w:rsidRPr="0058467C">
        <w:rPr>
          <w:rFonts w:ascii="Times New Roman" w:hAnsi="Times New Roman" w:cs="Times New Roman"/>
        </w:rPr>
        <w:t xml:space="preserve"> financial</w:t>
      </w:r>
      <w:r w:rsidR="009A3B76">
        <w:rPr>
          <w:rFonts w:ascii="Times New Roman" w:hAnsi="Times New Roman" w:cs="Times New Roman"/>
        </w:rPr>
        <w:t xml:space="preserve">  </w:t>
      </w:r>
      <w:r w:rsidRPr="0058467C">
        <w:rPr>
          <w:rFonts w:ascii="Times New Roman" w:hAnsi="Times New Roman" w:cs="Times New Roman"/>
        </w:rPr>
        <w:t xml:space="preserve">statements have been prepared using the same policies. The previously presented </w:t>
      </w:r>
      <w:r w:rsidR="009A3B76">
        <w:rPr>
          <w:rFonts w:ascii="Times New Roman" w:hAnsi="Times New Roman" w:cs="Times New Roman"/>
        </w:rPr>
        <w:t>U.S.</w:t>
      </w:r>
      <w:r w:rsidRPr="0058467C">
        <w:rPr>
          <w:rFonts w:ascii="Times New Roman" w:hAnsi="Times New Roman" w:cs="Times New Roman"/>
        </w:rPr>
        <w:t xml:space="preserve"> GAAP</w:t>
      </w:r>
      <w:r w:rsidR="009A3B76">
        <w:rPr>
          <w:rFonts w:ascii="Times New Roman" w:hAnsi="Times New Roman" w:cs="Times New Roman"/>
        </w:rPr>
        <w:t xml:space="preserve"> </w:t>
      </w:r>
      <w:r w:rsidRPr="0058467C">
        <w:rPr>
          <w:rFonts w:ascii="Times New Roman" w:hAnsi="Times New Roman" w:cs="Times New Roman"/>
        </w:rPr>
        <w:t xml:space="preserve">financial information has been reconciled to </w:t>
      </w:r>
      <w:r w:rsidR="009A3B76">
        <w:rPr>
          <w:rFonts w:ascii="Times New Roman" w:hAnsi="Times New Roman" w:cs="Times New Roman"/>
        </w:rPr>
        <w:t>IFRS as part of Note 2</w:t>
      </w:r>
      <w:r w:rsidR="002C0B7B">
        <w:rPr>
          <w:rFonts w:ascii="Times New Roman" w:hAnsi="Times New Roman" w:cs="Times New Roman"/>
        </w:rPr>
        <w:t>4</w:t>
      </w:r>
      <w:r w:rsidRPr="0058467C">
        <w:rPr>
          <w:rFonts w:ascii="Times New Roman" w:hAnsi="Times New Roman" w:cs="Times New Roman"/>
        </w:rPr>
        <w:t xml:space="preserve"> of the </w:t>
      </w:r>
      <w:r w:rsidR="009A3B76">
        <w:rPr>
          <w:rFonts w:ascii="Times New Roman" w:hAnsi="Times New Roman" w:cs="Times New Roman"/>
        </w:rPr>
        <w:t xml:space="preserve">condensed </w:t>
      </w:r>
      <w:r w:rsidRPr="0058467C">
        <w:rPr>
          <w:rFonts w:ascii="Times New Roman" w:hAnsi="Times New Roman" w:cs="Times New Roman"/>
        </w:rPr>
        <w:t>consolidated</w:t>
      </w:r>
      <w:r w:rsidR="009A3B76">
        <w:rPr>
          <w:rFonts w:ascii="Times New Roman" w:hAnsi="Times New Roman" w:cs="Times New Roman"/>
        </w:rPr>
        <w:t xml:space="preserve"> interim</w:t>
      </w:r>
      <w:r w:rsidRPr="0058467C">
        <w:rPr>
          <w:rFonts w:ascii="Times New Roman" w:hAnsi="Times New Roman" w:cs="Times New Roman"/>
        </w:rPr>
        <w:t xml:space="preserve"> financial</w:t>
      </w:r>
      <w:r w:rsidR="009A3B76">
        <w:rPr>
          <w:rFonts w:ascii="Times New Roman" w:hAnsi="Times New Roman" w:cs="Times New Roman"/>
        </w:rPr>
        <w:t xml:space="preserve"> </w:t>
      </w:r>
      <w:r w:rsidRPr="0058467C">
        <w:rPr>
          <w:rFonts w:ascii="Times New Roman" w:hAnsi="Times New Roman" w:cs="Times New Roman"/>
        </w:rPr>
        <w:t>statements in accordance with the requirements of IFRS 1. Further, the policies applied have been done so on a</w:t>
      </w:r>
      <w:r w:rsidR="009A3B76">
        <w:rPr>
          <w:rFonts w:ascii="Times New Roman" w:hAnsi="Times New Roman" w:cs="Times New Roman"/>
        </w:rPr>
        <w:t xml:space="preserve"> </w:t>
      </w:r>
      <w:r w:rsidRPr="0058467C">
        <w:rPr>
          <w:rFonts w:ascii="Times New Roman" w:hAnsi="Times New Roman" w:cs="Times New Roman"/>
        </w:rPr>
        <w:t>full retrospective basis unless an alternative treatment is permitted or required by an IFRS 1 exemption or</w:t>
      </w:r>
      <w:r w:rsidR="009A3B76">
        <w:rPr>
          <w:rFonts w:ascii="Times New Roman" w:hAnsi="Times New Roman" w:cs="Times New Roman"/>
        </w:rPr>
        <w:t xml:space="preserve"> </w:t>
      </w:r>
      <w:r w:rsidRPr="0058467C">
        <w:rPr>
          <w:rFonts w:ascii="Times New Roman" w:hAnsi="Times New Roman" w:cs="Times New Roman"/>
        </w:rPr>
        <w:t>exception. These are discussed below.</w:t>
      </w:r>
    </w:p>
    <w:p w14:paraId="267378C0" w14:textId="77777777" w:rsidR="00D60CDF" w:rsidRDefault="00D60CDF" w:rsidP="0058467C">
      <w:pPr>
        <w:spacing w:after="0" w:line="254" w:lineRule="auto"/>
        <w:jc w:val="both"/>
        <w:rPr>
          <w:rFonts w:ascii="Times New Roman" w:hAnsi="Times New Roman" w:cs="Times New Roman"/>
        </w:rPr>
      </w:pPr>
    </w:p>
    <w:p w14:paraId="36EC37E4" w14:textId="77777777" w:rsidR="00D60CDF" w:rsidRPr="00D60CDF" w:rsidRDefault="00D60CDF" w:rsidP="00D60CDF">
      <w:pPr>
        <w:spacing w:after="0" w:line="254" w:lineRule="auto"/>
        <w:jc w:val="both"/>
        <w:rPr>
          <w:rFonts w:ascii="Times New Roman" w:hAnsi="Times New Roman" w:cs="Times New Roman"/>
        </w:rPr>
      </w:pPr>
      <w:r w:rsidRPr="00D60CDF">
        <w:rPr>
          <w:rFonts w:ascii="Times New Roman" w:hAnsi="Times New Roman" w:cs="Times New Roman"/>
        </w:rPr>
        <w:t>The Company has applied the following mandatory exceptions in its first IFRS financial statements:</w:t>
      </w:r>
    </w:p>
    <w:p w14:paraId="1F28ED03" w14:textId="77777777" w:rsidR="00D60CDF" w:rsidRPr="00D60CDF" w:rsidRDefault="00D60CDF" w:rsidP="00D60CDF">
      <w:pPr>
        <w:spacing w:after="0" w:line="254" w:lineRule="auto"/>
        <w:jc w:val="both"/>
        <w:rPr>
          <w:rFonts w:ascii="Times New Roman" w:hAnsi="Times New Roman" w:cs="Times New Roman"/>
        </w:rPr>
      </w:pPr>
    </w:p>
    <w:p w14:paraId="00195500" w14:textId="77777777" w:rsidR="00D60CDF" w:rsidRPr="00D60CDF" w:rsidRDefault="00D60CDF" w:rsidP="00D60CDF">
      <w:pPr>
        <w:spacing w:after="0" w:line="254" w:lineRule="auto"/>
        <w:jc w:val="both"/>
        <w:rPr>
          <w:rFonts w:ascii="Times New Roman" w:hAnsi="Times New Roman" w:cs="Times New Roman"/>
          <w:u w:val="single"/>
        </w:rPr>
      </w:pPr>
      <w:r w:rsidRPr="00D60CDF">
        <w:rPr>
          <w:rFonts w:ascii="Times New Roman" w:hAnsi="Times New Roman" w:cs="Times New Roman"/>
          <w:u w:val="single"/>
        </w:rPr>
        <w:t>Estimates</w:t>
      </w:r>
    </w:p>
    <w:p w14:paraId="66DE8A5C" w14:textId="77777777" w:rsidR="00D60CDF" w:rsidRPr="00D60CDF" w:rsidRDefault="00D60CDF" w:rsidP="00D60CDF">
      <w:pPr>
        <w:spacing w:after="0" w:line="254" w:lineRule="auto"/>
        <w:jc w:val="both"/>
        <w:rPr>
          <w:rFonts w:ascii="Times New Roman" w:hAnsi="Times New Roman" w:cs="Times New Roman"/>
        </w:rPr>
      </w:pPr>
      <w:r w:rsidRPr="00D60CDF">
        <w:rPr>
          <w:rFonts w:ascii="Times New Roman" w:hAnsi="Times New Roman" w:cs="Times New Roman"/>
        </w:rPr>
        <w:t xml:space="preserve">In accordance with IFRS 1, an entity’s estimates under IFRS at the date of transition to IFRS must be consistent with estimates made for the same date under previous GAAP unless there is objective evidence </w:t>
      </w:r>
      <w:r w:rsidRPr="00D60CDF">
        <w:rPr>
          <w:rFonts w:ascii="Times New Roman" w:hAnsi="Times New Roman" w:cs="Times New Roman"/>
        </w:rPr>
        <w:lastRenderedPageBreak/>
        <w:t>that those estimates were made in error.  The Company’s IFRS estimates as at the Transition Date are consistent with its U.S. GAAP estimates as at that date.</w:t>
      </w:r>
    </w:p>
    <w:p w14:paraId="026ECF75" w14:textId="77777777" w:rsidR="00D60CDF" w:rsidRPr="00D60CDF" w:rsidRDefault="00D60CDF" w:rsidP="00D60CDF">
      <w:pPr>
        <w:spacing w:after="0" w:line="254" w:lineRule="auto"/>
        <w:jc w:val="both"/>
        <w:rPr>
          <w:rFonts w:ascii="Times New Roman" w:hAnsi="Times New Roman" w:cs="Times New Roman"/>
        </w:rPr>
      </w:pPr>
    </w:p>
    <w:p w14:paraId="7019690F" w14:textId="77777777" w:rsidR="00D60CDF" w:rsidRPr="00D60CDF" w:rsidRDefault="00D60CDF" w:rsidP="00D60CDF">
      <w:pPr>
        <w:spacing w:after="0" w:line="254" w:lineRule="auto"/>
        <w:jc w:val="both"/>
        <w:rPr>
          <w:rFonts w:ascii="Times New Roman" w:hAnsi="Times New Roman" w:cs="Times New Roman"/>
        </w:rPr>
      </w:pPr>
      <w:r w:rsidRPr="00D60CDF">
        <w:rPr>
          <w:rFonts w:ascii="Times New Roman" w:hAnsi="Times New Roman" w:cs="Times New Roman"/>
        </w:rPr>
        <w:t>In accordance with IFRS 1, the Company has applied the following voluntary exemptions in the conversion from U.S. GAAP to IFRS:</w:t>
      </w:r>
    </w:p>
    <w:p w14:paraId="19E04F14" w14:textId="77777777" w:rsidR="00D60CDF" w:rsidRPr="00D60CDF" w:rsidRDefault="00D60CDF" w:rsidP="00D60CDF">
      <w:pPr>
        <w:spacing w:after="0" w:line="254" w:lineRule="auto"/>
        <w:jc w:val="both"/>
        <w:rPr>
          <w:rFonts w:ascii="Times New Roman" w:hAnsi="Times New Roman" w:cs="Times New Roman"/>
        </w:rPr>
      </w:pPr>
    </w:p>
    <w:p w14:paraId="4D466897" w14:textId="77777777" w:rsidR="00D60CDF" w:rsidRPr="00D60CDF" w:rsidRDefault="00D60CDF" w:rsidP="00D60CDF">
      <w:pPr>
        <w:spacing w:after="0" w:line="254" w:lineRule="auto"/>
        <w:jc w:val="both"/>
        <w:rPr>
          <w:rFonts w:ascii="Times New Roman" w:hAnsi="Times New Roman" w:cs="Times New Roman"/>
          <w:u w:val="single"/>
        </w:rPr>
      </w:pPr>
      <w:r w:rsidRPr="00D60CDF">
        <w:rPr>
          <w:rFonts w:ascii="Times New Roman" w:hAnsi="Times New Roman" w:cs="Times New Roman"/>
          <w:u w:val="single"/>
        </w:rPr>
        <w:t>Business Combinations</w:t>
      </w:r>
    </w:p>
    <w:p w14:paraId="212736C8" w14:textId="77777777" w:rsidR="00D60CDF" w:rsidRDefault="00D60CDF" w:rsidP="00D60CDF">
      <w:pPr>
        <w:spacing w:after="0" w:line="254" w:lineRule="auto"/>
        <w:jc w:val="both"/>
        <w:rPr>
          <w:rFonts w:ascii="Times New Roman" w:hAnsi="Times New Roman" w:cs="Times New Roman"/>
        </w:rPr>
      </w:pPr>
      <w:r w:rsidRPr="00D60CDF">
        <w:rPr>
          <w:rFonts w:ascii="Times New Roman" w:hAnsi="Times New Roman" w:cs="Times New Roman"/>
        </w:rPr>
        <w:t>IFRS 1 indicates that a first-time adopter may elect not to apply IFRS 3 Business Combinations retrospectively to business combinations that occurred before the date of transition to IFRS.  The Company has elected to apply IFRS 3 to only those business combinations that occurred on or after the Transition Date and such business combinations have not been restated.  As a result of this election, no adjustments were required to the Company’s consolidated</w:t>
      </w:r>
      <w:r>
        <w:rPr>
          <w:rFonts w:ascii="Times New Roman" w:hAnsi="Times New Roman" w:cs="Times New Roman"/>
        </w:rPr>
        <w:t xml:space="preserve"> </w:t>
      </w:r>
      <w:r w:rsidRPr="00D60CDF">
        <w:rPr>
          <w:rFonts w:ascii="Times New Roman" w:hAnsi="Times New Roman" w:cs="Times New Roman"/>
        </w:rPr>
        <w:t>statement of financial position as at the Transition Date.</w:t>
      </w:r>
    </w:p>
    <w:p w14:paraId="786D6CE5" w14:textId="77777777" w:rsidR="00D60CDF" w:rsidRDefault="00D60CDF" w:rsidP="00D60CDF">
      <w:pPr>
        <w:spacing w:after="0" w:line="254" w:lineRule="auto"/>
        <w:jc w:val="both"/>
        <w:rPr>
          <w:rFonts w:ascii="Times New Roman" w:hAnsi="Times New Roman" w:cs="Times New Roman"/>
        </w:rPr>
      </w:pPr>
    </w:p>
    <w:p w14:paraId="18F79005" w14:textId="77777777" w:rsidR="00D60CDF" w:rsidRPr="00D60CDF" w:rsidRDefault="00D60CDF" w:rsidP="00D60CDF">
      <w:pPr>
        <w:spacing w:after="0" w:line="254" w:lineRule="auto"/>
        <w:jc w:val="both"/>
        <w:rPr>
          <w:rFonts w:ascii="Times New Roman" w:hAnsi="Times New Roman" w:cs="Times New Roman"/>
          <w:u w:val="single"/>
        </w:rPr>
      </w:pPr>
      <w:r>
        <w:rPr>
          <w:rFonts w:ascii="Times New Roman" w:hAnsi="Times New Roman" w:cs="Times New Roman"/>
          <w:u w:val="single"/>
        </w:rPr>
        <w:t>Share-based P</w:t>
      </w:r>
      <w:r w:rsidRPr="00D60CDF">
        <w:rPr>
          <w:rFonts w:ascii="Times New Roman" w:hAnsi="Times New Roman" w:cs="Times New Roman"/>
          <w:u w:val="single"/>
        </w:rPr>
        <w:t xml:space="preserve">ayment </w:t>
      </w:r>
      <w:r>
        <w:rPr>
          <w:rFonts w:ascii="Times New Roman" w:hAnsi="Times New Roman" w:cs="Times New Roman"/>
          <w:u w:val="single"/>
        </w:rPr>
        <w:t>T</w:t>
      </w:r>
      <w:r w:rsidRPr="00D60CDF">
        <w:rPr>
          <w:rFonts w:ascii="Times New Roman" w:hAnsi="Times New Roman" w:cs="Times New Roman"/>
          <w:u w:val="single"/>
        </w:rPr>
        <w:t>ransactions</w:t>
      </w:r>
    </w:p>
    <w:p w14:paraId="6C5CC8FC" w14:textId="77777777" w:rsidR="00D60CDF" w:rsidRPr="008121F0" w:rsidRDefault="00D60CDF" w:rsidP="00D60CDF">
      <w:pPr>
        <w:spacing w:after="0" w:line="254" w:lineRule="auto"/>
        <w:jc w:val="both"/>
        <w:rPr>
          <w:rFonts w:ascii="Times New Roman" w:hAnsi="Times New Roman" w:cs="Times New Roman"/>
        </w:rPr>
      </w:pPr>
      <w:r w:rsidRPr="00D60CDF">
        <w:rPr>
          <w:rFonts w:ascii="Times New Roman" w:hAnsi="Times New Roman" w:cs="Times New Roman"/>
        </w:rPr>
        <w:t>IFRS 1 encourages, but does not require, first-time adopters to apply IFRS 2 Share-based Payment to equity instruments that were granted on or before November 7, 2002, or equity instruments that were granted subsequent to November 7, 2002 and vested before the later of the date of transition to IFRS and January 1, 2005.  The Company has elected not to apply IFRS 2 to awards that vested prior to the Transition Date.</w:t>
      </w:r>
    </w:p>
    <w:p w14:paraId="3E975C17" w14:textId="77777777" w:rsidR="00EE698B" w:rsidRPr="004F6500" w:rsidRDefault="00EE698B" w:rsidP="004F6500">
      <w:pPr>
        <w:spacing w:after="0" w:line="254" w:lineRule="auto"/>
        <w:jc w:val="both"/>
        <w:rPr>
          <w:rFonts w:ascii="Times New Roman" w:hAnsi="Times New Roman" w:cs="Times New Roman"/>
          <w:b/>
        </w:rPr>
      </w:pPr>
    </w:p>
    <w:p w14:paraId="620E3337" w14:textId="77777777" w:rsidR="00565FB9" w:rsidRPr="004F6500" w:rsidRDefault="00565FB9" w:rsidP="004F6500">
      <w:pPr>
        <w:spacing w:after="0" w:line="254" w:lineRule="auto"/>
        <w:jc w:val="both"/>
        <w:rPr>
          <w:rFonts w:ascii="Times New Roman" w:hAnsi="Times New Roman" w:cs="Times New Roman"/>
          <w:b/>
        </w:rPr>
      </w:pPr>
      <w:r w:rsidRPr="004F6500">
        <w:rPr>
          <w:rFonts w:ascii="Times New Roman" w:hAnsi="Times New Roman" w:cs="Times New Roman"/>
          <w:b/>
        </w:rPr>
        <w:t>IFRS 16 Leases</w:t>
      </w:r>
    </w:p>
    <w:p w14:paraId="55CFAFC1" w14:textId="77777777" w:rsidR="00565FB9" w:rsidRPr="004F6500" w:rsidRDefault="00565FB9" w:rsidP="004F6500">
      <w:pPr>
        <w:spacing w:after="0" w:line="254" w:lineRule="auto"/>
        <w:jc w:val="both"/>
        <w:rPr>
          <w:rFonts w:ascii="Times New Roman" w:hAnsi="Times New Roman" w:cs="Times New Roman"/>
        </w:rPr>
      </w:pPr>
    </w:p>
    <w:p w14:paraId="1B9652BC" w14:textId="44C87215" w:rsidR="00496CAE" w:rsidRPr="004F6500" w:rsidRDefault="00041086"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February 1, 2019, </w:t>
      </w:r>
      <w:r w:rsidR="002C0B7B">
        <w:rPr>
          <w:rFonts w:ascii="Times New Roman" w:hAnsi="Times New Roman" w:cs="Times New Roman"/>
        </w:rPr>
        <w:t>BetterLife</w:t>
      </w:r>
      <w:r w:rsidRPr="004F6500">
        <w:rPr>
          <w:rFonts w:ascii="Times New Roman" w:hAnsi="Times New Roman" w:cs="Times New Roman"/>
        </w:rPr>
        <w:t xml:space="preserve"> adopted IFRS 16</w:t>
      </w:r>
      <w:r w:rsidR="00565FB9" w:rsidRPr="004F6500">
        <w:rPr>
          <w:rFonts w:ascii="Times New Roman" w:hAnsi="Times New Roman" w:cs="Times New Roman"/>
        </w:rPr>
        <w:t>, Leases (“IFRS 16”)</w:t>
      </w:r>
      <w:r w:rsidRPr="004F6500">
        <w:rPr>
          <w:rFonts w:ascii="Times New Roman" w:hAnsi="Times New Roman" w:cs="Times New Roman"/>
        </w:rPr>
        <w:t xml:space="preserve"> and </w:t>
      </w:r>
      <w:r w:rsidR="00565FB9" w:rsidRPr="004F6500">
        <w:rPr>
          <w:rFonts w:ascii="Times New Roman" w:hAnsi="Times New Roman" w:cs="Times New Roman"/>
        </w:rPr>
        <w:t xml:space="preserve">applied IFRS 16 retrospectively to each prior reporting period presented.  In accordance with IFRS 16, the Company determines if an arrangement is a lease at inception based on whether there is an identified asset, whether the Company has the right to obtain substantially all of the economic benefits from the use of the asset and whether the Company has the right to direct the use of the asset. The Company has operating leases, on office and facility spaces, and no financing leases. Operating lease right-of-use (“ROU”) assets and operating lease liabilities are recognized based on the present value of the future minimum lease payments over the lease term. Lease expense for minimum lease payments is recognized on a straight-line basis over the lease term. </w:t>
      </w:r>
    </w:p>
    <w:p w14:paraId="70F0C50B" w14:textId="77777777" w:rsidR="00565FB9" w:rsidRPr="004F6500" w:rsidRDefault="00565FB9" w:rsidP="004F6500">
      <w:pPr>
        <w:spacing w:after="0" w:line="254" w:lineRule="auto"/>
        <w:jc w:val="both"/>
        <w:rPr>
          <w:rFonts w:ascii="Times New Roman" w:hAnsi="Times New Roman" w:cs="Times New Roman"/>
        </w:rPr>
      </w:pPr>
    </w:p>
    <w:p w14:paraId="5FC43386" w14:textId="77777777" w:rsidR="00565FB9" w:rsidRPr="004F6500" w:rsidRDefault="00565FB9" w:rsidP="004F6500">
      <w:pPr>
        <w:spacing w:after="0" w:line="254" w:lineRule="auto"/>
        <w:jc w:val="both"/>
        <w:rPr>
          <w:rFonts w:ascii="Times New Roman" w:hAnsi="Times New Roman" w:cs="Times New Roman"/>
        </w:rPr>
      </w:pPr>
      <w:r w:rsidRPr="004F6500">
        <w:rPr>
          <w:rFonts w:ascii="Times New Roman" w:hAnsi="Times New Roman" w:cs="Times New Roman"/>
        </w:rPr>
        <w:t>For leases with terms greater than twelve (12) months, the Company records the related ROU asset and lease obligation at the present value of lease payments over the term. Leases may include fixed rental escalation clauses, renewal options and / or termination options that are factored into the determination of lease payments when appropriate. The Company’s leases do not provide a readily determinable implicit rate; therefore, an estimate of the Company’s incremental borrowing rate is used to discount the lease payments based on information available at the lease commencement date.</w:t>
      </w:r>
    </w:p>
    <w:p w14:paraId="04F997B1" w14:textId="77777777" w:rsidR="00565FB9" w:rsidRPr="004F6500" w:rsidRDefault="00565FB9" w:rsidP="004F6500">
      <w:pPr>
        <w:spacing w:after="0" w:line="254" w:lineRule="auto"/>
        <w:jc w:val="both"/>
        <w:rPr>
          <w:rFonts w:ascii="Times New Roman" w:hAnsi="Times New Roman" w:cs="Times New Roman"/>
        </w:rPr>
      </w:pPr>
    </w:p>
    <w:p w14:paraId="763D0603" w14:textId="77777777" w:rsidR="00565FB9" w:rsidRPr="004F6500" w:rsidRDefault="00565FB9" w:rsidP="004F6500">
      <w:pPr>
        <w:spacing w:after="0" w:line="254" w:lineRule="auto"/>
        <w:jc w:val="both"/>
        <w:rPr>
          <w:rFonts w:ascii="Times New Roman" w:hAnsi="Times New Roman" w:cs="Times New Roman"/>
        </w:rPr>
      </w:pPr>
      <w:r w:rsidRPr="004F6500">
        <w:rPr>
          <w:rFonts w:ascii="Times New Roman" w:hAnsi="Times New Roman" w:cs="Times New Roman"/>
        </w:rPr>
        <w:t>The adoption of IFRS 16 resulted in the recognition of ROU assets and lease liabilities of $1,367,287 in July 2018.</w:t>
      </w:r>
    </w:p>
    <w:p w14:paraId="1E1CA172" w14:textId="77777777" w:rsidR="00565FB9" w:rsidRPr="004F6500" w:rsidRDefault="00565FB9" w:rsidP="004F6500">
      <w:pPr>
        <w:spacing w:after="0" w:line="254" w:lineRule="auto"/>
        <w:jc w:val="both"/>
        <w:rPr>
          <w:rFonts w:ascii="Times New Roman" w:hAnsi="Times New Roman" w:cs="Times New Roman"/>
        </w:rPr>
      </w:pPr>
    </w:p>
    <w:p w14:paraId="4B6A4BBC" w14:textId="77777777" w:rsidR="00565FB9" w:rsidRPr="004F6500" w:rsidRDefault="00565FB9" w:rsidP="004F6500">
      <w:pPr>
        <w:spacing w:after="0" w:line="254" w:lineRule="auto"/>
        <w:jc w:val="both"/>
        <w:rPr>
          <w:rFonts w:ascii="Times New Roman" w:hAnsi="Times New Roman" w:cs="Times New Roman"/>
          <w:b/>
        </w:rPr>
      </w:pPr>
      <w:r w:rsidRPr="004F6500">
        <w:rPr>
          <w:rFonts w:ascii="Times New Roman" w:hAnsi="Times New Roman" w:cs="Times New Roman"/>
          <w:b/>
        </w:rPr>
        <w:t>IFRS 9 Financial Instruments</w:t>
      </w:r>
    </w:p>
    <w:p w14:paraId="47E8436A" w14:textId="77777777" w:rsidR="00565FB9" w:rsidRPr="004F6500" w:rsidRDefault="00565FB9" w:rsidP="004F6500">
      <w:pPr>
        <w:spacing w:after="0" w:line="254" w:lineRule="auto"/>
        <w:jc w:val="both"/>
        <w:rPr>
          <w:rFonts w:ascii="Times New Roman" w:hAnsi="Times New Roman" w:cs="Times New Roman"/>
        </w:rPr>
      </w:pPr>
    </w:p>
    <w:p w14:paraId="346F045D" w14:textId="74A39269" w:rsidR="00565FB9" w:rsidRPr="004F6500" w:rsidRDefault="00565FB9"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On February 1, 2018, </w:t>
      </w:r>
      <w:r w:rsidR="002C0B7B">
        <w:rPr>
          <w:rFonts w:ascii="Times New Roman" w:hAnsi="Times New Roman" w:cs="Times New Roman"/>
        </w:rPr>
        <w:t>BetterLife</w:t>
      </w:r>
      <w:r w:rsidRPr="004F6500">
        <w:rPr>
          <w:rFonts w:ascii="Times New Roman" w:hAnsi="Times New Roman" w:cs="Times New Roman"/>
        </w:rPr>
        <w:t xml:space="preserve"> adopted IFRS 9, Financial Instruments (“IFRS 9”).  IFRS 9 replaces IAS 39 Financial Instruments: Recognition and Measurement (“IAS 39”). IFRS 9 utilizes a revised model for recognition and measurement of financial instruments and a single, forward-looking “expected loss” impairment model. As a result of the adoption of IFRS 9, the Company has changed its accounting policy for financial assets retrospectively, for assets that continued to be recognized at the date of initial application. </w:t>
      </w:r>
      <w:r w:rsidR="00891190" w:rsidRPr="004F6500">
        <w:rPr>
          <w:rFonts w:ascii="Times New Roman" w:hAnsi="Times New Roman" w:cs="Times New Roman"/>
        </w:rPr>
        <w:t xml:space="preserve"> The adoption of IFRS 9 resulted in no impact to the Company’s opening accumulated deficit.</w:t>
      </w:r>
    </w:p>
    <w:p w14:paraId="220728DF" w14:textId="77777777" w:rsidR="00891190" w:rsidRPr="004F6500" w:rsidRDefault="00891190" w:rsidP="004F6500">
      <w:pPr>
        <w:spacing w:after="0" w:line="254" w:lineRule="auto"/>
        <w:jc w:val="both"/>
        <w:rPr>
          <w:rFonts w:ascii="Times New Roman" w:hAnsi="Times New Roman" w:cs="Times New Roman"/>
        </w:rPr>
      </w:pPr>
    </w:p>
    <w:p w14:paraId="07B7B8A0" w14:textId="77777777" w:rsidR="00891190"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t>IFRS 3 Business Combinations</w:t>
      </w:r>
    </w:p>
    <w:p w14:paraId="2E327BC9" w14:textId="77777777" w:rsidR="00891190" w:rsidRPr="004F6500" w:rsidRDefault="00891190" w:rsidP="004F6500">
      <w:pPr>
        <w:spacing w:after="0" w:line="254" w:lineRule="auto"/>
        <w:jc w:val="both"/>
        <w:rPr>
          <w:rFonts w:ascii="Times New Roman" w:hAnsi="Times New Roman" w:cs="Times New Roman"/>
        </w:rPr>
      </w:pPr>
    </w:p>
    <w:p w14:paraId="61C3A78F" w14:textId="3A4AA5C1" w:rsidR="00891190" w:rsidRPr="004F6500" w:rsidRDefault="00891190" w:rsidP="004F6500">
      <w:pPr>
        <w:spacing w:after="0" w:line="254" w:lineRule="auto"/>
        <w:jc w:val="both"/>
        <w:rPr>
          <w:rFonts w:ascii="Times New Roman" w:hAnsi="Times New Roman" w:cs="Times New Roman"/>
        </w:rPr>
      </w:pPr>
      <w:r w:rsidRPr="004F6500">
        <w:rPr>
          <w:rFonts w:ascii="Times New Roman" w:hAnsi="Times New Roman" w:cs="Times New Roman"/>
        </w:rPr>
        <w:t xml:space="preserve">IFRS 3, Business Combinations (“IFRS 3”) was amended to clarify the definition of a business in the determination of when an entity has acquired a business or a group of assets.  The amendments are effective for business combinations for which the acquisition date is on or after the beginning of annual periods beginning on or after January 1, 2020.  </w:t>
      </w:r>
      <w:r w:rsidR="002C0B7B">
        <w:rPr>
          <w:rFonts w:ascii="Times New Roman" w:hAnsi="Times New Roman" w:cs="Times New Roman"/>
        </w:rPr>
        <w:t>BetterLife</w:t>
      </w:r>
      <w:r w:rsidRPr="004F6500">
        <w:rPr>
          <w:rFonts w:ascii="Times New Roman" w:hAnsi="Times New Roman" w:cs="Times New Roman"/>
        </w:rPr>
        <w:t xml:space="preserve"> has early adopted IFRS 3 amendments and applied these amendments for its business combinations undertaken during the year ended January 31, 2019.</w:t>
      </w:r>
    </w:p>
    <w:p w14:paraId="29FFF51D" w14:textId="77777777" w:rsidR="00496CAE" w:rsidRDefault="00496CAE" w:rsidP="004F6500">
      <w:pPr>
        <w:spacing w:after="0" w:line="254" w:lineRule="auto"/>
        <w:jc w:val="both"/>
        <w:rPr>
          <w:rFonts w:ascii="Times New Roman" w:hAnsi="Times New Roman" w:cs="Times New Roman"/>
          <w:b/>
        </w:rPr>
      </w:pPr>
    </w:p>
    <w:p w14:paraId="5B6B1D0B" w14:textId="77777777" w:rsidR="00675648" w:rsidRPr="004F6500" w:rsidRDefault="00675648" w:rsidP="004F6500">
      <w:pPr>
        <w:spacing w:after="0" w:line="254" w:lineRule="auto"/>
        <w:jc w:val="both"/>
        <w:rPr>
          <w:rFonts w:ascii="Times New Roman" w:hAnsi="Times New Roman" w:cs="Times New Roman"/>
          <w:b/>
        </w:rPr>
      </w:pPr>
    </w:p>
    <w:p w14:paraId="37462216" w14:textId="77777777" w:rsidR="00891190"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t>FINANCIAL INSTRUMENTS AND OTHER INSTRUMENTS</w:t>
      </w:r>
    </w:p>
    <w:p w14:paraId="18967FD5" w14:textId="77777777" w:rsidR="00496CAE" w:rsidRPr="004F6500" w:rsidRDefault="00496CAE" w:rsidP="004F6500">
      <w:pPr>
        <w:spacing w:after="0" w:line="254" w:lineRule="auto"/>
        <w:jc w:val="both"/>
        <w:rPr>
          <w:rFonts w:ascii="Times New Roman" w:hAnsi="Times New Roman" w:cs="Times New Roman"/>
          <w:b/>
        </w:rPr>
      </w:pPr>
    </w:p>
    <w:p w14:paraId="60B2E00D" w14:textId="222DA55C" w:rsidR="00891190" w:rsidRDefault="002C6475" w:rsidP="002C6475">
      <w:pPr>
        <w:spacing w:after="0" w:line="254" w:lineRule="auto"/>
        <w:jc w:val="both"/>
        <w:rPr>
          <w:rFonts w:ascii="Times New Roman" w:hAnsi="Times New Roman" w:cs="Times New Roman"/>
        </w:rPr>
      </w:pPr>
      <w:r w:rsidRPr="002C6475">
        <w:rPr>
          <w:rFonts w:ascii="Times New Roman" w:hAnsi="Times New Roman" w:cs="Times New Roman"/>
        </w:rPr>
        <w:t xml:space="preserve">In accordance with IFRS, financial </w:t>
      </w:r>
      <w:r>
        <w:rPr>
          <w:rFonts w:ascii="Times New Roman" w:hAnsi="Times New Roman" w:cs="Times New Roman"/>
        </w:rPr>
        <w:t>assets</w:t>
      </w:r>
      <w:r w:rsidRPr="002C6475">
        <w:rPr>
          <w:rFonts w:ascii="Times New Roman" w:hAnsi="Times New Roman" w:cs="Times New Roman"/>
        </w:rPr>
        <w:t xml:space="preserve"> are classified into one of the following categories: </w:t>
      </w:r>
      <w:r>
        <w:rPr>
          <w:rFonts w:ascii="Times New Roman" w:hAnsi="Times New Roman" w:cs="Times New Roman"/>
        </w:rPr>
        <w:t>amortized cost, fair value through other comprehensive income or fair value through profit or loss</w:t>
      </w:r>
      <w:r w:rsidRPr="002C6475">
        <w:rPr>
          <w:rFonts w:ascii="Times New Roman" w:hAnsi="Times New Roman" w:cs="Times New Roman"/>
        </w:rPr>
        <w:t>. Cash</w:t>
      </w:r>
      <w:r w:rsidR="002C0B7B">
        <w:rPr>
          <w:rFonts w:ascii="Times New Roman" w:hAnsi="Times New Roman" w:cs="Times New Roman"/>
        </w:rPr>
        <w:t>,</w:t>
      </w:r>
      <w:r w:rsidRPr="002C6475">
        <w:rPr>
          <w:rFonts w:ascii="Times New Roman" w:hAnsi="Times New Roman" w:cs="Times New Roman"/>
        </w:rPr>
        <w:t xml:space="preserve"> </w:t>
      </w:r>
      <w:r>
        <w:rPr>
          <w:rFonts w:ascii="Times New Roman" w:hAnsi="Times New Roman" w:cs="Times New Roman"/>
        </w:rPr>
        <w:t>a</w:t>
      </w:r>
      <w:r w:rsidRPr="002C6475">
        <w:rPr>
          <w:rFonts w:ascii="Times New Roman" w:hAnsi="Times New Roman" w:cs="Times New Roman"/>
        </w:rPr>
        <w:t xml:space="preserve">mounts receivable </w:t>
      </w:r>
      <w:r w:rsidR="002C0B7B">
        <w:rPr>
          <w:rFonts w:ascii="Times New Roman" w:hAnsi="Times New Roman" w:cs="Times New Roman"/>
        </w:rPr>
        <w:t xml:space="preserve">and loan receivable </w:t>
      </w:r>
      <w:r w:rsidRPr="002C6475">
        <w:rPr>
          <w:rFonts w:ascii="Times New Roman" w:hAnsi="Times New Roman" w:cs="Times New Roman"/>
        </w:rPr>
        <w:t>are</w:t>
      </w:r>
      <w:r>
        <w:rPr>
          <w:rFonts w:ascii="Times New Roman" w:hAnsi="Times New Roman" w:cs="Times New Roman"/>
        </w:rPr>
        <w:t xml:space="preserve"> </w:t>
      </w:r>
      <w:r w:rsidRPr="002C6475">
        <w:rPr>
          <w:rFonts w:ascii="Times New Roman" w:hAnsi="Times New Roman" w:cs="Times New Roman"/>
        </w:rPr>
        <w:t xml:space="preserve">classified as </w:t>
      </w:r>
      <w:r>
        <w:rPr>
          <w:rFonts w:ascii="Times New Roman" w:hAnsi="Times New Roman" w:cs="Times New Roman"/>
        </w:rPr>
        <w:t>amortized cost.  T</w:t>
      </w:r>
      <w:r w:rsidRPr="002C6475">
        <w:rPr>
          <w:rFonts w:ascii="Times New Roman" w:hAnsi="Times New Roman" w:cs="Times New Roman"/>
        </w:rPr>
        <w:t>heir carrying value</w:t>
      </w:r>
      <w:r>
        <w:rPr>
          <w:rFonts w:ascii="Times New Roman" w:hAnsi="Times New Roman" w:cs="Times New Roman"/>
        </w:rPr>
        <w:t>s approximate</w:t>
      </w:r>
      <w:r w:rsidRPr="002C6475">
        <w:rPr>
          <w:rFonts w:ascii="Times New Roman" w:hAnsi="Times New Roman" w:cs="Times New Roman"/>
        </w:rPr>
        <w:t xml:space="preserve"> fair value due to their limited time to</w:t>
      </w:r>
      <w:r>
        <w:rPr>
          <w:rFonts w:ascii="Times New Roman" w:hAnsi="Times New Roman" w:cs="Times New Roman"/>
        </w:rPr>
        <w:t xml:space="preserve"> </w:t>
      </w:r>
      <w:r w:rsidRPr="002C6475">
        <w:rPr>
          <w:rFonts w:ascii="Times New Roman" w:hAnsi="Times New Roman" w:cs="Times New Roman"/>
        </w:rPr>
        <w:t>maturity and ability to convert them to cash in the normal course. Financial liabilities are measured at amortized cost, unless they are required to be measured</w:t>
      </w:r>
      <w:r w:rsidR="004E3D40">
        <w:rPr>
          <w:rFonts w:ascii="Times New Roman" w:hAnsi="Times New Roman" w:cs="Times New Roman"/>
        </w:rPr>
        <w:t xml:space="preserve"> at</w:t>
      </w:r>
      <w:r>
        <w:rPr>
          <w:rFonts w:ascii="Times New Roman" w:hAnsi="Times New Roman" w:cs="Times New Roman"/>
        </w:rPr>
        <w:t xml:space="preserve"> fair value through profit or loss.  </w:t>
      </w:r>
      <w:r w:rsidR="004E3D40" w:rsidRPr="004E3D40">
        <w:rPr>
          <w:rFonts w:ascii="Times New Roman" w:hAnsi="Times New Roman" w:cs="Times New Roman"/>
        </w:rPr>
        <w:t>The Company’s accounts payable and accrued liabilities, due to related parties, convertible debentures and promissory notes are measured at amortized cost</w:t>
      </w:r>
      <w:r w:rsidRPr="002C6475">
        <w:rPr>
          <w:rFonts w:ascii="Times New Roman" w:hAnsi="Times New Roman" w:cs="Times New Roman"/>
        </w:rPr>
        <w:t>. Their carrying values also approximate fair value</w:t>
      </w:r>
      <w:r>
        <w:rPr>
          <w:rFonts w:ascii="Times New Roman" w:hAnsi="Times New Roman" w:cs="Times New Roman"/>
        </w:rPr>
        <w:t xml:space="preserve"> </w:t>
      </w:r>
      <w:r w:rsidRPr="002C6475">
        <w:rPr>
          <w:rFonts w:ascii="Times New Roman" w:hAnsi="Times New Roman" w:cs="Times New Roman"/>
        </w:rPr>
        <w:t>due to their short term maturities.</w:t>
      </w:r>
    </w:p>
    <w:p w14:paraId="494A2C1D" w14:textId="77777777" w:rsidR="00675648" w:rsidRDefault="00675648" w:rsidP="002C6475">
      <w:pPr>
        <w:spacing w:after="0" w:line="254" w:lineRule="auto"/>
        <w:jc w:val="both"/>
        <w:rPr>
          <w:rFonts w:ascii="Times New Roman" w:hAnsi="Times New Roman" w:cs="Times New Roman"/>
        </w:rPr>
      </w:pPr>
    </w:p>
    <w:p w14:paraId="3D8B22C3" w14:textId="28441FB4" w:rsidR="00675648" w:rsidRDefault="002C0B7B" w:rsidP="002C6475">
      <w:pPr>
        <w:spacing w:after="0" w:line="254" w:lineRule="auto"/>
        <w:jc w:val="both"/>
        <w:rPr>
          <w:rFonts w:ascii="Times New Roman" w:hAnsi="Times New Roman" w:cs="Times New Roman"/>
        </w:rPr>
      </w:pPr>
      <w:r>
        <w:rPr>
          <w:rFonts w:ascii="Times New Roman" w:hAnsi="Times New Roman" w:cs="Times New Roman"/>
        </w:rPr>
        <w:t>BetterLife</w:t>
      </w:r>
      <w:r w:rsidR="00675648" w:rsidRPr="00675648">
        <w:rPr>
          <w:rFonts w:ascii="Times New Roman" w:hAnsi="Times New Roman" w:cs="Times New Roman"/>
        </w:rPr>
        <w:t xml:space="preserve"> recognizes a loss allowance for expected credit losses on financial assets that are measured at amortized cost. At each reporting date, the Company measures the loss allowance for the financial asset at an amount equal to the lifetime expected credit losses if the credit risk on the financial asset has increased significantly since initial recognition. If at the reporting date, the financial asset has not increased significantly since initial recognition, the Company measures the loss allowance for the financial asset at an amount equal to twelve month expected credit losses. The Company shall recognize in the condensed consolidated interim statements of income (loss), as an impairment gain or loss, the amount of expected credit losses (or reversal) that is required to adjust the loss allowance at the reporting date to the amount that is required to be recognized.</w:t>
      </w:r>
    </w:p>
    <w:p w14:paraId="1DC15E98" w14:textId="77777777" w:rsidR="00675648" w:rsidRDefault="00675648" w:rsidP="002C6475">
      <w:pPr>
        <w:spacing w:after="0" w:line="254" w:lineRule="auto"/>
        <w:jc w:val="both"/>
        <w:rPr>
          <w:rFonts w:ascii="Times New Roman" w:hAnsi="Times New Roman" w:cs="Times New Roman"/>
        </w:rPr>
      </w:pPr>
    </w:p>
    <w:p w14:paraId="1E56B933" w14:textId="77777777" w:rsidR="00675648" w:rsidRDefault="00675648" w:rsidP="002C6475">
      <w:pPr>
        <w:spacing w:after="0" w:line="254" w:lineRule="auto"/>
        <w:jc w:val="both"/>
        <w:rPr>
          <w:rFonts w:ascii="Times New Roman" w:hAnsi="Times New Roman" w:cs="Times New Roman"/>
        </w:rPr>
      </w:pPr>
      <w:r w:rsidRPr="00675648">
        <w:rPr>
          <w:rFonts w:ascii="Times New Roman" w:hAnsi="Times New Roman" w:cs="Times New Roman"/>
        </w:rPr>
        <w:t>The Company classifies and discloses fair value measurements based on a three-level hierarchy</w:t>
      </w:r>
      <w:r>
        <w:rPr>
          <w:rFonts w:ascii="Times New Roman" w:hAnsi="Times New Roman" w:cs="Times New Roman"/>
        </w:rPr>
        <w:t>:</w:t>
      </w:r>
    </w:p>
    <w:p w14:paraId="000B940D" w14:textId="77777777" w:rsidR="00675648" w:rsidRDefault="00675648" w:rsidP="002C6475">
      <w:pPr>
        <w:spacing w:after="0" w:line="254" w:lineRule="auto"/>
        <w:jc w:val="both"/>
        <w:rPr>
          <w:rFonts w:ascii="Times New Roman" w:hAnsi="Times New Roman" w:cs="Times New Roman"/>
        </w:rPr>
      </w:pPr>
    </w:p>
    <w:p w14:paraId="573B64E1" w14:textId="77777777" w:rsidR="00675648" w:rsidRPr="00675648" w:rsidRDefault="00675648" w:rsidP="00675648">
      <w:pPr>
        <w:spacing w:after="0" w:line="254" w:lineRule="auto"/>
        <w:ind w:left="360" w:hanging="360"/>
        <w:jc w:val="both"/>
        <w:rPr>
          <w:rFonts w:ascii="Times New Roman" w:hAnsi="Times New Roman" w:cs="Times New Roman"/>
        </w:rPr>
      </w:pPr>
      <w:r w:rsidRPr="00675648">
        <w:rPr>
          <w:rFonts w:ascii="Times New Roman" w:hAnsi="Times New Roman" w:cs="Times New Roman"/>
        </w:rPr>
        <w:t>a.</w:t>
      </w:r>
      <w:r w:rsidRPr="00675648">
        <w:rPr>
          <w:rFonts w:ascii="Times New Roman" w:hAnsi="Times New Roman" w:cs="Times New Roman"/>
        </w:rPr>
        <w:tab/>
        <w:t xml:space="preserve">Level 1 – inputs are unadjusted quoted prices in active markets for identical assets or liabilities; </w:t>
      </w:r>
    </w:p>
    <w:p w14:paraId="1C99E163" w14:textId="77777777" w:rsidR="00675648" w:rsidRPr="00675648" w:rsidRDefault="00675648" w:rsidP="00675648">
      <w:pPr>
        <w:spacing w:after="0" w:line="254" w:lineRule="auto"/>
        <w:ind w:left="360" w:hanging="360"/>
        <w:jc w:val="both"/>
        <w:rPr>
          <w:rFonts w:ascii="Times New Roman" w:hAnsi="Times New Roman" w:cs="Times New Roman"/>
        </w:rPr>
      </w:pPr>
      <w:r w:rsidRPr="00675648">
        <w:rPr>
          <w:rFonts w:ascii="Times New Roman" w:hAnsi="Times New Roman" w:cs="Times New Roman"/>
        </w:rPr>
        <w:t>b.</w:t>
      </w:r>
      <w:r w:rsidRPr="00675648">
        <w:rPr>
          <w:rFonts w:ascii="Times New Roman" w:hAnsi="Times New Roman" w:cs="Times New Roman"/>
        </w:rPr>
        <w:tab/>
        <w:t>Level 2 – inputs other than quoted prices in Level 1 that are observable for the asset or liability, either directly or indirectly; and</w:t>
      </w:r>
    </w:p>
    <w:p w14:paraId="56684551" w14:textId="77777777" w:rsidR="00675648" w:rsidRDefault="00675648" w:rsidP="00675648">
      <w:pPr>
        <w:spacing w:after="0" w:line="254" w:lineRule="auto"/>
        <w:ind w:left="360" w:hanging="360"/>
        <w:jc w:val="both"/>
        <w:rPr>
          <w:rFonts w:ascii="Times New Roman" w:hAnsi="Times New Roman" w:cs="Times New Roman"/>
        </w:rPr>
      </w:pPr>
      <w:r w:rsidRPr="00675648">
        <w:rPr>
          <w:rFonts w:ascii="Times New Roman" w:hAnsi="Times New Roman" w:cs="Times New Roman"/>
        </w:rPr>
        <w:t>c.</w:t>
      </w:r>
      <w:r w:rsidRPr="00675648">
        <w:rPr>
          <w:rFonts w:ascii="Times New Roman" w:hAnsi="Times New Roman" w:cs="Times New Roman"/>
        </w:rPr>
        <w:tab/>
        <w:t>Level 3 – inputs for the asset or liability are not based on observable market data.</w:t>
      </w:r>
    </w:p>
    <w:p w14:paraId="793810A9" w14:textId="77777777" w:rsidR="002C6475" w:rsidRDefault="002C6475" w:rsidP="002C6475">
      <w:pPr>
        <w:spacing w:after="0" w:line="254" w:lineRule="auto"/>
        <w:jc w:val="both"/>
        <w:rPr>
          <w:rFonts w:ascii="Times New Roman" w:hAnsi="Times New Roman" w:cs="Times New Roman"/>
        </w:rPr>
      </w:pPr>
    </w:p>
    <w:p w14:paraId="76E4143C" w14:textId="415FA082" w:rsidR="00675648" w:rsidRPr="004F6500" w:rsidRDefault="00675648" w:rsidP="002C6475">
      <w:pPr>
        <w:spacing w:after="0" w:line="254" w:lineRule="auto"/>
        <w:jc w:val="both"/>
        <w:rPr>
          <w:rFonts w:ascii="Times New Roman" w:hAnsi="Times New Roman" w:cs="Times New Roman"/>
        </w:rPr>
      </w:pPr>
      <w:r w:rsidRPr="00675648">
        <w:rPr>
          <w:rFonts w:ascii="Times New Roman" w:hAnsi="Times New Roman" w:cs="Times New Roman"/>
        </w:rPr>
        <w:t xml:space="preserve">The Company has determined the estimated fair values of its financial instruments based upon appropriate valuation methodologies. </w:t>
      </w:r>
      <w:r>
        <w:rPr>
          <w:rFonts w:ascii="Times New Roman" w:hAnsi="Times New Roman" w:cs="Times New Roman"/>
        </w:rPr>
        <w:t xml:space="preserve"> </w:t>
      </w:r>
      <w:r w:rsidRPr="00675648">
        <w:rPr>
          <w:rFonts w:ascii="Times New Roman" w:hAnsi="Times New Roman" w:cs="Times New Roman"/>
        </w:rPr>
        <w:t xml:space="preserve">At </w:t>
      </w:r>
      <w:r w:rsidR="002C0B7B">
        <w:rPr>
          <w:rFonts w:ascii="Times New Roman" w:hAnsi="Times New Roman" w:cs="Times New Roman"/>
        </w:rPr>
        <w:t>October</w:t>
      </w:r>
      <w:r w:rsidRPr="00675648">
        <w:rPr>
          <w:rFonts w:ascii="Times New Roman" w:hAnsi="Times New Roman" w:cs="Times New Roman"/>
        </w:rPr>
        <w:t xml:space="preserve"> 31, 2019, January 31, 2019 and February 1, 2018, cash was measured and recognized in the condensed consolidated interim statement of financial position using Level 1 inputs in the fair value hierarchy.  At </w:t>
      </w:r>
      <w:r w:rsidR="009272DD">
        <w:rPr>
          <w:rFonts w:ascii="Times New Roman" w:hAnsi="Times New Roman" w:cs="Times New Roman"/>
        </w:rPr>
        <w:t>October</w:t>
      </w:r>
      <w:r w:rsidRPr="00675648">
        <w:rPr>
          <w:rFonts w:ascii="Times New Roman" w:hAnsi="Times New Roman" w:cs="Times New Roman"/>
        </w:rPr>
        <w:t xml:space="preserve"> 31, 2019, January 31, 2019 and February 1, 2018, there were no financial assets or liabilities measured and recognized in the condensed consolidated interim statement of financial position at fair value that would have been categorized as Level 3 in the fair value hierarchy above</w:t>
      </w:r>
      <w:r>
        <w:rPr>
          <w:rFonts w:ascii="Times New Roman" w:hAnsi="Times New Roman" w:cs="Times New Roman"/>
        </w:rPr>
        <w:t>.</w:t>
      </w:r>
    </w:p>
    <w:p w14:paraId="26E930EB" w14:textId="77777777" w:rsidR="00496CAE" w:rsidRDefault="00496CAE" w:rsidP="004F6500">
      <w:pPr>
        <w:spacing w:after="0" w:line="254" w:lineRule="auto"/>
        <w:jc w:val="both"/>
        <w:rPr>
          <w:rFonts w:ascii="Times New Roman" w:hAnsi="Times New Roman" w:cs="Times New Roman"/>
          <w:b/>
        </w:rPr>
      </w:pPr>
    </w:p>
    <w:p w14:paraId="5B06693B" w14:textId="77777777" w:rsidR="00D60CDF" w:rsidRPr="004F6500" w:rsidRDefault="00D60CDF" w:rsidP="004F6500">
      <w:pPr>
        <w:spacing w:after="0" w:line="254" w:lineRule="auto"/>
        <w:jc w:val="both"/>
        <w:rPr>
          <w:rFonts w:ascii="Times New Roman" w:hAnsi="Times New Roman" w:cs="Times New Roman"/>
          <w:b/>
        </w:rPr>
      </w:pPr>
    </w:p>
    <w:p w14:paraId="1D9B60FC" w14:textId="77777777" w:rsidR="00693CDD" w:rsidRDefault="00693CDD" w:rsidP="004F6500">
      <w:pPr>
        <w:spacing w:after="0" w:line="254" w:lineRule="auto"/>
        <w:jc w:val="both"/>
        <w:rPr>
          <w:rFonts w:ascii="Times New Roman" w:hAnsi="Times New Roman" w:cs="Times New Roman"/>
          <w:b/>
        </w:rPr>
      </w:pPr>
    </w:p>
    <w:p w14:paraId="11977413" w14:textId="77777777" w:rsidR="00693CDD" w:rsidRDefault="00693CDD" w:rsidP="004F6500">
      <w:pPr>
        <w:spacing w:after="0" w:line="254" w:lineRule="auto"/>
        <w:jc w:val="both"/>
        <w:rPr>
          <w:rFonts w:ascii="Times New Roman" w:hAnsi="Times New Roman" w:cs="Times New Roman"/>
          <w:b/>
        </w:rPr>
      </w:pPr>
    </w:p>
    <w:p w14:paraId="1FFFEFAD" w14:textId="6CE468DA" w:rsidR="00414FC3"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lastRenderedPageBreak/>
        <w:t>SHARE DATA</w:t>
      </w:r>
    </w:p>
    <w:p w14:paraId="389A8143" w14:textId="77777777" w:rsidR="00414FC3" w:rsidRPr="004F6500" w:rsidRDefault="00414FC3" w:rsidP="004F6500">
      <w:pPr>
        <w:spacing w:after="0" w:line="254" w:lineRule="auto"/>
        <w:jc w:val="both"/>
        <w:rPr>
          <w:rFonts w:ascii="Times New Roman" w:hAnsi="Times New Roman" w:cs="Times New Roman"/>
        </w:rPr>
      </w:pPr>
    </w:p>
    <w:p w14:paraId="1A5DB0C6" w14:textId="1F2AF88E" w:rsidR="00891190" w:rsidRPr="004F6500" w:rsidRDefault="00891190" w:rsidP="004F6500">
      <w:pPr>
        <w:spacing w:after="0" w:line="254" w:lineRule="auto"/>
        <w:jc w:val="both"/>
        <w:rPr>
          <w:rFonts w:ascii="Times New Roman" w:hAnsi="Times New Roman" w:cs="Times New Roman"/>
        </w:rPr>
      </w:pPr>
      <w:r w:rsidRPr="004F6500">
        <w:rPr>
          <w:rFonts w:ascii="Times New Roman" w:hAnsi="Times New Roman" w:cs="Times New Roman"/>
        </w:rPr>
        <w:t>The following table sets forth the outstanding share</w:t>
      </w:r>
      <w:r w:rsidR="005354A6">
        <w:rPr>
          <w:rFonts w:ascii="Times New Roman" w:hAnsi="Times New Roman" w:cs="Times New Roman"/>
        </w:rPr>
        <w:t>, warrants</w:t>
      </w:r>
      <w:r w:rsidR="009275CA">
        <w:rPr>
          <w:rFonts w:ascii="Times New Roman" w:hAnsi="Times New Roman" w:cs="Times New Roman"/>
        </w:rPr>
        <w:t xml:space="preserve">, </w:t>
      </w:r>
      <w:r w:rsidR="005354A6">
        <w:rPr>
          <w:rFonts w:ascii="Times New Roman" w:hAnsi="Times New Roman" w:cs="Times New Roman"/>
        </w:rPr>
        <w:t>stock options</w:t>
      </w:r>
      <w:r w:rsidR="009275CA">
        <w:rPr>
          <w:rFonts w:ascii="Times New Roman" w:hAnsi="Times New Roman" w:cs="Times New Roman"/>
        </w:rPr>
        <w:t>, restricted share units and performance share units</w:t>
      </w:r>
      <w:r w:rsidRPr="004F6500">
        <w:rPr>
          <w:rFonts w:ascii="Times New Roman" w:hAnsi="Times New Roman" w:cs="Times New Roman"/>
        </w:rPr>
        <w:t xml:space="preserve"> data for the Company as at </w:t>
      </w:r>
      <w:r w:rsidR="00A25599">
        <w:rPr>
          <w:rFonts w:ascii="Times New Roman" w:hAnsi="Times New Roman" w:cs="Times New Roman"/>
        </w:rPr>
        <w:t>December</w:t>
      </w:r>
      <w:r w:rsidRPr="004F6500">
        <w:rPr>
          <w:rFonts w:ascii="Times New Roman" w:hAnsi="Times New Roman" w:cs="Times New Roman"/>
        </w:rPr>
        <w:t xml:space="preserve"> </w:t>
      </w:r>
      <w:r w:rsidR="00FC49FD" w:rsidRPr="00693CDD">
        <w:rPr>
          <w:rFonts w:ascii="Times New Roman" w:hAnsi="Times New Roman" w:cs="Times New Roman"/>
        </w:rPr>
        <w:t>2</w:t>
      </w:r>
      <w:r w:rsidR="00315DCB">
        <w:rPr>
          <w:rFonts w:ascii="Times New Roman" w:hAnsi="Times New Roman" w:cs="Times New Roman"/>
        </w:rPr>
        <w:t>4</w:t>
      </w:r>
      <w:r w:rsidR="00693CDD">
        <w:rPr>
          <w:rFonts w:ascii="Times New Roman" w:hAnsi="Times New Roman" w:cs="Times New Roman"/>
        </w:rPr>
        <w:t>,</w:t>
      </w:r>
      <w:r w:rsidRPr="004F6500">
        <w:rPr>
          <w:rFonts w:ascii="Times New Roman" w:hAnsi="Times New Roman" w:cs="Times New Roman"/>
        </w:rPr>
        <w:t xml:space="preserve"> 2019:</w:t>
      </w:r>
    </w:p>
    <w:p w14:paraId="17534FB5" w14:textId="77777777" w:rsidR="00891190" w:rsidRPr="004F6500" w:rsidRDefault="00891190" w:rsidP="004F6500">
      <w:pPr>
        <w:spacing w:after="0" w:line="254"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91190" w:rsidRPr="004F6500" w14:paraId="2BD137F4" w14:textId="77777777" w:rsidTr="00891190">
        <w:tc>
          <w:tcPr>
            <w:tcW w:w="3116" w:type="dxa"/>
          </w:tcPr>
          <w:p w14:paraId="722599EF" w14:textId="77777777" w:rsidR="00891190" w:rsidRPr="004F6500" w:rsidRDefault="00891190" w:rsidP="004F6500">
            <w:pPr>
              <w:spacing w:line="254" w:lineRule="auto"/>
              <w:jc w:val="both"/>
              <w:rPr>
                <w:sz w:val="22"/>
              </w:rPr>
            </w:pPr>
          </w:p>
        </w:tc>
        <w:tc>
          <w:tcPr>
            <w:tcW w:w="3117" w:type="dxa"/>
            <w:tcBorders>
              <w:bottom w:val="single" w:sz="4" w:space="0" w:color="auto"/>
            </w:tcBorders>
          </w:tcPr>
          <w:p w14:paraId="278F5518" w14:textId="77777777" w:rsidR="00891190" w:rsidRPr="004F6500" w:rsidRDefault="00891190" w:rsidP="004F6500">
            <w:pPr>
              <w:spacing w:line="254" w:lineRule="auto"/>
              <w:jc w:val="center"/>
              <w:rPr>
                <w:b/>
                <w:sz w:val="22"/>
              </w:rPr>
            </w:pPr>
            <w:r w:rsidRPr="004F6500">
              <w:rPr>
                <w:b/>
                <w:sz w:val="22"/>
              </w:rPr>
              <w:t>Authorized</w:t>
            </w:r>
          </w:p>
        </w:tc>
        <w:tc>
          <w:tcPr>
            <w:tcW w:w="3117" w:type="dxa"/>
            <w:tcBorders>
              <w:bottom w:val="single" w:sz="4" w:space="0" w:color="auto"/>
            </w:tcBorders>
          </w:tcPr>
          <w:p w14:paraId="40C04985" w14:textId="77777777" w:rsidR="00891190" w:rsidRPr="004F6500" w:rsidRDefault="00891190" w:rsidP="004F6500">
            <w:pPr>
              <w:spacing w:line="254" w:lineRule="auto"/>
              <w:jc w:val="center"/>
              <w:rPr>
                <w:b/>
                <w:sz w:val="22"/>
              </w:rPr>
            </w:pPr>
            <w:r w:rsidRPr="004F6500">
              <w:rPr>
                <w:b/>
                <w:sz w:val="22"/>
              </w:rPr>
              <w:t>Issued</w:t>
            </w:r>
          </w:p>
        </w:tc>
      </w:tr>
      <w:tr w:rsidR="00891190" w:rsidRPr="004F6500" w14:paraId="41714EEE" w14:textId="77777777" w:rsidTr="005F5755">
        <w:tc>
          <w:tcPr>
            <w:tcW w:w="3116" w:type="dxa"/>
          </w:tcPr>
          <w:p w14:paraId="145C4DCE" w14:textId="77777777" w:rsidR="00891190" w:rsidRPr="004F6500" w:rsidRDefault="00891190" w:rsidP="004F6500">
            <w:pPr>
              <w:spacing w:line="254" w:lineRule="auto"/>
              <w:jc w:val="both"/>
              <w:rPr>
                <w:sz w:val="22"/>
              </w:rPr>
            </w:pPr>
            <w:r w:rsidRPr="004F6500">
              <w:rPr>
                <w:sz w:val="22"/>
              </w:rPr>
              <w:t>Common shares</w:t>
            </w:r>
          </w:p>
        </w:tc>
        <w:tc>
          <w:tcPr>
            <w:tcW w:w="3117" w:type="dxa"/>
            <w:tcBorders>
              <w:top w:val="single" w:sz="4" w:space="0" w:color="auto"/>
            </w:tcBorders>
          </w:tcPr>
          <w:p w14:paraId="34219A39" w14:textId="77777777" w:rsidR="00891190" w:rsidRPr="004F6500" w:rsidRDefault="00891190" w:rsidP="004F6500">
            <w:pPr>
              <w:spacing w:line="254" w:lineRule="auto"/>
              <w:jc w:val="center"/>
              <w:rPr>
                <w:sz w:val="22"/>
              </w:rPr>
            </w:pPr>
            <w:r w:rsidRPr="004F6500">
              <w:rPr>
                <w:sz w:val="22"/>
              </w:rPr>
              <w:t>Unlimited</w:t>
            </w:r>
          </w:p>
        </w:tc>
        <w:tc>
          <w:tcPr>
            <w:tcW w:w="3117" w:type="dxa"/>
            <w:tcBorders>
              <w:top w:val="single" w:sz="4" w:space="0" w:color="auto"/>
            </w:tcBorders>
            <w:shd w:val="clear" w:color="auto" w:fill="auto"/>
          </w:tcPr>
          <w:p w14:paraId="08265401" w14:textId="62B383E2" w:rsidR="00891190" w:rsidRPr="005F5755" w:rsidRDefault="00B23EC8" w:rsidP="004F6500">
            <w:pPr>
              <w:spacing w:line="254" w:lineRule="auto"/>
              <w:jc w:val="center"/>
              <w:rPr>
                <w:sz w:val="22"/>
              </w:rPr>
            </w:pPr>
            <w:r>
              <w:rPr>
                <w:sz w:val="22"/>
              </w:rPr>
              <w:t>171,414,468</w:t>
            </w:r>
          </w:p>
        </w:tc>
      </w:tr>
      <w:tr w:rsidR="00891190" w:rsidRPr="004F6500" w14:paraId="51FC01CB" w14:textId="77777777" w:rsidTr="005F5755">
        <w:tc>
          <w:tcPr>
            <w:tcW w:w="3116" w:type="dxa"/>
          </w:tcPr>
          <w:p w14:paraId="32EDCC84" w14:textId="77777777" w:rsidR="00891190" w:rsidRPr="004F6500" w:rsidRDefault="00891190" w:rsidP="004F6500">
            <w:pPr>
              <w:spacing w:line="254" w:lineRule="auto"/>
              <w:jc w:val="both"/>
              <w:rPr>
                <w:sz w:val="22"/>
              </w:rPr>
            </w:pPr>
            <w:r w:rsidRPr="004F6500">
              <w:rPr>
                <w:sz w:val="22"/>
              </w:rPr>
              <w:t>Warrants</w:t>
            </w:r>
          </w:p>
        </w:tc>
        <w:tc>
          <w:tcPr>
            <w:tcW w:w="3117" w:type="dxa"/>
          </w:tcPr>
          <w:p w14:paraId="67CBA570" w14:textId="77777777" w:rsidR="00891190" w:rsidRPr="004F6500" w:rsidRDefault="00891190" w:rsidP="004F6500">
            <w:pPr>
              <w:spacing w:line="254" w:lineRule="auto"/>
              <w:jc w:val="center"/>
              <w:rPr>
                <w:sz w:val="22"/>
              </w:rPr>
            </w:pPr>
          </w:p>
        </w:tc>
        <w:tc>
          <w:tcPr>
            <w:tcW w:w="3117" w:type="dxa"/>
            <w:shd w:val="clear" w:color="auto" w:fill="auto"/>
          </w:tcPr>
          <w:p w14:paraId="0A96B074" w14:textId="4CA04795" w:rsidR="00891190" w:rsidRPr="005F5755" w:rsidRDefault="00B23EC8" w:rsidP="004F6500">
            <w:pPr>
              <w:spacing w:line="254" w:lineRule="auto"/>
              <w:jc w:val="center"/>
              <w:rPr>
                <w:sz w:val="22"/>
              </w:rPr>
            </w:pPr>
            <w:r>
              <w:rPr>
                <w:sz w:val="22"/>
              </w:rPr>
              <w:t>79,478,923</w:t>
            </w:r>
          </w:p>
        </w:tc>
      </w:tr>
      <w:tr w:rsidR="00891190" w:rsidRPr="004F6500" w14:paraId="760C8EDE" w14:textId="77777777" w:rsidTr="005F5755">
        <w:tc>
          <w:tcPr>
            <w:tcW w:w="3116" w:type="dxa"/>
          </w:tcPr>
          <w:p w14:paraId="4BDDB6AA" w14:textId="77777777" w:rsidR="00891190" w:rsidRPr="004F6500" w:rsidRDefault="00891190" w:rsidP="004F6500">
            <w:pPr>
              <w:spacing w:line="254" w:lineRule="auto"/>
              <w:jc w:val="both"/>
              <w:rPr>
                <w:sz w:val="22"/>
              </w:rPr>
            </w:pPr>
            <w:r w:rsidRPr="004F6500">
              <w:rPr>
                <w:sz w:val="22"/>
              </w:rPr>
              <w:t>Stock options</w:t>
            </w:r>
          </w:p>
        </w:tc>
        <w:tc>
          <w:tcPr>
            <w:tcW w:w="3117" w:type="dxa"/>
          </w:tcPr>
          <w:p w14:paraId="13B58382" w14:textId="77777777" w:rsidR="00891190" w:rsidRPr="004F6500" w:rsidRDefault="00891190" w:rsidP="004F6500">
            <w:pPr>
              <w:spacing w:line="254" w:lineRule="auto"/>
              <w:jc w:val="center"/>
              <w:rPr>
                <w:sz w:val="22"/>
              </w:rPr>
            </w:pPr>
          </w:p>
        </w:tc>
        <w:tc>
          <w:tcPr>
            <w:tcW w:w="3117" w:type="dxa"/>
            <w:shd w:val="clear" w:color="auto" w:fill="auto"/>
          </w:tcPr>
          <w:p w14:paraId="3582CD59" w14:textId="5E629050" w:rsidR="00891190" w:rsidRPr="005F5755" w:rsidRDefault="00B23EC8" w:rsidP="008B2363">
            <w:pPr>
              <w:spacing w:line="254" w:lineRule="auto"/>
              <w:jc w:val="center"/>
              <w:rPr>
                <w:sz w:val="22"/>
              </w:rPr>
            </w:pPr>
            <w:r>
              <w:rPr>
                <w:sz w:val="22"/>
              </w:rPr>
              <w:t>14,325,000</w:t>
            </w:r>
          </w:p>
        </w:tc>
      </w:tr>
      <w:tr w:rsidR="009275CA" w:rsidRPr="009275CA" w14:paraId="39403DB8" w14:textId="77777777" w:rsidTr="005F5755">
        <w:tc>
          <w:tcPr>
            <w:tcW w:w="3116" w:type="dxa"/>
          </w:tcPr>
          <w:p w14:paraId="79213A88" w14:textId="1D749447" w:rsidR="009275CA" w:rsidRPr="009275CA" w:rsidRDefault="009275CA" w:rsidP="004F6500">
            <w:pPr>
              <w:spacing w:line="254" w:lineRule="auto"/>
              <w:jc w:val="both"/>
              <w:rPr>
                <w:sz w:val="22"/>
              </w:rPr>
            </w:pPr>
            <w:r w:rsidRPr="009275CA">
              <w:rPr>
                <w:sz w:val="22"/>
              </w:rPr>
              <w:t>Restricted share units</w:t>
            </w:r>
          </w:p>
        </w:tc>
        <w:tc>
          <w:tcPr>
            <w:tcW w:w="3117" w:type="dxa"/>
          </w:tcPr>
          <w:p w14:paraId="0ACF5E08" w14:textId="77777777" w:rsidR="009275CA" w:rsidRPr="009275CA" w:rsidRDefault="009275CA" w:rsidP="004F6500">
            <w:pPr>
              <w:spacing w:line="254" w:lineRule="auto"/>
              <w:jc w:val="center"/>
              <w:rPr>
                <w:sz w:val="22"/>
              </w:rPr>
            </w:pPr>
          </w:p>
        </w:tc>
        <w:tc>
          <w:tcPr>
            <w:tcW w:w="3117" w:type="dxa"/>
            <w:shd w:val="clear" w:color="auto" w:fill="auto"/>
          </w:tcPr>
          <w:p w14:paraId="50571EAA" w14:textId="0159379E" w:rsidR="009275CA" w:rsidRPr="009275CA" w:rsidRDefault="00B23EC8" w:rsidP="008B2363">
            <w:pPr>
              <w:spacing w:line="254" w:lineRule="auto"/>
              <w:jc w:val="center"/>
              <w:rPr>
                <w:sz w:val="22"/>
              </w:rPr>
            </w:pPr>
            <w:r>
              <w:rPr>
                <w:sz w:val="22"/>
              </w:rPr>
              <w:t>2,750,000</w:t>
            </w:r>
          </w:p>
        </w:tc>
      </w:tr>
      <w:tr w:rsidR="009275CA" w:rsidRPr="009275CA" w14:paraId="1291A24D" w14:textId="77777777" w:rsidTr="005F5755">
        <w:tc>
          <w:tcPr>
            <w:tcW w:w="3116" w:type="dxa"/>
          </w:tcPr>
          <w:p w14:paraId="422E6E69" w14:textId="4ED4C0B1" w:rsidR="009275CA" w:rsidRPr="009275CA" w:rsidRDefault="009275CA" w:rsidP="004F6500">
            <w:pPr>
              <w:spacing w:line="254" w:lineRule="auto"/>
              <w:jc w:val="both"/>
              <w:rPr>
                <w:sz w:val="22"/>
              </w:rPr>
            </w:pPr>
            <w:r w:rsidRPr="009275CA">
              <w:rPr>
                <w:sz w:val="22"/>
              </w:rPr>
              <w:t>Performance share units</w:t>
            </w:r>
          </w:p>
        </w:tc>
        <w:tc>
          <w:tcPr>
            <w:tcW w:w="3117" w:type="dxa"/>
          </w:tcPr>
          <w:p w14:paraId="0A4E9115" w14:textId="77777777" w:rsidR="009275CA" w:rsidRPr="009275CA" w:rsidRDefault="009275CA" w:rsidP="004F6500">
            <w:pPr>
              <w:spacing w:line="254" w:lineRule="auto"/>
              <w:jc w:val="center"/>
              <w:rPr>
                <w:sz w:val="22"/>
              </w:rPr>
            </w:pPr>
          </w:p>
        </w:tc>
        <w:tc>
          <w:tcPr>
            <w:tcW w:w="3117" w:type="dxa"/>
            <w:shd w:val="clear" w:color="auto" w:fill="auto"/>
          </w:tcPr>
          <w:p w14:paraId="03208B6E" w14:textId="0F2EDE7A" w:rsidR="009275CA" w:rsidRPr="009275CA" w:rsidRDefault="00B23EC8" w:rsidP="008B2363">
            <w:pPr>
              <w:spacing w:line="254" w:lineRule="auto"/>
              <w:jc w:val="center"/>
              <w:rPr>
                <w:sz w:val="22"/>
              </w:rPr>
            </w:pPr>
            <w:r>
              <w:rPr>
                <w:sz w:val="22"/>
              </w:rPr>
              <w:t>750,000</w:t>
            </w:r>
          </w:p>
        </w:tc>
      </w:tr>
    </w:tbl>
    <w:p w14:paraId="5AD1DC0C" w14:textId="77777777" w:rsidR="00891190" w:rsidRPr="004F6500" w:rsidRDefault="00891190" w:rsidP="004F6500">
      <w:pPr>
        <w:spacing w:after="0" w:line="254" w:lineRule="auto"/>
        <w:jc w:val="both"/>
        <w:rPr>
          <w:rFonts w:ascii="Times New Roman" w:hAnsi="Times New Roman" w:cs="Times New Roman"/>
        </w:rPr>
      </w:pPr>
    </w:p>
    <w:p w14:paraId="3FF3ACE0" w14:textId="77777777" w:rsidR="00414FC3" w:rsidRPr="004F6500" w:rsidRDefault="00414FC3" w:rsidP="004F6500">
      <w:pPr>
        <w:spacing w:after="0" w:line="254" w:lineRule="auto"/>
        <w:jc w:val="both"/>
        <w:rPr>
          <w:rFonts w:ascii="Times New Roman" w:hAnsi="Times New Roman" w:cs="Times New Roman"/>
          <w:b/>
        </w:rPr>
      </w:pPr>
    </w:p>
    <w:p w14:paraId="023BD22A" w14:textId="77777777" w:rsidR="00525EBE" w:rsidRPr="004F6500" w:rsidRDefault="00891190" w:rsidP="004F6500">
      <w:pPr>
        <w:spacing w:after="0" w:line="254" w:lineRule="auto"/>
        <w:jc w:val="both"/>
        <w:rPr>
          <w:rFonts w:ascii="Times New Roman" w:hAnsi="Times New Roman" w:cs="Times New Roman"/>
          <w:b/>
        </w:rPr>
      </w:pPr>
      <w:r w:rsidRPr="004F6500">
        <w:rPr>
          <w:rFonts w:ascii="Times New Roman" w:hAnsi="Times New Roman" w:cs="Times New Roman"/>
          <w:b/>
        </w:rPr>
        <w:t>ADDITIONAL INFORMATION</w:t>
      </w:r>
    </w:p>
    <w:p w14:paraId="4BFA3EFE" w14:textId="77777777" w:rsidR="00525EBE" w:rsidRPr="004F6500" w:rsidRDefault="00525EBE" w:rsidP="004F6500">
      <w:pPr>
        <w:spacing w:after="0" w:line="254" w:lineRule="auto"/>
        <w:jc w:val="both"/>
        <w:rPr>
          <w:rFonts w:ascii="Times New Roman" w:hAnsi="Times New Roman" w:cs="Times New Roman"/>
        </w:rPr>
      </w:pPr>
    </w:p>
    <w:p w14:paraId="5A4F76C8" w14:textId="77777777" w:rsidR="004B0C50" w:rsidRPr="004F6500" w:rsidRDefault="00414FC3" w:rsidP="004F6500">
      <w:pPr>
        <w:spacing w:after="0" w:line="254" w:lineRule="auto"/>
        <w:jc w:val="both"/>
        <w:rPr>
          <w:rFonts w:ascii="Times New Roman" w:hAnsi="Times New Roman" w:cs="Times New Roman"/>
        </w:rPr>
      </w:pPr>
      <w:r w:rsidRPr="004F6500">
        <w:rPr>
          <w:rFonts w:ascii="Times New Roman" w:hAnsi="Times New Roman" w:cs="Times New Roman"/>
        </w:rPr>
        <w:t>Additional information relating to the Company, including the Company's audited year-end financial results and unaudited quarterly financial results, can be accessed on SEDAR (</w:t>
      </w:r>
      <w:hyperlink r:id="rId10" w:history="1">
        <w:r w:rsidR="00525EBE" w:rsidRPr="004F6500">
          <w:rPr>
            <w:rStyle w:val="Hyperlink"/>
            <w:rFonts w:ascii="Times New Roman" w:hAnsi="Times New Roman" w:cs="Times New Roman"/>
          </w:rPr>
          <w:t>www.sedar.com</w:t>
        </w:r>
      </w:hyperlink>
      <w:r w:rsidRPr="004F6500">
        <w:rPr>
          <w:rFonts w:ascii="Times New Roman" w:hAnsi="Times New Roman" w:cs="Times New Roman"/>
        </w:rPr>
        <w:t>)</w:t>
      </w:r>
      <w:r w:rsidR="00525EBE" w:rsidRPr="004F6500">
        <w:rPr>
          <w:rFonts w:ascii="Times New Roman" w:hAnsi="Times New Roman" w:cs="Times New Roman"/>
        </w:rPr>
        <w:t xml:space="preserve"> </w:t>
      </w:r>
      <w:r w:rsidRPr="004F6500">
        <w:rPr>
          <w:rFonts w:ascii="Times New Roman" w:hAnsi="Times New Roman" w:cs="Times New Roman"/>
        </w:rPr>
        <w:t>and in the United States on EDGAR (</w:t>
      </w:r>
      <w:hyperlink r:id="rId11" w:history="1">
        <w:r w:rsidR="00525EBE" w:rsidRPr="004F6500">
          <w:rPr>
            <w:rStyle w:val="Hyperlink"/>
            <w:rFonts w:ascii="Times New Roman" w:hAnsi="Times New Roman" w:cs="Times New Roman"/>
          </w:rPr>
          <w:t>www.sec.gov/edgar</w:t>
        </w:r>
      </w:hyperlink>
      <w:r w:rsidRPr="004F6500">
        <w:rPr>
          <w:rFonts w:ascii="Times New Roman" w:hAnsi="Times New Roman" w:cs="Times New Roman"/>
        </w:rPr>
        <w:t xml:space="preserve">). </w:t>
      </w:r>
    </w:p>
    <w:p w14:paraId="358CC5B3" w14:textId="77777777" w:rsidR="00525EBE" w:rsidRPr="004F6500" w:rsidRDefault="00525EBE" w:rsidP="004F6500">
      <w:pPr>
        <w:spacing w:after="0" w:line="254" w:lineRule="auto"/>
        <w:jc w:val="both"/>
        <w:rPr>
          <w:rFonts w:ascii="Times New Roman" w:hAnsi="Times New Roman" w:cs="Times New Roman"/>
          <w:b/>
        </w:rPr>
      </w:pPr>
    </w:p>
    <w:sectPr w:rsidR="00525EBE" w:rsidRPr="004F650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2EE6" w14:textId="77777777" w:rsidR="00D11A40" w:rsidRDefault="00D11A40" w:rsidP="000A0D32">
      <w:pPr>
        <w:spacing w:after="0" w:line="240" w:lineRule="auto"/>
      </w:pPr>
      <w:r>
        <w:separator/>
      </w:r>
    </w:p>
  </w:endnote>
  <w:endnote w:type="continuationSeparator" w:id="0">
    <w:p w14:paraId="5E2C4235" w14:textId="77777777" w:rsidR="00D11A40" w:rsidRDefault="00D11A40" w:rsidP="000A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89425"/>
      <w:docPartObj>
        <w:docPartGallery w:val="Page Numbers (Bottom of Page)"/>
        <w:docPartUnique/>
      </w:docPartObj>
    </w:sdtPr>
    <w:sdtEndPr>
      <w:rPr>
        <w:noProof/>
      </w:rPr>
    </w:sdtEndPr>
    <w:sdtContent>
      <w:p w14:paraId="17EB0679" w14:textId="77777777" w:rsidR="00EB3AA0" w:rsidRDefault="00EB3AA0">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E640AED" w14:textId="77777777" w:rsidR="00EB3AA0" w:rsidRDefault="00EB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85142" w14:textId="77777777" w:rsidR="00D11A40" w:rsidRDefault="00D11A40" w:rsidP="000A0D32">
      <w:pPr>
        <w:spacing w:after="0" w:line="240" w:lineRule="auto"/>
      </w:pPr>
      <w:r>
        <w:separator/>
      </w:r>
    </w:p>
  </w:footnote>
  <w:footnote w:type="continuationSeparator" w:id="0">
    <w:p w14:paraId="7A821E09" w14:textId="77777777" w:rsidR="00D11A40" w:rsidRDefault="00D11A40" w:rsidP="000A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819E" w14:textId="2072017A" w:rsidR="00EB3AA0" w:rsidRDefault="00EB3AA0" w:rsidP="00F9356C">
    <w:pPr>
      <w:pStyle w:val="Header"/>
      <w:jc w:val="center"/>
    </w:pPr>
    <w:r>
      <w:rPr>
        <w:noProof/>
        <w:lang w:val="en-CA" w:eastAsia="en-CA"/>
      </w:rPr>
      <w:drawing>
        <wp:inline distT="0" distB="0" distL="0" distR="0" wp14:anchorId="50AF5C3E" wp14:editId="42A95086">
          <wp:extent cx="2266950" cy="1275159"/>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LifePharma_logo_3480x2160_whitebg.png"/>
                  <pic:cNvPicPr/>
                </pic:nvPicPr>
                <pic:blipFill>
                  <a:blip r:embed="rId1">
                    <a:extLst>
                      <a:ext uri="{28A0092B-C50C-407E-A947-70E740481C1C}">
                        <a14:useLocalDpi xmlns:a14="http://schemas.microsoft.com/office/drawing/2010/main" val="0"/>
                      </a:ext>
                    </a:extLst>
                  </a:blip>
                  <a:stretch>
                    <a:fillRect/>
                  </a:stretch>
                </pic:blipFill>
                <pic:spPr>
                  <a:xfrm>
                    <a:off x="0" y="0"/>
                    <a:ext cx="2278010" cy="12813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8F17" w14:textId="77777777" w:rsidR="00EB3AA0" w:rsidRDefault="00EB3AA0" w:rsidP="00F935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933"/>
    <w:multiLevelType w:val="hybridMultilevel"/>
    <w:tmpl w:val="E63291E4"/>
    <w:lvl w:ilvl="0" w:tplc="53B6DA16">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11CC"/>
    <w:multiLevelType w:val="hybridMultilevel"/>
    <w:tmpl w:val="302C9696"/>
    <w:lvl w:ilvl="0" w:tplc="D60AC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737C0"/>
    <w:multiLevelType w:val="hybridMultilevel"/>
    <w:tmpl w:val="FBC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91A8D"/>
    <w:multiLevelType w:val="hybridMultilevel"/>
    <w:tmpl w:val="93800542"/>
    <w:lvl w:ilvl="0" w:tplc="7848B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58F4"/>
    <w:multiLevelType w:val="hybridMultilevel"/>
    <w:tmpl w:val="B1966D7A"/>
    <w:lvl w:ilvl="0" w:tplc="8F148C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27DEE"/>
    <w:multiLevelType w:val="hybridMultilevel"/>
    <w:tmpl w:val="F05A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724CF"/>
    <w:multiLevelType w:val="hybridMultilevel"/>
    <w:tmpl w:val="147C37C2"/>
    <w:lvl w:ilvl="0" w:tplc="53B6DA16">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B4402"/>
    <w:multiLevelType w:val="hybridMultilevel"/>
    <w:tmpl w:val="1DC4723C"/>
    <w:lvl w:ilvl="0" w:tplc="D4E6F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6795F"/>
    <w:multiLevelType w:val="hybridMultilevel"/>
    <w:tmpl w:val="2F149880"/>
    <w:lvl w:ilvl="0" w:tplc="B8E47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D5617"/>
    <w:multiLevelType w:val="hybridMultilevel"/>
    <w:tmpl w:val="F48422B0"/>
    <w:lvl w:ilvl="0" w:tplc="8F148C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05650"/>
    <w:multiLevelType w:val="hybridMultilevel"/>
    <w:tmpl w:val="AE20B578"/>
    <w:lvl w:ilvl="0" w:tplc="8F148C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D7172"/>
    <w:multiLevelType w:val="hybridMultilevel"/>
    <w:tmpl w:val="98CEB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5"/>
  </w:num>
  <w:num w:numId="5">
    <w:abstractNumId w:val="1"/>
  </w:num>
  <w:num w:numId="6">
    <w:abstractNumId w:val="3"/>
  </w:num>
  <w:num w:numId="7">
    <w:abstractNumId w:val="4"/>
  </w:num>
  <w:num w:numId="8">
    <w:abstractNumId w:val="6"/>
  </w:num>
  <w:num w:numId="9">
    <w:abstractNumId w:val="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04"/>
    <w:rsid w:val="00002BB2"/>
    <w:rsid w:val="00016D44"/>
    <w:rsid w:val="00041086"/>
    <w:rsid w:val="00053362"/>
    <w:rsid w:val="000746D9"/>
    <w:rsid w:val="000835A9"/>
    <w:rsid w:val="00087838"/>
    <w:rsid w:val="00097ABF"/>
    <w:rsid w:val="000A0D32"/>
    <w:rsid w:val="000A7C0A"/>
    <w:rsid w:val="000B08D0"/>
    <w:rsid w:val="000E38EA"/>
    <w:rsid w:val="00106AA4"/>
    <w:rsid w:val="00121878"/>
    <w:rsid w:val="00141887"/>
    <w:rsid w:val="00144C30"/>
    <w:rsid w:val="00146C21"/>
    <w:rsid w:val="00157EB9"/>
    <w:rsid w:val="00181DC8"/>
    <w:rsid w:val="001A12D1"/>
    <w:rsid w:val="001B5422"/>
    <w:rsid w:val="001D619A"/>
    <w:rsid w:val="00223484"/>
    <w:rsid w:val="00273E6A"/>
    <w:rsid w:val="002A2078"/>
    <w:rsid w:val="002C00EB"/>
    <w:rsid w:val="002C0B7B"/>
    <w:rsid w:val="002C1B81"/>
    <w:rsid w:val="002C6475"/>
    <w:rsid w:val="002E0B0F"/>
    <w:rsid w:val="003116A0"/>
    <w:rsid w:val="00315DCB"/>
    <w:rsid w:val="003306DA"/>
    <w:rsid w:val="003333FE"/>
    <w:rsid w:val="00344954"/>
    <w:rsid w:val="00377A7B"/>
    <w:rsid w:val="00380C2B"/>
    <w:rsid w:val="00385E32"/>
    <w:rsid w:val="00392975"/>
    <w:rsid w:val="00396358"/>
    <w:rsid w:val="003A57D2"/>
    <w:rsid w:val="003E471C"/>
    <w:rsid w:val="00413733"/>
    <w:rsid w:val="00414A43"/>
    <w:rsid w:val="00414FC3"/>
    <w:rsid w:val="004337AF"/>
    <w:rsid w:val="004350BA"/>
    <w:rsid w:val="004370E9"/>
    <w:rsid w:val="0044403D"/>
    <w:rsid w:val="00461805"/>
    <w:rsid w:val="004629FB"/>
    <w:rsid w:val="00470B50"/>
    <w:rsid w:val="004770B9"/>
    <w:rsid w:val="00485549"/>
    <w:rsid w:val="004855CD"/>
    <w:rsid w:val="00496CAE"/>
    <w:rsid w:val="004B0C50"/>
    <w:rsid w:val="004D6BD9"/>
    <w:rsid w:val="004E3D40"/>
    <w:rsid w:val="004F2102"/>
    <w:rsid w:val="004F6500"/>
    <w:rsid w:val="00525EBE"/>
    <w:rsid w:val="005354A6"/>
    <w:rsid w:val="00543ED6"/>
    <w:rsid w:val="0055021D"/>
    <w:rsid w:val="00565FB9"/>
    <w:rsid w:val="00570511"/>
    <w:rsid w:val="00581B85"/>
    <w:rsid w:val="0058467C"/>
    <w:rsid w:val="00592EBC"/>
    <w:rsid w:val="005A7A08"/>
    <w:rsid w:val="005B0635"/>
    <w:rsid w:val="005D3F8B"/>
    <w:rsid w:val="005D5723"/>
    <w:rsid w:val="005F5755"/>
    <w:rsid w:val="00604FA7"/>
    <w:rsid w:val="00613D2C"/>
    <w:rsid w:val="006529AF"/>
    <w:rsid w:val="00667C55"/>
    <w:rsid w:val="00675648"/>
    <w:rsid w:val="00693CDD"/>
    <w:rsid w:val="006D2F8A"/>
    <w:rsid w:val="006E21FA"/>
    <w:rsid w:val="006E6090"/>
    <w:rsid w:val="006F77A6"/>
    <w:rsid w:val="00724A80"/>
    <w:rsid w:val="00736F15"/>
    <w:rsid w:val="00794C09"/>
    <w:rsid w:val="00795483"/>
    <w:rsid w:val="007B4C16"/>
    <w:rsid w:val="007B5F81"/>
    <w:rsid w:val="007B670E"/>
    <w:rsid w:val="008121F0"/>
    <w:rsid w:val="0082726B"/>
    <w:rsid w:val="008712FC"/>
    <w:rsid w:val="00891190"/>
    <w:rsid w:val="008B2363"/>
    <w:rsid w:val="009147F2"/>
    <w:rsid w:val="00923180"/>
    <w:rsid w:val="009272AD"/>
    <w:rsid w:val="009272DD"/>
    <w:rsid w:val="009275CA"/>
    <w:rsid w:val="0093112B"/>
    <w:rsid w:val="0094569B"/>
    <w:rsid w:val="00946DF0"/>
    <w:rsid w:val="0099195A"/>
    <w:rsid w:val="009A1302"/>
    <w:rsid w:val="009A3B76"/>
    <w:rsid w:val="009F66A8"/>
    <w:rsid w:val="00A12DB2"/>
    <w:rsid w:val="00A25599"/>
    <w:rsid w:val="00A447EA"/>
    <w:rsid w:val="00A53B3B"/>
    <w:rsid w:val="00A54A29"/>
    <w:rsid w:val="00A56B94"/>
    <w:rsid w:val="00A5764C"/>
    <w:rsid w:val="00A90105"/>
    <w:rsid w:val="00A94777"/>
    <w:rsid w:val="00AA0E75"/>
    <w:rsid w:val="00AB402B"/>
    <w:rsid w:val="00AB7294"/>
    <w:rsid w:val="00B0224B"/>
    <w:rsid w:val="00B0572C"/>
    <w:rsid w:val="00B23EC8"/>
    <w:rsid w:val="00B31EC5"/>
    <w:rsid w:val="00B37E52"/>
    <w:rsid w:val="00B42516"/>
    <w:rsid w:val="00B50BAE"/>
    <w:rsid w:val="00B704CE"/>
    <w:rsid w:val="00B80ECC"/>
    <w:rsid w:val="00B81D2C"/>
    <w:rsid w:val="00B90A47"/>
    <w:rsid w:val="00BB2296"/>
    <w:rsid w:val="00BB5323"/>
    <w:rsid w:val="00BC3E4F"/>
    <w:rsid w:val="00BF14F2"/>
    <w:rsid w:val="00BF4327"/>
    <w:rsid w:val="00C51D0B"/>
    <w:rsid w:val="00C72FC4"/>
    <w:rsid w:val="00CA0D0C"/>
    <w:rsid w:val="00CA3BF4"/>
    <w:rsid w:val="00CC1FCF"/>
    <w:rsid w:val="00CD0764"/>
    <w:rsid w:val="00CE69D8"/>
    <w:rsid w:val="00D11A40"/>
    <w:rsid w:val="00D51F3D"/>
    <w:rsid w:val="00D60CDF"/>
    <w:rsid w:val="00D70643"/>
    <w:rsid w:val="00D93522"/>
    <w:rsid w:val="00DA1D52"/>
    <w:rsid w:val="00DA531B"/>
    <w:rsid w:val="00DC63BF"/>
    <w:rsid w:val="00DE0A04"/>
    <w:rsid w:val="00DE3ACB"/>
    <w:rsid w:val="00DE5E29"/>
    <w:rsid w:val="00DF1CB4"/>
    <w:rsid w:val="00E048EA"/>
    <w:rsid w:val="00E23056"/>
    <w:rsid w:val="00E25C4D"/>
    <w:rsid w:val="00E374A6"/>
    <w:rsid w:val="00E4514E"/>
    <w:rsid w:val="00E60C18"/>
    <w:rsid w:val="00E80B3F"/>
    <w:rsid w:val="00EA6742"/>
    <w:rsid w:val="00EB3AA0"/>
    <w:rsid w:val="00EE698B"/>
    <w:rsid w:val="00EF2CCC"/>
    <w:rsid w:val="00F04EE8"/>
    <w:rsid w:val="00F12B66"/>
    <w:rsid w:val="00F1577A"/>
    <w:rsid w:val="00F55D7D"/>
    <w:rsid w:val="00F55E6E"/>
    <w:rsid w:val="00F56221"/>
    <w:rsid w:val="00F60052"/>
    <w:rsid w:val="00F62C4A"/>
    <w:rsid w:val="00F74886"/>
    <w:rsid w:val="00F8064D"/>
    <w:rsid w:val="00F90CED"/>
    <w:rsid w:val="00F9356C"/>
    <w:rsid w:val="00F94ACD"/>
    <w:rsid w:val="00FA5D76"/>
    <w:rsid w:val="00FC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5905"/>
  <w15:chartTrackingRefBased/>
  <w15:docId w15:val="{C7B5159A-B76F-4EAB-9BEA-44FA7166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764"/>
    <w:pPr>
      <w:ind w:left="720"/>
      <w:contextualSpacing/>
    </w:pPr>
  </w:style>
  <w:style w:type="paragraph" w:styleId="NormalWeb">
    <w:name w:val="Normal (Web)"/>
    <w:aliases w:val=" webb,webb,Style 39,Char,Char Char Char,Char Char Char Char Char Char,Char Char,Char Char Char Char,Char1,ClientStyle1"/>
    <w:basedOn w:val="Normal"/>
    <w:link w:val="NormalWebChar"/>
    <w:uiPriority w:val="99"/>
    <w:unhideWhenUsed/>
    <w:rsid w:val="00223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webb Char,webb Char,Style 39 Char,Char Char1,Char Char Char Char1,Char Char Char Char Char Char Char,Char Char Char1,Char Char Char Char Char,Char1 Char,ClientStyle1 Char"/>
    <w:link w:val="NormalWeb"/>
    <w:uiPriority w:val="99"/>
    <w:rsid w:val="00223484"/>
    <w:rPr>
      <w:rFonts w:ascii="Times New Roman" w:eastAsia="Times New Roman" w:hAnsi="Times New Roman" w:cs="Times New Roman"/>
      <w:sz w:val="24"/>
      <w:szCs w:val="24"/>
    </w:rPr>
  </w:style>
  <w:style w:type="table" w:styleId="TableGrid">
    <w:name w:val="Table Grid"/>
    <w:basedOn w:val="TableNormal"/>
    <w:uiPriority w:val="59"/>
    <w:rsid w:val="00223484"/>
    <w:pPr>
      <w:spacing w:after="0" w:line="240" w:lineRule="auto"/>
    </w:pPr>
    <w:rPr>
      <w:rFonts w:ascii="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EBE"/>
    <w:rPr>
      <w:color w:val="0563C1" w:themeColor="hyperlink"/>
      <w:u w:val="single"/>
    </w:rPr>
  </w:style>
  <w:style w:type="paragraph" w:styleId="Header">
    <w:name w:val="header"/>
    <w:basedOn w:val="Normal"/>
    <w:link w:val="HeaderChar"/>
    <w:uiPriority w:val="99"/>
    <w:unhideWhenUsed/>
    <w:rsid w:val="000A0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32"/>
  </w:style>
  <w:style w:type="paragraph" w:styleId="Footer">
    <w:name w:val="footer"/>
    <w:basedOn w:val="Normal"/>
    <w:link w:val="FooterChar"/>
    <w:uiPriority w:val="99"/>
    <w:unhideWhenUsed/>
    <w:rsid w:val="000A0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32"/>
  </w:style>
  <w:style w:type="paragraph" w:styleId="BalloonText">
    <w:name w:val="Balloon Text"/>
    <w:basedOn w:val="Normal"/>
    <w:link w:val="BalloonTextChar"/>
    <w:uiPriority w:val="99"/>
    <w:semiHidden/>
    <w:unhideWhenUsed/>
    <w:rsid w:val="003A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gov/edgar" TargetMode="External"/><Relationship Id="rId5" Type="http://schemas.openxmlformats.org/officeDocument/2006/relationships/webSettings" Target="webSettings.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BB90-8EF8-4BC2-95A7-97CFA6A6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6261</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Ong</dc:creator>
  <cp:keywords/>
  <dc:description/>
  <cp:lastModifiedBy>Moira Ong</cp:lastModifiedBy>
  <cp:revision>5</cp:revision>
  <dcterms:created xsi:type="dcterms:W3CDTF">2019-12-20T19:56:00Z</dcterms:created>
  <dcterms:modified xsi:type="dcterms:W3CDTF">2019-12-24T17:09:00Z</dcterms:modified>
</cp:coreProperties>
</file>