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12ED" w14:textId="77777777" w:rsidR="00790828" w:rsidRDefault="00790828" w:rsidP="00790828">
      <w:pPr>
        <w:spacing w:after="0"/>
      </w:pPr>
    </w:p>
    <w:p w14:paraId="6DD2D461" w14:textId="77777777" w:rsidR="00790828" w:rsidRDefault="00790828" w:rsidP="00790828">
      <w:pPr>
        <w:spacing w:after="0"/>
      </w:pPr>
    </w:p>
    <w:p w14:paraId="4C2A759D" w14:textId="77777777" w:rsidR="00790828" w:rsidRDefault="00790828" w:rsidP="00790828">
      <w:pPr>
        <w:spacing w:after="0"/>
      </w:pPr>
    </w:p>
    <w:p w14:paraId="13EEE2ED" w14:textId="77777777" w:rsidR="00790828" w:rsidRDefault="00790828" w:rsidP="00790828">
      <w:pPr>
        <w:spacing w:after="0"/>
      </w:pPr>
    </w:p>
    <w:p w14:paraId="4E845E3C" w14:textId="77777777" w:rsidR="00790828" w:rsidRDefault="00790828" w:rsidP="00790828">
      <w:pPr>
        <w:spacing w:after="0"/>
      </w:pPr>
    </w:p>
    <w:p w14:paraId="47201038" w14:textId="77777777" w:rsidR="00790828" w:rsidRDefault="00790828" w:rsidP="00790828">
      <w:pPr>
        <w:spacing w:after="0"/>
      </w:pPr>
    </w:p>
    <w:p w14:paraId="341B07D1" w14:textId="77777777" w:rsidR="00790828" w:rsidRDefault="00790828" w:rsidP="00790828">
      <w:pPr>
        <w:spacing w:after="0"/>
      </w:pPr>
    </w:p>
    <w:p w14:paraId="0C079DBE" w14:textId="77777777" w:rsidR="00790828" w:rsidRDefault="00790828" w:rsidP="00790828">
      <w:pPr>
        <w:spacing w:after="0"/>
      </w:pPr>
    </w:p>
    <w:p w14:paraId="1B3B3A13" w14:textId="77777777" w:rsidR="00790828" w:rsidRDefault="00790828" w:rsidP="00790828">
      <w:pPr>
        <w:spacing w:after="0"/>
      </w:pPr>
    </w:p>
    <w:p w14:paraId="4A2F9948" w14:textId="77777777" w:rsidR="00790828" w:rsidRDefault="00790828" w:rsidP="00790828">
      <w:pPr>
        <w:spacing w:after="0"/>
      </w:pPr>
    </w:p>
    <w:p w14:paraId="1F1849B5" w14:textId="77777777" w:rsidR="00790828" w:rsidRDefault="00790828" w:rsidP="00790828">
      <w:pPr>
        <w:spacing w:after="0"/>
      </w:pPr>
    </w:p>
    <w:p w14:paraId="01D06379" w14:textId="77777777" w:rsidR="00790828" w:rsidRDefault="00790828" w:rsidP="00790828">
      <w:pPr>
        <w:spacing w:after="0"/>
      </w:pPr>
    </w:p>
    <w:p w14:paraId="3284CDB5" w14:textId="77777777" w:rsidR="00790828" w:rsidRDefault="00790828" w:rsidP="00790828">
      <w:pPr>
        <w:spacing w:after="0"/>
      </w:pPr>
    </w:p>
    <w:p w14:paraId="2BD46DCD" w14:textId="77777777"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cs="Arial"/>
        </w:rPr>
      </w:pPr>
    </w:p>
    <w:p w14:paraId="0F85222C" w14:textId="77777777" w:rsidR="00790828" w:rsidRPr="00E565BC" w:rsidRDefault="00B0034C" w:rsidP="00B0034C">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
          <w:bCs/>
          <w:sz w:val="24"/>
          <w:szCs w:val="24"/>
        </w:rPr>
      </w:pPr>
      <w:r w:rsidRPr="00E565BC">
        <w:rPr>
          <w:rFonts w:ascii="Arial" w:hAnsi="Arial" w:cs="Arial"/>
          <w:b/>
          <w:bCs/>
          <w:sz w:val="24"/>
          <w:szCs w:val="24"/>
        </w:rPr>
        <w:t xml:space="preserve">PIVOT PHARMACEUTICALS INC. </w:t>
      </w:r>
    </w:p>
    <w:p w14:paraId="017CBD84" w14:textId="0A0739B4" w:rsidR="00790828" w:rsidRPr="00E565BC" w:rsidRDefault="0046105F" w:rsidP="00790828">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Arial" w:hAnsi="Arial" w:cs="Arial"/>
          <w:bCs/>
          <w:szCs w:val="20"/>
        </w:rPr>
      </w:pPr>
      <w:r w:rsidRPr="00E565BC">
        <w:rPr>
          <w:rFonts w:ascii="Arial" w:hAnsi="Arial" w:cs="Arial"/>
          <w:bCs/>
          <w:szCs w:val="20"/>
        </w:rPr>
        <w:t xml:space="preserve">Condensed </w:t>
      </w:r>
      <w:r w:rsidR="008E7C6B" w:rsidRPr="00E565BC">
        <w:rPr>
          <w:rFonts w:ascii="Arial" w:hAnsi="Arial" w:cs="Arial"/>
          <w:bCs/>
          <w:szCs w:val="20"/>
        </w:rPr>
        <w:t>Consolidated</w:t>
      </w:r>
      <w:r w:rsidRPr="00E565BC">
        <w:rPr>
          <w:rFonts w:ascii="Arial" w:hAnsi="Arial" w:cs="Arial"/>
          <w:bCs/>
          <w:szCs w:val="20"/>
        </w:rPr>
        <w:t xml:space="preserve"> Interim</w:t>
      </w:r>
      <w:r w:rsidR="008E7C6B" w:rsidRPr="00E565BC">
        <w:rPr>
          <w:rFonts w:ascii="Arial" w:hAnsi="Arial" w:cs="Arial"/>
          <w:bCs/>
          <w:szCs w:val="20"/>
        </w:rPr>
        <w:t xml:space="preserve"> </w:t>
      </w:r>
      <w:r w:rsidR="00790828" w:rsidRPr="00E565BC">
        <w:rPr>
          <w:rFonts w:ascii="Arial" w:hAnsi="Arial" w:cs="Arial"/>
          <w:bCs/>
          <w:szCs w:val="20"/>
        </w:rPr>
        <w:t>Financial Statements</w:t>
      </w:r>
    </w:p>
    <w:p w14:paraId="297F2807" w14:textId="3D51A7E0" w:rsidR="00790828" w:rsidRPr="00E565BC" w:rsidRDefault="004252DF" w:rsidP="00790828">
      <w:pPr>
        <w:spacing w:after="0"/>
        <w:jc w:val="center"/>
        <w:rPr>
          <w:rFonts w:ascii="Arial" w:hAnsi="Arial" w:cs="Arial"/>
          <w:bCs/>
          <w:szCs w:val="20"/>
        </w:rPr>
      </w:pPr>
      <w:r w:rsidRPr="00E565BC">
        <w:rPr>
          <w:rFonts w:ascii="Arial" w:hAnsi="Arial" w:cs="Arial"/>
          <w:bCs/>
          <w:szCs w:val="20"/>
        </w:rPr>
        <w:t>Three and six months</w:t>
      </w:r>
      <w:r w:rsidR="00790828" w:rsidRPr="00E565BC">
        <w:rPr>
          <w:rFonts w:ascii="Arial" w:hAnsi="Arial" w:cs="Arial"/>
          <w:bCs/>
          <w:szCs w:val="20"/>
        </w:rPr>
        <w:t xml:space="preserve"> ended </w:t>
      </w:r>
      <w:r w:rsidRPr="00E565BC">
        <w:rPr>
          <w:rFonts w:ascii="Arial" w:hAnsi="Arial" w:cs="Arial"/>
          <w:bCs/>
          <w:szCs w:val="20"/>
        </w:rPr>
        <w:t>July</w:t>
      </w:r>
      <w:r w:rsidR="00790828" w:rsidRPr="00E565BC">
        <w:rPr>
          <w:rFonts w:ascii="Arial" w:hAnsi="Arial" w:cs="Arial"/>
          <w:bCs/>
          <w:szCs w:val="20"/>
        </w:rPr>
        <w:t xml:space="preserve"> 31, 201</w:t>
      </w:r>
      <w:r w:rsidR="001B7B70" w:rsidRPr="00E565BC">
        <w:rPr>
          <w:rFonts w:ascii="Arial" w:hAnsi="Arial" w:cs="Arial"/>
          <w:bCs/>
          <w:szCs w:val="20"/>
        </w:rPr>
        <w:t>9</w:t>
      </w:r>
      <w:r w:rsidR="00CD67B3" w:rsidRPr="00E565BC">
        <w:rPr>
          <w:rFonts w:ascii="Arial" w:hAnsi="Arial" w:cs="Arial"/>
          <w:bCs/>
          <w:szCs w:val="20"/>
        </w:rPr>
        <w:t xml:space="preserve"> and 201</w:t>
      </w:r>
      <w:r w:rsidR="001B7B70" w:rsidRPr="00E565BC">
        <w:rPr>
          <w:rFonts w:ascii="Arial" w:hAnsi="Arial" w:cs="Arial"/>
          <w:bCs/>
          <w:szCs w:val="20"/>
        </w:rPr>
        <w:t>8</w:t>
      </w:r>
      <w:r w:rsidR="00790828" w:rsidRPr="00E565BC">
        <w:rPr>
          <w:rFonts w:ascii="Arial" w:hAnsi="Arial" w:cs="Arial"/>
          <w:bCs/>
          <w:szCs w:val="20"/>
        </w:rPr>
        <w:t xml:space="preserve"> </w:t>
      </w:r>
    </w:p>
    <w:p w14:paraId="0E2F5B6E" w14:textId="73C05722" w:rsidR="00790828" w:rsidRPr="00E565BC" w:rsidRDefault="00790828" w:rsidP="00790828">
      <w:pPr>
        <w:spacing w:after="0"/>
        <w:jc w:val="center"/>
        <w:rPr>
          <w:rFonts w:ascii="Arial" w:hAnsi="Arial" w:cs="Arial"/>
          <w:bCs/>
          <w:szCs w:val="20"/>
        </w:rPr>
      </w:pPr>
      <w:r w:rsidRPr="00E565BC">
        <w:rPr>
          <w:rFonts w:ascii="Arial" w:hAnsi="Arial" w:cs="Arial"/>
          <w:bCs/>
          <w:szCs w:val="20"/>
        </w:rPr>
        <w:t xml:space="preserve">(Expressed in </w:t>
      </w:r>
      <w:r w:rsidR="001B7B70" w:rsidRPr="00E565BC">
        <w:rPr>
          <w:rFonts w:ascii="Arial" w:hAnsi="Arial" w:cs="Arial"/>
          <w:bCs/>
          <w:szCs w:val="20"/>
        </w:rPr>
        <w:t>Canadian</w:t>
      </w:r>
      <w:r w:rsidRPr="00E565BC">
        <w:rPr>
          <w:rFonts w:ascii="Arial" w:hAnsi="Arial" w:cs="Arial"/>
          <w:bCs/>
          <w:szCs w:val="20"/>
        </w:rPr>
        <w:t xml:space="preserve"> dollars)</w:t>
      </w:r>
    </w:p>
    <w:p w14:paraId="0EB8F192" w14:textId="43F9A620" w:rsidR="0046105F" w:rsidRPr="00E565BC" w:rsidRDefault="0046105F" w:rsidP="00790828">
      <w:pPr>
        <w:spacing w:after="0"/>
        <w:jc w:val="center"/>
        <w:rPr>
          <w:rFonts w:ascii="Arial" w:hAnsi="Arial" w:cs="Arial"/>
          <w:bCs/>
          <w:szCs w:val="20"/>
        </w:rPr>
      </w:pPr>
      <w:r w:rsidRPr="00E565BC">
        <w:rPr>
          <w:rFonts w:ascii="Arial" w:hAnsi="Arial" w:cs="Arial"/>
          <w:bCs/>
          <w:szCs w:val="20"/>
        </w:rPr>
        <w:t>(Unaudited)</w:t>
      </w:r>
    </w:p>
    <w:p w14:paraId="49D3437E" w14:textId="77777777" w:rsidR="00790828" w:rsidRPr="00E565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both"/>
        <w:rPr>
          <w:rFonts w:ascii="Arial" w:hAnsi="Arial" w:cs="Arial"/>
          <w:szCs w:val="20"/>
        </w:rPr>
      </w:pPr>
    </w:p>
    <w:p w14:paraId="523D714D" w14:textId="77777777" w:rsidR="0046105F" w:rsidRPr="00E565BC" w:rsidRDefault="0046105F" w:rsidP="0046105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after="0"/>
        <w:jc w:val="center"/>
        <w:rPr>
          <w:rFonts w:ascii="Arial" w:hAnsi="Arial" w:cs="Arial"/>
          <w:szCs w:val="20"/>
        </w:rPr>
        <w:sectPr w:rsidR="0046105F" w:rsidRPr="00E565BC" w:rsidSect="00790828">
          <w:footerReference w:type="default" r:id="rId8"/>
          <w:endnotePr>
            <w:numFmt w:val="decimal"/>
          </w:endnotePr>
          <w:pgSz w:w="12240" w:h="15840" w:code="1"/>
          <w:pgMar w:top="2160" w:right="1440" w:bottom="288" w:left="1440" w:header="720" w:footer="360" w:gutter="0"/>
          <w:cols w:space="720"/>
          <w:noEndnote/>
        </w:sectPr>
      </w:pPr>
    </w:p>
    <w:tbl>
      <w:tblPr>
        <w:tblW w:w="11070" w:type="dxa"/>
        <w:tblInd w:w="-702" w:type="dxa"/>
        <w:tblLook w:val="04A0" w:firstRow="1" w:lastRow="0" w:firstColumn="1" w:lastColumn="0" w:noHBand="0" w:noVBand="1"/>
      </w:tblPr>
      <w:tblGrid>
        <w:gridCol w:w="11070"/>
      </w:tblGrid>
      <w:tr w:rsidR="006F2C52" w:rsidRPr="0071080B" w14:paraId="4D73AD69" w14:textId="77777777" w:rsidTr="005464FE">
        <w:trPr>
          <w:trHeight w:val="1258"/>
        </w:trPr>
        <w:tc>
          <w:tcPr>
            <w:tcW w:w="11070" w:type="dxa"/>
          </w:tcPr>
          <w:p w14:paraId="6EB5BF2A" w14:textId="60B47044" w:rsidR="006F2C52" w:rsidRPr="0071080B" w:rsidRDefault="006F2C52" w:rsidP="00494A17"/>
        </w:tc>
      </w:tr>
    </w:tbl>
    <w:p w14:paraId="4D17DAF5" w14:textId="273C22E3" w:rsidR="00790828"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szCs w:val="20"/>
        </w:rPr>
      </w:pPr>
      <w:r w:rsidRPr="00E565BC">
        <w:rPr>
          <w:rFonts w:ascii="Arial" w:hAnsi="Arial" w:cs="Arial"/>
          <w:b/>
          <w:bCs/>
          <w:szCs w:val="20"/>
        </w:rPr>
        <w:t>NOTICE OF NO AUDITOR REVIEW OF INTERIM FINANCIAL STATEMENTS</w:t>
      </w:r>
    </w:p>
    <w:p w14:paraId="7BD7D9E4" w14:textId="76D1D91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Cs w:val="20"/>
        </w:rPr>
      </w:pPr>
    </w:p>
    <w:p w14:paraId="6B823067" w14:textId="6511C1BC"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Under National Instrument 51-102, Part 4, subsection 4.3(3) (a), if an auditor has not performed a review of the interim financial statements, they must be accompanied by a notice indicating that the financial statements have not been reviewed by an auditor.</w:t>
      </w:r>
    </w:p>
    <w:p w14:paraId="75423A96"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08CE7EE9" w14:textId="7F58F936"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accompanying unaudited condensed consolidated interim financial statements of the Company have been prepared by and are the responsibility of the Company’s management.</w:t>
      </w:r>
    </w:p>
    <w:p w14:paraId="2C02B7FC"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p>
    <w:p w14:paraId="135D9570" w14:textId="6A055EA4" w:rsid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pPr>
      <w:r w:rsidRPr="00E565BC">
        <w:rPr>
          <w:rFonts w:ascii="Arial" w:hAnsi="Arial" w:cs="Arial"/>
          <w:bCs/>
          <w:szCs w:val="20"/>
        </w:rPr>
        <w:t>The Company’s independent auditor has not performed a review of these financial statements in accordance with standards established by the Canadian Institute of Chartered Professional Accountants for a review of interim financial statements by an entity’s auditor.</w:t>
      </w:r>
    </w:p>
    <w:p w14:paraId="0DC4FAE0" w14:textId="77777777" w:rsidR="00E565BC" w:rsidRPr="00E565BC" w:rsidRDefault="00E565BC" w:rsidP="00E565B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Cs/>
          <w:szCs w:val="20"/>
        </w:rPr>
        <w:sectPr w:rsidR="00E565BC" w:rsidRPr="00E565BC" w:rsidSect="005464FE">
          <w:headerReference w:type="default" r:id="rId9"/>
          <w:endnotePr>
            <w:numFmt w:val="decimal"/>
          </w:endnotePr>
          <w:pgSz w:w="12240" w:h="15840"/>
          <w:pgMar w:top="288" w:right="1440" w:bottom="288" w:left="1440" w:header="562" w:footer="576" w:gutter="0"/>
          <w:cols w:space="720"/>
          <w:noEndnote/>
          <w:docGrid w:linePitch="272"/>
        </w:sectPr>
      </w:pPr>
    </w:p>
    <w:p w14:paraId="2737C026" w14:textId="77777777"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b/>
          <w:bCs/>
          <w:sz w:val="24"/>
        </w:rPr>
      </w:pPr>
      <w:r>
        <w:rPr>
          <w:rFonts w:ascii="Arial" w:hAnsi="Arial" w:cs="Arial"/>
          <w:b/>
          <w:bCs/>
          <w:sz w:val="24"/>
        </w:rPr>
        <w:lastRenderedPageBreak/>
        <w:t>PIVOT</w:t>
      </w:r>
      <w:r w:rsidRPr="009F3026">
        <w:rPr>
          <w:rFonts w:ascii="Arial" w:hAnsi="Arial" w:cs="Arial"/>
          <w:b/>
          <w:bCs/>
          <w:sz w:val="24"/>
        </w:rPr>
        <w:t xml:space="preserve"> PHARMACEUTICALS INC.</w:t>
      </w:r>
    </w:p>
    <w:p w14:paraId="20D32ECC" w14:textId="080F1EF3" w:rsidR="00790828" w:rsidRPr="009F3026" w:rsidRDefault="008E7C6B"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Pr>
          <w:rFonts w:ascii="Arial" w:hAnsi="Arial" w:cs="Arial"/>
          <w:bCs/>
        </w:rPr>
        <w:t xml:space="preserve">Consolidated </w:t>
      </w:r>
      <w:r w:rsidR="00843670">
        <w:rPr>
          <w:rFonts w:ascii="Arial" w:hAnsi="Arial" w:cs="Arial"/>
          <w:bCs/>
        </w:rPr>
        <w:t>Statements of Financial Position</w:t>
      </w:r>
      <w:r w:rsidR="006A20DB">
        <w:rPr>
          <w:rFonts w:ascii="Arial" w:hAnsi="Arial" w:cs="Arial"/>
          <w:bCs/>
        </w:rPr>
        <w:t xml:space="preserve"> (unaudited)</w:t>
      </w:r>
    </w:p>
    <w:p w14:paraId="60B71C67" w14:textId="171CA4EA"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rPr>
        <w:t xml:space="preserve">(Expressed in </w:t>
      </w:r>
      <w:r w:rsidR="00AC37B3">
        <w:rPr>
          <w:rFonts w:ascii="Arial" w:hAnsi="Arial" w:cs="Arial"/>
        </w:rPr>
        <w:t>Canadian</w:t>
      </w:r>
      <w:r w:rsidRPr="009F3026">
        <w:rPr>
          <w:rFonts w:ascii="Arial" w:hAnsi="Arial" w:cs="Arial"/>
        </w:rPr>
        <w:t xml:space="preserve"> dollars)</w:t>
      </w:r>
    </w:p>
    <w:tbl>
      <w:tblPr>
        <w:tblW w:w="9712" w:type="dxa"/>
        <w:tblInd w:w="8" w:type="dxa"/>
        <w:tblLayout w:type="fixed"/>
        <w:tblCellMar>
          <w:left w:w="0" w:type="dxa"/>
          <w:right w:w="0" w:type="dxa"/>
        </w:tblCellMar>
        <w:tblLook w:val="0000" w:firstRow="0" w:lastRow="0" w:firstColumn="0" w:lastColumn="0" w:noHBand="0" w:noVBand="0"/>
      </w:tblPr>
      <w:tblGrid>
        <w:gridCol w:w="5122"/>
        <w:gridCol w:w="1530"/>
        <w:gridCol w:w="1530"/>
        <w:gridCol w:w="1530"/>
      </w:tblGrid>
      <w:tr w:rsidR="001B7B70" w:rsidRPr="009F3026" w14:paraId="47EED54D" w14:textId="51D59E18" w:rsidTr="001B7B70">
        <w:tc>
          <w:tcPr>
            <w:tcW w:w="5122" w:type="dxa"/>
            <w:tcBorders>
              <w:bottom w:val="single" w:sz="4" w:space="0" w:color="auto"/>
            </w:tcBorders>
            <w:vAlign w:val="bottom"/>
          </w:tcPr>
          <w:p w14:paraId="37808E6B"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sz w:val="18"/>
                <w:szCs w:val="18"/>
              </w:rPr>
            </w:pPr>
          </w:p>
        </w:tc>
        <w:tc>
          <w:tcPr>
            <w:tcW w:w="1530" w:type="dxa"/>
            <w:tcBorders>
              <w:bottom w:val="single" w:sz="4" w:space="0" w:color="auto"/>
            </w:tcBorders>
            <w:vAlign w:val="bottom"/>
          </w:tcPr>
          <w:p w14:paraId="59E469A6" w14:textId="248D51B5" w:rsidR="001B7B70" w:rsidRPr="006A20DB" w:rsidRDefault="004252DF"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6A20DB">
              <w:rPr>
                <w:rFonts w:ascii="Arial" w:hAnsi="Arial" w:cs="Arial"/>
                <w:szCs w:val="20"/>
                <w:lang w:val="fr-FR"/>
              </w:rPr>
              <w:t>July</w:t>
            </w:r>
            <w:r w:rsidR="001B7B70" w:rsidRPr="006A20DB">
              <w:rPr>
                <w:rFonts w:ascii="Arial" w:hAnsi="Arial" w:cs="Arial"/>
                <w:szCs w:val="20"/>
                <w:lang w:val="fr-FR"/>
              </w:rPr>
              <w:t xml:space="preserve"> 31,</w:t>
            </w:r>
          </w:p>
          <w:p w14:paraId="2AB5E9C9" w14:textId="6B568359" w:rsidR="001B7B70" w:rsidRPr="006A20DB"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6A20DB">
              <w:rPr>
                <w:rFonts w:ascii="Arial" w:hAnsi="Arial" w:cs="Arial"/>
                <w:szCs w:val="20"/>
                <w:lang w:val="fr-FR"/>
              </w:rPr>
              <w:t>2019</w:t>
            </w:r>
          </w:p>
          <w:p w14:paraId="1FD68DC0" w14:textId="77777777" w:rsidR="001B7B70" w:rsidRPr="009F3026"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6A20DB">
              <w:rPr>
                <w:rFonts w:ascii="Arial" w:hAnsi="Arial" w:cs="Arial"/>
                <w:szCs w:val="20"/>
                <w:lang w:val="fr-FR"/>
              </w:rPr>
              <w:t>$</w:t>
            </w:r>
          </w:p>
        </w:tc>
        <w:tc>
          <w:tcPr>
            <w:tcW w:w="1530" w:type="dxa"/>
            <w:tcBorders>
              <w:bottom w:val="single" w:sz="4" w:space="0" w:color="auto"/>
            </w:tcBorders>
            <w:vAlign w:val="bottom"/>
          </w:tcPr>
          <w:p w14:paraId="0508CE67" w14:textId="6ECC2999" w:rsidR="001B7B70" w:rsidRPr="009F3026" w:rsidRDefault="004252DF"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January 31, 2019</w:t>
            </w:r>
          </w:p>
          <w:p w14:paraId="3DE2FC1E" w14:textId="77777777" w:rsidR="001B7B70" w:rsidRPr="009F3026"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9F3026">
              <w:rPr>
                <w:rFonts w:ascii="Arial" w:hAnsi="Arial" w:cs="Arial"/>
                <w:szCs w:val="20"/>
                <w:lang w:val="fr-FR"/>
              </w:rPr>
              <w:t>$</w:t>
            </w:r>
          </w:p>
        </w:tc>
        <w:tc>
          <w:tcPr>
            <w:tcW w:w="1530" w:type="dxa"/>
            <w:tcBorders>
              <w:bottom w:val="single" w:sz="4" w:space="0" w:color="auto"/>
            </w:tcBorders>
            <w:vAlign w:val="bottom"/>
          </w:tcPr>
          <w:p w14:paraId="5C5A2C5D" w14:textId="77777777" w:rsidR="00AC37B3" w:rsidRDefault="00AC37B3"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February 1</w:t>
            </w:r>
            <w:r w:rsidR="001B7B70">
              <w:rPr>
                <w:rFonts w:ascii="Arial" w:hAnsi="Arial" w:cs="Arial"/>
                <w:szCs w:val="20"/>
                <w:lang w:val="fr-FR"/>
              </w:rPr>
              <w:t>,</w:t>
            </w:r>
          </w:p>
          <w:p w14:paraId="427BFB93" w14:textId="184E24EE" w:rsidR="001B7B70" w:rsidRPr="009F3026" w:rsidRDefault="004252DF" w:rsidP="001B7B70">
            <w:pPr>
              <w:tabs>
                <w:tab w:val="left" w:pos="7214"/>
                <w:tab w:val="decimal" w:pos="8107"/>
                <w:tab w:val="left" w:pos="8467"/>
                <w:tab w:val="decimal" w:pos="9360"/>
              </w:tabs>
              <w:spacing w:after="0" w:line="240" w:lineRule="auto"/>
              <w:jc w:val="center"/>
              <w:rPr>
                <w:rFonts w:ascii="Arial" w:hAnsi="Arial" w:cs="Arial"/>
                <w:szCs w:val="20"/>
                <w:lang w:val="fr-FR"/>
              </w:rPr>
            </w:pPr>
            <w:r>
              <w:rPr>
                <w:rFonts w:ascii="Arial" w:hAnsi="Arial" w:cs="Arial"/>
                <w:szCs w:val="20"/>
                <w:lang w:val="fr-FR"/>
              </w:rPr>
              <w:t>2018</w:t>
            </w:r>
          </w:p>
          <w:p w14:paraId="253D1315" w14:textId="296F2154" w:rsidR="001B7B70" w:rsidRDefault="001B7B70" w:rsidP="001B7B70">
            <w:pPr>
              <w:tabs>
                <w:tab w:val="left" w:pos="7214"/>
                <w:tab w:val="decimal" w:pos="8107"/>
                <w:tab w:val="left" w:pos="8467"/>
                <w:tab w:val="decimal" w:pos="9360"/>
              </w:tabs>
              <w:spacing w:after="0" w:line="240" w:lineRule="auto"/>
              <w:jc w:val="center"/>
              <w:rPr>
                <w:rFonts w:ascii="Arial" w:hAnsi="Arial" w:cs="Arial"/>
                <w:szCs w:val="20"/>
                <w:lang w:val="fr-FR"/>
              </w:rPr>
            </w:pPr>
            <w:r w:rsidRPr="009F3026">
              <w:rPr>
                <w:rFonts w:ascii="Arial" w:hAnsi="Arial" w:cs="Arial"/>
                <w:szCs w:val="20"/>
                <w:lang w:val="fr-FR"/>
              </w:rPr>
              <w:t>$</w:t>
            </w:r>
          </w:p>
        </w:tc>
      </w:tr>
      <w:tr w:rsidR="001B7B70" w:rsidRPr="009F3026" w14:paraId="5117C9FC" w14:textId="3963D7C0" w:rsidTr="001B7B70">
        <w:trPr>
          <w:trHeight w:hRule="exact" w:val="379"/>
        </w:trPr>
        <w:tc>
          <w:tcPr>
            <w:tcW w:w="5122" w:type="dxa"/>
            <w:tcBorders>
              <w:top w:val="single" w:sz="4" w:space="0" w:color="auto"/>
            </w:tcBorders>
          </w:tcPr>
          <w:p w14:paraId="3079D2F9" w14:textId="77777777" w:rsidR="001B7B70" w:rsidRPr="009F3026" w:rsidRDefault="001B7B70" w:rsidP="00C74354">
            <w:pPr>
              <w:tabs>
                <w:tab w:val="left" w:pos="7214"/>
                <w:tab w:val="decimal" w:pos="8107"/>
                <w:tab w:val="left" w:pos="8467"/>
                <w:tab w:val="decimal" w:pos="9360"/>
              </w:tabs>
              <w:spacing w:after="0" w:line="240" w:lineRule="auto"/>
              <w:rPr>
                <w:rFonts w:ascii="Arial" w:hAnsi="Arial" w:cs="Arial"/>
                <w:lang w:val="fr-FR"/>
              </w:rPr>
            </w:pPr>
          </w:p>
        </w:tc>
        <w:tc>
          <w:tcPr>
            <w:tcW w:w="1530" w:type="dxa"/>
            <w:tcBorders>
              <w:top w:val="single" w:sz="4" w:space="0" w:color="auto"/>
            </w:tcBorders>
          </w:tcPr>
          <w:p w14:paraId="4C9F78CB" w14:textId="77777777" w:rsidR="001B7B70" w:rsidRPr="009F3026" w:rsidRDefault="001B7B70" w:rsidP="00C74354">
            <w:pPr>
              <w:tabs>
                <w:tab w:val="left" w:pos="7214"/>
                <w:tab w:val="decimal" w:pos="8107"/>
                <w:tab w:val="left" w:pos="8467"/>
                <w:tab w:val="decimal" w:pos="9360"/>
              </w:tabs>
              <w:spacing w:after="0" w:line="240" w:lineRule="auto"/>
              <w:ind w:right="29"/>
              <w:rPr>
                <w:rFonts w:ascii="Arial" w:hAnsi="Arial" w:cs="Arial"/>
                <w:lang w:val="fr-FR"/>
              </w:rPr>
            </w:pPr>
          </w:p>
        </w:tc>
        <w:tc>
          <w:tcPr>
            <w:tcW w:w="1530" w:type="dxa"/>
            <w:tcBorders>
              <w:top w:val="single" w:sz="4" w:space="0" w:color="auto"/>
            </w:tcBorders>
          </w:tcPr>
          <w:p w14:paraId="1CE9D186" w14:textId="242FA8AB" w:rsidR="001B7B70" w:rsidRPr="009F3026" w:rsidRDefault="001B7B70" w:rsidP="00824168">
            <w:pPr>
              <w:tabs>
                <w:tab w:val="left" w:pos="7214"/>
                <w:tab w:val="decimal" w:pos="8107"/>
                <w:tab w:val="left" w:pos="8467"/>
                <w:tab w:val="decimal" w:pos="9360"/>
              </w:tabs>
              <w:spacing w:after="0" w:line="240" w:lineRule="auto"/>
              <w:ind w:right="29"/>
              <w:jc w:val="center"/>
              <w:rPr>
                <w:rFonts w:ascii="Arial" w:hAnsi="Arial" w:cs="Arial"/>
                <w:lang w:val="fr-FR"/>
              </w:rPr>
            </w:pPr>
            <w:r>
              <w:rPr>
                <w:rFonts w:ascii="Arial" w:hAnsi="Arial" w:cs="Arial"/>
                <w:lang w:val="fr-FR"/>
              </w:rPr>
              <w:t>(Note</w:t>
            </w:r>
            <w:r w:rsidR="005F40A9">
              <w:rPr>
                <w:rFonts w:ascii="Arial" w:hAnsi="Arial" w:cs="Arial"/>
                <w:lang w:val="fr-FR"/>
              </w:rPr>
              <w:t xml:space="preserve"> 2</w:t>
            </w:r>
            <w:r w:rsidR="00824168">
              <w:rPr>
                <w:rFonts w:ascii="Arial" w:hAnsi="Arial" w:cs="Arial"/>
                <w:lang w:val="fr-FR"/>
              </w:rPr>
              <w:t>2</w:t>
            </w:r>
            <w:r w:rsidR="005F40A9">
              <w:rPr>
                <w:rFonts w:ascii="Arial" w:hAnsi="Arial" w:cs="Arial"/>
                <w:lang w:val="fr-FR"/>
              </w:rPr>
              <w:t>)</w:t>
            </w:r>
          </w:p>
        </w:tc>
        <w:tc>
          <w:tcPr>
            <w:tcW w:w="1530" w:type="dxa"/>
            <w:tcBorders>
              <w:top w:val="single" w:sz="4" w:space="0" w:color="auto"/>
            </w:tcBorders>
          </w:tcPr>
          <w:p w14:paraId="4BF232BF" w14:textId="1E60CE5F" w:rsidR="001B7B70" w:rsidRPr="009F3026" w:rsidRDefault="001B7B70" w:rsidP="00824168">
            <w:pPr>
              <w:tabs>
                <w:tab w:val="left" w:pos="7214"/>
                <w:tab w:val="decimal" w:pos="8107"/>
                <w:tab w:val="left" w:pos="8467"/>
                <w:tab w:val="decimal" w:pos="9360"/>
              </w:tabs>
              <w:spacing w:after="0" w:line="240" w:lineRule="auto"/>
              <w:ind w:right="29"/>
              <w:jc w:val="center"/>
              <w:rPr>
                <w:rFonts w:ascii="Arial" w:hAnsi="Arial" w:cs="Arial"/>
                <w:lang w:val="fr-FR"/>
              </w:rPr>
            </w:pPr>
            <w:r>
              <w:rPr>
                <w:rFonts w:ascii="Arial" w:hAnsi="Arial" w:cs="Arial"/>
                <w:lang w:val="fr-FR"/>
              </w:rPr>
              <w:t>(Note</w:t>
            </w:r>
            <w:r w:rsidR="005F40A9">
              <w:rPr>
                <w:rFonts w:ascii="Arial" w:hAnsi="Arial" w:cs="Arial"/>
                <w:lang w:val="fr-FR"/>
              </w:rPr>
              <w:t xml:space="preserve"> 2</w:t>
            </w:r>
            <w:r w:rsidR="00824168">
              <w:rPr>
                <w:rFonts w:ascii="Arial" w:hAnsi="Arial" w:cs="Arial"/>
                <w:lang w:val="fr-FR"/>
              </w:rPr>
              <w:t>2</w:t>
            </w:r>
            <w:r>
              <w:rPr>
                <w:rFonts w:ascii="Arial" w:hAnsi="Arial" w:cs="Arial"/>
                <w:lang w:val="fr-FR"/>
              </w:rPr>
              <w:t>)</w:t>
            </w:r>
          </w:p>
        </w:tc>
      </w:tr>
      <w:tr w:rsidR="001B7B70" w:rsidRPr="009F3026" w14:paraId="0A3C2CF0" w14:textId="5587DE30" w:rsidTr="001B7B70">
        <w:tc>
          <w:tcPr>
            <w:tcW w:w="5122" w:type="dxa"/>
            <w:vAlign w:val="bottom"/>
          </w:tcPr>
          <w:p w14:paraId="18ACAD41"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Assets</w:t>
            </w:r>
          </w:p>
        </w:tc>
        <w:tc>
          <w:tcPr>
            <w:tcW w:w="1530" w:type="dxa"/>
          </w:tcPr>
          <w:p w14:paraId="337F4EE3"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36021DC0"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5F9A14F5"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3696FE61" w14:textId="07BF327D" w:rsidTr="001B7B70">
        <w:trPr>
          <w:trHeight w:hRule="exact" w:val="115"/>
        </w:trPr>
        <w:tc>
          <w:tcPr>
            <w:tcW w:w="5122" w:type="dxa"/>
            <w:vAlign w:val="bottom"/>
          </w:tcPr>
          <w:p w14:paraId="4194B307"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Pr>
          <w:p w14:paraId="00A4E418"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50CF2A4F"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1460533D"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0346B2B1" w14:textId="2BBC6537" w:rsidTr="001B7B70">
        <w:tc>
          <w:tcPr>
            <w:tcW w:w="5122" w:type="dxa"/>
            <w:vAlign w:val="bottom"/>
          </w:tcPr>
          <w:p w14:paraId="59A9A0D5"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Current assets</w:t>
            </w:r>
          </w:p>
        </w:tc>
        <w:tc>
          <w:tcPr>
            <w:tcW w:w="1530" w:type="dxa"/>
          </w:tcPr>
          <w:p w14:paraId="5B8C0429"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588919B"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3B42553D"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1B7B70" w:rsidRPr="009F3026" w14:paraId="10BE62CE" w14:textId="594C2E06" w:rsidTr="001B7B70">
        <w:trPr>
          <w:trHeight w:hRule="exact" w:val="115"/>
        </w:trPr>
        <w:tc>
          <w:tcPr>
            <w:tcW w:w="5122" w:type="dxa"/>
            <w:vAlign w:val="bottom"/>
          </w:tcPr>
          <w:p w14:paraId="4A41D970"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Pr>
          <w:p w14:paraId="5B3F6CD0"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B3E5137"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c>
          <w:tcPr>
            <w:tcW w:w="1530" w:type="dxa"/>
          </w:tcPr>
          <w:p w14:paraId="20857552" w14:textId="77777777" w:rsidR="001B7B70" w:rsidRPr="009F3026" w:rsidRDefault="001B7B70" w:rsidP="001B7B70">
            <w:pPr>
              <w:tabs>
                <w:tab w:val="left" w:pos="7214"/>
                <w:tab w:val="decimal" w:pos="8107"/>
                <w:tab w:val="left" w:pos="8467"/>
                <w:tab w:val="decimal" w:pos="9360"/>
              </w:tabs>
              <w:spacing w:after="0" w:line="240" w:lineRule="auto"/>
              <w:ind w:right="29"/>
              <w:jc w:val="right"/>
              <w:rPr>
                <w:rFonts w:ascii="Arial" w:hAnsi="Arial" w:cs="Arial"/>
                <w:lang w:val="fr-FR"/>
              </w:rPr>
            </w:pPr>
          </w:p>
        </w:tc>
      </w:tr>
      <w:tr w:rsidR="004252DF" w:rsidRPr="009F3026" w14:paraId="65542A7D" w14:textId="280D1B93" w:rsidTr="00AC37B3">
        <w:tc>
          <w:tcPr>
            <w:tcW w:w="5122" w:type="dxa"/>
            <w:vAlign w:val="bottom"/>
          </w:tcPr>
          <w:p w14:paraId="72E138AC"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Cash</w:t>
            </w:r>
          </w:p>
        </w:tc>
        <w:tc>
          <w:tcPr>
            <w:tcW w:w="1530" w:type="dxa"/>
            <w:vAlign w:val="bottom"/>
          </w:tcPr>
          <w:p w14:paraId="45481565" w14:textId="718C9929" w:rsidR="004252DF" w:rsidRPr="009F3026"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7,342,538</w:t>
            </w:r>
          </w:p>
        </w:tc>
        <w:tc>
          <w:tcPr>
            <w:tcW w:w="1530" w:type="dxa"/>
            <w:vAlign w:val="bottom"/>
          </w:tcPr>
          <w:p w14:paraId="7969A7B8" w14:textId="38735FB0"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74,800</w:t>
            </w:r>
          </w:p>
        </w:tc>
        <w:tc>
          <w:tcPr>
            <w:tcW w:w="1530" w:type="dxa"/>
            <w:vAlign w:val="bottom"/>
          </w:tcPr>
          <w:p w14:paraId="06EAE576" w14:textId="38A4C7D5"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79,304</w:t>
            </w:r>
          </w:p>
        </w:tc>
      </w:tr>
      <w:tr w:rsidR="004252DF" w:rsidRPr="009F3026" w14:paraId="34518B65" w14:textId="77777777" w:rsidTr="00AC37B3">
        <w:tc>
          <w:tcPr>
            <w:tcW w:w="5122" w:type="dxa"/>
            <w:vAlign w:val="bottom"/>
          </w:tcPr>
          <w:p w14:paraId="1379A4A5" w14:textId="143FB149"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Amounts receivable</w:t>
            </w:r>
          </w:p>
        </w:tc>
        <w:tc>
          <w:tcPr>
            <w:tcW w:w="1530" w:type="dxa"/>
            <w:vAlign w:val="bottom"/>
          </w:tcPr>
          <w:p w14:paraId="3CAE0790" w14:textId="64B69900" w:rsidR="004252DF"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41,653</w:t>
            </w:r>
          </w:p>
        </w:tc>
        <w:tc>
          <w:tcPr>
            <w:tcW w:w="1530" w:type="dxa"/>
            <w:vAlign w:val="bottom"/>
          </w:tcPr>
          <w:p w14:paraId="7B64ECEF" w14:textId="2D2B5DDC"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44,489</w:t>
            </w:r>
          </w:p>
        </w:tc>
        <w:tc>
          <w:tcPr>
            <w:tcW w:w="1530" w:type="dxa"/>
            <w:vAlign w:val="bottom"/>
          </w:tcPr>
          <w:p w14:paraId="69E293EB" w14:textId="36B45F1B"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5,122</w:t>
            </w:r>
          </w:p>
        </w:tc>
      </w:tr>
      <w:tr w:rsidR="00C74354" w:rsidRPr="009F3026" w14:paraId="43FD926C" w14:textId="77777777" w:rsidTr="00C74354">
        <w:tc>
          <w:tcPr>
            <w:tcW w:w="5122" w:type="dxa"/>
            <w:vAlign w:val="bottom"/>
          </w:tcPr>
          <w:p w14:paraId="3909A3E6" w14:textId="77777777" w:rsidR="00C74354" w:rsidRPr="009F3026" w:rsidRDefault="00C74354" w:rsidP="00C74354">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Prepaids and other current assets</w:t>
            </w:r>
          </w:p>
        </w:tc>
        <w:tc>
          <w:tcPr>
            <w:tcW w:w="1530" w:type="dxa"/>
            <w:vAlign w:val="bottom"/>
          </w:tcPr>
          <w:p w14:paraId="41E18446" w14:textId="60699F63" w:rsidR="00C74354" w:rsidRPr="009F3026" w:rsidRDefault="00BD6EC3"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321,907</w:t>
            </w:r>
          </w:p>
        </w:tc>
        <w:tc>
          <w:tcPr>
            <w:tcW w:w="1530" w:type="dxa"/>
            <w:vAlign w:val="bottom"/>
          </w:tcPr>
          <w:p w14:paraId="039C437B" w14:textId="77777777" w:rsidR="00C74354" w:rsidRPr="009F3026" w:rsidRDefault="00C74354"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122,585</w:t>
            </w:r>
          </w:p>
        </w:tc>
        <w:tc>
          <w:tcPr>
            <w:tcW w:w="1530" w:type="dxa"/>
            <w:vAlign w:val="bottom"/>
          </w:tcPr>
          <w:p w14:paraId="1CD57531" w14:textId="77777777" w:rsidR="00C74354" w:rsidRDefault="00C74354" w:rsidP="00C74354">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99,051</w:t>
            </w:r>
          </w:p>
        </w:tc>
      </w:tr>
      <w:tr w:rsidR="004252DF" w:rsidRPr="009F3026" w14:paraId="6B2ED797" w14:textId="6530B0EC" w:rsidTr="00AC37B3">
        <w:tc>
          <w:tcPr>
            <w:tcW w:w="5122" w:type="dxa"/>
            <w:vAlign w:val="bottom"/>
          </w:tcPr>
          <w:p w14:paraId="68EEE5EF" w14:textId="5E667838" w:rsidR="004252DF" w:rsidRPr="009F3026" w:rsidRDefault="00C74354"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Inventory (Note </w:t>
            </w:r>
            <w:r w:rsidR="009F77A7">
              <w:rPr>
                <w:rFonts w:ascii="Arial" w:hAnsi="Arial" w:cs="Arial"/>
              </w:rPr>
              <w:t>5)</w:t>
            </w:r>
          </w:p>
        </w:tc>
        <w:tc>
          <w:tcPr>
            <w:tcW w:w="1530" w:type="dxa"/>
            <w:vAlign w:val="bottom"/>
          </w:tcPr>
          <w:p w14:paraId="2FF7EA93" w14:textId="62594E68" w:rsidR="004252DF" w:rsidRPr="009F3026"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1,441,600</w:t>
            </w:r>
          </w:p>
        </w:tc>
        <w:tc>
          <w:tcPr>
            <w:tcW w:w="1530" w:type="dxa"/>
            <w:vAlign w:val="bottom"/>
          </w:tcPr>
          <w:p w14:paraId="54EEE0B1" w14:textId="6FB4875B" w:rsidR="004252DF" w:rsidRPr="009F3026" w:rsidRDefault="00C74354"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2C1769AD" w14:textId="1A70D3EB" w:rsidR="004252DF" w:rsidRDefault="00C74354"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703E4458" w14:textId="5BD52339" w:rsidTr="001B7B70">
        <w:trPr>
          <w:trHeight w:hRule="exact" w:val="86"/>
        </w:trPr>
        <w:tc>
          <w:tcPr>
            <w:tcW w:w="5122" w:type="dxa"/>
            <w:tcBorders>
              <w:top w:val="single" w:sz="4" w:space="0" w:color="auto"/>
            </w:tcBorders>
            <w:vAlign w:val="bottom"/>
          </w:tcPr>
          <w:p w14:paraId="7F11AE44"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p>
        </w:tc>
        <w:tc>
          <w:tcPr>
            <w:tcW w:w="1530" w:type="dxa"/>
            <w:tcBorders>
              <w:top w:val="single" w:sz="4" w:space="0" w:color="auto"/>
            </w:tcBorders>
            <w:vAlign w:val="bottom"/>
          </w:tcPr>
          <w:p w14:paraId="645774FD"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0A300BB8"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6AD1A6F"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6C6A5EBC" w14:textId="34F96CFA" w:rsidTr="001B7B70">
        <w:tc>
          <w:tcPr>
            <w:tcW w:w="5122" w:type="dxa"/>
            <w:vAlign w:val="bottom"/>
          </w:tcPr>
          <w:p w14:paraId="1FD0CE25" w14:textId="77777777" w:rsidR="004252DF" w:rsidRPr="009F3026" w:rsidRDefault="004252DF" w:rsidP="004252DF">
            <w:pPr>
              <w:tabs>
                <w:tab w:val="left" w:pos="7214"/>
                <w:tab w:val="decimal" w:pos="8107"/>
                <w:tab w:val="left" w:pos="8467"/>
                <w:tab w:val="decimal" w:pos="9360"/>
              </w:tabs>
              <w:spacing w:after="0" w:line="240" w:lineRule="auto"/>
              <w:ind w:left="144" w:hanging="152"/>
              <w:rPr>
                <w:rFonts w:ascii="Arial" w:hAnsi="Arial" w:cs="Arial"/>
              </w:rPr>
            </w:pPr>
            <w:r w:rsidRPr="009F3026">
              <w:rPr>
                <w:rFonts w:ascii="Arial" w:hAnsi="Arial" w:cs="Arial"/>
              </w:rPr>
              <w:t>Total current assets</w:t>
            </w:r>
          </w:p>
        </w:tc>
        <w:tc>
          <w:tcPr>
            <w:tcW w:w="1530" w:type="dxa"/>
            <w:vAlign w:val="bottom"/>
          </w:tcPr>
          <w:p w14:paraId="288123C1" w14:textId="07B53EC5" w:rsidR="004252DF" w:rsidRPr="009F3026"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9,147,698</w:t>
            </w:r>
          </w:p>
        </w:tc>
        <w:tc>
          <w:tcPr>
            <w:tcW w:w="1530" w:type="dxa"/>
            <w:vAlign w:val="bottom"/>
          </w:tcPr>
          <w:p w14:paraId="7D45736F" w14:textId="4EBD7423"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241,874</w:t>
            </w:r>
          </w:p>
        </w:tc>
        <w:tc>
          <w:tcPr>
            <w:tcW w:w="1530" w:type="dxa"/>
            <w:vAlign w:val="bottom"/>
          </w:tcPr>
          <w:p w14:paraId="3BEC86B4" w14:textId="19FC651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183,477</w:t>
            </w:r>
          </w:p>
        </w:tc>
      </w:tr>
      <w:tr w:rsidR="004252DF" w:rsidRPr="009F3026" w14:paraId="47235BDF" w14:textId="40F0EE55" w:rsidTr="001B7B70">
        <w:trPr>
          <w:trHeight w:hRule="exact" w:val="144"/>
        </w:trPr>
        <w:tc>
          <w:tcPr>
            <w:tcW w:w="5122" w:type="dxa"/>
            <w:vAlign w:val="bottom"/>
          </w:tcPr>
          <w:p w14:paraId="47C1446A"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p>
        </w:tc>
        <w:tc>
          <w:tcPr>
            <w:tcW w:w="1530" w:type="dxa"/>
            <w:vAlign w:val="bottom"/>
          </w:tcPr>
          <w:p w14:paraId="5C6A628F"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853EFCC"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64EF3F2"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26468342" w14:textId="77777777" w:rsidTr="001B7B70">
        <w:tc>
          <w:tcPr>
            <w:tcW w:w="5122" w:type="dxa"/>
            <w:vAlign w:val="bottom"/>
          </w:tcPr>
          <w:p w14:paraId="533F125F" w14:textId="28F0B2B6" w:rsidR="004252DF" w:rsidRDefault="004252DF" w:rsidP="004252DF">
            <w:pPr>
              <w:tabs>
                <w:tab w:val="left" w:pos="7214"/>
                <w:tab w:val="decimal" w:pos="8107"/>
                <w:tab w:val="left" w:pos="8467"/>
                <w:tab w:val="decimal" w:pos="9360"/>
              </w:tabs>
              <w:spacing w:after="0" w:line="240" w:lineRule="auto"/>
              <w:rPr>
                <w:rFonts w:ascii="Arial" w:hAnsi="Arial" w:cs="Arial"/>
              </w:rPr>
            </w:pPr>
            <w:r>
              <w:rPr>
                <w:rFonts w:ascii="Arial" w:hAnsi="Arial" w:cs="Arial"/>
              </w:rPr>
              <w:t>Equipment, net (Note 6)</w:t>
            </w:r>
          </w:p>
        </w:tc>
        <w:tc>
          <w:tcPr>
            <w:tcW w:w="1530" w:type="dxa"/>
            <w:vAlign w:val="bottom"/>
          </w:tcPr>
          <w:p w14:paraId="35B0A872" w14:textId="06EC8116" w:rsidR="004252DF" w:rsidRPr="009F3026"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553AE066" w14:textId="09137C68"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4,162</w:t>
            </w:r>
          </w:p>
        </w:tc>
        <w:tc>
          <w:tcPr>
            <w:tcW w:w="1530" w:type="dxa"/>
            <w:vAlign w:val="bottom"/>
          </w:tcPr>
          <w:p w14:paraId="4EBF91BB" w14:textId="77A06688" w:rsidR="004252DF" w:rsidRDefault="00C135E2"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45882E9D" w14:textId="2E5C8FF3" w:rsidTr="001B7B70">
        <w:tc>
          <w:tcPr>
            <w:tcW w:w="5122" w:type="dxa"/>
            <w:vAlign w:val="bottom"/>
          </w:tcPr>
          <w:p w14:paraId="48336960" w14:textId="13575298" w:rsidR="004252DF" w:rsidRDefault="004252DF" w:rsidP="004252DF">
            <w:pPr>
              <w:tabs>
                <w:tab w:val="left" w:pos="7214"/>
                <w:tab w:val="decimal" w:pos="8107"/>
                <w:tab w:val="left" w:pos="8467"/>
                <w:tab w:val="decimal" w:pos="9360"/>
              </w:tabs>
              <w:spacing w:after="0" w:line="240" w:lineRule="auto"/>
              <w:rPr>
                <w:rFonts w:ascii="Arial" w:hAnsi="Arial" w:cs="Arial"/>
              </w:rPr>
            </w:pPr>
            <w:r>
              <w:rPr>
                <w:rFonts w:ascii="Arial" w:hAnsi="Arial" w:cs="Arial"/>
              </w:rPr>
              <w:t>Intangible asset, net (Note 7)</w:t>
            </w:r>
          </w:p>
        </w:tc>
        <w:tc>
          <w:tcPr>
            <w:tcW w:w="1530" w:type="dxa"/>
            <w:vAlign w:val="bottom"/>
          </w:tcPr>
          <w:p w14:paraId="775E5C3E" w14:textId="1A661161" w:rsidR="004252DF" w:rsidRDefault="00BD6EC3"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7,867,700</w:t>
            </w:r>
          </w:p>
        </w:tc>
        <w:tc>
          <w:tcPr>
            <w:tcW w:w="1530" w:type="dxa"/>
            <w:vAlign w:val="bottom"/>
          </w:tcPr>
          <w:p w14:paraId="7A05A497" w14:textId="7F49D387"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8,349,822</w:t>
            </w:r>
          </w:p>
        </w:tc>
        <w:tc>
          <w:tcPr>
            <w:tcW w:w="1530" w:type="dxa"/>
            <w:vAlign w:val="bottom"/>
          </w:tcPr>
          <w:p w14:paraId="32FB45D7" w14:textId="22861D4A" w:rsidR="004252DF" w:rsidRPr="009F3026" w:rsidRDefault="00C135E2"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288,349</w:t>
            </w:r>
          </w:p>
        </w:tc>
      </w:tr>
      <w:tr w:rsidR="004252DF" w:rsidRPr="009F3026" w14:paraId="7D5CF980" w14:textId="77777777" w:rsidTr="001B7B70">
        <w:tc>
          <w:tcPr>
            <w:tcW w:w="5122" w:type="dxa"/>
            <w:vAlign w:val="bottom"/>
          </w:tcPr>
          <w:p w14:paraId="5A01A62B" w14:textId="4DA9F3C8" w:rsidR="004252DF" w:rsidRDefault="004252DF" w:rsidP="00714A27">
            <w:pPr>
              <w:tabs>
                <w:tab w:val="left" w:pos="7214"/>
                <w:tab w:val="decimal" w:pos="8107"/>
                <w:tab w:val="left" w:pos="8467"/>
                <w:tab w:val="decimal" w:pos="9360"/>
              </w:tabs>
              <w:spacing w:after="0" w:line="240" w:lineRule="auto"/>
              <w:rPr>
                <w:rFonts w:ascii="Arial" w:hAnsi="Arial" w:cs="Arial"/>
              </w:rPr>
            </w:pPr>
            <w:r>
              <w:rPr>
                <w:rFonts w:ascii="Arial" w:hAnsi="Arial" w:cs="Arial"/>
              </w:rPr>
              <w:t>Right-of-use asset (</w:t>
            </w:r>
            <w:r w:rsidRPr="00E050EF">
              <w:rPr>
                <w:rFonts w:ascii="Arial" w:hAnsi="Arial" w:cs="Arial"/>
              </w:rPr>
              <w:t xml:space="preserve">Note </w:t>
            </w:r>
            <w:r w:rsidR="00E050EF" w:rsidRPr="00E050EF">
              <w:rPr>
                <w:rFonts w:ascii="Arial" w:hAnsi="Arial" w:cs="Arial"/>
              </w:rPr>
              <w:t>8</w:t>
            </w:r>
            <w:r>
              <w:rPr>
                <w:rFonts w:ascii="Arial" w:hAnsi="Arial" w:cs="Arial"/>
              </w:rPr>
              <w:t>)</w:t>
            </w:r>
          </w:p>
        </w:tc>
        <w:tc>
          <w:tcPr>
            <w:tcW w:w="1530" w:type="dxa"/>
            <w:vAlign w:val="bottom"/>
          </w:tcPr>
          <w:p w14:paraId="0C509EDC" w14:textId="33D3BAC5" w:rsidR="004252DF" w:rsidRDefault="00F010A8" w:rsidP="001B7B70">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913,976</w:t>
            </w:r>
          </w:p>
        </w:tc>
        <w:tc>
          <w:tcPr>
            <w:tcW w:w="1530" w:type="dxa"/>
            <w:vAlign w:val="bottom"/>
          </w:tcPr>
          <w:p w14:paraId="0BEB0C3B" w14:textId="540ED20E" w:rsidR="004252DF" w:rsidRDefault="00864115" w:rsidP="001B7B70">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1,122,175</w:t>
            </w:r>
          </w:p>
        </w:tc>
        <w:tc>
          <w:tcPr>
            <w:tcW w:w="1530" w:type="dxa"/>
            <w:vAlign w:val="bottom"/>
          </w:tcPr>
          <w:p w14:paraId="5340F0A6" w14:textId="399A60A5" w:rsidR="004252DF" w:rsidRPr="009F3026" w:rsidRDefault="006E6BF8" w:rsidP="001B7B70">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1B7B70" w:rsidRPr="009F3026" w14:paraId="0C849F6B" w14:textId="389C1397" w:rsidTr="001B7B70">
        <w:trPr>
          <w:trHeight w:hRule="exact" w:val="115"/>
        </w:trPr>
        <w:tc>
          <w:tcPr>
            <w:tcW w:w="5122" w:type="dxa"/>
            <w:tcBorders>
              <w:top w:val="single" w:sz="4" w:space="0" w:color="auto"/>
            </w:tcBorders>
            <w:vAlign w:val="bottom"/>
          </w:tcPr>
          <w:p w14:paraId="14711D5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527E95ED"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5D4A7558"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E8CF862"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748A452A" w14:textId="12B3529E" w:rsidTr="001B7B70">
        <w:tc>
          <w:tcPr>
            <w:tcW w:w="5122" w:type="dxa"/>
            <w:tcBorders>
              <w:bottom w:val="single" w:sz="12" w:space="0" w:color="auto"/>
            </w:tcBorders>
            <w:vAlign w:val="bottom"/>
          </w:tcPr>
          <w:p w14:paraId="56E4754E"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Total assets</w:t>
            </w:r>
          </w:p>
        </w:tc>
        <w:tc>
          <w:tcPr>
            <w:tcW w:w="1530" w:type="dxa"/>
            <w:tcBorders>
              <w:bottom w:val="single" w:sz="12" w:space="0" w:color="auto"/>
            </w:tcBorders>
            <w:vAlign w:val="bottom"/>
          </w:tcPr>
          <w:p w14:paraId="15751C56" w14:textId="6D0C1D94" w:rsidR="001B7B70" w:rsidRPr="009F3026" w:rsidRDefault="00BD6EC3" w:rsidP="00F010A8">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17,</w:t>
            </w:r>
            <w:r w:rsidR="00F010A8">
              <w:rPr>
                <w:rFonts w:ascii="Arial" w:hAnsi="Arial" w:cs="Arial"/>
                <w:lang w:val="fr-FR"/>
              </w:rPr>
              <w:t>929,374</w:t>
            </w:r>
          </w:p>
        </w:tc>
        <w:tc>
          <w:tcPr>
            <w:tcW w:w="1530" w:type="dxa"/>
            <w:tcBorders>
              <w:bottom w:val="single" w:sz="12" w:space="0" w:color="auto"/>
            </w:tcBorders>
            <w:vAlign w:val="bottom"/>
          </w:tcPr>
          <w:p w14:paraId="48CCD167" w14:textId="095C22F8" w:rsidR="001B7B70" w:rsidRPr="009F3026" w:rsidRDefault="00864115" w:rsidP="001B7B70">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9,718,033</w:t>
            </w:r>
          </w:p>
        </w:tc>
        <w:tc>
          <w:tcPr>
            <w:tcW w:w="1530" w:type="dxa"/>
            <w:tcBorders>
              <w:bottom w:val="single" w:sz="12" w:space="0" w:color="auto"/>
            </w:tcBorders>
            <w:vAlign w:val="bottom"/>
          </w:tcPr>
          <w:p w14:paraId="2E306C48" w14:textId="11AD8C30" w:rsidR="001B7B70" w:rsidRDefault="004252DF" w:rsidP="001B7B70">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471,826</w:t>
            </w:r>
          </w:p>
        </w:tc>
      </w:tr>
      <w:tr w:rsidR="001B7B70" w:rsidRPr="009F3026" w14:paraId="0F8FDCC6" w14:textId="1FD7CF95" w:rsidTr="001B7B70">
        <w:trPr>
          <w:trHeight w:hRule="exact" w:val="115"/>
        </w:trPr>
        <w:tc>
          <w:tcPr>
            <w:tcW w:w="5122" w:type="dxa"/>
            <w:tcBorders>
              <w:top w:val="single" w:sz="12" w:space="0" w:color="auto"/>
            </w:tcBorders>
            <w:vAlign w:val="bottom"/>
          </w:tcPr>
          <w:p w14:paraId="778C59E9"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tcBorders>
              <w:top w:val="single" w:sz="12" w:space="0" w:color="auto"/>
            </w:tcBorders>
            <w:vAlign w:val="bottom"/>
          </w:tcPr>
          <w:p w14:paraId="5E623102"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tcBorders>
              <w:top w:val="single" w:sz="12" w:space="0" w:color="auto"/>
            </w:tcBorders>
            <w:vAlign w:val="bottom"/>
          </w:tcPr>
          <w:p w14:paraId="77FF132F"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tcBorders>
              <w:top w:val="single" w:sz="12" w:space="0" w:color="auto"/>
            </w:tcBorders>
            <w:vAlign w:val="bottom"/>
          </w:tcPr>
          <w:p w14:paraId="0ACDA18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04286297" w14:textId="701213A2" w:rsidTr="001B7B70">
        <w:tc>
          <w:tcPr>
            <w:tcW w:w="5122" w:type="dxa"/>
            <w:vAlign w:val="bottom"/>
          </w:tcPr>
          <w:p w14:paraId="1D156495"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p w14:paraId="58C07B00" w14:textId="223C22BC" w:rsidR="001B7B70" w:rsidRPr="009F3026" w:rsidRDefault="001B7B70"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lang w:val="fr-FR"/>
              </w:rPr>
              <w:t xml:space="preserve">Liabilities and </w:t>
            </w:r>
            <w:r w:rsidR="00681427">
              <w:rPr>
                <w:rFonts w:ascii="Arial" w:hAnsi="Arial" w:cs="Arial"/>
                <w:lang w:val="fr-FR"/>
              </w:rPr>
              <w:t>Shareholders’ Equity</w:t>
            </w:r>
            <w:r w:rsidRPr="009F3026">
              <w:rPr>
                <w:rFonts w:ascii="Arial" w:hAnsi="Arial" w:cs="Arial"/>
                <w:lang w:val="fr-FR"/>
              </w:rPr>
              <w:t xml:space="preserve"> </w:t>
            </w:r>
            <w:r w:rsidR="00681427">
              <w:rPr>
                <w:rFonts w:ascii="Arial" w:hAnsi="Arial" w:cs="Arial"/>
                <w:lang w:val="fr-FR"/>
              </w:rPr>
              <w:t>(</w:t>
            </w:r>
            <w:r w:rsidRPr="009F3026">
              <w:rPr>
                <w:rFonts w:ascii="Arial" w:hAnsi="Arial" w:cs="Arial"/>
                <w:lang w:val="fr-FR"/>
              </w:rPr>
              <w:t>Deficit</w:t>
            </w:r>
            <w:r w:rsidR="00681427">
              <w:rPr>
                <w:rFonts w:ascii="Arial" w:hAnsi="Arial" w:cs="Arial"/>
                <w:lang w:val="fr-FR"/>
              </w:rPr>
              <w:t>)</w:t>
            </w:r>
          </w:p>
        </w:tc>
        <w:tc>
          <w:tcPr>
            <w:tcW w:w="1530" w:type="dxa"/>
            <w:vAlign w:val="bottom"/>
          </w:tcPr>
          <w:p w14:paraId="6B3B84CA"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656238C2"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6EA5F0B4"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79248CE6" w14:textId="7FE088EC" w:rsidTr="001B7B70">
        <w:trPr>
          <w:trHeight w:hRule="exact" w:val="115"/>
        </w:trPr>
        <w:tc>
          <w:tcPr>
            <w:tcW w:w="5122" w:type="dxa"/>
            <w:vAlign w:val="bottom"/>
          </w:tcPr>
          <w:p w14:paraId="1C5AF4DA"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vAlign w:val="bottom"/>
          </w:tcPr>
          <w:p w14:paraId="6870194C"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2F876B1A"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56C5A43F"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63528D78" w14:textId="4A386872" w:rsidTr="001B7B70">
        <w:tc>
          <w:tcPr>
            <w:tcW w:w="5122" w:type="dxa"/>
            <w:vAlign w:val="bottom"/>
          </w:tcPr>
          <w:p w14:paraId="0A3E4633"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 xml:space="preserve">Current liabilities   </w:t>
            </w:r>
          </w:p>
        </w:tc>
        <w:tc>
          <w:tcPr>
            <w:tcW w:w="1530" w:type="dxa"/>
            <w:vAlign w:val="bottom"/>
          </w:tcPr>
          <w:p w14:paraId="1217C2B6"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34956BBA"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28515950"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1B7B70" w:rsidRPr="009F3026" w14:paraId="43FD076B" w14:textId="69EC657F" w:rsidTr="001B7B70">
        <w:trPr>
          <w:trHeight w:hRule="exact" w:val="115"/>
        </w:trPr>
        <w:tc>
          <w:tcPr>
            <w:tcW w:w="5122" w:type="dxa"/>
            <w:vAlign w:val="bottom"/>
          </w:tcPr>
          <w:p w14:paraId="710A18B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lang w:val="fr-FR"/>
              </w:rPr>
            </w:pPr>
          </w:p>
        </w:tc>
        <w:tc>
          <w:tcPr>
            <w:tcW w:w="1530" w:type="dxa"/>
            <w:vAlign w:val="bottom"/>
          </w:tcPr>
          <w:p w14:paraId="2B625848"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76E1801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c>
          <w:tcPr>
            <w:tcW w:w="1530" w:type="dxa"/>
            <w:vAlign w:val="bottom"/>
          </w:tcPr>
          <w:p w14:paraId="3EE3A1BB"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lang w:val="fr-FR"/>
              </w:rPr>
            </w:pPr>
          </w:p>
        </w:tc>
      </w:tr>
      <w:tr w:rsidR="004252DF" w:rsidRPr="009F3026" w14:paraId="331A0B4A" w14:textId="43300F3E" w:rsidTr="001B7B70">
        <w:tc>
          <w:tcPr>
            <w:tcW w:w="5122" w:type="dxa"/>
            <w:vAlign w:val="bottom"/>
          </w:tcPr>
          <w:p w14:paraId="5D126BE9" w14:textId="77777777" w:rsidR="004252DF" w:rsidRPr="009F3026"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sidRPr="009F3026">
              <w:rPr>
                <w:rFonts w:ascii="Arial" w:hAnsi="Arial" w:cs="Arial"/>
                <w:lang w:val="fr-FR"/>
              </w:rPr>
              <w:t>Accounts payable and accrued liabilities</w:t>
            </w:r>
          </w:p>
        </w:tc>
        <w:tc>
          <w:tcPr>
            <w:tcW w:w="1530" w:type="dxa"/>
            <w:vAlign w:val="bottom"/>
          </w:tcPr>
          <w:p w14:paraId="26C2B3E5" w14:textId="18786ADD" w:rsidR="004252DF" w:rsidRPr="009F3026" w:rsidRDefault="0022262B"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312,577</w:t>
            </w:r>
          </w:p>
        </w:tc>
        <w:tc>
          <w:tcPr>
            <w:tcW w:w="1530" w:type="dxa"/>
            <w:vAlign w:val="bottom"/>
          </w:tcPr>
          <w:p w14:paraId="167C2166" w14:textId="482A3902"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637,299</w:t>
            </w:r>
          </w:p>
        </w:tc>
        <w:tc>
          <w:tcPr>
            <w:tcW w:w="1530" w:type="dxa"/>
            <w:vAlign w:val="bottom"/>
          </w:tcPr>
          <w:p w14:paraId="170D311B" w14:textId="27FFD566"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267,892</w:t>
            </w:r>
          </w:p>
        </w:tc>
      </w:tr>
      <w:tr w:rsidR="004252DF" w:rsidRPr="009F3026" w14:paraId="23D6212F" w14:textId="290A53EC" w:rsidTr="001B7B70">
        <w:tc>
          <w:tcPr>
            <w:tcW w:w="5122" w:type="dxa"/>
            <w:vAlign w:val="bottom"/>
          </w:tcPr>
          <w:p w14:paraId="092FE96E" w14:textId="0AE0D4F0" w:rsidR="004252DF" w:rsidRPr="009F3026"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Pr>
                <w:rFonts w:ascii="Arial" w:hAnsi="Arial" w:cs="Arial"/>
                <w:lang w:val="fr-FR"/>
              </w:rPr>
              <w:t>Due to related parties (Note 15)</w:t>
            </w:r>
          </w:p>
        </w:tc>
        <w:tc>
          <w:tcPr>
            <w:tcW w:w="1530" w:type="dxa"/>
            <w:vAlign w:val="bottom"/>
          </w:tcPr>
          <w:p w14:paraId="0E1AE8BF" w14:textId="118EDE0A" w:rsidR="004252DF" w:rsidRDefault="0022262B"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57,788</w:t>
            </w:r>
          </w:p>
        </w:tc>
        <w:tc>
          <w:tcPr>
            <w:tcW w:w="1530" w:type="dxa"/>
            <w:vAlign w:val="bottom"/>
          </w:tcPr>
          <w:p w14:paraId="395F9B50" w14:textId="45576CF8"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330,483</w:t>
            </w:r>
          </w:p>
        </w:tc>
        <w:tc>
          <w:tcPr>
            <w:tcW w:w="1530" w:type="dxa"/>
            <w:vAlign w:val="bottom"/>
          </w:tcPr>
          <w:p w14:paraId="53518FB5" w14:textId="528D512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12,421</w:t>
            </w:r>
          </w:p>
        </w:tc>
      </w:tr>
      <w:tr w:rsidR="004252DF" w:rsidRPr="009F3026" w14:paraId="4234310B" w14:textId="689D85CC" w:rsidTr="001B7B70">
        <w:tc>
          <w:tcPr>
            <w:tcW w:w="5122" w:type="dxa"/>
            <w:vAlign w:val="bottom"/>
          </w:tcPr>
          <w:p w14:paraId="68C3C8BC" w14:textId="40A51605" w:rsidR="004252DF" w:rsidRDefault="004252DF" w:rsidP="004252DF">
            <w:pPr>
              <w:tabs>
                <w:tab w:val="left" w:pos="7214"/>
                <w:tab w:val="decimal" w:pos="8107"/>
                <w:tab w:val="left" w:pos="8467"/>
                <w:tab w:val="decimal" w:pos="9360"/>
              </w:tabs>
              <w:spacing w:after="0" w:line="240" w:lineRule="auto"/>
              <w:ind w:firstLine="172"/>
              <w:rPr>
                <w:rFonts w:ascii="Arial" w:hAnsi="Arial" w:cs="Arial"/>
                <w:lang w:val="fr-FR"/>
              </w:rPr>
            </w:pPr>
            <w:r>
              <w:rPr>
                <w:rFonts w:ascii="Arial" w:hAnsi="Arial" w:cs="Arial"/>
                <w:lang w:val="fr-FR"/>
              </w:rPr>
              <w:t>Co</w:t>
            </w:r>
            <w:r w:rsidR="00E050EF">
              <w:rPr>
                <w:rFonts w:ascii="Arial" w:hAnsi="Arial" w:cs="Arial"/>
                <w:lang w:val="fr-FR"/>
              </w:rPr>
              <w:t>nvertible debenture, net (Note 9</w:t>
            </w:r>
            <w:r>
              <w:rPr>
                <w:rFonts w:ascii="Arial" w:hAnsi="Arial" w:cs="Arial"/>
                <w:lang w:val="fr-FR"/>
              </w:rPr>
              <w:t>)</w:t>
            </w:r>
          </w:p>
        </w:tc>
        <w:tc>
          <w:tcPr>
            <w:tcW w:w="1530" w:type="dxa"/>
            <w:vAlign w:val="bottom"/>
          </w:tcPr>
          <w:p w14:paraId="39F8CB22" w14:textId="2DB5B30A" w:rsidR="004252DF" w:rsidRDefault="006E6BF8" w:rsidP="004252DF">
            <w:pPr>
              <w:tabs>
                <w:tab w:val="left" w:pos="7214"/>
                <w:tab w:val="decimal" w:pos="8107"/>
                <w:tab w:val="left" w:pos="8467"/>
                <w:tab w:val="decimal" w:pos="9360"/>
              </w:tabs>
              <w:spacing w:after="0" w:line="240" w:lineRule="auto"/>
              <w:ind w:right="180"/>
              <w:jc w:val="right"/>
              <w:rPr>
                <w:rFonts w:ascii="Arial" w:hAnsi="Arial" w:cs="Arial"/>
                <w:lang w:val="fr-FR"/>
              </w:rPr>
            </w:pPr>
            <w:r w:rsidRPr="009F3026">
              <w:rPr>
                <w:rFonts w:ascii="Arial" w:hAnsi="Arial" w:cs="Arial"/>
              </w:rPr>
              <w:t>–</w:t>
            </w:r>
          </w:p>
        </w:tc>
        <w:tc>
          <w:tcPr>
            <w:tcW w:w="1530" w:type="dxa"/>
            <w:vAlign w:val="bottom"/>
          </w:tcPr>
          <w:p w14:paraId="1895B457" w14:textId="3BD4BFD3" w:rsidR="004252DF" w:rsidRDefault="004252DF" w:rsidP="00864115">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3,</w:t>
            </w:r>
            <w:r w:rsidR="00864115">
              <w:rPr>
                <w:rFonts w:ascii="Arial" w:hAnsi="Arial" w:cs="Arial"/>
              </w:rPr>
              <w:t>476,690</w:t>
            </w:r>
          </w:p>
        </w:tc>
        <w:tc>
          <w:tcPr>
            <w:tcW w:w="1530" w:type="dxa"/>
            <w:vAlign w:val="bottom"/>
          </w:tcPr>
          <w:p w14:paraId="3A01D77A" w14:textId="3CA35293"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sidRPr="009F3026">
              <w:rPr>
                <w:rFonts w:ascii="Arial" w:hAnsi="Arial" w:cs="Arial"/>
              </w:rPr>
              <w:t>–</w:t>
            </w:r>
          </w:p>
        </w:tc>
      </w:tr>
      <w:tr w:rsidR="004252DF" w:rsidRPr="009F3026" w14:paraId="5D5B3D4F" w14:textId="5A65DFF5" w:rsidTr="00AC37B3">
        <w:trPr>
          <w:trHeight w:val="70"/>
        </w:trPr>
        <w:tc>
          <w:tcPr>
            <w:tcW w:w="5122" w:type="dxa"/>
            <w:vAlign w:val="bottom"/>
          </w:tcPr>
          <w:p w14:paraId="7E45AC84" w14:textId="73A400DC" w:rsidR="004252DF" w:rsidRDefault="004252DF" w:rsidP="004252DF">
            <w:pPr>
              <w:tabs>
                <w:tab w:val="left" w:pos="7214"/>
                <w:tab w:val="decimal" w:pos="8107"/>
                <w:tab w:val="left" w:pos="8467"/>
                <w:tab w:val="decimal" w:pos="9360"/>
              </w:tabs>
              <w:spacing w:after="0" w:line="240" w:lineRule="auto"/>
              <w:ind w:left="144" w:firstLine="28"/>
              <w:rPr>
                <w:rFonts w:ascii="Arial" w:hAnsi="Arial" w:cs="Arial"/>
              </w:rPr>
            </w:pPr>
            <w:r>
              <w:rPr>
                <w:rFonts w:ascii="Arial" w:hAnsi="Arial" w:cs="Arial"/>
              </w:rPr>
              <w:t>Promissory note (Note 10)</w:t>
            </w:r>
          </w:p>
        </w:tc>
        <w:tc>
          <w:tcPr>
            <w:tcW w:w="1530" w:type="dxa"/>
            <w:vAlign w:val="bottom"/>
          </w:tcPr>
          <w:p w14:paraId="51F83432" w14:textId="3B779309"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39F73FE6" w14:textId="038C9463"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2AC1C3BE" w14:textId="2B1B1409"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247,305</w:t>
            </w:r>
          </w:p>
        </w:tc>
      </w:tr>
      <w:tr w:rsidR="004252DF" w:rsidRPr="009F3026" w14:paraId="0923CAEB" w14:textId="77777777" w:rsidTr="006E6BF8">
        <w:trPr>
          <w:trHeight w:val="70"/>
        </w:trPr>
        <w:tc>
          <w:tcPr>
            <w:tcW w:w="5122" w:type="dxa"/>
            <w:vAlign w:val="bottom"/>
          </w:tcPr>
          <w:p w14:paraId="2641FECC" w14:textId="39F78E41" w:rsidR="004252DF" w:rsidRDefault="00E050EF" w:rsidP="004252DF">
            <w:pPr>
              <w:tabs>
                <w:tab w:val="left" w:pos="7214"/>
                <w:tab w:val="decimal" w:pos="8107"/>
                <w:tab w:val="left" w:pos="8467"/>
                <w:tab w:val="decimal" w:pos="9360"/>
              </w:tabs>
              <w:spacing w:after="0" w:line="240" w:lineRule="auto"/>
              <w:ind w:left="144" w:firstLine="28"/>
              <w:rPr>
                <w:rFonts w:ascii="Arial" w:hAnsi="Arial" w:cs="Arial"/>
              </w:rPr>
            </w:pPr>
            <w:r>
              <w:rPr>
                <w:rFonts w:ascii="Arial" w:hAnsi="Arial" w:cs="Arial"/>
              </w:rPr>
              <w:t>Acquisition obligation (Note 4(a)</w:t>
            </w:r>
            <w:r w:rsidR="004252DF">
              <w:rPr>
                <w:rFonts w:ascii="Arial" w:hAnsi="Arial" w:cs="Arial"/>
              </w:rPr>
              <w:t>)</w:t>
            </w:r>
          </w:p>
        </w:tc>
        <w:tc>
          <w:tcPr>
            <w:tcW w:w="1530" w:type="dxa"/>
            <w:vAlign w:val="bottom"/>
          </w:tcPr>
          <w:p w14:paraId="4CD8B10C" w14:textId="46545E62" w:rsidR="004252DF"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300D0A81" w14:textId="0963765D"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432,923</w:t>
            </w:r>
          </w:p>
        </w:tc>
        <w:tc>
          <w:tcPr>
            <w:tcW w:w="1530" w:type="dxa"/>
            <w:vAlign w:val="bottom"/>
          </w:tcPr>
          <w:p w14:paraId="7F58B4FA" w14:textId="4C314616"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2B0A0885" w14:textId="77777777" w:rsidTr="006E6BF8">
        <w:trPr>
          <w:trHeight w:val="70"/>
        </w:trPr>
        <w:tc>
          <w:tcPr>
            <w:tcW w:w="5122" w:type="dxa"/>
            <w:vAlign w:val="bottom"/>
          </w:tcPr>
          <w:p w14:paraId="467E14AB" w14:textId="3BEC470B" w:rsidR="004252DF" w:rsidRPr="00E050EF" w:rsidRDefault="004252DF" w:rsidP="004252DF">
            <w:pPr>
              <w:tabs>
                <w:tab w:val="left" w:pos="7214"/>
                <w:tab w:val="decimal" w:pos="8107"/>
                <w:tab w:val="left" w:pos="8467"/>
                <w:tab w:val="decimal" w:pos="9360"/>
              </w:tabs>
              <w:spacing w:after="0" w:line="240" w:lineRule="auto"/>
              <w:ind w:left="144" w:firstLine="28"/>
              <w:rPr>
                <w:rFonts w:ascii="Arial" w:hAnsi="Arial" w:cs="Arial"/>
              </w:rPr>
            </w:pPr>
            <w:r w:rsidRPr="00E050EF">
              <w:rPr>
                <w:rFonts w:ascii="Arial" w:hAnsi="Arial" w:cs="Arial"/>
              </w:rPr>
              <w:t>Deferred revenue</w:t>
            </w:r>
          </w:p>
        </w:tc>
        <w:tc>
          <w:tcPr>
            <w:tcW w:w="1530" w:type="dxa"/>
            <w:vAlign w:val="bottom"/>
          </w:tcPr>
          <w:p w14:paraId="6DEBAEE6" w14:textId="48C19A97" w:rsidR="004252DF"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05A1920A" w14:textId="404B2C14"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157,728</w:t>
            </w:r>
          </w:p>
        </w:tc>
        <w:tc>
          <w:tcPr>
            <w:tcW w:w="1530" w:type="dxa"/>
            <w:vAlign w:val="bottom"/>
          </w:tcPr>
          <w:p w14:paraId="226C2D13" w14:textId="42EBE3CB"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4990A0A3" w14:textId="77777777" w:rsidTr="006E6BF8">
        <w:trPr>
          <w:trHeight w:val="70"/>
        </w:trPr>
        <w:tc>
          <w:tcPr>
            <w:tcW w:w="5122" w:type="dxa"/>
            <w:tcBorders>
              <w:bottom w:val="single" w:sz="4" w:space="0" w:color="auto"/>
            </w:tcBorders>
            <w:vAlign w:val="bottom"/>
          </w:tcPr>
          <w:p w14:paraId="6234A3D5" w14:textId="16ADB7EC" w:rsidR="004252DF" w:rsidRPr="00E050EF" w:rsidRDefault="006E6BF8" w:rsidP="004252DF">
            <w:pPr>
              <w:tabs>
                <w:tab w:val="left" w:pos="7214"/>
                <w:tab w:val="decimal" w:pos="8107"/>
                <w:tab w:val="left" w:pos="8467"/>
                <w:tab w:val="decimal" w:pos="9360"/>
              </w:tabs>
              <w:spacing w:after="0" w:line="240" w:lineRule="auto"/>
              <w:ind w:left="144" w:firstLine="28"/>
              <w:rPr>
                <w:rFonts w:ascii="Arial" w:hAnsi="Arial" w:cs="Arial"/>
              </w:rPr>
            </w:pPr>
            <w:r w:rsidRPr="00E050EF">
              <w:rPr>
                <w:rFonts w:ascii="Arial" w:hAnsi="Arial" w:cs="Arial"/>
              </w:rPr>
              <w:t xml:space="preserve">Lease liability (Note </w:t>
            </w:r>
            <w:r w:rsidR="00E050EF" w:rsidRPr="00E050EF">
              <w:rPr>
                <w:rFonts w:ascii="Arial" w:hAnsi="Arial" w:cs="Arial"/>
              </w:rPr>
              <w:t>8</w:t>
            </w:r>
            <w:r w:rsidRPr="00E050EF">
              <w:rPr>
                <w:rFonts w:ascii="Arial" w:hAnsi="Arial" w:cs="Arial"/>
              </w:rPr>
              <w:t>)</w:t>
            </w:r>
          </w:p>
        </w:tc>
        <w:tc>
          <w:tcPr>
            <w:tcW w:w="1530" w:type="dxa"/>
            <w:tcBorders>
              <w:bottom w:val="single" w:sz="4" w:space="0" w:color="auto"/>
            </w:tcBorders>
            <w:vAlign w:val="bottom"/>
          </w:tcPr>
          <w:p w14:paraId="187E0AFB" w14:textId="28DBA492" w:rsidR="004252DF" w:rsidRDefault="006A20DB"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190,196</w:t>
            </w:r>
          </w:p>
        </w:tc>
        <w:tc>
          <w:tcPr>
            <w:tcW w:w="1530" w:type="dxa"/>
            <w:tcBorders>
              <w:bottom w:val="single" w:sz="4" w:space="0" w:color="auto"/>
            </w:tcBorders>
            <w:vAlign w:val="bottom"/>
          </w:tcPr>
          <w:p w14:paraId="3678088A" w14:textId="4DC7CF46" w:rsidR="004252DF"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304,304</w:t>
            </w:r>
          </w:p>
        </w:tc>
        <w:tc>
          <w:tcPr>
            <w:tcW w:w="1530" w:type="dxa"/>
            <w:tcBorders>
              <w:bottom w:val="single" w:sz="4" w:space="0" w:color="auto"/>
            </w:tcBorders>
            <w:vAlign w:val="bottom"/>
          </w:tcPr>
          <w:p w14:paraId="35EC694E" w14:textId="1AB17357" w:rsidR="004252DF" w:rsidRPr="009F3026" w:rsidRDefault="006E6BF8"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4252DF" w:rsidRPr="009F3026" w14:paraId="55C2D510" w14:textId="6BE22C76" w:rsidTr="006A20DB">
        <w:trPr>
          <w:trHeight w:hRule="exact" w:val="115"/>
        </w:trPr>
        <w:tc>
          <w:tcPr>
            <w:tcW w:w="5122" w:type="dxa"/>
            <w:tcBorders>
              <w:top w:val="single" w:sz="4" w:space="0" w:color="auto"/>
            </w:tcBorders>
            <w:vAlign w:val="bottom"/>
          </w:tcPr>
          <w:p w14:paraId="104BE8FA" w14:textId="77777777"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4B357A2A"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5D9C71B3"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365C21A2"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5DE7C1E2" w14:textId="039941D0" w:rsidTr="006A20DB">
        <w:tc>
          <w:tcPr>
            <w:tcW w:w="5122" w:type="dxa"/>
            <w:vAlign w:val="bottom"/>
          </w:tcPr>
          <w:p w14:paraId="2E74BC60" w14:textId="615B02E5"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w:t>
            </w:r>
            <w:r w:rsidR="006A20DB">
              <w:rPr>
                <w:rFonts w:ascii="Arial" w:hAnsi="Arial" w:cs="Arial"/>
              </w:rPr>
              <w:t xml:space="preserve">current </w:t>
            </w:r>
            <w:r w:rsidRPr="009F3026">
              <w:rPr>
                <w:rFonts w:ascii="Arial" w:hAnsi="Arial" w:cs="Arial"/>
              </w:rPr>
              <w:t>liabilities</w:t>
            </w:r>
          </w:p>
        </w:tc>
        <w:tc>
          <w:tcPr>
            <w:tcW w:w="1530" w:type="dxa"/>
            <w:vAlign w:val="bottom"/>
          </w:tcPr>
          <w:p w14:paraId="4F6B887D" w14:textId="0F786EC6" w:rsidR="004252DF" w:rsidRPr="009F3026" w:rsidRDefault="006A20DB" w:rsidP="006A20DB">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560,561</w:t>
            </w:r>
          </w:p>
        </w:tc>
        <w:tc>
          <w:tcPr>
            <w:tcW w:w="1530" w:type="dxa"/>
            <w:vAlign w:val="bottom"/>
          </w:tcPr>
          <w:p w14:paraId="6B60068A" w14:textId="35F92443" w:rsidR="004252DF" w:rsidRPr="009F3026" w:rsidRDefault="004252DF" w:rsidP="00864115">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w:t>
            </w:r>
            <w:r w:rsidR="00864115">
              <w:rPr>
                <w:rFonts w:ascii="Arial" w:hAnsi="Arial" w:cs="Arial"/>
              </w:rPr>
              <w:t>339,427</w:t>
            </w:r>
          </w:p>
        </w:tc>
        <w:tc>
          <w:tcPr>
            <w:tcW w:w="1530" w:type="dxa"/>
            <w:vAlign w:val="bottom"/>
          </w:tcPr>
          <w:p w14:paraId="494E010C" w14:textId="7398272A"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527,618</w:t>
            </w:r>
          </w:p>
        </w:tc>
      </w:tr>
      <w:tr w:rsidR="006A20DB" w:rsidRPr="009F3026" w14:paraId="0D6A1C31" w14:textId="77777777" w:rsidTr="00E565BC">
        <w:trPr>
          <w:trHeight w:hRule="exact" w:val="144"/>
        </w:trPr>
        <w:tc>
          <w:tcPr>
            <w:tcW w:w="5122" w:type="dxa"/>
            <w:vAlign w:val="bottom"/>
          </w:tcPr>
          <w:p w14:paraId="213DCCDE" w14:textId="77777777" w:rsidR="006A20DB" w:rsidRPr="009F3026" w:rsidRDefault="006A20DB" w:rsidP="00E565BC">
            <w:pPr>
              <w:tabs>
                <w:tab w:val="left" w:pos="7214"/>
                <w:tab w:val="decimal" w:pos="8107"/>
                <w:tab w:val="left" w:pos="8467"/>
                <w:tab w:val="decimal" w:pos="9360"/>
              </w:tabs>
              <w:spacing w:after="0" w:line="240" w:lineRule="auto"/>
              <w:ind w:left="144"/>
              <w:rPr>
                <w:rFonts w:ascii="Arial" w:hAnsi="Arial" w:cs="Arial"/>
              </w:rPr>
            </w:pPr>
          </w:p>
        </w:tc>
        <w:tc>
          <w:tcPr>
            <w:tcW w:w="1530" w:type="dxa"/>
            <w:vAlign w:val="bottom"/>
          </w:tcPr>
          <w:p w14:paraId="5AE9188B"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3B5F79AB"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58CB618C"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r>
      <w:tr w:rsidR="006A20DB" w:rsidRPr="009F3026" w14:paraId="4024629F" w14:textId="77777777" w:rsidTr="00E565BC">
        <w:tc>
          <w:tcPr>
            <w:tcW w:w="5122" w:type="dxa"/>
            <w:vAlign w:val="bottom"/>
          </w:tcPr>
          <w:p w14:paraId="3AC83F98" w14:textId="356B66F9" w:rsidR="006A20DB" w:rsidRDefault="00E050EF" w:rsidP="006A20DB">
            <w:pPr>
              <w:tabs>
                <w:tab w:val="left" w:pos="7214"/>
                <w:tab w:val="decimal" w:pos="8107"/>
                <w:tab w:val="left" w:pos="8467"/>
                <w:tab w:val="decimal" w:pos="9360"/>
              </w:tabs>
              <w:spacing w:after="0" w:line="240" w:lineRule="auto"/>
              <w:rPr>
                <w:rFonts w:ascii="Arial" w:hAnsi="Arial" w:cs="Arial"/>
              </w:rPr>
            </w:pPr>
            <w:r>
              <w:rPr>
                <w:rFonts w:ascii="Arial" w:hAnsi="Arial" w:cs="Arial"/>
              </w:rPr>
              <w:t>Lease liability (Note 8</w:t>
            </w:r>
            <w:r w:rsidR="006A20DB">
              <w:rPr>
                <w:rFonts w:ascii="Arial" w:hAnsi="Arial" w:cs="Arial"/>
              </w:rPr>
              <w:t>)</w:t>
            </w:r>
          </w:p>
        </w:tc>
        <w:tc>
          <w:tcPr>
            <w:tcW w:w="1530" w:type="dxa"/>
            <w:vAlign w:val="bottom"/>
          </w:tcPr>
          <w:p w14:paraId="2F3C821C" w14:textId="40610FB0"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812,403</w:t>
            </w:r>
          </w:p>
        </w:tc>
        <w:tc>
          <w:tcPr>
            <w:tcW w:w="1530" w:type="dxa"/>
            <w:vAlign w:val="bottom"/>
          </w:tcPr>
          <w:p w14:paraId="3F58487C" w14:textId="142B3521" w:rsidR="006A20DB" w:rsidRPr="009F3026" w:rsidRDefault="00864115" w:rsidP="00E565BC">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878,993</w:t>
            </w:r>
          </w:p>
        </w:tc>
        <w:tc>
          <w:tcPr>
            <w:tcW w:w="1530" w:type="dxa"/>
            <w:vAlign w:val="bottom"/>
          </w:tcPr>
          <w:p w14:paraId="38E18E7F" w14:textId="77777777" w:rsidR="006A20DB" w:rsidRDefault="006A20DB" w:rsidP="00E565BC">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r>
      <w:tr w:rsidR="006A20DB" w:rsidRPr="009F3026" w14:paraId="5C72B5AE" w14:textId="77777777" w:rsidTr="006A20DB">
        <w:trPr>
          <w:trHeight w:hRule="exact" w:val="115"/>
        </w:trPr>
        <w:tc>
          <w:tcPr>
            <w:tcW w:w="5122" w:type="dxa"/>
            <w:tcBorders>
              <w:top w:val="single" w:sz="4" w:space="0" w:color="auto"/>
            </w:tcBorders>
            <w:vAlign w:val="bottom"/>
          </w:tcPr>
          <w:p w14:paraId="57515110" w14:textId="77777777" w:rsidR="006A20DB" w:rsidRPr="009F3026" w:rsidRDefault="006A20DB" w:rsidP="00E565BC">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659FA7C7"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38F47CBF"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1662841B" w14:textId="77777777"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rPr>
            </w:pPr>
          </w:p>
        </w:tc>
      </w:tr>
      <w:tr w:rsidR="006A20DB" w:rsidRPr="009F3026" w14:paraId="209BE898" w14:textId="77777777" w:rsidTr="006A20DB">
        <w:tc>
          <w:tcPr>
            <w:tcW w:w="5122" w:type="dxa"/>
            <w:tcBorders>
              <w:bottom w:val="single" w:sz="4" w:space="0" w:color="auto"/>
            </w:tcBorders>
            <w:vAlign w:val="bottom"/>
          </w:tcPr>
          <w:p w14:paraId="37B0C50E" w14:textId="2F06767B" w:rsidR="006A20DB" w:rsidRPr="009F3026" w:rsidRDefault="006A20DB" w:rsidP="006A20DB">
            <w:pPr>
              <w:tabs>
                <w:tab w:val="left" w:pos="7214"/>
                <w:tab w:val="decimal" w:pos="8107"/>
                <w:tab w:val="left" w:pos="8467"/>
                <w:tab w:val="decimal" w:pos="9360"/>
              </w:tabs>
              <w:spacing w:after="0" w:line="240" w:lineRule="auto"/>
              <w:rPr>
                <w:rFonts w:ascii="Arial" w:hAnsi="Arial" w:cs="Arial"/>
                <w:lang w:val="fr-FR"/>
              </w:rPr>
            </w:pPr>
            <w:r w:rsidRPr="009F3026">
              <w:rPr>
                <w:rFonts w:ascii="Arial" w:hAnsi="Arial" w:cs="Arial"/>
                <w:lang w:val="fr-FR"/>
              </w:rPr>
              <w:t xml:space="preserve">Total </w:t>
            </w:r>
            <w:r>
              <w:rPr>
                <w:rFonts w:ascii="Arial" w:hAnsi="Arial" w:cs="Arial"/>
                <w:lang w:val="fr-FR"/>
              </w:rPr>
              <w:t>liabilities</w:t>
            </w:r>
          </w:p>
        </w:tc>
        <w:tc>
          <w:tcPr>
            <w:tcW w:w="1530" w:type="dxa"/>
            <w:tcBorders>
              <w:bottom w:val="single" w:sz="4" w:space="0" w:color="auto"/>
            </w:tcBorders>
            <w:vAlign w:val="bottom"/>
          </w:tcPr>
          <w:p w14:paraId="138472B2" w14:textId="570D3F83" w:rsidR="006A20DB" w:rsidRPr="009F3026" w:rsidRDefault="006A20DB" w:rsidP="00E565BC">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1,372,964</w:t>
            </w:r>
          </w:p>
        </w:tc>
        <w:tc>
          <w:tcPr>
            <w:tcW w:w="1530" w:type="dxa"/>
            <w:tcBorders>
              <w:bottom w:val="single" w:sz="4" w:space="0" w:color="auto"/>
            </w:tcBorders>
            <w:vAlign w:val="bottom"/>
          </w:tcPr>
          <w:p w14:paraId="5B30CA83" w14:textId="325C152E" w:rsidR="006A20DB" w:rsidRPr="009F3026" w:rsidRDefault="00864115" w:rsidP="00E565BC">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6,218,420</w:t>
            </w:r>
          </w:p>
        </w:tc>
        <w:tc>
          <w:tcPr>
            <w:tcW w:w="1530" w:type="dxa"/>
            <w:tcBorders>
              <w:bottom w:val="single" w:sz="4" w:space="0" w:color="auto"/>
            </w:tcBorders>
            <w:vAlign w:val="bottom"/>
          </w:tcPr>
          <w:p w14:paraId="79D5F81A" w14:textId="2D9249AA" w:rsidR="006A20DB" w:rsidRDefault="006A20DB" w:rsidP="00E565BC">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rPr>
              <w:t>527,618</w:t>
            </w:r>
          </w:p>
        </w:tc>
      </w:tr>
      <w:tr w:rsidR="001B7B70" w:rsidRPr="009F3026" w14:paraId="3CD5720F" w14:textId="71A91CFD" w:rsidTr="006A20DB">
        <w:trPr>
          <w:trHeight w:hRule="exact" w:val="144"/>
        </w:trPr>
        <w:tc>
          <w:tcPr>
            <w:tcW w:w="5122" w:type="dxa"/>
            <w:tcBorders>
              <w:top w:val="single" w:sz="4" w:space="0" w:color="auto"/>
            </w:tcBorders>
            <w:vAlign w:val="bottom"/>
          </w:tcPr>
          <w:p w14:paraId="1F05EEB8"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41A3C6BC"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430BF57C"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DE465C5"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20B161BA" w14:textId="02C2B61F" w:rsidTr="001B7B70">
        <w:trPr>
          <w:trHeight w:hRule="exact" w:val="144"/>
        </w:trPr>
        <w:tc>
          <w:tcPr>
            <w:tcW w:w="5122" w:type="dxa"/>
            <w:vAlign w:val="bottom"/>
          </w:tcPr>
          <w:p w14:paraId="63858562"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vAlign w:val="bottom"/>
          </w:tcPr>
          <w:p w14:paraId="145AFBF0"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17FD8EB"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17C99D26"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0B55C09C" w14:textId="397CFA0F" w:rsidTr="001B7B70">
        <w:tc>
          <w:tcPr>
            <w:tcW w:w="5122" w:type="dxa"/>
            <w:vAlign w:val="bottom"/>
          </w:tcPr>
          <w:p w14:paraId="4FFED272" w14:textId="447BE451" w:rsidR="001B7B70" w:rsidRPr="009F3026" w:rsidRDefault="00681427" w:rsidP="001B7B70">
            <w:pPr>
              <w:tabs>
                <w:tab w:val="left" w:pos="7214"/>
                <w:tab w:val="decimal" w:pos="8107"/>
                <w:tab w:val="left" w:pos="8467"/>
                <w:tab w:val="decimal" w:pos="9360"/>
              </w:tabs>
              <w:spacing w:after="0" w:line="240" w:lineRule="auto"/>
              <w:rPr>
                <w:rFonts w:ascii="Arial" w:hAnsi="Arial" w:cs="Arial"/>
              </w:rPr>
            </w:pPr>
            <w:r>
              <w:rPr>
                <w:rFonts w:ascii="Arial" w:hAnsi="Arial" w:cs="Arial"/>
              </w:rPr>
              <w:t>Shareholders’</w:t>
            </w:r>
            <w:r w:rsidR="001B7B70" w:rsidRPr="009F3026">
              <w:rPr>
                <w:rFonts w:ascii="Arial" w:hAnsi="Arial" w:cs="Arial"/>
              </w:rPr>
              <w:t xml:space="preserve"> </w:t>
            </w:r>
            <w:r w:rsidR="00516896">
              <w:rPr>
                <w:rFonts w:ascii="Arial" w:hAnsi="Arial" w:cs="Arial"/>
              </w:rPr>
              <w:t>Equity (</w:t>
            </w:r>
            <w:r w:rsidR="001B7B70" w:rsidRPr="009F3026">
              <w:rPr>
                <w:rFonts w:ascii="Arial" w:hAnsi="Arial" w:cs="Arial"/>
              </w:rPr>
              <w:t>Deficit</w:t>
            </w:r>
            <w:r w:rsidR="00516896">
              <w:rPr>
                <w:rFonts w:ascii="Arial" w:hAnsi="Arial" w:cs="Arial"/>
              </w:rPr>
              <w:t>)</w:t>
            </w:r>
          </w:p>
        </w:tc>
        <w:tc>
          <w:tcPr>
            <w:tcW w:w="1530" w:type="dxa"/>
            <w:vAlign w:val="bottom"/>
          </w:tcPr>
          <w:p w14:paraId="7DDC3564"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03F93AE9"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567220E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1B7B70" w:rsidRPr="009F3026" w14:paraId="08C1860F" w14:textId="19558C90" w:rsidTr="001B7B70">
        <w:trPr>
          <w:trHeight w:hRule="exact" w:val="115"/>
        </w:trPr>
        <w:tc>
          <w:tcPr>
            <w:tcW w:w="5122" w:type="dxa"/>
            <w:vAlign w:val="bottom"/>
          </w:tcPr>
          <w:p w14:paraId="73CACA7B"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vAlign w:val="bottom"/>
          </w:tcPr>
          <w:p w14:paraId="45C6B829"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393D0E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vAlign w:val="bottom"/>
          </w:tcPr>
          <w:p w14:paraId="70D2AD91"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7687ACDA" w14:textId="0F229D60" w:rsidTr="001B7B70">
        <w:tc>
          <w:tcPr>
            <w:tcW w:w="5122" w:type="dxa"/>
            <w:vAlign w:val="bottom"/>
          </w:tcPr>
          <w:p w14:paraId="6386DD74" w14:textId="45C06883" w:rsidR="004252DF" w:rsidRPr="009F3026" w:rsidRDefault="00E565BC" w:rsidP="00681427">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Common </w:t>
            </w:r>
            <w:r w:rsidR="00681427">
              <w:rPr>
                <w:rFonts w:ascii="Arial" w:hAnsi="Arial" w:cs="Arial"/>
              </w:rPr>
              <w:t>shares</w:t>
            </w:r>
            <w:r w:rsidR="004252DF" w:rsidRPr="009F3026">
              <w:rPr>
                <w:rFonts w:ascii="Arial" w:hAnsi="Arial" w:cs="Arial"/>
              </w:rPr>
              <w:t xml:space="preserve"> </w:t>
            </w:r>
            <w:r w:rsidR="004252DF">
              <w:rPr>
                <w:rFonts w:ascii="Arial" w:hAnsi="Arial" w:cs="Arial"/>
              </w:rPr>
              <w:t>(Note 11)</w:t>
            </w:r>
          </w:p>
        </w:tc>
        <w:tc>
          <w:tcPr>
            <w:tcW w:w="1530" w:type="dxa"/>
            <w:vAlign w:val="bottom"/>
          </w:tcPr>
          <w:p w14:paraId="47EAA367" w14:textId="3EAA839D" w:rsidR="004252DF" w:rsidRPr="000621E8" w:rsidRDefault="006A20DB" w:rsidP="00F010A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40,</w:t>
            </w:r>
            <w:r w:rsidR="00F010A8">
              <w:rPr>
                <w:rFonts w:ascii="Arial" w:hAnsi="Arial" w:cs="Arial"/>
                <w:szCs w:val="20"/>
              </w:rPr>
              <w:t>200,210</w:t>
            </w:r>
          </w:p>
        </w:tc>
        <w:tc>
          <w:tcPr>
            <w:tcW w:w="1530" w:type="dxa"/>
            <w:vAlign w:val="bottom"/>
          </w:tcPr>
          <w:p w14:paraId="0F8B855B" w14:textId="48015333" w:rsidR="004252DF" w:rsidRPr="009F3026" w:rsidRDefault="004252DF" w:rsidP="00864115">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21,</w:t>
            </w:r>
            <w:r w:rsidR="00864115">
              <w:rPr>
                <w:rFonts w:ascii="Arial" w:hAnsi="Arial" w:cs="Arial"/>
                <w:szCs w:val="20"/>
              </w:rPr>
              <w:t>395,999</w:t>
            </w:r>
          </w:p>
        </w:tc>
        <w:tc>
          <w:tcPr>
            <w:tcW w:w="1530" w:type="dxa"/>
            <w:vAlign w:val="bottom"/>
          </w:tcPr>
          <w:p w14:paraId="4E4C0A5A" w14:textId="0CBF7F45"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10,047,733</w:t>
            </w:r>
          </w:p>
        </w:tc>
      </w:tr>
      <w:tr w:rsidR="004252DF" w:rsidRPr="009F3026" w14:paraId="0B38257F" w14:textId="77777777" w:rsidTr="00D011D8">
        <w:trPr>
          <w:trHeight w:hRule="exact" w:val="230"/>
        </w:trPr>
        <w:tc>
          <w:tcPr>
            <w:tcW w:w="5122" w:type="dxa"/>
            <w:vAlign w:val="bottom"/>
          </w:tcPr>
          <w:p w14:paraId="3966F5A2" w14:textId="6B0007C5" w:rsidR="004252DF" w:rsidRPr="009F3026" w:rsidRDefault="004252DF" w:rsidP="00681427">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Common </w:t>
            </w:r>
            <w:r w:rsidR="00681427">
              <w:rPr>
                <w:rFonts w:ascii="Arial" w:hAnsi="Arial" w:cs="Arial"/>
              </w:rPr>
              <w:t>shares</w:t>
            </w:r>
            <w:r>
              <w:rPr>
                <w:rFonts w:ascii="Arial" w:hAnsi="Arial" w:cs="Arial"/>
              </w:rPr>
              <w:t xml:space="preserve"> issuable (Note 11(c))</w:t>
            </w:r>
          </w:p>
        </w:tc>
        <w:tc>
          <w:tcPr>
            <w:tcW w:w="1530" w:type="dxa"/>
            <w:shd w:val="clear" w:color="auto" w:fill="auto"/>
            <w:vAlign w:val="bottom"/>
          </w:tcPr>
          <w:p w14:paraId="3DEA079E" w14:textId="4DE0B21D" w:rsidR="004252DF" w:rsidRPr="000A5F3F" w:rsidRDefault="006A20DB"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p>
        </w:tc>
        <w:tc>
          <w:tcPr>
            <w:tcW w:w="1530" w:type="dxa"/>
            <w:vAlign w:val="bottom"/>
          </w:tcPr>
          <w:p w14:paraId="563301FA" w14:textId="2697A0A7" w:rsidR="004252DF" w:rsidRPr="000A5F3F"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10,000</w:t>
            </w:r>
          </w:p>
        </w:tc>
        <w:tc>
          <w:tcPr>
            <w:tcW w:w="1530" w:type="dxa"/>
            <w:vAlign w:val="bottom"/>
          </w:tcPr>
          <w:p w14:paraId="7DDFBBE4" w14:textId="0298797B"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sidRPr="009F3026">
              <w:rPr>
                <w:rFonts w:ascii="Arial" w:hAnsi="Arial" w:cs="Arial"/>
              </w:rPr>
              <w:t>–</w:t>
            </w:r>
          </w:p>
        </w:tc>
      </w:tr>
      <w:tr w:rsidR="004252DF" w:rsidRPr="009F3026" w14:paraId="01331542" w14:textId="2F302261" w:rsidTr="001B7B70">
        <w:trPr>
          <w:trHeight w:hRule="exact" w:val="230"/>
        </w:trPr>
        <w:tc>
          <w:tcPr>
            <w:tcW w:w="5122" w:type="dxa"/>
            <w:vAlign w:val="bottom"/>
          </w:tcPr>
          <w:p w14:paraId="77C18965" w14:textId="6D414BE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Reserves </w:t>
            </w:r>
          </w:p>
        </w:tc>
        <w:tc>
          <w:tcPr>
            <w:tcW w:w="1530" w:type="dxa"/>
            <w:shd w:val="clear" w:color="auto" w:fill="auto"/>
            <w:vAlign w:val="bottom"/>
          </w:tcPr>
          <w:p w14:paraId="56C0D6F5" w14:textId="2C4FED80" w:rsidR="004252DF" w:rsidRPr="000A5F3F"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17,</w:t>
            </w:r>
            <w:r w:rsidR="00F010A8">
              <w:rPr>
                <w:rFonts w:ascii="Arial" w:hAnsi="Arial" w:cs="Arial"/>
              </w:rPr>
              <w:t>613,552</w:t>
            </w:r>
          </w:p>
        </w:tc>
        <w:tc>
          <w:tcPr>
            <w:tcW w:w="1530" w:type="dxa"/>
            <w:vAlign w:val="bottom"/>
          </w:tcPr>
          <w:p w14:paraId="3F036B2B" w14:textId="4E2E82D3" w:rsidR="004252DF" w:rsidRPr="000A5F3F"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17,038,202</w:t>
            </w:r>
          </w:p>
        </w:tc>
        <w:tc>
          <w:tcPr>
            <w:tcW w:w="1530" w:type="dxa"/>
            <w:vAlign w:val="bottom"/>
          </w:tcPr>
          <w:p w14:paraId="2C8DAA63" w14:textId="77FB803C"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15,713,439</w:t>
            </w:r>
          </w:p>
        </w:tc>
      </w:tr>
      <w:tr w:rsidR="004252DF" w:rsidRPr="009F3026" w14:paraId="210DD5C3" w14:textId="13483722" w:rsidTr="001B7B70">
        <w:trPr>
          <w:trHeight w:hRule="exact" w:val="230"/>
        </w:trPr>
        <w:tc>
          <w:tcPr>
            <w:tcW w:w="5122" w:type="dxa"/>
            <w:vAlign w:val="bottom"/>
          </w:tcPr>
          <w:p w14:paraId="754973E7"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Accumulated other comprehensive income</w:t>
            </w:r>
          </w:p>
        </w:tc>
        <w:tc>
          <w:tcPr>
            <w:tcW w:w="1530" w:type="dxa"/>
            <w:shd w:val="clear" w:color="auto" w:fill="auto"/>
            <w:vAlign w:val="bottom"/>
          </w:tcPr>
          <w:p w14:paraId="1DF04940" w14:textId="1F20C0E1" w:rsidR="004252DF" w:rsidRPr="000A5F3F"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135,</w:t>
            </w:r>
            <w:r w:rsidR="00F010A8">
              <w:rPr>
                <w:rFonts w:ascii="Arial" w:hAnsi="Arial" w:cs="Arial"/>
              </w:rPr>
              <w:t>645</w:t>
            </w:r>
          </w:p>
        </w:tc>
        <w:tc>
          <w:tcPr>
            <w:tcW w:w="1530" w:type="dxa"/>
            <w:vAlign w:val="bottom"/>
          </w:tcPr>
          <w:p w14:paraId="2636D81F" w14:textId="0A343E18" w:rsidR="004252DF" w:rsidRPr="000A5F3F" w:rsidRDefault="004252DF" w:rsidP="00C241ED">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szCs w:val="20"/>
              </w:rPr>
              <w:t>123,</w:t>
            </w:r>
            <w:r w:rsidR="00C241ED">
              <w:rPr>
                <w:rFonts w:ascii="Arial" w:hAnsi="Arial" w:cs="Arial"/>
                <w:szCs w:val="20"/>
              </w:rPr>
              <w:t>089</w:t>
            </w:r>
          </w:p>
        </w:tc>
        <w:tc>
          <w:tcPr>
            <w:tcW w:w="1530" w:type="dxa"/>
            <w:vAlign w:val="bottom"/>
          </w:tcPr>
          <w:p w14:paraId="63B94841" w14:textId="434D2B5A"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szCs w:val="20"/>
              </w:rPr>
            </w:pPr>
            <w:r w:rsidRPr="009F3026">
              <w:rPr>
                <w:rFonts w:ascii="Arial" w:hAnsi="Arial" w:cs="Arial"/>
              </w:rPr>
              <w:t>–</w:t>
            </w:r>
          </w:p>
        </w:tc>
      </w:tr>
      <w:tr w:rsidR="004252DF" w:rsidRPr="009F3026" w14:paraId="34DFA7BE" w14:textId="690F05DE" w:rsidTr="001B7B70">
        <w:trPr>
          <w:trHeight w:hRule="exact" w:val="238"/>
        </w:trPr>
        <w:tc>
          <w:tcPr>
            <w:tcW w:w="5122" w:type="dxa"/>
            <w:vAlign w:val="bottom"/>
          </w:tcPr>
          <w:p w14:paraId="6CAA82B5" w14:textId="77777777" w:rsidR="004252DF" w:rsidRPr="009F3026" w:rsidRDefault="004252DF" w:rsidP="004252D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Accumulated deficit</w:t>
            </w:r>
          </w:p>
        </w:tc>
        <w:tc>
          <w:tcPr>
            <w:tcW w:w="1530" w:type="dxa"/>
            <w:shd w:val="clear" w:color="auto" w:fill="auto"/>
            <w:vAlign w:val="bottom"/>
          </w:tcPr>
          <w:p w14:paraId="6465450D" w14:textId="31C44B89" w:rsidR="004252DF" w:rsidRPr="009F3026"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(41,</w:t>
            </w:r>
            <w:r w:rsidR="00F010A8">
              <w:rPr>
                <w:rFonts w:ascii="Arial" w:hAnsi="Arial" w:cs="Arial"/>
              </w:rPr>
              <w:t>392,997</w:t>
            </w:r>
            <w:r>
              <w:rPr>
                <w:rFonts w:ascii="Arial" w:hAnsi="Arial" w:cs="Arial"/>
              </w:rPr>
              <w:t>)</w:t>
            </w:r>
          </w:p>
        </w:tc>
        <w:tc>
          <w:tcPr>
            <w:tcW w:w="1530" w:type="dxa"/>
            <w:vAlign w:val="bottom"/>
          </w:tcPr>
          <w:p w14:paraId="1C16E1C3" w14:textId="16401064" w:rsidR="004252DF" w:rsidRPr="009F3026" w:rsidRDefault="004252DF" w:rsidP="00C241ED">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sidR="00864115">
              <w:rPr>
                <w:rFonts w:ascii="Arial" w:hAnsi="Arial" w:cs="Arial"/>
                <w:szCs w:val="20"/>
              </w:rPr>
              <w:t>35,</w:t>
            </w:r>
            <w:r w:rsidR="00C241ED">
              <w:rPr>
                <w:rFonts w:ascii="Arial" w:hAnsi="Arial" w:cs="Arial"/>
                <w:szCs w:val="20"/>
              </w:rPr>
              <w:t>067,677</w:t>
            </w:r>
            <w:r w:rsidRPr="009F3026">
              <w:rPr>
                <w:rFonts w:ascii="Arial" w:hAnsi="Arial" w:cs="Arial"/>
              </w:rPr>
              <w:t>)</w:t>
            </w:r>
          </w:p>
        </w:tc>
        <w:tc>
          <w:tcPr>
            <w:tcW w:w="1530" w:type="dxa"/>
            <w:vAlign w:val="bottom"/>
          </w:tcPr>
          <w:p w14:paraId="4741E0FF" w14:textId="51C92DCA"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Pr>
                <w:rFonts w:ascii="Arial" w:hAnsi="Arial" w:cs="Arial"/>
                <w:szCs w:val="20"/>
              </w:rPr>
              <w:t>25,816,964</w:t>
            </w:r>
            <w:r w:rsidRPr="009F3026">
              <w:rPr>
                <w:rFonts w:ascii="Arial" w:hAnsi="Arial" w:cs="Arial"/>
              </w:rPr>
              <w:t>)</w:t>
            </w:r>
          </w:p>
        </w:tc>
      </w:tr>
      <w:tr w:rsidR="001B7B70" w:rsidRPr="009F3026" w14:paraId="277B8D15" w14:textId="25E3D123" w:rsidTr="001B7B70">
        <w:trPr>
          <w:trHeight w:hRule="exact" w:val="115"/>
        </w:trPr>
        <w:tc>
          <w:tcPr>
            <w:tcW w:w="5122" w:type="dxa"/>
            <w:tcBorders>
              <w:top w:val="single" w:sz="4" w:space="0" w:color="auto"/>
            </w:tcBorders>
            <w:vAlign w:val="bottom"/>
          </w:tcPr>
          <w:p w14:paraId="0332FCD1" w14:textId="77777777" w:rsidR="001B7B70" w:rsidRPr="009F3026" w:rsidRDefault="001B7B70" w:rsidP="001B7B70">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shd w:val="clear" w:color="auto" w:fill="auto"/>
            <w:vAlign w:val="bottom"/>
          </w:tcPr>
          <w:p w14:paraId="56199AC4"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F533DEE"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44787D43" w14:textId="77777777" w:rsidR="001B7B70" w:rsidRPr="009F3026" w:rsidRDefault="001B7B70" w:rsidP="001B7B70">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04FD04E6" w14:textId="00685909" w:rsidTr="001B7B70">
        <w:tc>
          <w:tcPr>
            <w:tcW w:w="5122" w:type="dxa"/>
            <w:tcBorders>
              <w:bottom w:val="single" w:sz="4" w:space="0" w:color="auto"/>
            </w:tcBorders>
            <w:vAlign w:val="bottom"/>
          </w:tcPr>
          <w:p w14:paraId="49E02C41" w14:textId="791F89C5" w:rsidR="004252DF" w:rsidRPr="009F3026" w:rsidRDefault="004252DF"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w:t>
            </w:r>
            <w:r w:rsidR="00681427">
              <w:rPr>
                <w:rFonts w:ascii="Arial" w:hAnsi="Arial" w:cs="Arial"/>
              </w:rPr>
              <w:t>shareholders’</w:t>
            </w:r>
            <w:r w:rsidRPr="009F3026">
              <w:rPr>
                <w:rFonts w:ascii="Arial" w:hAnsi="Arial" w:cs="Arial"/>
              </w:rPr>
              <w:t xml:space="preserve"> </w:t>
            </w:r>
            <w:r>
              <w:rPr>
                <w:rFonts w:ascii="Arial" w:hAnsi="Arial" w:cs="Arial"/>
              </w:rPr>
              <w:t>equity (</w:t>
            </w:r>
            <w:r w:rsidRPr="009F3026">
              <w:rPr>
                <w:rFonts w:ascii="Arial" w:hAnsi="Arial" w:cs="Arial"/>
              </w:rPr>
              <w:t>deficit</w:t>
            </w:r>
            <w:r>
              <w:rPr>
                <w:rFonts w:ascii="Arial" w:hAnsi="Arial" w:cs="Arial"/>
              </w:rPr>
              <w:t>)</w:t>
            </w:r>
          </w:p>
        </w:tc>
        <w:tc>
          <w:tcPr>
            <w:tcW w:w="1530" w:type="dxa"/>
            <w:tcBorders>
              <w:bottom w:val="single" w:sz="4" w:space="0" w:color="auto"/>
            </w:tcBorders>
            <w:shd w:val="clear" w:color="auto" w:fill="auto"/>
            <w:vAlign w:val="bottom"/>
          </w:tcPr>
          <w:p w14:paraId="380E9A59" w14:textId="1CF031A7" w:rsidR="004252DF" w:rsidRPr="009F3026"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16,</w:t>
            </w:r>
            <w:r w:rsidR="00F010A8">
              <w:rPr>
                <w:rFonts w:ascii="Arial" w:hAnsi="Arial" w:cs="Arial"/>
              </w:rPr>
              <w:t>556,410</w:t>
            </w:r>
          </w:p>
        </w:tc>
        <w:tc>
          <w:tcPr>
            <w:tcW w:w="1530" w:type="dxa"/>
            <w:tcBorders>
              <w:bottom w:val="single" w:sz="4" w:space="0" w:color="auto"/>
            </w:tcBorders>
            <w:vAlign w:val="bottom"/>
          </w:tcPr>
          <w:p w14:paraId="23440EEB" w14:textId="3AAC6D81"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3,499,613</w:t>
            </w:r>
          </w:p>
        </w:tc>
        <w:tc>
          <w:tcPr>
            <w:tcW w:w="1530" w:type="dxa"/>
            <w:tcBorders>
              <w:bottom w:val="single" w:sz="4" w:space="0" w:color="auto"/>
            </w:tcBorders>
            <w:vAlign w:val="bottom"/>
          </w:tcPr>
          <w:p w14:paraId="52170FC5" w14:textId="7D19231B"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r w:rsidRPr="009F3026">
              <w:rPr>
                <w:rFonts w:ascii="Arial" w:hAnsi="Arial" w:cs="Arial"/>
              </w:rPr>
              <w:t>(</w:t>
            </w:r>
            <w:r>
              <w:rPr>
                <w:rFonts w:ascii="Arial" w:hAnsi="Arial" w:cs="Arial"/>
              </w:rPr>
              <w:t>55,792</w:t>
            </w:r>
            <w:r w:rsidRPr="009F3026">
              <w:rPr>
                <w:rFonts w:ascii="Arial" w:hAnsi="Arial" w:cs="Arial"/>
              </w:rPr>
              <w:t>)</w:t>
            </w:r>
          </w:p>
        </w:tc>
      </w:tr>
      <w:tr w:rsidR="004252DF" w:rsidRPr="009F3026" w14:paraId="43C99CA8" w14:textId="48BFC1C6" w:rsidTr="001B7B70">
        <w:trPr>
          <w:trHeight w:hRule="exact" w:val="115"/>
        </w:trPr>
        <w:tc>
          <w:tcPr>
            <w:tcW w:w="5122" w:type="dxa"/>
            <w:tcBorders>
              <w:top w:val="single" w:sz="4" w:space="0" w:color="auto"/>
            </w:tcBorders>
            <w:vAlign w:val="bottom"/>
          </w:tcPr>
          <w:p w14:paraId="79B18F84" w14:textId="77777777" w:rsidR="004252DF" w:rsidRPr="009F3026" w:rsidRDefault="004252DF" w:rsidP="004252DF">
            <w:pPr>
              <w:tabs>
                <w:tab w:val="left" w:pos="7214"/>
                <w:tab w:val="decimal" w:pos="8107"/>
                <w:tab w:val="left" w:pos="8467"/>
                <w:tab w:val="decimal" w:pos="9360"/>
              </w:tabs>
              <w:spacing w:after="0" w:line="240" w:lineRule="auto"/>
              <w:rPr>
                <w:rFonts w:ascii="Arial" w:hAnsi="Arial" w:cs="Arial"/>
              </w:rPr>
            </w:pPr>
          </w:p>
        </w:tc>
        <w:tc>
          <w:tcPr>
            <w:tcW w:w="1530" w:type="dxa"/>
            <w:tcBorders>
              <w:top w:val="single" w:sz="4" w:space="0" w:color="auto"/>
            </w:tcBorders>
            <w:vAlign w:val="bottom"/>
          </w:tcPr>
          <w:p w14:paraId="2BDBC25A"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28BBB2DD"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c>
          <w:tcPr>
            <w:tcW w:w="1530" w:type="dxa"/>
            <w:tcBorders>
              <w:top w:val="single" w:sz="4" w:space="0" w:color="auto"/>
            </w:tcBorders>
            <w:vAlign w:val="bottom"/>
          </w:tcPr>
          <w:p w14:paraId="7091BCE3" w14:textId="77777777" w:rsidR="004252DF" w:rsidRPr="009F3026" w:rsidRDefault="004252DF" w:rsidP="004252DF">
            <w:pPr>
              <w:tabs>
                <w:tab w:val="left" w:pos="7214"/>
                <w:tab w:val="decimal" w:pos="8107"/>
                <w:tab w:val="left" w:pos="8467"/>
                <w:tab w:val="decimal" w:pos="9360"/>
              </w:tabs>
              <w:spacing w:after="0" w:line="240" w:lineRule="auto"/>
              <w:ind w:right="180"/>
              <w:jc w:val="right"/>
              <w:rPr>
                <w:rFonts w:ascii="Arial" w:hAnsi="Arial" w:cs="Arial"/>
              </w:rPr>
            </w:pPr>
          </w:p>
        </w:tc>
      </w:tr>
      <w:tr w:rsidR="004252DF" w:rsidRPr="009F3026" w14:paraId="084F20E4" w14:textId="794F06C2" w:rsidTr="001B7B70">
        <w:trPr>
          <w:trHeight w:val="279"/>
        </w:trPr>
        <w:tc>
          <w:tcPr>
            <w:tcW w:w="5122" w:type="dxa"/>
            <w:tcBorders>
              <w:bottom w:val="single" w:sz="12" w:space="0" w:color="auto"/>
            </w:tcBorders>
            <w:vAlign w:val="bottom"/>
          </w:tcPr>
          <w:p w14:paraId="288BA0BD" w14:textId="4E27DAE6" w:rsidR="004252DF" w:rsidRPr="009F3026" w:rsidRDefault="004252DF" w:rsidP="00681427">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Total liabilities and </w:t>
            </w:r>
            <w:r w:rsidR="00681427">
              <w:rPr>
                <w:rFonts w:ascii="Arial" w:hAnsi="Arial" w:cs="Arial"/>
              </w:rPr>
              <w:t>shareholders’</w:t>
            </w:r>
            <w:r w:rsidRPr="009F3026">
              <w:rPr>
                <w:rFonts w:ascii="Arial" w:hAnsi="Arial" w:cs="Arial"/>
              </w:rPr>
              <w:t xml:space="preserve"> </w:t>
            </w:r>
            <w:r>
              <w:rPr>
                <w:rFonts w:ascii="Arial" w:hAnsi="Arial" w:cs="Arial"/>
              </w:rPr>
              <w:t>equity (</w:t>
            </w:r>
            <w:r w:rsidRPr="009F3026">
              <w:rPr>
                <w:rFonts w:ascii="Arial" w:hAnsi="Arial" w:cs="Arial"/>
              </w:rPr>
              <w:t>deficit</w:t>
            </w:r>
            <w:r>
              <w:rPr>
                <w:rFonts w:ascii="Arial" w:hAnsi="Arial" w:cs="Arial"/>
              </w:rPr>
              <w:t>)</w:t>
            </w:r>
          </w:p>
        </w:tc>
        <w:tc>
          <w:tcPr>
            <w:tcW w:w="1530" w:type="dxa"/>
            <w:tcBorders>
              <w:bottom w:val="single" w:sz="12" w:space="0" w:color="auto"/>
            </w:tcBorders>
            <w:vAlign w:val="bottom"/>
          </w:tcPr>
          <w:p w14:paraId="0FA245FC" w14:textId="7C9BA076" w:rsidR="004252DF" w:rsidRPr="009F3026" w:rsidRDefault="006A20DB" w:rsidP="00F010A8">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rPr>
              <w:t>17,</w:t>
            </w:r>
            <w:r w:rsidR="00F010A8">
              <w:rPr>
                <w:rFonts w:ascii="Arial" w:hAnsi="Arial" w:cs="Arial"/>
              </w:rPr>
              <w:t>929,374</w:t>
            </w:r>
          </w:p>
        </w:tc>
        <w:tc>
          <w:tcPr>
            <w:tcW w:w="1530" w:type="dxa"/>
            <w:tcBorders>
              <w:bottom w:val="single" w:sz="12" w:space="0" w:color="auto"/>
            </w:tcBorders>
            <w:vAlign w:val="bottom"/>
          </w:tcPr>
          <w:p w14:paraId="5F63876C" w14:textId="3D397AE0" w:rsidR="004252DF" w:rsidRPr="009F3026" w:rsidRDefault="00864115" w:rsidP="004252DF">
            <w:pPr>
              <w:tabs>
                <w:tab w:val="left" w:pos="7214"/>
                <w:tab w:val="decimal" w:pos="8107"/>
                <w:tab w:val="left" w:pos="8467"/>
                <w:tab w:val="decimal" w:pos="9360"/>
              </w:tabs>
              <w:spacing w:after="0" w:line="240" w:lineRule="auto"/>
              <w:ind w:right="180"/>
              <w:jc w:val="right"/>
              <w:rPr>
                <w:rFonts w:ascii="Arial" w:hAnsi="Arial" w:cs="Arial"/>
              </w:rPr>
            </w:pPr>
            <w:r>
              <w:rPr>
                <w:rFonts w:ascii="Arial" w:hAnsi="Arial" w:cs="Arial"/>
                <w:lang w:val="fr-FR"/>
              </w:rPr>
              <w:t>9,718,033</w:t>
            </w:r>
          </w:p>
        </w:tc>
        <w:tc>
          <w:tcPr>
            <w:tcW w:w="1530" w:type="dxa"/>
            <w:tcBorders>
              <w:bottom w:val="single" w:sz="12" w:space="0" w:color="auto"/>
            </w:tcBorders>
            <w:vAlign w:val="bottom"/>
          </w:tcPr>
          <w:p w14:paraId="338467DF" w14:textId="5AEDCF2E" w:rsidR="004252DF" w:rsidRDefault="004252DF" w:rsidP="004252DF">
            <w:pPr>
              <w:tabs>
                <w:tab w:val="left" w:pos="7214"/>
                <w:tab w:val="decimal" w:pos="8107"/>
                <w:tab w:val="left" w:pos="8467"/>
                <w:tab w:val="decimal" w:pos="9360"/>
              </w:tabs>
              <w:spacing w:after="0" w:line="240" w:lineRule="auto"/>
              <w:ind w:right="180"/>
              <w:jc w:val="right"/>
              <w:rPr>
                <w:rFonts w:ascii="Arial" w:hAnsi="Arial" w:cs="Arial"/>
                <w:lang w:val="fr-FR"/>
              </w:rPr>
            </w:pPr>
            <w:r>
              <w:rPr>
                <w:rFonts w:ascii="Arial" w:hAnsi="Arial" w:cs="Arial"/>
                <w:lang w:val="fr-FR"/>
              </w:rPr>
              <w:t>471,826</w:t>
            </w:r>
          </w:p>
        </w:tc>
      </w:tr>
    </w:tbl>
    <w:p w14:paraId="5EAD7875" w14:textId="77777777" w:rsidR="00790828" w:rsidRPr="009F3026" w:rsidRDefault="00790828" w:rsidP="00790828">
      <w:pPr>
        <w:tabs>
          <w:tab w:val="left" w:pos="7214"/>
          <w:tab w:val="decimal" w:pos="8107"/>
          <w:tab w:val="left" w:pos="8467"/>
          <w:tab w:val="decimal" w:pos="9360"/>
        </w:tabs>
        <w:spacing w:after="0" w:line="240" w:lineRule="auto"/>
        <w:jc w:val="both"/>
        <w:rPr>
          <w:rFonts w:ascii="Arial" w:hAnsi="Arial" w:cs="Arial"/>
        </w:rPr>
      </w:pPr>
    </w:p>
    <w:p w14:paraId="7A397204" w14:textId="5C9B1FA1" w:rsidR="004056B2"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rPr>
      </w:pPr>
      <w:r>
        <w:rPr>
          <w:rFonts w:ascii="Arial" w:hAnsi="Arial" w:cs="Arial"/>
        </w:rPr>
        <w:t>Approved on behalf of the Board of Directors</w:t>
      </w:r>
    </w:p>
    <w:p w14:paraId="46195455"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rPr>
      </w:pPr>
    </w:p>
    <w:p w14:paraId="54C5097C" w14:textId="271A3670"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rPr>
      </w:pPr>
      <w:r w:rsidRPr="00E565BC">
        <w:rPr>
          <w:rFonts w:ascii="Arial" w:hAnsi="Arial" w:cs="Arial"/>
          <w:i/>
          <w:u w:val="single"/>
        </w:rPr>
        <w:t>“Krisztian Toth”</w:t>
      </w:r>
      <w:r w:rsidRPr="00E565BC">
        <w:rPr>
          <w:rFonts w:ascii="Arial" w:hAnsi="Arial" w:cs="Arial"/>
          <w:i/>
          <w:u w:val="single"/>
        </w:rPr>
        <w:tab/>
      </w:r>
      <w:r w:rsidRPr="00E565BC">
        <w:rPr>
          <w:rFonts w:ascii="Arial" w:hAnsi="Arial" w:cs="Arial"/>
          <w:i/>
          <w:u w:val="single"/>
        </w:rPr>
        <w:tab/>
      </w:r>
      <w:r w:rsidRPr="00E565BC">
        <w:rPr>
          <w:rFonts w:ascii="Arial" w:hAnsi="Arial" w:cs="Arial"/>
          <w:i/>
          <w:u w:val="single"/>
        </w:rPr>
        <w:tab/>
      </w:r>
      <w:r w:rsidRPr="00E565BC">
        <w:rPr>
          <w:rFonts w:ascii="Arial" w:hAnsi="Arial" w:cs="Arial"/>
          <w:i/>
        </w:rPr>
        <w:tab/>
      </w:r>
      <w:r w:rsidRPr="00E565BC">
        <w:rPr>
          <w:rFonts w:ascii="Arial" w:hAnsi="Arial" w:cs="Arial"/>
        </w:rPr>
        <w:t>Director</w:t>
      </w:r>
    </w:p>
    <w:p w14:paraId="33A72EB2"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u w:val="single"/>
        </w:rPr>
      </w:pPr>
    </w:p>
    <w:p w14:paraId="57104B00" w14:textId="239E4A82"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rPr>
      </w:pPr>
      <w:r w:rsidRPr="00E565BC">
        <w:rPr>
          <w:rFonts w:ascii="Arial" w:hAnsi="Arial" w:cs="Arial"/>
          <w:i/>
          <w:u w:val="single"/>
        </w:rPr>
        <w:t>“Joseph Borovsky”</w:t>
      </w:r>
      <w:r w:rsidRPr="00E565BC">
        <w:rPr>
          <w:rFonts w:ascii="Arial" w:hAnsi="Arial" w:cs="Arial"/>
          <w:i/>
          <w:u w:val="single"/>
        </w:rPr>
        <w:tab/>
      </w:r>
      <w:r w:rsidRPr="00E565BC">
        <w:rPr>
          <w:rFonts w:ascii="Arial" w:hAnsi="Arial" w:cs="Arial"/>
          <w:i/>
          <w:u w:val="single"/>
        </w:rPr>
        <w:tab/>
      </w:r>
      <w:r w:rsidRPr="00E565BC">
        <w:rPr>
          <w:rFonts w:ascii="Arial" w:hAnsi="Arial" w:cs="Arial"/>
          <w:i/>
        </w:rPr>
        <w:tab/>
      </w:r>
      <w:r w:rsidRPr="00E565BC">
        <w:rPr>
          <w:rFonts w:ascii="Arial" w:hAnsi="Arial" w:cs="Arial"/>
        </w:rPr>
        <w:t>Director</w:t>
      </w:r>
    </w:p>
    <w:p w14:paraId="0AC82058"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35DD160F" w14:textId="77777777" w:rsidR="00E565BC" w:rsidRDefault="00E565BC"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1F6EB111" w14:textId="02378674"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r w:rsidRPr="009F3026">
        <w:rPr>
          <w:rFonts w:ascii="Arial" w:hAnsi="Arial" w:cs="Arial"/>
          <w:szCs w:val="20"/>
        </w:rPr>
        <w:t xml:space="preserve">(The accompanying notes are an integral part of these </w:t>
      </w:r>
      <w:r w:rsidR="008B680A">
        <w:rPr>
          <w:rFonts w:ascii="Arial" w:hAnsi="Arial" w:cs="Arial"/>
          <w:szCs w:val="20"/>
        </w:rPr>
        <w:t>condensed consolidated interim financial statements</w:t>
      </w:r>
      <w:r w:rsidRPr="009F3026">
        <w:rPr>
          <w:rFonts w:ascii="Arial" w:hAnsi="Arial" w:cs="Arial"/>
          <w:szCs w:val="20"/>
        </w:rPr>
        <w:t>)</w:t>
      </w:r>
    </w:p>
    <w:p w14:paraId="748B9EEE" w14:textId="77777777"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b/>
          <w:bCs/>
          <w:sz w:val="24"/>
        </w:rPr>
      </w:pPr>
      <w:r>
        <w:rPr>
          <w:rFonts w:cs="Arial"/>
          <w:b/>
          <w:bCs/>
          <w:sz w:val="24"/>
        </w:rPr>
        <w:br w:type="page"/>
      </w:r>
      <w:r>
        <w:rPr>
          <w:rFonts w:ascii="Arial" w:hAnsi="Arial" w:cs="Arial"/>
          <w:b/>
          <w:bCs/>
          <w:sz w:val="24"/>
        </w:rPr>
        <w:lastRenderedPageBreak/>
        <w:t>PIVOT</w:t>
      </w:r>
      <w:r w:rsidRPr="009F3026">
        <w:rPr>
          <w:rFonts w:ascii="Arial" w:hAnsi="Arial" w:cs="Arial"/>
          <w:b/>
          <w:bCs/>
          <w:sz w:val="24"/>
        </w:rPr>
        <w:t xml:space="preserve"> PHARMACEUTICALS INC.</w:t>
      </w:r>
    </w:p>
    <w:p w14:paraId="2B5D14C9" w14:textId="7CEC0BC7" w:rsidR="00790828" w:rsidRPr="009F3026" w:rsidRDefault="008E7C6B" w:rsidP="00790828">
      <w:pPr>
        <w:tabs>
          <w:tab w:val="left" w:pos="7214"/>
          <w:tab w:val="decimal" w:pos="8107"/>
          <w:tab w:val="left" w:pos="8467"/>
          <w:tab w:val="decimal" w:pos="9360"/>
        </w:tabs>
        <w:spacing w:after="0" w:line="240" w:lineRule="auto"/>
        <w:jc w:val="both"/>
        <w:rPr>
          <w:rFonts w:ascii="Arial" w:hAnsi="Arial" w:cs="Arial"/>
          <w:bCs/>
        </w:rPr>
      </w:pPr>
      <w:r>
        <w:rPr>
          <w:rFonts w:ascii="Arial" w:hAnsi="Arial" w:cs="Arial"/>
          <w:bCs/>
        </w:rPr>
        <w:t xml:space="preserve">Consolidated </w:t>
      </w:r>
      <w:r w:rsidR="00790828" w:rsidRPr="009F3026">
        <w:rPr>
          <w:rFonts w:ascii="Arial" w:hAnsi="Arial" w:cs="Arial"/>
          <w:bCs/>
        </w:rPr>
        <w:t xml:space="preserve">Statements of </w:t>
      </w:r>
      <w:r w:rsidR="008B4AE2">
        <w:rPr>
          <w:rFonts w:ascii="Arial" w:hAnsi="Arial" w:cs="Arial"/>
          <w:bCs/>
        </w:rPr>
        <w:t>Comprehensive Loss</w:t>
      </w:r>
      <w:r w:rsidR="00DA2635">
        <w:rPr>
          <w:rFonts w:ascii="Arial" w:hAnsi="Arial" w:cs="Arial"/>
          <w:bCs/>
        </w:rPr>
        <w:t xml:space="preserve"> (unaudited)</w:t>
      </w:r>
    </w:p>
    <w:p w14:paraId="2CF33478" w14:textId="4F6D6D87" w:rsidR="00790828" w:rsidRDefault="00790828" w:rsidP="00790828">
      <w:pPr>
        <w:tabs>
          <w:tab w:val="left" w:pos="7214"/>
          <w:tab w:val="decimal" w:pos="8107"/>
          <w:tab w:val="left" w:pos="8467"/>
          <w:tab w:val="decimal" w:pos="9360"/>
        </w:tabs>
        <w:spacing w:after="0" w:line="240" w:lineRule="auto"/>
        <w:jc w:val="both"/>
        <w:rPr>
          <w:rFonts w:ascii="Arial" w:hAnsi="Arial" w:cs="Arial"/>
        </w:rPr>
      </w:pPr>
      <w:r w:rsidRPr="009F3026">
        <w:rPr>
          <w:rFonts w:ascii="Arial" w:hAnsi="Arial" w:cs="Arial"/>
        </w:rPr>
        <w:t>(Expressed in</w:t>
      </w:r>
      <w:r w:rsidR="0070656C">
        <w:rPr>
          <w:rFonts w:ascii="Arial" w:hAnsi="Arial" w:cs="Arial"/>
        </w:rPr>
        <w:t xml:space="preserve"> Canadian</w:t>
      </w:r>
      <w:r w:rsidRPr="009F3026">
        <w:rPr>
          <w:rFonts w:ascii="Arial" w:hAnsi="Arial" w:cs="Arial"/>
        </w:rPr>
        <w:t xml:space="preserve"> dollars)</w:t>
      </w:r>
    </w:p>
    <w:p w14:paraId="7C0BC8B1" w14:textId="77777777" w:rsidR="00DA2635" w:rsidRPr="009F3026" w:rsidRDefault="00DA2635" w:rsidP="00790828">
      <w:pPr>
        <w:tabs>
          <w:tab w:val="left" w:pos="7214"/>
          <w:tab w:val="decimal" w:pos="8107"/>
          <w:tab w:val="left" w:pos="8467"/>
          <w:tab w:val="decimal" w:pos="9360"/>
        </w:tabs>
        <w:spacing w:after="0" w:line="240" w:lineRule="auto"/>
        <w:jc w:val="both"/>
        <w:rPr>
          <w:rFonts w:ascii="Arial" w:hAnsi="Arial" w:cs="Arial"/>
        </w:rPr>
      </w:pPr>
    </w:p>
    <w:tbl>
      <w:tblPr>
        <w:tblW w:w="9952" w:type="dxa"/>
        <w:tblInd w:w="8" w:type="dxa"/>
        <w:tblLayout w:type="fixed"/>
        <w:tblCellMar>
          <w:left w:w="0" w:type="dxa"/>
          <w:right w:w="0" w:type="dxa"/>
        </w:tblCellMar>
        <w:tblLook w:val="0000" w:firstRow="0" w:lastRow="0" w:firstColumn="0" w:lastColumn="0" w:noHBand="0" w:noVBand="0"/>
      </w:tblPr>
      <w:tblGrid>
        <w:gridCol w:w="3772"/>
        <w:gridCol w:w="1620"/>
        <w:gridCol w:w="1440"/>
        <w:gridCol w:w="1554"/>
        <w:gridCol w:w="6"/>
        <w:gridCol w:w="1549"/>
        <w:gridCol w:w="11"/>
      </w:tblGrid>
      <w:tr w:rsidR="00555018" w:rsidRPr="009F3026" w14:paraId="62C87791" w14:textId="77777777" w:rsidTr="00EA1905">
        <w:tc>
          <w:tcPr>
            <w:tcW w:w="3772" w:type="dxa"/>
          </w:tcPr>
          <w:p w14:paraId="6B33C961" w14:textId="77777777" w:rsidR="00555018" w:rsidRPr="009F3026" w:rsidRDefault="00555018" w:rsidP="00EA1905">
            <w:pPr>
              <w:tabs>
                <w:tab w:val="left" w:pos="7214"/>
                <w:tab w:val="decimal" w:pos="8107"/>
                <w:tab w:val="left" w:pos="8467"/>
                <w:tab w:val="decimal" w:pos="9360"/>
              </w:tabs>
              <w:spacing w:after="0" w:line="240" w:lineRule="auto"/>
              <w:rPr>
                <w:rFonts w:ascii="Arial" w:hAnsi="Arial" w:cs="Arial"/>
                <w:sz w:val="18"/>
                <w:szCs w:val="18"/>
              </w:rPr>
            </w:pPr>
          </w:p>
        </w:tc>
        <w:tc>
          <w:tcPr>
            <w:tcW w:w="3060" w:type="dxa"/>
            <w:gridSpan w:val="2"/>
          </w:tcPr>
          <w:p w14:paraId="7F1F5391" w14:textId="68D5312D" w:rsidR="0055501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Three Months Ended</w:t>
            </w:r>
          </w:p>
        </w:tc>
        <w:tc>
          <w:tcPr>
            <w:tcW w:w="3120" w:type="dxa"/>
            <w:gridSpan w:val="4"/>
          </w:tcPr>
          <w:p w14:paraId="330F0891" w14:textId="3C4D54EE" w:rsidR="0055501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Six Months Ended</w:t>
            </w:r>
          </w:p>
        </w:tc>
      </w:tr>
      <w:tr w:rsidR="00790828" w:rsidRPr="009F3026" w14:paraId="534865FE" w14:textId="77777777" w:rsidTr="00555018">
        <w:tc>
          <w:tcPr>
            <w:tcW w:w="3772" w:type="dxa"/>
            <w:tcBorders>
              <w:bottom w:val="single" w:sz="4" w:space="0" w:color="auto"/>
            </w:tcBorders>
          </w:tcPr>
          <w:p w14:paraId="466A3530" w14:textId="77777777" w:rsidR="00790828" w:rsidRPr="009F3026" w:rsidRDefault="00790828" w:rsidP="00790828">
            <w:pPr>
              <w:tabs>
                <w:tab w:val="left" w:pos="7214"/>
                <w:tab w:val="decimal" w:pos="8107"/>
                <w:tab w:val="left" w:pos="8467"/>
                <w:tab w:val="decimal" w:pos="9360"/>
              </w:tabs>
              <w:spacing w:after="0" w:line="240" w:lineRule="auto"/>
              <w:rPr>
                <w:rFonts w:ascii="Arial" w:hAnsi="Arial" w:cs="Arial"/>
                <w:sz w:val="18"/>
                <w:szCs w:val="18"/>
              </w:rPr>
            </w:pPr>
          </w:p>
        </w:tc>
        <w:tc>
          <w:tcPr>
            <w:tcW w:w="1620" w:type="dxa"/>
            <w:tcBorders>
              <w:bottom w:val="single" w:sz="4" w:space="0" w:color="auto"/>
            </w:tcBorders>
          </w:tcPr>
          <w:p w14:paraId="5499E6A7" w14:textId="77777777" w:rsidR="008568A1" w:rsidRDefault="008568A1"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July 31,</w:t>
            </w:r>
          </w:p>
          <w:p w14:paraId="17AEFEA8" w14:textId="034ECD43" w:rsidR="008568A1" w:rsidRDefault="008568A1"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2019</w:t>
            </w:r>
          </w:p>
          <w:p w14:paraId="738748FA" w14:textId="6281766C" w:rsidR="008568A1"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c>
          <w:tcPr>
            <w:tcW w:w="1440" w:type="dxa"/>
            <w:tcBorders>
              <w:bottom w:val="single" w:sz="4" w:space="0" w:color="auto"/>
            </w:tcBorders>
          </w:tcPr>
          <w:p w14:paraId="6B55697C" w14:textId="77777777"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July 31,</w:t>
            </w:r>
          </w:p>
          <w:p w14:paraId="664D2C1D" w14:textId="3A0CAB47"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2018</w:t>
            </w:r>
          </w:p>
          <w:p w14:paraId="6CD627CE" w14:textId="3C421838" w:rsidR="0079082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c>
          <w:tcPr>
            <w:tcW w:w="1560" w:type="dxa"/>
            <w:gridSpan w:val="2"/>
            <w:tcBorders>
              <w:bottom w:val="single" w:sz="4" w:space="0" w:color="auto"/>
            </w:tcBorders>
          </w:tcPr>
          <w:p w14:paraId="1986C1AA" w14:textId="77777777"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July 31,</w:t>
            </w:r>
          </w:p>
          <w:p w14:paraId="40F6E62E" w14:textId="353A52C9"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2019</w:t>
            </w:r>
          </w:p>
          <w:p w14:paraId="2F776F30" w14:textId="1A54B500" w:rsidR="00790828" w:rsidRPr="009F3026" w:rsidRDefault="00555018"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c>
          <w:tcPr>
            <w:tcW w:w="1560" w:type="dxa"/>
            <w:gridSpan w:val="2"/>
            <w:tcBorders>
              <w:bottom w:val="single" w:sz="4" w:space="0" w:color="auto"/>
            </w:tcBorders>
          </w:tcPr>
          <w:p w14:paraId="6EBDEEF1" w14:textId="77777777"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July 31,</w:t>
            </w:r>
          </w:p>
          <w:p w14:paraId="5F82AAC1" w14:textId="2E8B4BCC" w:rsidR="008568A1" w:rsidRDefault="008568A1" w:rsidP="008568A1">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2018</w:t>
            </w:r>
          </w:p>
          <w:p w14:paraId="306950AA" w14:textId="6F566C29" w:rsidR="00790828" w:rsidRPr="009F3026" w:rsidRDefault="008568A1" w:rsidP="00555018">
            <w:pPr>
              <w:tabs>
                <w:tab w:val="left" w:pos="7214"/>
                <w:tab w:val="decimal" w:pos="8107"/>
                <w:tab w:val="left" w:pos="8467"/>
                <w:tab w:val="decimal" w:pos="9360"/>
              </w:tabs>
              <w:spacing w:after="0" w:line="240" w:lineRule="auto"/>
              <w:ind w:left="-20" w:right="-80"/>
              <w:jc w:val="center"/>
              <w:rPr>
                <w:rFonts w:ascii="Arial" w:hAnsi="Arial" w:cs="Arial"/>
                <w:szCs w:val="20"/>
              </w:rPr>
            </w:pPr>
            <w:r>
              <w:rPr>
                <w:rFonts w:ascii="Arial" w:hAnsi="Arial" w:cs="Arial"/>
                <w:szCs w:val="20"/>
              </w:rPr>
              <w:t>$</w:t>
            </w:r>
          </w:p>
        </w:tc>
      </w:tr>
      <w:tr w:rsidR="00790828" w:rsidRPr="009F3026" w14:paraId="2BE61722" w14:textId="77777777" w:rsidTr="008568A1">
        <w:trPr>
          <w:trHeight w:val="305"/>
        </w:trPr>
        <w:tc>
          <w:tcPr>
            <w:tcW w:w="3772" w:type="dxa"/>
            <w:tcBorders>
              <w:top w:val="single" w:sz="4" w:space="0" w:color="auto"/>
            </w:tcBorders>
          </w:tcPr>
          <w:p w14:paraId="1B7DB21E" w14:textId="078475EF" w:rsidR="00790828" w:rsidRPr="009F3026" w:rsidRDefault="00790828" w:rsidP="005F40A9">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4026F181" w14:textId="77777777" w:rsidR="00790828" w:rsidRPr="009F3026" w:rsidRDefault="00790828" w:rsidP="005F40A9">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tcPr>
          <w:p w14:paraId="310BBC14" w14:textId="771A51C1" w:rsidR="00790828" w:rsidRPr="009F3026" w:rsidRDefault="008568A1" w:rsidP="00824168">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(Note 2</w:t>
            </w:r>
            <w:r w:rsidR="00824168">
              <w:rPr>
                <w:rFonts w:ascii="Arial" w:hAnsi="Arial" w:cs="Arial"/>
              </w:rPr>
              <w:t>2</w:t>
            </w:r>
            <w:r>
              <w:rPr>
                <w:rFonts w:ascii="Arial" w:hAnsi="Arial" w:cs="Arial"/>
              </w:rPr>
              <w:t>)</w:t>
            </w:r>
          </w:p>
        </w:tc>
        <w:tc>
          <w:tcPr>
            <w:tcW w:w="1560" w:type="dxa"/>
            <w:gridSpan w:val="2"/>
            <w:tcBorders>
              <w:top w:val="single" w:sz="4" w:space="0" w:color="auto"/>
            </w:tcBorders>
          </w:tcPr>
          <w:p w14:paraId="2A3B196B" w14:textId="77777777" w:rsidR="00790828" w:rsidRPr="009F3026" w:rsidRDefault="00790828" w:rsidP="005F40A9">
            <w:pPr>
              <w:tabs>
                <w:tab w:val="left" w:pos="7214"/>
                <w:tab w:val="decimal" w:pos="8107"/>
                <w:tab w:val="left" w:pos="8467"/>
                <w:tab w:val="decimal" w:pos="9360"/>
              </w:tabs>
              <w:spacing w:after="0" w:line="240" w:lineRule="auto"/>
              <w:ind w:right="114"/>
              <w:jc w:val="center"/>
              <w:rPr>
                <w:rFonts w:ascii="Arial" w:hAnsi="Arial" w:cs="Arial"/>
              </w:rPr>
            </w:pPr>
          </w:p>
        </w:tc>
        <w:tc>
          <w:tcPr>
            <w:tcW w:w="1560" w:type="dxa"/>
            <w:gridSpan w:val="2"/>
            <w:tcBorders>
              <w:top w:val="single" w:sz="4" w:space="0" w:color="auto"/>
            </w:tcBorders>
          </w:tcPr>
          <w:p w14:paraId="384AE2A8" w14:textId="0EB65070" w:rsidR="00790828" w:rsidRPr="009F3026" w:rsidRDefault="00370EC4" w:rsidP="00824168">
            <w:pPr>
              <w:tabs>
                <w:tab w:val="left" w:pos="7214"/>
                <w:tab w:val="decimal" w:pos="8107"/>
                <w:tab w:val="left" w:pos="8467"/>
                <w:tab w:val="decimal" w:pos="9360"/>
              </w:tabs>
              <w:spacing w:after="0" w:line="240" w:lineRule="auto"/>
              <w:ind w:right="114"/>
              <w:jc w:val="center"/>
              <w:rPr>
                <w:rFonts w:ascii="Arial" w:hAnsi="Arial" w:cs="Arial"/>
              </w:rPr>
            </w:pPr>
            <w:r>
              <w:rPr>
                <w:rFonts w:ascii="Arial" w:hAnsi="Arial" w:cs="Arial"/>
              </w:rPr>
              <w:t>(Note</w:t>
            </w:r>
            <w:r w:rsidR="005F40A9">
              <w:rPr>
                <w:rFonts w:ascii="Arial" w:hAnsi="Arial" w:cs="Arial"/>
              </w:rPr>
              <w:t xml:space="preserve"> 2</w:t>
            </w:r>
            <w:r w:rsidR="00824168">
              <w:rPr>
                <w:rFonts w:ascii="Arial" w:hAnsi="Arial" w:cs="Arial"/>
              </w:rPr>
              <w:t>2</w:t>
            </w:r>
            <w:r>
              <w:rPr>
                <w:rFonts w:ascii="Arial" w:hAnsi="Arial" w:cs="Arial"/>
              </w:rPr>
              <w:t>)</w:t>
            </w:r>
          </w:p>
        </w:tc>
      </w:tr>
      <w:tr w:rsidR="00CD67B3" w:rsidRPr="009F3026" w14:paraId="3752D9F2" w14:textId="77777777" w:rsidTr="008568A1">
        <w:tc>
          <w:tcPr>
            <w:tcW w:w="3772" w:type="dxa"/>
            <w:tcBorders>
              <w:bottom w:val="single" w:sz="4" w:space="0" w:color="auto"/>
            </w:tcBorders>
            <w:vAlign w:val="bottom"/>
          </w:tcPr>
          <w:p w14:paraId="35122D7F"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Revenue</w:t>
            </w:r>
          </w:p>
        </w:tc>
        <w:tc>
          <w:tcPr>
            <w:tcW w:w="1620" w:type="dxa"/>
            <w:tcBorders>
              <w:bottom w:val="single" w:sz="4" w:space="0" w:color="auto"/>
            </w:tcBorders>
          </w:tcPr>
          <w:p w14:paraId="1568392E" w14:textId="0D4512A7" w:rsidR="00CD67B3" w:rsidRPr="009F3026" w:rsidRDefault="008568A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tcBorders>
              <w:bottom w:val="single" w:sz="4" w:space="0" w:color="auto"/>
            </w:tcBorders>
            <w:vAlign w:val="bottom"/>
          </w:tcPr>
          <w:p w14:paraId="5A665D98" w14:textId="2CD1F231" w:rsidR="00CD67B3" w:rsidRPr="009F3026" w:rsidRDefault="008568A1"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Borders>
              <w:bottom w:val="single" w:sz="4" w:space="0" w:color="auto"/>
            </w:tcBorders>
          </w:tcPr>
          <w:p w14:paraId="24217FCA"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Borders>
              <w:bottom w:val="single" w:sz="4" w:space="0" w:color="auto"/>
            </w:tcBorders>
          </w:tcPr>
          <w:p w14:paraId="34302D9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0A13BA81" w14:textId="77777777" w:rsidTr="008568A1">
        <w:tc>
          <w:tcPr>
            <w:tcW w:w="3772" w:type="dxa"/>
            <w:tcBorders>
              <w:top w:val="single" w:sz="4" w:space="0" w:color="auto"/>
            </w:tcBorders>
            <w:vAlign w:val="bottom"/>
          </w:tcPr>
          <w:p w14:paraId="007FE0B3"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44DBE6F4"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4337F3C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8F4BF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1862318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3391FBE" w14:textId="77777777" w:rsidTr="008568A1">
        <w:tc>
          <w:tcPr>
            <w:tcW w:w="3772" w:type="dxa"/>
            <w:vAlign w:val="bottom"/>
          </w:tcPr>
          <w:p w14:paraId="31E696E5"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Expenses</w:t>
            </w:r>
          </w:p>
        </w:tc>
        <w:tc>
          <w:tcPr>
            <w:tcW w:w="1620" w:type="dxa"/>
          </w:tcPr>
          <w:p w14:paraId="7637933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4D17EF36"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A40CE0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132D7DA0"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4CABD000" w14:textId="77777777" w:rsidTr="008568A1">
        <w:trPr>
          <w:trHeight w:hRule="exact" w:val="115"/>
        </w:trPr>
        <w:tc>
          <w:tcPr>
            <w:tcW w:w="3772" w:type="dxa"/>
            <w:vAlign w:val="bottom"/>
          </w:tcPr>
          <w:p w14:paraId="518393D7"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3FCB7473"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7B3F3558"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2EE5B71"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4D36DC3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A350D0F" w14:textId="77777777" w:rsidTr="008568A1">
        <w:tc>
          <w:tcPr>
            <w:tcW w:w="3772" w:type="dxa"/>
            <w:vAlign w:val="bottom"/>
          </w:tcPr>
          <w:p w14:paraId="7657608C" w14:textId="77777777" w:rsidR="00CD67B3" w:rsidRPr="009F3026" w:rsidRDefault="008F3B5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A</w:t>
            </w:r>
            <w:r w:rsidR="00CD67B3" w:rsidRPr="009F3026">
              <w:rPr>
                <w:rFonts w:ascii="Arial" w:hAnsi="Arial" w:cs="Arial"/>
              </w:rPr>
              <w:t>mortization</w:t>
            </w:r>
          </w:p>
        </w:tc>
        <w:tc>
          <w:tcPr>
            <w:tcW w:w="1620" w:type="dxa"/>
          </w:tcPr>
          <w:p w14:paraId="111FBED1" w14:textId="08264182" w:rsidR="00CD67B3"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248,284</w:t>
            </w:r>
          </w:p>
        </w:tc>
        <w:tc>
          <w:tcPr>
            <w:tcW w:w="1440" w:type="dxa"/>
            <w:vAlign w:val="bottom"/>
          </w:tcPr>
          <w:p w14:paraId="09E81765" w14:textId="42764772" w:rsidR="00CD67B3"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243,309</w:t>
            </w:r>
          </w:p>
        </w:tc>
        <w:tc>
          <w:tcPr>
            <w:tcW w:w="1560" w:type="dxa"/>
            <w:gridSpan w:val="2"/>
          </w:tcPr>
          <w:p w14:paraId="27D62B66" w14:textId="1E642E5A" w:rsidR="00CD67B3" w:rsidRPr="009F3026"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489,383</w:t>
            </w:r>
          </w:p>
        </w:tc>
        <w:tc>
          <w:tcPr>
            <w:tcW w:w="1560" w:type="dxa"/>
            <w:gridSpan w:val="2"/>
          </w:tcPr>
          <w:p w14:paraId="5E4BBA40" w14:textId="1247ACBD" w:rsidR="00CD67B3" w:rsidRPr="009F302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408,922</w:t>
            </w:r>
          </w:p>
        </w:tc>
      </w:tr>
      <w:tr w:rsidR="000621E8" w:rsidRPr="009F3026" w14:paraId="477BAA96" w14:textId="77777777" w:rsidTr="008568A1">
        <w:tc>
          <w:tcPr>
            <w:tcW w:w="3772" w:type="dxa"/>
            <w:vAlign w:val="bottom"/>
          </w:tcPr>
          <w:p w14:paraId="0042A9D5" w14:textId="77777777" w:rsidR="000621E8" w:rsidRPr="009F3026" w:rsidRDefault="000621E8"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Due diligence costs</w:t>
            </w:r>
          </w:p>
        </w:tc>
        <w:tc>
          <w:tcPr>
            <w:tcW w:w="1620" w:type="dxa"/>
          </w:tcPr>
          <w:p w14:paraId="1879F865" w14:textId="6985670E" w:rsidR="000621E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1A3AEE05" w14:textId="4E9FB216" w:rsidR="000621E8"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43,590</w:t>
            </w:r>
          </w:p>
        </w:tc>
        <w:tc>
          <w:tcPr>
            <w:tcW w:w="1560" w:type="dxa"/>
            <w:gridSpan w:val="2"/>
          </w:tcPr>
          <w:p w14:paraId="61CA07EB" w14:textId="0452FEE7" w:rsidR="000621E8"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1E9EA70F" w14:textId="62BA7C84" w:rsidR="000621E8" w:rsidRPr="009F302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166,262</w:t>
            </w:r>
          </w:p>
        </w:tc>
      </w:tr>
      <w:tr w:rsidR="0070656C" w:rsidRPr="009F3026" w14:paraId="1C5D0F7E" w14:textId="77777777" w:rsidTr="008568A1">
        <w:tc>
          <w:tcPr>
            <w:tcW w:w="3772" w:type="dxa"/>
            <w:vAlign w:val="bottom"/>
          </w:tcPr>
          <w:p w14:paraId="099AD383" w14:textId="516C5E6D" w:rsidR="0070656C"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Finders fee expense</w:t>
            </w:r>
          </w:p>
        </w:tc>
        <w:tc>
          <w:tcPr>
            <w:tcW w:w="1620" w:type="dxa"/>
          </w:tcPr>
          <w:p w14:paraId="13B0F0AE" w14:textId="58F10C25"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100,000</w:t>
            </w:r>
          </w:p>
        </w:tc>
        <w:tc>
          <w:tcPr>
            <w:tcW w:w="1440" w:type="dxa"/>
            <w:vAlign w:val="bottom"/>
          </w:tcPr>
          <w:p w14:paraId="060DFD82" w14:textId="4543B0D4" w:rsidR="0070656C"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61C323D7" w14:textId="7F098CFA"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100,000</w:t>
            </w:r>
          </w:p>
        </w:tc>
        <w:tc>
          <w:tcPr>
            <w:tcW w:w="1560" w:type="dxa"/>
            <w:gridSpan w:val="2"/>
          </w:tcPr>
          <w:p w14:paraId="1642D11D" w14:textId="3050DDEB" w:rsidR="0070656C" w:rsidRPr="009F302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34E8E8CA" w14:textId="77777777" w:rsidTr="008568A1">
        <w:tc>
          <w:tcPr>
            <w:tcW w:w="3772" w:type="dxa"/>
            <w:vAlign w:val="bottom"/>
          </w:tcPr>
          <w:p w14:paraId="6E4C28E9" w14:textId="22A560AA"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Foreign exchange</w:t>
            </w:r>
            <w:r>
              <w:rPr>
                <w:rFonts w:ascii="Arial" w:hAnsi="Arial" w:cs="Arial"/>
              </w:rPr>
              <w:t xml:space="preserve"> loss </w:t>
            </w:r>
            <w:r w:rsidR="004056B2">
              <w:rPr>
                <w:rFonts w:ascii="Arial" w:hAnsi="Arial" w:cs="Arial"/>
              </w:rPr>
              <w:t>(gain)</w:t>
            </w:r>
          </w:p>
        </w:tc>
        <w:tc>
          <w:tcPr>
            <w:tcW w:w="1620" w:type="dxa"/>
          </w:tcPr>
          <w:p w14:paraId="7ACA6C7A" w14:textId="2C037D53" w:rsidR="00CD67B3"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58,922</w:t>
            </w:r>
          </w:p>
        </w:tc>
        <w:tc>
          <w:tcPr>
            <w:tcW w:w="1440" w:type="dxa"/>
            <w:vAlign w:val="bottom"/>
          </w:tcPr>
          <w:p w14:paraId="42B06BA6" w14:textId="2B57E31F" w:rsidR="00CD67B3"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(5,282)</w:t>
            </w:r>
          </w:p>
        </w:tc>
        <w:tc>
          <w:tcPr>
            <w:tcW w:w="1560" w:type="dxa"/>
            <w:gridSpan w:val="2"/>
          </w:tcPr>
          <w:p w14:paraId="051E855E" w14:textId="2C724157" w:rsidR="00CD67B3" w:rsidRPr="009F3026" w:rsidRDefault="00602051" w:rsidP="004B6CC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42,097</w:t>
            </w:r>
          </w:p>
        </w:tc>
        <w:tc>
          <w:tcPr>
            <w:tcW w:w="1560" w:type="dxa"/>
            <w:gridSpan w:val="2"/>
          </w:tcPr>
          <w:p w14:paraId="7EEF1440" w14:textId="3907A81A" w:rsidR="00CD67B3" w:rsidRPr="009F3026" w:rsidRDefault="00E34E8E" w:rsidP="00516896">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43,967</w:t>
            </w:r>
          </w:p>
        </w:tc>
      </w:tr>
      <w:tr w:rsidR="00CD67B3" w:rsidRPr="009F3026" w14:paraId="473CFEDD" w14:textId="77777777" w:rsidTr="008568A1">
        <w:tc>
          <w:tcPr>
            <w:tcW w:w="3772" w:type="dxa"/>
            <w:vAlign w:val="bottom"/>
          </w:tcPr>
          <w:p w14:paraId="66376BDE"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General and administrative</w:t>
            </w:r>
          </w:p>
        </w:tc>
        <w:tc>
          <w:tcPr>
            <w:tcW w:w="1620" w:type="dxa"/>
          </w:tcPr>
          <w:p w14:paraId="7731FF5C" w14:textId="1CEB9805" w:rsidR="00CD67B3"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2,705,794</w:t>
            </w:r>
          </w:p>
        </w:tc>
        <w:tc>
          <w:tcPr>
            <w:tcW w:w="1440" w:type="dxa"/>
            <w:vAlign w:val="bottom"/>
          </w:tcPr>
          <w:p w14:paraId="541E52D9" w14:textId="7404F02A"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562,</w:t>
            </w:r>
            <w:r w:rsidR="00D31233">
              <w:rPr>
                <w:rFonts w:ascii="Arial" w:hAnsi="Arial" w:cs="Arial"/>
              </w:rPr>
              <w:t>384</w:t>
            </w:r>
          </w:p>
        </w:tc>
        <w:tc>
          <w:tcPr>
            <w:tcW w:w="1560" w:type="dxa"/>
            <w:gridSpan w:val="2"/>
          </w:tcPr>
          <w:p w14:paraId="2A5D345D" w14:textId="36417D73" w:rsidR="00CD67B3" w:rsidRPr="009F3026" w:rsidRDefault="00602051"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3,212,580</w:t>
            </w:r>
          </w:p>
        </w:tc>
        <w:tc>
          <w:tcPr>
            <w:tcW w:w="1560" w:type="dxa"/>
            <w:gridSpan w:val="2"/>
          </w:tcPr>
          <w:p w14:paraId="54AE8BFB" w14:textId="5E550B4C"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1,518,</w:t>
            </w:r>
            <w:r w:rsidR="00D31233">
              <w:rPr>
                <w:rFonts w:ascii="Arial" w:hAnsi="Arial" w:cs="Arial"/>
              </w:rPr>
              <w:t>281</w:t>
            </w:r>
          </w:p>
        </w:tc>
      </w:tr>
      <w:tr w:rsidR="00864115" w:rsidRPr="009F3026" w14:paraId="715E93D1" w14:textId="77777777" w:rsidTr="00677109">
        <w:tc>
          <w:tcPr>
            <w:tcW w:w="3772" w:type="dxa"/>
            <w:vAlign w:val="bottom"/>
          </w:tcPr>
          <w:p w14:paraId="6C27026E" w14:textId="45FA97D2" w:rsidR="00864115" w:rsidRPr="009F3026" w:rsidRDefault="00864115" w:rsidP="00864115">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Lease expense (Note 8)</w:t>
            </w:r>
          </w:p>
        </w:tc>
        <w:tc>
          <w:tcPr>
            <w:tcW w:w="1620" w:type="dxa"/>
          </w:tcPr>
          <w:p w14:paraId="2F952814" w14:textId="4B7CA031" w:rsidR="00864115" w:rsidRDefault="00B56FFD" w:rsidP="00864115">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106,418</w:t>
            </w:r>
          </w:p>
        </w:tc>
        <w:tc>
          <w:tcPr>
            <w:tcW w:w="1440" w:type="dxa"/>
            <w:vAlign w:val="bottom"/>
          </w:tcPr>
          <w:p w14:paraId="082F5352" w14:textId="50D9517F" w:rsidR="00864115" w:rsidRDefault="00864115" w:rsidP="00AA0C36">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34,</w:t>
            </w:r>
            <w:r w:rsidR="008920C4">
              <w:rPr>
                <w:rFonts w:ascii="Arial" w:hAnsi="Arial" w:cs="Arial"/>
              </w:rPr>
              <w:t>4</w:t>
            </w:r>
            <w:r w:rsidR="00AA0C36">
              <w:rPr>
                <w:rFonts w:ascii="Arial" w:hAnsi="Arial" w:cs="Arial"/>
              </w:rPr>
              <w:t>22</w:t>
            </w:r>
          </w:p>
        </w:tc>
        <w:tc>
          <w:tcPr>
            <w:tcW w:w="1560" w:type="dxa"/>
            <w:gridSpan w:val="2"/>
          </w:tcPr>
          <w:p w14:paraId="1A9C3247" w14:textId="47DC3DF5" w:rsidR="00864115" w:rsidRPr="009F3026" w:rsidRDefault="00F010A8"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209,557</w:t>
            </w:r>
          </w:p>
        </w:tc>
        <w:tc>
          <w:tcPr>
            <w:tcW w:w="1560" w:type="dxa"/>
            <w:gridSpan w:val="2"/>
            <w:vAlign w:val="bottom"/>
          </w:tcPr>
          <w:p w14:paraId="75419E30" w14:textId="622D4BB1" w:rsidR="00864115" w:rsidRDefault="00864115"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34,479</w:t>
            </w:r>
          </w:p>
        </w:tc>
      </w:tr>
      <w:tr w:rsidR="00864115" w:rsidRPr="009F3026" w14:paraId="1278D7A9" w14:textId="77777777" w:rsidTr="00677109">
        <w:tc>
          <w:tcPr>
            <w:tcW w:w="3772" w:type="dxa"/>
            <w:vAlign w:val="bottom"/>
          </w:tcPr>
          <w:p w14:paraId="510DAB98" w14:textId="22249E7F" w:rsidR="00864115" w:rsidRPr="009F3026" w:rsidRDefault="00864115" w:rsidP="00864115">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Lease liability expense (Note 8)</w:t>
            </w:r>
          </w:p>
        </w:tc>
        <w:tc>
          <w:tcPr>
            <w:tcW w:w="1620" w:type="dxa"/>
          </w:tcPr>
          <w:p w14:paraId="147CD1AB" w14:textId="0D280FD8" w:rsidR="00864115" w:rsidRDefault="00864115" w:rsidP="00864115">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45,661</w:t>
            </w:r>
          </w:p>
        </w:tc>
        <w:tc>
          <w:tcPr>
            <w:tcW w:w="1440" w:type="dxa"/>
            <w:vAlign w:val="bottom"/>
          </w:tcPr>
          <w:p w14:paraId="138452BC" w14:textId="050F1CFF" w:rsidR="00864115" w:rsidRDefault="00864115"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18,645</w:t>
            </w:r>
          </w:p>
        </w:tc>
        <w:tc>
          <w:tcPr>
            <w:tcW w:w="1560" w:type="dxa"/>
            <w:gridSpan w:val="2"/>
          </w:tcPr>
          <w:p w14:paraId="56669FF5" w14:textId="1F2404C2" w:rsidR="00864115" w:rsidRPr="009F3026" w:rsidRDefault="00864115"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93,094</w:t>
            </w:r>
          </w:p>
        </w:tc>
        <w:tc>
          <w:tcPr>
            <w:tcW w:w="1560" w:type="dxa"/>
            <w:gridSpan w:val="2"/>
            <w:vAlign w:val="bottom"/>
          </w:tcPr>
          <w:p w14:paraId="3A13538B" w14:textId="4EA8560E" w:rsidR="00864115" w:rsidRDefault="00864115" w:rsidP="00864115">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18,645</w:t>
            </w:r>
          </w:p>
        </w:tc>
      </w:tr>
      <w:tr w:rsidR="0070656C" w:rsidRPr="009F3026" w14:paraId="3C86CEDD" w14:textId="77777777" w:rsidTr="008568A1">
        <w:tc>
          <w:tcPr>
            <w:tcW w:w="3772" w:type="dxa"/>
            <w:vAlign w:val="bottom"/>
          </w:tcPr>
          <w:p w14:paraId="69518E78" w14:textId="1ABABF5E" w:rsidR="0070656C"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Licensing fees</w:t>
            </w:r>
          </w:p>
        </w:tc>
        <w:tc>
          <w:tcPr>
            <w:tcW w:w="1620" w:type="dxa"/>
          </w:tcPr>
          <w:p w14:paraId="78D37C5D" w14:textId="4301D092"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39,903</w:t>
            </w:r>
          </w:p>
        </w:tc>
        <w:tc>
          <w:tcPr>
            <w:tcW w:w="1440" w:type="dxa"/>
            <w:vAlign w:val="bottom"/>
          </w:tcPr>
          <w:p w14:paraId="6456F5C4" w14:textId="4EA7CE98" w:rsidR="0070656C"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771F5550" w14:textId="21D5224A"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79,866</w:t>
            </w:r>
          </w:p>
        </w:tc>
        <w:tc>
          <w:tcPr>
            <w:tcW w:w="1560" w:type="dxa"/>
            <w:gridSpan w:val="2"/>
          </w:tcPr>
          <w:p w14:paraId="0818DA99" w14:textId="06E1F96F" w:rsidR="0070656C"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11DED38E" w14:textId="77777777" w:rsidTr="008568A1">
        <w:tc>
          <w:tcPr>
            <w:tcW w:w="3772" w:type="dxa"/>
            <w:vAlign w:val="bottom"/>
          </w:tcPr>
          <w:p w14:paraId="025C54B8" w14:textId="77777777" w:rsidR="00CD67B3" w:rsidRPr="009F3026" w:rsidRDefault="00CD67B3" w:rsidP="00CD67B3">
            <w:pPr>
              <w:tabs>
                <w:tab w:val="left" w:pos="7214"/>
                <w:tab w:val="decimal" w:pos="8107"/>
                <w:tab w:val="left" w:pos="8467"/>
                <w:tab w:val="decimal" w:pos="9360"/>
              </w:tabs>
              <w:spacing w:after="0" w:line="240" w:lineRule="auto"/>
              <w:ind w:left="144"/>
              <w:rPr>
                <w:rFonts w:ascii="Arial" w:hAnsi="Arial" w:cs="Arial"/>
              </w:rPr>
            </w:pPr>
            <w:r w:rsidRPr="009F3026">
              <w:rPr>
                <w:rFonts w:ascii="Arial" w:hAnsi="Arial" w:cs="Arial"/>
              </w:rPr>
              <w:t>Professional fees</w:t>
            </w:r>
          </w:p>
        </w:tc>
        <w:tc>
          <w:tcPr>
            <w:tcW w:w="1620" w:type="dxa"/>
          </w:tcPr>
          <w:p w14:paraId="2B2ACA9F" w14:textId="1E46A419" w:rsidR="00CD67B3"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249,788</w:t>
            </w:r>
          </w:p>
        </w:tc>
        <w:tc>
          <w:tcPr>
            <w:tcW w:w="1440" w:type="dxa"/>
            <w:vAlign w:val="bottom"/>
          </w:tcPr>
          <w:p w14:paraId="23ABFCF3" w14:textId="1D6042AA" w:rsidR="00CD67B3"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100,928</w:t>
            </w:r>
          </w:p>
        </w:tc>
        <w:tc>
          <w:tcPr>
            <w:tcW w:w="1560" w:type="dxa"/>
            <w:gridSpan w:val="2"/>
          </w:tcPr>
          <w:p w14:paraId="1813AFD3" w14:textId="08912D34" w:rsidR="00CD67B3" w:rsidRPr="009F3026"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431,437</w:t>
            </w:r>
          </w:p>
        </w:tc>
        <w:tc>
          <w:tcPr>
            <w:tcW w:w="1560" w:type="dxa"/>
            <w:gridSpan w:val="2"/>
          </w:tcPr>
          <w:p w14:paraId="464CF84F" w14:textId="262AD810" w:rsidR="00CD67B3" w:rsidRPr="009F302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327,097</w:t>
            </w:r>
          </w:p>
        </w:tc>
      </w:tr>
      <w:tr w:rsidR="0070656C" w:rsidRPr="009F3026" w14:paraId="321299E8" w14:textId="77777777" w:rsidTr="008568A1">
        <w:tc>
          <w:tcPr>
            <w:tcW w:w="3772" w:type="dxa"/>
            <w:vAlign w:val="bottom"/>
          </w:tcPr>
          <w:p w14:paraId="2E6C5142" w14:textId="443AA44E" w:rsidR="0070656C" w:rsidRPr="009F3026" w:rsidRDefault="0070656C" w:rsidP="0070656C">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Research and development</w:t>
            </w:r>
          </w:p>
        </w:tc>
        <w:tc>
          <w:tcPr>
            <w:tcW w:w="1620" w:type="dxa"/>
          </w:tcPr>
          <w:p w14:paraId="0C760F52" w14:textId="2CB74969"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28367510" w14:textId="10EA2284" w:rsidR="0070656C"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113,145</w:t>
            </w:r>
          </w:p>
        </w:tc>
        <w:tc>
          <w:tcPr>
            <w:tcW w:w="1560" w:type="dxa"/>
            <w:gridSpan w:val="2"/>
          </w:tcPr>
          <w:p w14:paraId="4C35AA19" w14:textId="78BAD434"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59,487</w:t>
            </w:r>
          </w:p>
        </w:tc>
        <w:tc>
          <w:tcPr>
            <w:tcW w:w="1560" w:type="dxa"/>
            <w:gridSpan w:val="2"/>
          </w:tcPr>
          <w:p w14:paraId="41CB5F44" w14:textId="0E2DCD7F" w:rsidR="0070656C"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221,946</w:t>
            </w:r>
          </w:p>
        </w:tc>
      </w:tr>
      <w:tr w:rsidR="0070656C" w:rsidRPr="009F3026" w14:paraId="27A3F2AF" w14:textId="77777777" w:rsidTr="008568A1">
        <w:tc>
          <w:tcPr>
            <w:tcW w:w="3772" w:type="dxa"/>
            <w:vAlign w:val="bottom"/>
          </w:tcPr>
          <w:p w14:paraId="00DDD7AF" w14:textId="758E3C49" w:rsidR="0070656C"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Sales and marketing</w:t>
            </w:r>
          </w:p>
        </w:tc>
        <w:tc>
          <w:tcPr>
            <w:tcW w:w="1620" w:type="dxa"/>
          </w:tcPr>
          <w:p w14:paraId="59A7F28B" w14:textId="0E88178A" w:rsidR="0070656C"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1B10B184" w14:textId="013AE29F" w:rsidR="0070656C"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99</w:t>
            </w:r>
          </w:p>
        </w:tc>
        <w:tc>
          <w:tcPr>
            <w:tcW w:w="1560" w:type="dxa"/>
            <w:gridSpan w:val="2"/>
          </w:tcPr>
          <w:p w14:paraId="6A76CCEC" w14:textId="326BC953" w:rsidR="0070656C"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6AA06DDF" w14:textId="0E314374" w:rsidR="0070656C"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9,028</w:t>
            </w:r>
          </w:p>
        </w:tc>
      </w:tr>
      <w:tr w:rsidR="00D04F76" w:rsidRPr="009F3026" w14:paraId="30677E78" w14:textId="77777777" w:rsidTr="008568A1">
        <w:tc>
          <w:tcPr>
            <w:tcW w:w="3772" w:type="dxa"/>
            <w:vAlign w:val="bottom"/>
          </w:tcPr>
          <w:p w14:paraId="2C66B4CC" w14:textId="705F56B7" w:rsidR="00D04F76" w:rsidRPr="009F3026" w:rsidRDefault="0070656C" w:rsidP="00CD67B3">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Wages and salaries</w:t>
            </w:r>
          </w:p>
        </w:tc>
        <w:tc>
          <w:tcPr>
            <w:tcW w:w="1620" w:type="dxa"/>
          </w:tcPr>
          <w:p w14:paraId="7B32B126" w14:textId="15FBCD2C" w:rsidR="00D04F76"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697,201</w:t>
            </w:r>
          </w:p>
        </w:tc>
        <w:tc>
          <w:tcPr>
            <w:tcW w:w="1440" w:type="dxa"/>
            <w:vAlign w:val="bottom"/>
          </w:tcPr>
          <w:p w14:paraId="62C3041A" w14:textId="4B1497DF" w:rsidR="00D04F76"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409,597</w:t>
            </w:r>
          </w:p>
        </w:tc>
        <w:tc>
          <w:tcPr>
            <w:tcW w:w="1560" w:type="dxa"/>
            <w:gridSpan w:val="2"/>
          </w:tcPr>
          <w:p w14:paraId="6E8138AD" w14:textId="541EC4E1" w:rsidR="00D04F76" w:rsidRDefault="00602051"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1,202,257</w:t>
            </w:r>
          </w:p>
        </w:tc>
        <w:tc>
          <w:tcPr>
            <w:tcW w:w="1560" w:type="dxa"/>
            <w:gridSpan w:val="2"/>
          </w:tcPr>
          <w:p w14:paraId="6E683FE1" w14:textId="12F5631B" w:rsidR="00D04F76" w:rsidRDefault="00E34E8E" w:rsidP="00CD67B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650,111</w:t>
            </w:r>
          </w:p>
        </w:tc>
      </w:tr>
      <w:tr w:rsidR="00602051" w:rsidRPr="009F3026" w14:paraId="0A422105" w14:textId="77777777" w:rsidTr="008568A1">
        <w:tc>
          <w:tcPr>
            <w:tcW w:w="3772" w:type="dxa"/>
            <w:vAlign w:val="bottom"/>
          </w:tcPr>
          <w:p w14:paraId="47AA855B" w14:textId="067E667B" w:rsidR="00602051" w:rsidRDefault="00602051" w:rsidP="00E050EF">
            <w:pPr>
              <w:tabs>
                <w:tab w:val="left" w:pos="7214"/>
                <w:tab w:val="decimal" w:pos="8107"/>
                <w:tab w:val="left" w:pos="8467"/>
                <w:tab w:val="decimal" w:pos="9360"/>
              </w:tabs>
              <w:spacing w:after="0" w:line="240" w:lineRule="auto"/>
              <w:ind w:left="144"/>
              <w:rPr>
                <w:rFonts w:ascii="Arial" w:hAnsi="Arial" w:cs="Arial"/>
              </w:rPr>
            </w:pPr>
            <w:r>
              <w:rPr>
                <w:rFonts w:ascii="Arial" w:hAnsi="Arial" w:cs="Arial"/>
              </w:rPr>
              <w:t xml:space="preserve">Write-off of equipment (Note </w:t>
            </w:r>
            <w:r w:rsidR="00E050EF">
              <w:rPr>
                <w:rFonts w:ascii="Arial" w:hAnsi="Arial" w:cs="Arial"/>
              </w:rPr>
              <w:t>6</w:t>
            </w:r>
            <w:r>
              <w:rPr>
                <w:rFonts w:ascii="Arial" w:hAnsi="Arial" w:cs="Arial"/>
              </w:rPr>
              <w:t>)</w:t>
            </w:r>
          </w:p>
        </w:tc>
        <w:tc>
          <w:tcPr>
            <w:tcW w:w="1620" w:type="dxa"/>
          </w:tcPr>
          <w:p w14:paraId="73CABFCF" w14:textId="4EA41834" w:rsidR="00602051"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42D6601" w14:textId="321FD578" w:rsidR="00602051" w:rsidRDefault="00602051"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1CAF0D4E" w14:textId="3B73BB63" w:rsidR="00602051" w:rsidRDefault="00602051"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3,901</w:t>
            </w:r>
          </w:p>
        </w:tc>
        <w:tc>
          <w:tcPr>
            <w:tcW w:w="1560" w:type="dxa"/>
            <w:gridSpan w:val="2"/>
          </w:tcPr>
          <w:p w14:paraId="029E341E" w14:textId="0A4D32D7" w:rsidR="00602051" w:rsidRDefault="00602051" w:rsidP="00CD67B3">
            <w:pPr>
              <w:tabs>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r>
      <w:tr w:rsidR="00CD67B3" w:rsidRPr="009F3026" w14:paraId="22E96BE3" w14:textId="77777777" w:rsidTr="008568A1">
        <w:trPr>
          <w:trHeight w:hRule="exact" w:val="115"/>
        </w:trPr>
        <w:tc>
          <w:tcPr>
            <w:tcW w:w="3772" w:type="dxa"/>
            <w:tcBorders>
              <w:top w:val="single" w:sz="4" w:space="0" w:color="auto"/>
            </w:tcBorders>
            <w:vAlign w:val="bottom"/>
          </w:tcPr>
          <w:p w14:paraId="0D6B9272"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72DDD283"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42E1E726"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6F6D6482"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2B5C8E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021C24AE" w14:textId="77777777" w:rsidTr="008568A1">
        <w:tc>
          <w:tcPr>
            <w:tcW w:w="3772" w:type="dxa"/>
            <w:tcBorders>
              <w:bottom w:val="single" w:sz="4" w:space="0" w:color="auto"/>
            </w:tcBorders>
            <w:vAlign w:val="bottom"/>
          </w:tcPr>
          <w:p w14:paraId="6FDCA3C0"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expenses</w:t>
            </w:r>
          </w:p>
        </w:tc>
        <w:tc>
          <w:tcPr>
            <w:tcW w:w="1620" w:type="dxa"/>
            <w:tcBorders>
              <w:bottom w:val="single" w:sz="4" w:space="0" w:color="auto"/>
            </w:tcBorders>
          </w:tcPr>
          <w:p w14:paraId="7E82F71B" w14:textId="381A2DD8" w:rsidR="00CD67B3" w:rsidRPr="009F3026" w:rsidRDefault="006020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w:t>
            </w:r>
            <w:r w:rsidR="00B56FFD">
              <w:rPr>
                <w:rFonts w:ascii="Arial" w:hAnsi="Arial" w:cs="Arial"/>
              </w:rPr>
              <w:t>251,971</w:t>
            </w:r>
          </w:p>
        </w:tc>
        <w:tc>
          <w:tcPr>
            <w:tcW w:w="1440" w:type="dxa"/>
            <w:tcBorders>
              <w:bottom w:val="single" w:sz="4" w:space="0" w:color="auto"/>
            </w:tcBorders>
            <w:vAlign w:val="bottom"/>
          </w:tcPr>
          <w:p w14:paraId="014EB87B" w14:textId="0E8A5539"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w:t>
            </w:r>
            <w:r w:rsidR="00864115">
              <w:rPr>
                <w:rFonts w:ascii="Arial" w:hAnsi="Arial" w:cs="Arial"/>
              </w:rPr>
              <w:t>520,</w:t>
            </w:r>
            <w:r w:rsidR="00D31233">
              <w:rPr>
                <w:rFonts w:ascii="Arial" w:hAnsi="Arial" w:cs="Arial"/>
              </w:rPr>
              <w:t>837</w:t>
            </w:r>
          </w:p>
        </w:tc>
        <w:tc>
          <w:tcPr>
            <w:tcW w:w="1560" w:type="dxa"/>
            <w:gridSpan w:val="2"/>
            <w:tcBorders>
              <w:bottom w:val="single" w:sz="4" w:space="0" w:color="auto"/>
            </w:tcBorders>
          </w:tcPr>
          <w:p w14:paraId="4407E8ED" w14:textId="24F60F0D" w:rsidR="00CD67B3" w:rsidRPr="009F3026" w:rsidRDefault="00602051" w:rsidP="00F010A8">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w:t>
            </w:r>
            <w:r w:rsidR="00F010A8">
              <w:rPr>
                <w:rFonts w:ascii="Arial" w:hAnsi="Arial" w:cs="Arial"/>
              </w:rPr>
              <w:t>923,659</w:t>
            </w:r>
          </w:p>
        </w:tc>
        <w:tc>
          <w:tcPr>
            <w:tcW w:w="1560" w:type="dxa"/>
            <w:gridSpan w:val="2"/>
            <w:tcBorders>
              <w:bottom w:val="single" w:sz="4" w:space="0" w:color="auto"/>
            </w:tcBorders>
          </w:tcPr>
          <w:p w14:paraId="7E7FA64F" w14:textId="5D9F04F9"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w:t>
            </w:r>
            <w:r w:rsidR="00864115">
              <w:rPr>
                <w:rFonts w:ascii="Arial" w:hAnsi="Arial" w:cs="Arial"/>
              </w:rPr>
              <w:t>398,</w:t>
            </w:r>
            <w:r w:rsidR="00D31233">
              <w:rPr>
                <w:rFonts w:ascii="Arial" w:hAnsi="Arial" w:cs="Arial"/>
              </w:rPr>
              <w:t>738</w:t>
            </w:r>
          </w:p>
        </w:tc>
      </w:tr>
      <w:tr w:rsidR="00CD67B3" w:rsidRPr="009F3026" w14:paraId="316E128D" w14:textId="77777777" w:rsidTr="008568A1">
        <w:trPr>
          <w:trHeight w:hRule="exact" w:val="86"/>
        </w:trPr>
        <w:tc>
          <w:tcPr>
            <w:tcW w:w="3772" w:type="dxa"/>
            <w:tcBorders>
              <w:top w:val="single" w:sz="4" w:space="0" w:color="auto"/>
            </w:tcBorders>
            <w:vAlign w:val="bottom"/>
          </w:tcPr>
          <w:p w14:paraId="0CB7E3FB"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05B1D394"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120E9280"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5416F67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FFB295A"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B12FE08" w14:textId="77777777" w:rsidTr="008568A1">
        <w:tc>
          <w:tcPr>
            <w:tcW w:w="3772" w:type="dxa"/>
            <w:tcBorders>
              <w:bottom w:val="single" w:sz="4" w:space="0" w:color="auto"/>
            </w:tcBorders>
            <w:vAlign w:val="bottom"/>
          </w:tcPr>
          <w:p w14:paraId="66CA6F2E"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Loss from operations</w:t>
            </w:r>
          </w:p>
        </w:tc>
        <w:tc>
          <w:tcPr>
            <w:tcW w:w="1620" w:type="dxa"/>
            <w:tcBorders>
              <w:bottom w:val="single" w:sz="4" w:space="0" w:color="auto"/>
            </w:tcBorders>
          </w:tcPr>
          <w:p w14:paraId="7F182E3E" w14:textId="6A9E0DB4" w:rsidR="00CD67B3"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w:t>
            </w:r>
            <w:r w:rsidR="00B56FFD">
              <w:rPr>
                <w:rFonts w:ascii="Arial" w:hAnsi="Arial" w:cs="Arial"/>
              </w:rPr>
              <w:t>251,971</w:t>
            </w:r>
            <w:r>
              <w:rPr>
                <w:rFonts w:ascii="Arial" w:hAnsi="Arial" w:cs="Arial"/>
              </w:rPr>
              <w:t>)</w:t>
            </w:r>
          </w:p>
        </w:tc>
        <w:tc>
          <w:tcPr>
            <w:tcW w:w="1440" w:type="dxa"/>
            <w:tcBorders>
              <w:bottom w:val="single" w:sz="4" w:space="0" w:color="auto"/>
            </w:tcBorders>
            <w:vAlign w:val="bottom"/>
          </w:tcPr>
          <w:p w14:paraId="5DB30E5C" w14:textId="7E6C9C66" w:rsidR="00CD67B3" w:rsidRPr="009F3026" w:rsidRDefault="00602051"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E34E8E">
              <w:rPr>
                <w:rFonts w:ascii="Arial" w:hAnsi="Arial" w:cs="Arial"/>
              </w:rPr>
              <w:t>1,</w:t>
            </w:r>
            <w:r w:rsidR="00864115">
              <w:rPr>
                <w:rFonts w:ascii="Arial" w:hAnsi="Arial" w:cs="Arial"/>
              </w:rPr>
              <w:t>520,</w:t>
            </w:r>
            <w:r w:rsidR="00D31233">
              <w:rPr>
                <w:rFonts w:ascii="Arial" w:hAnsi="Arial" w:cs="Arial"/>
              </w:rPr>
              <w:t>837</w:t>
            </w:r>
            <w:r>
              <w:rPr>
                <w:rFonts w:ascii="Arial" w:hAnsi="Arial" w:cs="Arial"/>
              </w:rPr>
              <w:t>)</w:t>
            </w:r>
          </w:p>
        </w:tc>
        <w:tc>
          <w:tcPr>
            <w:tcW w:w="1560" w:type="dxa"/>
            <w:gridSpan w:val="2"/>
            <w:tcBorders>
              <w:bottom w:val="single" w:sz="4" w:space="0" w:color="auto"/>
            </w:tcBorders>
          </w:tcPr>
          <w:p w14:paraId="393AD9C8" w14:textId="016EB276" w:rsidR="00CD67B3" w:rsidRPr="009F3026" w:rsidRDefault="00602051" w:rsidP="00714A27">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w:t>
            </w:r>
            <w:r w:rsidR="00F010A8">
              <w:rPr>
                <w:rFonts w:ascii="Arial" w:hAnsi="Arial" w:cs="Arial"/>
              </w:rPr>
              <w:t>923,659</w:t>
            </w:r>
            <w:r>
              <w:rPr>
                <w:rFonts w:ascii="Arial" w:hAnsi="Arial" w:cs="Arial"/>
              </w:rPr>
              <w:t>)</w:t>
            </w:r>
          </w:p>
        </w:tc>
        <w:tc>
          <w:tcPr>
            <w:tcW w:w="1560" w:type="dxa"/>
            <w:gridSpan w:val="2"/>
            <w:tcBorders>
              <w:bottom w:val="single" w:sz="4" w:space="0" w:color="auto"/>
            </w:tcBorders>
          </w:tcPr>
          <w:p w14:paraId="21C198E3" w14:textId="4BF93BC3" w:rsidR="00CD67B3" w:rsidRPr="009F3026" w:rsidRDefault="00602051"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E34E8E">
              <w:rPr>
                <w:rFonts w:ascii="Arial" w:hAnsi="Arial" w:cs="Arial"/>
              </w:rPr>
              <w:t>3,</w:t>
            </w:r>
            <w:r w:rsidR="00864115">
              <w:rPr>
                <w:rFonts w:ascii="Arial" w:hAnsi="Arial" w:cs="Arial"/>
              </w:rPr>
              <w:t>398,</w:t>
            </w:r>
            <w:r w:rsidR="00D31233">
              <w:rPr>
                <w:rFonts w:ascii="Arial" w:hAnsi="Arial" w:cs="Arial"/>
              </w:rPr>
              <w:t>738</w:t>
            </w:r>
            <w:r>
              <w:rPr>
                <w:rFonts w:ascii="Arial" w:hAnsi="Arial" w:cs="Arial"/>
              </w:rPr>
              <w:t>)</w:t>
            </w:r>
          </w:p>
        </w:tc>
      </w:tr>
      <w:tr w:rsidR="00CD67B3" w:rsidRPr="009F3026" w14:paraId="4B1263D1" w14:textId="77777777" w:rsidTr="008568A1">
        <w:trPr>
          <w:trHeight w:hRule="exact" w:val="86"/>
        </w:trPr>
        <w:tc>
          <w:tcPr>
            <w:tcW w:w="3772" w:type="dxa"/>
            <w:vAlign w:val="bottom"/>
          </w:tcPr>
          <w:p w14:paraId="42A829E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485CA18A"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24AE196E"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461252D3"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4800358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666F7BF9" w14:textId="77777777" w:rsidTr="008568A1">
        <w:tc>
          <w:tcPr>
            <w:tcW w:w="3772" w:type="dxa"/>
            <w:vAlign w:val="bottom"/>
          </w:tcPr>
          <w:p w14:paraId="1B8C38B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Other (expenses) income </w:t>
            </w:r>
          </w:p>
        </w:tc>
        <w:tc>
          <w:tcPr>
            <w:tcW w:w="1620" w:type="dxa"/>
          </w:tcPr>
          <w:p w14:paraId="6D68C4FB"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6759BEBA"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78F6D4F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3055CB92"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3E6C38B" w14:textId="77777777" w:rsidTr="008568A1">
        <w:trPr>
          <w:trHeight w:hRule="exact" w:val="86"/>
        </w:trPr>
        <w:tc>
          <w:tcPr>
            <w:tcW w:w="3772" w:type="dxa"/>
            <w:vAlign w:val="bottom"/>
          </w:tcPr>
          <w:p w14:paraId="5DF3FACA"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Pr>
          <w:p w14:paraId="73E8F078"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4A5E2AAC"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1997E4B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732E57AF"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864115" w:rsidRPr="009F3026" w14:paraId="4470583D" w14:textId="77777777" w:rsidTr="00677109">
        <w:tc>
          <w:tcPr>
            <w:tcW w:w="3772" w:type="dxa"/>
            <w:vAlign w:val="bottom"/>
          </w:tcPr>
          <w:p w14:paraId="431AB3BF" w14:textId="03FDBB81" w:rsidR="00864115" w:rsidRDefault="00864115" w:rsidP="00677109">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Amortization of discount on convertible debentures</w:t>
            </w:r>
          </w:p>
        </w:tc>
        <w:tc>
          <w:tcPr>
            <w:tcW w:w="1620" w:type="dxa"/>
          </w:tcPr>
          <w:p w14:paraId="380F043A" w14:textId="77777777" w:rsidR="00864115" w:rsidRDefault="00864115" w:rsidP="00677109">
            <w:pPr>
              <w:tabs>
                <w:tab w:val="left" w:pos="7214"/>
                <w:tab w:val="decimal" w:pos="8107"/>
                <w:tab w:val="left" w:pos="8467"/>
                <w:tab w:val="decimal" w:pos="9360"/>
              </w:tabs>
              <w:spacing w:after="0" w:line="240" w:lineRule="auto"/>
              <w:ind w:right="270"/>
              <w:jc w:val="right"/>
              <w:rPr>
                <w:rFonts w:ascii="Arial" w:hAnsi="Arial" w:cs="Arial"/>
              </w:rPr>
            </w:pPr>
          </w:p>
          <w:p w14:paraId="726E7E0D" w14:textId="73C04DB6" w:rsidR="00864115" w:rsidRPr="009F3026" w:rsidRDefault="00B56FFD" w:rsidP="00677109">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(120,058)</w:t>
            </w:r>
          </w:p>
        </w:tc>
        <w:tc>
          <w:tcPr>
            <w:tcW w:w="1440" w:type="dxa"/>
            <w:vAlign w:val="bottom"/>
          </w:tcPr>
          <w:p w14:paraId="13E6A67F" w14:textId="0BFC5A19" w:rsidR="00864115" w:rsidRPr="009F3026" w:rsidRDefault="00864115" w:rsidP="00AA0C36">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8920C4">
              <w:rPr>
                <w:rFonts w:ascii="Arial" w:hAnsi="Arial" w:cs="Arial"/>
              </w:rPr>
              <w:t>323,89</w:t>
            </w:r>
            <w:r w:rsidR="00AA0C36">
              <w:rPr>
                <w:rFonts w:ascii="Arial" w:hAnsi="Arial" w:cs="Arial"/>
              </w:rPr>
              <w:t>3</w:t>
            </w:r>
            <w:r>
              <w:rPr>
                <w:rFonts w:ascii="Arial" w:hAnsi="Arial" w:cs="Arial"/>
              </w:rPr>
              <w:t>)</w:t>
            </w:r>
          </w:p>
        </w:tc>
        <w:tc>
          <w:tcPr>
            <w:tcW w:w="1560" w:type="dxa"/>
            <w:gridSpan w:val="2"/>
          </w:tcPr>
          <w:p w14:paraId="380F42A7" w14:textId="77777777" w:rsidR="00864115"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p>
          <w:p w14:paraId="128E0DA9" w14:textId="5FBE6057" w:rsidR="00864115" w:rsidRDefault="00F010A8"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(294,000)</w:t>
            </w:r>
          </w:p>
        </w:tc>
        <w:tc>
          <w:tcPr>
            <w:tcW w:w="1560" w:type="dxa"/>
            <w:gridSpan w:val="2"/>
          </w:tcPr>
          <w:p w14:paraId="380BCEF4" w14:textId="77777777" w:rsidR="00864115"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p>
          <w:p w14:paraId="6EAED6B9" w14:textId="23B37E95" w:rsidR="00864115" w:rsidRPr="009F3026" w:rsidRDefault="00864115" w:rsidP="00677109">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(506,249)</w:t>
            </w:r>
          </w:p>
        </w:tc>
      </w:tr>
      <w:tr w:rsidR="005F6D78" w:rsidRPr="009F3026" w14:paraId="56F16CAC" w14:textId="77777777" w:rsidTr="008568A1">
        <w:tc>
          <w:tcPr>
            <w:tcW w:w="3772" w:type="dxa"/>
            <w:vAlign w:val="bottom"/>
          </w:tcPr>
          <w:p w14:paraId="1D6E9266" w14:textId="48C946B6" w:rsidR="005F6D78" w:rsidRDefault="005F6D78"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Gain on repayment of promissory note</w:t>
            </w:r>
          </w:p>
        </w:tc>
        <w:tc>
          <w:tcPr>
            <w:tcW w:w="1620" w:type="dxa"/>
          </w:tcPr>
          <w:p w14:paraId="35F313B8" w14:textId="27E2DBB7" w:rsidR="005F6D7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9484A51" w14:textId="09F2E22B" w:rsidR="005F6D78"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sidRPr="009F3026">
              <w:rPr>
                <w:rFonts w:ascii="Arial" w:hAnsi="Arial" w:cs="Arial"/>
              </w:rPr>
              <w:t>–</w:t>
            </w:r>
          </w:p>
        </w:tc>
        <w:tc>
          <w:tcPr>
            <w:tcW w:w="1560" w:type="dxa"/>
            <w:gridSpan w:val="2"/>
          </w:tcPr>
          <w:p w14:paraId="7557E269" w14:textId="04000690" w:rsidR="005F6D78" w:rsidRDefault="00E34E8E" w:rsidP="000F4278">
            <w:pPr>
              <w:tabs>
                <w:tab w:val="left" w:pos="1260"/>
                <w:tab w:val="left" w:pos="7214"/>
                <w:tab w:val="decimal" w:pos="8107"/>
                <w:tab w:val="left" w:pos="8467"/>
                <w:tab w:val="decimal" w:pos="9360"/>
              </w:tabs>
              <w:spacing w:after="0" w:line="240" w:lineRule="auto"/>
              <w:ind w:right="114"/>
              <w:jc w:val="right"/>
              <w:rPr>
                <w:rFonts w:ascii="Arial" w:hAnsi="Arial" w:cs="Arial"/>
              </w:rPr>
            </w:pPr>
            <w:r w:rsidRPr="009F3026">
              <w:rPr>
                <w:rFonts w:ascii="Arial" w:hAnsi="Arial" w:cs="Arial"/>
              </w:rPr>
              <w:t>–</w:t>
            </w:r>
          </w:p>
        </w:tc>
        <w:tc>
          <w:tcPr>
            <w:tcW w:w="1560" w:type="dxa"/>
            <w:gridSpan w:val="2"/>
          </w:tcPr>
          <w:p w14:paraId="4795BFF1" w14:textId="59DEC1FA" w:rsidR="005F6D78" w:rsidRPr="009F3026" w:rsidRDefault="00E34E8E"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8,890</w:t>
            </w:r>
          </w:p>
        </w:tc>
      </w:tr>
      <w:tr w:rsidR="00CD67B3" w:rsidRPr="009F3026" w14:paraId="04A508AF" w14:textId="77777777" w:rsidTr="008568A1">
        <w:tc>
          <w:tcPr>
            <w:tcW w:w="3772" w:type="dxa"/>
            <w:vAlign w:val="bottom"/>
          </w:tcPr>
          <w:p w14:paraId="76D5BA51" w14:textId="77777777" w:rsidR="00CD67B3" w:rsidRPr="009F3026" w:rsidRDefault="00CD67B3" w:rsidP="00CD67B3">
            <w:pPr>
              <w:tabs>
                <w:tab w:val="left" w:pos="7214"/>
                <w:tab w:val="decimal" w:pos="8107"/>
                <w:tab w:val="left" w:pos="8467"/>
                <w:tab w:val="decimal" w:pos="9360"/>
              </w:tabs>
              <w:spacing w:after="0" w:line="240" w:lineRule="auto"/>
              <w:ind w:left="276" w:hanging="142"/>
              <w:rPr>
                <w:rFonts w:ascii="Arial" w:hAnsi="Arial" w:cs="Arial"/>
              </w:rPr>
            </w:pPr>
            <w:r w:rsidRPr="009F3026">
              <w:rPr>
                <w:rFonts w:ascii="Arial" w:hAnsi="Arial" w:cs="Arial"/>
              </w:rPr>
              <w:t>Interest expense</w:t>
            </w:r>
          </w:p>
        </w:tc>
        <w:tc>
          <w:tcPr>
            <w:tcW w:w="1620" w:type="dxa"/>
          </w:tcPr>
          <w:p w14:paraId="0059B3D6" w14:textId="3C7FEC4A" w:rsidR="00CD67B3" w:rsidRPr="009F3026" w:rsidRDefault="006020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w:t>
            </w:r>
            <w:r w:rsidR="00B56FFD">
              <w:rPr>
                <w:rFonts w:ascii="Arial" w:hAnsi="Arial" w:cs="Arial"/>
              </w:rPr>
              <w:t>15,698</w:t>
            </w:r>
            <w:r>
              <w:rPr>
                <w:rFonts w:ascii="Arial" w:hAnsi="Arial" w:cs="Arial"/>
              </w:rPr>
              <w:t>)</w:t>
            </w:r>
          </w:p>
        </w:tc>
        <w:tc>
          <w:tcPr>
            <w:tcW w:w="1440" w:type="dxa"/>
            <w:vAlign w:val="bottom"/>
          </w:tcPr>
          <w:p w14:paraId="0C54B658" w14:textId="5463FA4F" w:rsidR="00CD67B3" w:rsidRPr="009F3026" w:rsidRDefault="00E34E8E" w:rsidP="00864115">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864115">
              <w:rPr>
                <w:rFonts w:ascii="Arial" w:hAnsi="Arial" w:cs="Arial"/>
              </w:rPr>
              <w:t>5</w:t>
            </w:r>
            <w:r>
              <w:rPr>
                <w:rFonts w:ascii="Arial" w:hAnsi="Arial" w:cs="Arial"/>
              </w:rPr>
              <w:t>)</w:t>
            </w:r>
          </w:p>
        </w:tc>
        <w:tc>
          <w:tcPr>
            <w:tcW w:w="1560" w:type="dxa"/>
            <w:gridSpan w:val="2"/>
          </w:tcPr>
          <w:p w14:paraId="28E3F7C8" w14:textId="0C7137D5" w:rsidR="00CD67B3" w:rsidRPr="009F3026" w:rsidRDefault="00602051"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F010A8">
              <w:rPr>
                <w:rFonts w:ascii="Arial" w:hAnsi="Arial" w:cs="Arial"/>
              </w:rPr>
              <w:t>134,</w:t>
            </w:r>
            <w:r w:rsidR="00302F03">
              <w:rPr>
                <w:rFonts w:ascii="Arial" w:hAnsi="Arial" w:cs="Arial"/>
              </w:rPr>
              <w:t>303</w:t>
            </w:r>
            <w:r>
              <w:rPr>
                <w:rFonts w:ascii="Arial" w:hAnsi="Arial" w:cs="Arial"/>
              </w:rPr>
              <w:t>)</w:t>
            </w:r>
          </w:p>
        </w:tc>
        <w:tc>
          <w:tcPr>
            <w:tcW w:w="1560" w:type="dxa"/>
            <w:gridSpan w:val="2"/>
          </w:tcPr>
          <w:p w14:paraId="4CA58325" w14:textId="21DFABE3" w:rsidR="00CD67B3" w:rsidRPr="009F3026" w:rsidRDefault="00E34E8E"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864115">
              <w:rPr>
                <w:rFonts w:ascii="Arial" w:hAnsi="Arial" w:cs="Arial"/>
              </w:rPr>
              <w:t>4,126</w:t>
            </w:r>
            <w:r>
              <w:rPr>
                <w:rFonts w:ascii="Arial" w:hAnsi="Arial" w:cs="Arial"/>
              </w:rPr>
              <w:t>)</w:t>
            </w:r>
          </w:p>
        </w:tc>
      </w:tr>
      <w:tr w:rsidR="005F6D78" w:rsidRPr="009F3026" w14:paraId="6FF9FE1D" w14:textId="77777777" w:rsidTr="008568A1">
        <w:tc>
          <w:tcPr>
            <w:tcW w:w="3772" w:type="dxa"/>
            <w:vAlign w:val="bottom"/>
          </w:tcPr>
          <w:p w14:paraId="2FBDF660" w14:textId="275188C0" w:rsidR="005F6D78" w:rsidRPr="009F3026" w:rsidRDefault="005F6D78" w:rsidP="00CD67B3">
            <w:pPr>
              <w:tabs>
                <w:tab w:val="left" w:pos="7214"/>
                <w:tab w:val="decimal" w:pos="8107"/>
                <w:tab w:val="left" w:pos="8467"/>
                <w:tab w:val="decimal" w:pos="9360"/>
              </w:tabs>
              <w:spacing w:after="0" w:line="240" w:lineRule="auto"/>
              <w:ind w:left="276" w:hanging="142"/>
              <w:rPr>
                <w:rFonts w:ascii="Arial" w:hAnsi="Arial" w:cs="Arial"/>
              </w:rPr>
            </w:pPr>
            <w:r>
              <w:rPr>
                <w:rFonts w:ascii="Arial" w:hAnsi="Arial" w:cs="Arial"/>
              </w:rPr>
              <w:t>Other</w:t>
            </w:r>
          </w:p>
        </w:tc>
        <w:tc>
          <w:tcPr>
            <w:tcW w:w="1620" w:type="dxa"/>
          </w:tcPr>
          <w:p w14:paraId="25A199E4" w14:textId="5E51DF74" w:rsidR="005F6D78" w:rsidRPr="009F3026" w:rsidRDefault="00602051" w:rsidP="00CD67B3">
            <w:pPr>
              <w:tabs>
                <w:tab w:val="left" w:pos="7214"/>
                <w:tab w:val="decimal" w:pos="8107"/>
                <w:tab w:val="left" w:pos="8467"/>
                <w:tab w:val="decimal" w:pos="9360"/>
              </w:tabs>
              <w:spacing w:after="0" w:line="240" w:lineRule="auto"/>
              <w:ind w:right="270"/>
              <w:jc w:val="right"/>
              <w:rPr>
                <w:rFonts w:ascii="Arial" w:hAnsi="Arial" w:cs="Arial"/>
              </w:rPr>
            </w:pPr>
            <w:r w:rsidRPr="009F3026">
              <w:rPr>
                <w:rFonts w:ascii="Arial" w:hAnsi="Arial" w:cs="Arial"/>
              </w:rPr>
              <w:t>–</w:t>
            </w:r>
          </w:p>
        </w:tc>
        <w:tc>
          <w:tcPr>
            <w:tcW w:w="1440" w:type="dxa"/>
            <w:vAlign w:val="bottom"/>
          </w:tcPr>
          <w:p w14:paraId="43999193" w14:textId="66DAD25C" w:rsidR="005F6D78" w:rsidRPr="009F3026" w:rsidRDefault="00E34E8E" w:rsidP="00CD67B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(383)</w:t>
            </w:r>
          </w:p>
        </w:tc>
        <w:tc>
          <w:tcPr>
            <w:tcW w:w="1560" w:type="dxa"/>
            <w:gridSpan w:val="2"/>
          </w:tcPr>
          <w:p w14:paraId="757294C2" w14:textId="0D2DE4A9" w:rsidR="005F6D78" w:rsidRDefault="00602051" w:rsidP="00BA285C">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26,642</w:t>
            </w:r>
          </w:p>
        </w:tc>
        <w:tc>
          <w:tcPr>
            <w:tcW w:w="1560" w:type="dxa"/>
            <w:gridSpan w:val="2"/>
          </w:tcPr>
          <w:p w14:paraId="47C1C6F2" w14:textId="29F2048E" w:rsidR="005F6D78" w:rsidRDefault="00E34E8E"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(34,782)</w:t>
            </w:r>
          </w:p>
        </w:tc>
      </w:tr>
      <w:tr w:rsidR="00CD67B3" w:rsidRPr="009F3026" w14:paraId="546F864B" w14:textId="77777777" w:rsidTr="008568A1">
        <w:trPr>
          <w:trHeight w:hRule="exact" w:val="86"/>
        </w:trPr>
        <w:tc>
          <w:tcPr>
            <w:tcW w:w="3772" w:type="dxa"/>
            <w:tcBorders>
              <w:top w:val="single" w:sz="4" w:space="0" w:color="auto"/>
            </w:tcBorders>
            <w:vAlign w:val="bottom"/>
          </w:tcPr>
          <w:p w14:paraId="4A4AE276"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35DEAE3F"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3ACF778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tcPr>
          <w:p w14:paraId="4428A126"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65BB105C"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CC440E4" w14:textId="77777777" w:rsidTr="008568A1">
        <w:tc>
          <w:tcPr>
            <w:tcW w:w="3772" w:type="dxa"/>
            <w:tcBorders>
              <w:bottom w:val="single" w:sz="4" w:space="0" w:color="auto"/>
            </w:tcBorders>
            <w:vAlign w:val="bottom"/>
          </w:tcPr>
          <w:p w14:paraId="557FC229"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Total other</w:t>
            </w:r>
            <w:r>
              <w:rPr>
                <w:rFonts w:ascii="Arial" w:hAnsi="Arial" w:cs="Arial"/>
              </w:rPr>
              <w:t xml:space="preserve"> income</w:t>
            </w:r>
            <w:r w:rsidRPr="009F3026">
              <w:rPr>
                <w:rFonts w:ascii="Arial" w:hAnsi="Arial" w:cs="Arial"/>
              </w:rPr>
              <w:t xml:space="preserve"> (expenses) </w:t>
            </w:r>
          </w:p>
        </w:tc>
        <w:tc>
          <w:tcPr>
            <w:tcW w:w="1620" w:type="dxa"/>
            <w:tcBorders>
              <w:bottom w:val="single" w:sz="4" w:space="0" w:color="auto"/>
            </w:tcBorders>
          </w:tcPr>
          <w:p w14:paraId="214893B6" w14:textId="2A198999" w:rsidR="00CD67B3" w:rsidRPr="009F3026" w:rsidRDefault="006020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w:t>
            </w:r>
            <w:r w:rsidR="00B56FFD">
              <w:rPr>
                <w:rFonts w:ascii="Arial" w:hAnsi="Arial" w:cs="Arial"/>
              </w:rPr>
              <w:t>135,756</w:t>
            </w:r>
            <w:r>
              <w:rPr>
                <w:rFonts w:ascii="Arial" w:hAnsi="Arial" w:cs="Arial"/>
              </w:rPr>
              <w:t>)</w:t>
            </w:r>
          </w:p>
        </w:tc>
        <w:tc>
          <w:tcPr>
            <w:tcW w:w="1440" w:type="dxa"/>
            <w:tcBorders>
              <w:bottom w:val="single" w:sz="4" w:space="0" w:color="auto"/>
            </w:tcBorders>
            <w:vAlign w:val="bottom"/>
          </w:tcPr>
          <w:p w14:paraId="78576769" w14:textId="2656B919" w:rsidR="00CD67B3" w:rsidRPr="009F3026" w:rsidRDefault="00E34E8E" w:rsidP="008920C4">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w:t>
            </w:r>
            <w:r w:rsidR="008920C4">
              <w:rPr>
                <w:rFonts w:ascii="Arial" w:hAnsi="Arial" w:cs="Arial"/>
              </w:rPr>
              <w:t>324,281</w:t>
            </w:r>
            <w:r>
              <w:rPr>
                <w:rFonts w:ascii="Arial" w:hAnsi="Arial" w:cs="Arial"/>
              </w:rPr>
              <w:t>)</w:t>
            </w:r>
          </w:p>
        </w:tc>
        <w:tc>
          <w:tcPr>
            <w:tcW w:w="1560" w:type="dxa"/>
            <w:gridSpan w:val="2"/>
            <w:tcBorders>
              <w:bottom w:val="single" w:sz="4" w:space="0" w:color="auto"/>
            </w:tcBorders>
          </w:tcPr>
          <w:p w14:paraId="4C270D1F" w14:textId="42842E39" w:rsidR="00CD67B3" w:rsidRPr="009F3026" w:rsidRDefault="00B700F4" w:rsidP="00302F03">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F010A8">
              <w:rPr>
                <w:rFonts w:ascii="Arial" w:hAnsi="Arial" w:cs="Arial"/>
              </w:rPr>
              <w:t>401,6</w:t>
            </w:r>
            <w:r w:rsidR="00302F03">
              <w:rPr>
                <w:rFonts w:ascii="Arial" w:hAnsi="Arial" w:cs="Arial"/>
              </w:rPr>
              <w:t>61</w:t>
            </w:r>
            <w:r>
              <w:rPr>
                <w:rFonts w:ascii="Arial" w:hAnsi="Arial" w:cs="Arial"/>
              </w:rPr>
              <w:t>)</w:t>
            </w:r>
          </w:p>
        </w:tc>
        <w:tc>
          <w:tcPr>
            <w:tcW w:w="1560" w:type="dxa"/>
            <w:gridSpan w:val="2"/>
            <w:tcBorders>
              <w:bottom w:val="single" w:sz="4" w:space="0" w:color="auto"/>
            </w:tcBorders>
          </w:tcPr>
          <w:p w14:paraId="112F4059" w14:textId="195D0345" w:rsidR="00CD67B3" w:rsidRPr="009F3026" w:rsidRDefault="00E34E8E" w:rsidP="00864115">
            <w:pPr>
              <w:tabs>
                <w:tab w:val="left" w:pos="1260"/>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864115">
              <w:rPr>
                <w:rFonts w:ascii="Arial" w:hAnsi="Arial" w:cs="Arial"/>
              </w:rPr>
              <w:t>536,267</w:t>
            </w:r>
            <w:r>
              <w:rPr>
                <w:rFonts w:ascii="Arial" w:hAnsi="Arial" w:cs="Arial"/>
              </w:rPr>
              <w:t>)</w:t>
            </w:r>
          </w:p>
        </w:tc>
      </w:tr>
      <w:tr w:rsidR="00CD67B3" w:rsidRPr="009F3026" w14:paraId="41BB30D7" w14:textId="77777777" w:rsidTr="008568A1">
        <w:trPr>
          <w:trHeight w:hRule="exact" w:val="115"/>
        </w:trPr>
        <w:tc>
          <w:tcPr>
            <w:tcW w:w="3772" w:type="dxa"/>
            <w:tcBorders>
              <w:top w:val="single" w:sz="4" w:space="0" w:color="auto"/>
            </w:tcBorders>
            <w:vAlign w:val="bottom"/>
          </w:tcPr>
          <w:p w14:paraId="6FFA4B42"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70261A6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00D01CAB"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4" w:space="0" w:color="auto"/>
            </w:tcBorders>
          </w:tcPr>
          <w:p w14:paraId="4AE87C99"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5400E76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5A000B5D" w14:textId="77777777" w:rsidTr="008568A1">
        <w:tc>
          <w:tcPr>
            <w:tcW w:w="3772" w:type="dxa"/>
            <w:tcBorders>
              <w:bottom w:val="single" w:sz="12" w:space="0" w:color="auto"/>
            </w:tcBorders>
            <w:vAlign w:val="bottom"/>
          </w:tcPr>
          <w:p w14:paraId="454D85B1"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Pr>
                <w:rFonts w:ascii="Arial" w:hAnsi="Arial" w:cs="Arial"/>
              </w:rPr>
              <w:t>Net loss</w:t>
            </w:r>
            <w:r w:rsidRPr="009F3026">
              <w:rPr>
                <w:rFonts w:ascii="Arial" w:hAnsi="Arial" w:cs="Arial"/>
              </w:rPr>
              <w:t xml:space="preserve"> </w:t>
            </w:r>
          </w:p>
        </w:tc>
        <w:tc>
          <w:tcPr>
            <w:tcW w:w="1620" w:type="dxa"/>
            <w:tcBorders>
              <w:bottom w:val="single" w:sz="12" w:space="0" w:color="auto"/>
            </w:tcBorders>
          </w:tcPr>
          <w:p w14:paraId="4A0EAC1F" w14:textId="07E160F8" w:rsidR="00CD67B3" w:rsidRPr="009F3026" w:rsidRDefault="00602051" w:rsidP="00B56FF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w:t>
            </w:r>
            <w:r w:rsidR="00B56FFD">
              <w:rPr>
                <w:rFonts w:ascii="Arial" w:hAnsi="Arial" w:cs="Arial"/>
              </w:rPr>
              <w:t>387,727</w:t>
            </w:r>
            <w:r>
              <w:rPr>
                <w:rFonts w:ascii="Arial" w:hAnsi="Arial" w:cs="Arial"/>
              </w:rPr>
              <w:t>)</w:t>
            </w:r>
          </w:p>
        </w:tc>
        <w:tc>
          <w:tcPr>
            <w:tcW w:w="1440" w:type="dxa"/>
            <w:tcBorders>
              <w:bottom w:val="single" w:sz="12" w:space="0" w:color="auto"/>
            </w:tcBorders>
            <w:vAlign w:val="bottom"/>
          </w:tcPr>
          <w:p w14:paraId="2FEDEC6B" w14:textId="02A3CD37"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w:t>
            </w:r>
            <w:r w:rsidR="008920C4">
              <w:rPr>
                <w:rFonts w:ascii="Arial" w:hAnsi="Arial" w:cs="Arial"/>
              </w:rPr>
              <w:t>845,</w:t>
            </w:r>
            <w:r w:rsidR="00D31233">
              <w:rPr>
                <w:rFonts w:ascii="Arial" w:hAnsi="Arial" w:cs="Arial"/>
              </w:rPr>
              <w:t>118</w:t>
            </w:r>
            <w:r>
              <w:rPr>
                <w:rFonts w:ascii="Arial" w:hAnsi="Arial" w:cs="Arial"/>
              </w:rPr>
              <w:t>)</w:t>
            </w:r>
          </w:p>
        </w:tc>
        <w:tc>
          <w:tcPr>
            <w:tcW w:w="1560" w:type="dxa"/>
            <w:gridSpan w:val="2"/>
            <w:tcBorders>
              <w:bottom w:val="single" w:sz="12" w:space="0" w:color="auto"/>
            </w:tcBorders>
          </w:tcPr>
          <w:p w14:paraId="55937F77" w14:textId="031EB978" w:rsidR="00CD67B3" w:rsidRPr="009F3026" w:rsidRDefault="00B700F4" w:rsidP="00F010A8">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(6,</w:t>
            </w:r>
            <w:r w:rsidR="00302F03">
              <w:rPr>
                <w:rFonts w:ascii="Arial" w:hAnsi="Arial" w:cs="Arial"/>
              </w:rPr>
              <w:t>325,320</w:t>
            </w:r>
            <w:r>
              <w:rPr>
                <w:rFonts w:ascii="Arial" w:hAnsi="Arial" w:cs="Arial"/>
              </w:rPr>
              <w:t>)</w:t>
            </w:r>
          </w:p>
        </w:tc>
        <w:tc>
          <w:tcPr>
            <w:tcW w:w="1560" w:type="dxa"/>
            <w:gridSpan w:val="2"/>
            <w:tcBorders>
              <w:bottom w:val="single" w:sz="12" w:space="0" w:color="auto"/>
            </w:tcBorders>
          </w:tcPr>
          <w:p w14:paraId="168DD3B9" w14:textId="564BCD77"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w:t>
            </w:r>
            <w:r w:rsidR="00D31233">
              <w:rPr>
                <w:rFonts w:ascii="Arial" w:hAnsi="Arial" w:cs="Arial"/>
              </w:rPr>
              <w:t>935,005</w:t>
            </w:r>
            <w:r>
              <w:rPr>
                <w:rFonts w:ascii="Arial" w:hAnsi="Arial" w:cs="Arial"/>
              </w:rPr>
              <w:t>)</w:t>
            </w:r>
          </w:p>
        </w:tc>
      </w:tr>
      <w:tr w:rsidR="00CD67B3" w:rsidRPr="009F3026" w14:paraId="55BED344" w14:textId="77777777" w:rsidTr="008568A1">
        <w:tc>
          <w:tcPr>
            <w:tcW w:w="3772" w:type="dxa"/>
            <w:tcBorders>
              <w:top w:val="single" w:sz="12" w:space="0" w:color="auto"/>
            </w:tcBorders>
            <w:vAlign w:val="bottom"/>
          </w:tcPr>
          <w:p w14:paraId="4EC0E09A" w14:textId="77777777" w:rsidR="00CD67B3"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58754A6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26B48F83"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tcPr>
          <w:p w14:paraId="77F2679B"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tcPr>
          <w:p w14:paraId="297DAF67"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72FC1827" w14:textId="77777777" w:rsidTr="008568A1">
        <w:tc>
          <w:tcPr>
            <w:tcW w:w="3772" w:type="dxa"/>
            <w:vAlign w:val="bottom"/>
          </w:tcPr>
          <w:p w14:paraId="14BBB12C" w14:textId="669B3561" w:rsidR="00CD67B3" w:rsidRDefault="00CD67B3" w:rsidP="00797DFA">
            <w:pPr>
              <w:tabs>
                <w:tab w:val="left" w:pos="7214"/>
                <w:tab w:val="decimal" w:pos="8107"/>
                <w:tab w:val="left" w:pos="8467"/>
                <w:tab w:val="decimal" w:pos="9360"/>
              </w:tabs>
              <w:spacing w:after="0" w:line="240" w:lineRule="auto"/>
              <w:rPr>
                <w:rFonts w:ascii="Arial" w:hAnsi="Arial" w:cs="Arial"/>
              </w:rPr>
            </w:pPr>
            <w:r>
              <w:rPr>
                <w:rFonts w:ascii="Arial" w:hAnsi="Arial" w:cs="Arial"/>
              </w:rPr>
              <w:t>Other comprehensive</w:t>
            </w:r>
            <w:r w:rsidR="00C755FA">
              <w:rPr>
                <w:rFonts w:ascii="Arial" w:hAnsi="Arial" w:cs="Arial"/>
              </w:rPr>
              <w:t xml:space="preserve"> </w:t>
            </w:r>
            <w:r w:rsidR="00797DFA">
              <w:rPr>
                <w:rFonts w:ascii="Arial" w:hAnsi="Arial" w:cs="Arial"/>
              </w:rPr>
              <w:t>gain</w:t>
            </w:r>
            <w:r>
              <w:rPr>
                <w:rFonts w:ascii="Arial" w:hAnsi="Arial" w:cs="Arial"/>
              </w:rPr>
              <w:t xml:space="preserve"> </w:t>
            </w:r>
          </w:p>
        </w:tc>
        <w:tc>
          <w:tcPr>
            <w:tcW w:w="1620" w:type="dxa"/>
          </w:tcPr>
          <w:p w14:paraId="7F8893D0"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vAlign w:val="bottom"/>
          </w:tcPr>
          <w:p w14:paraId="359B808F"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Pr>
          <w:p w14:paraId="299FBA4E"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Pr>
          <w:p w14:paraId="6FBAF955"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05096122" w14:textId="77777777" w:rsidTr="008568A1">
        <w:tc>
          <w:tcPr>
            <w:tcW w:w="3772" w:type="dxa"/>
            <w:vAlign w:val="bottom"/>
          </w:tcPr>
          <w:p w14:paraId="4C378E1F" w14:textId="77777777" w:rsidR="00CD67B3" w:rsidRDefault="00CD67B3" w:rsidP="00CD67B3">
            <w:pPr>
              <w:tabs>
                <w:tab w:val="left" w:pos="7214"/>
                <w:tab w:val="decimal" w:pos="8107"/>
                <w:tab w:val="left" w:pos="8467"/>
                <w:tab w:val="decimal" w:pos="9360"/>
              </w:tabs>
              <w:spacing w:after="0" w:line="240" w:lineRule="auto"/>
              <w:ind w:left="172"/>
              <w:rPr>
                <w:rFonts w:ascii="Arial" w:hAnsi="Arial" w:cs="Arial"/>
              </w:rPr>
            </w:pPr>
            <w:r>
              <w:rPr>
                <w:rFonts w:ascii="Arial" w:hAnsi="Arial" w:cs="Arial"/>
              </w:rPr>
              <w:t>Foreign currency translation adjustment</w:t>
            </w:r>
          </w:p>
        </w:tc>
        <w:tc>
          <w:tcPr>
            <w:tcW w:w="1620" w:type="dxa"/>
          </w:tcPr>
          <w:p w14:paraId="0A542224" w14:textId="77CF8A6A" w:rsidR="00CD67B3" w:rsidRPr="009F3026" w:rsidRDefault="00CD21AD" w:rsidP="00CD67B3">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133,557</w:t>
            </w:r>
          </w:p>
        </w:tc>
        <w:tc>
          <w:tcPr>
            <w:tcW w:w="1440" w:type="dxa"/>
            <w:vAlign w:val="bottom"/>
          </w:tcPr>
          <w:p w14:paraId="58AE819D" w14:textId="3BACDF0F" w:rsidR="00CD67B3" w:rsidRPr="009F3026" w:rsidRDefault="00E34E8E" w:rsidP="00F314AC">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18,</w:t>
            </w:r>
            <w:r w:rsidR="00F314AC">
              <w:rPr>
                <w:rFonts w:ascii="Arial" w:hAnsi="Arial" w:cs="Arial"/>
              </w:rPr>
              <w:t>192</w:t>
            </w:r>
          </w:p>
        </w:tc>
        <w:tc>
          <w:tcPr>
            <w:tcW w:w="1560" w:type="dxa"/>
            <w:gridSpan w:val="2"/>
            <w:shd w:val="clear" w:color="auto" w:fill="auto"/>
          </w:tcPr>
          <w:p w14:paraId="39AF4944" w14:textId="1E105F8C" w:rsidR="00CD67B3" w:rsidRPr="00BD3189" w:rsidRDefault="00B700F4" w:rsidP="00C7081F">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12,</w:t>
            </w:r>
            <w:r w:rsidR="00F010A8">
              <w:rPr>
                <w:rFonts w:ascii="Arial" w:hAnsi="Arial" w:cs="Arial"/>
              </w:rPr>
              <w:t>556</w:t>
            </w:r>
          </w:p>
        </w:tc>
        <w:tc>
          <w:tcPr>
            <w:tcW w:w="1560" w:type="dxa"/>
            <w:gridSpan w:val="2"/>
          </w:tcPr>
          <w:p w14:paraId="149A7864" w14:textId="70A79D38" w:rsidR="00CD67B3" w:rsidRPr="009F3026" w:rsidRDefault="00E34E8E" w:rsidP="00F314AC">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53,</w:t>
            </w:r>
            <w:r w:rsidR="00F314AC">
              <w:rPr>
                <w:rFonts w:ascii="Arial" w:hAnsi="Arial" w:cs="Arial"/>
              </w:rPr>
              <w:t>298</w:t>
            </w:r>
          </w:p>
        </w:tc>
      </w:tr>
      <w:tr w:rsidR="00CD67B3" w:rsidRPr="009F3026" w14:paraId="2B7E1F92" w14:textId="77777777" w:rsidTr="008568A1">
        <w:trPr>
          <w:trHeight w:hRule="exact" w:val="86"/>
        </w:trPr>
        <w:tc>
          <w:tcPr>
            <w:tcW w:w="3772" w:type="dxa"/>
            <w:tcBorders>
              <w:top w:val="single" w:sz="4" w:space="0" w:color="auto"/>
            </w:tcBorders>
            <w:vAlign w:val="bottom"/>
          </w:tcPr>
          <w:p w14:paraId="53E00FCB"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4" w:space="0" w:color="auto"/>
            </w:tcBorders>
          </w:tcPr>
          <w:p w14:paraId="55CAD2A9"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4" w:space="0" w:color="auto"/>
            </w:tcBorders>
            <w:vAlign w:val="bottom"/>
          </w:tcPr>
          <w:p w14:paraId="61007728"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center"/>
              <w:rPr>
                <w:rFonts w:ascii="Arial" w:hAnsi="Arial" w:cs="Arial"/>
              </w:rPr>
            </w:pPr>
          </w:p>
        </w:tc>
        <w:tc>
          <w:tcPr>
            <w:tcW w:w="1560" w:type="dxa"/>
            <w:gridSpan w:val="2"/>
            <w:tcBorders>
              <w:top w:val="single" w:sz="4" w:space="0" w:color="auto"/>
            </w:tcBorders>
            <w:shd w:val="clear" w:color="auto" w:fill="auto"/>
          </w:tcPr>
          <w:p w14:paraId="69E82A99" w14:textId="77777777" w:rsidR="00CD67B3" w:rsidRPr="00BD3189"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4" w:space="0" w:color="auto"/>
            </w:tcBorders>
          </w:tcPr>
          <w:p w14:paraId="0AB70D19" w14:textId="77777777" w:rsidR="00CD67B3" w:rsidRPr="009F3026" w:rsidRDefault="00CD67B3" w:rsidP="00CD67B3">
            <w:pPr>
              <w:tabs>
                <w:tab w:val="left" w:pos="1260"/>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8942CB7" w14:textId="77777777" w:rsidTr="008568A1">
        <w:tc>
          <w:tcPr>
            <w:tcW w:w="3772" w:type="dxa"/>
            <w:tcBorders>
              <w:bottom w:val="single" w:sz="12" w:space="0" w:color="auto"/>
            </w:tcBorders>
            <w:vAlign w:val="bottom"/>
          </w:tcPr>
          <w:p w14:paraId="208DF351" w14:textId="77777777" w:rsidR="00CD67B3" w:rsidRPr="009F3026" w:rsidRDefault="00CD67B3" w:rsidP="006711D0">
            <w:pPr>
              <w:tabs>
                <w:tab w:val="left" w:pos="7214"/>
                <w:tab w:val="decimal" w:pos="8107"/>
                <w:tab w:val="left" w:pos="8467"/>
                <w:tab w:val="decimal" w:pos="9360"/>
              </w:tabs>
              <w:spacing w:after="0" w:line="240" w:lineRule="auto"/>
              <w:rPr>
                <w:rFonts w:ascii="Arial" w:hAnsi="Arial" w:cs="Arial"/>
              </w:rPr>
            </w:pPr>
            <w:r>
              <w:rPr>
                <w:rFonts w:ascii="Arial" w:hAnsi="Arial" w:cs="Arial"/>
              </w:rPr>
              <w:t>Net comprehensive</w:t>
            </w:r>
            <w:r w:rsidR="000F4278">
              <w:rPr>
                <w:rFonts w:ascii="Arial" w:hAnsi="Arial" w:cs="Arial"/>
              </w:rPr>
              <w:t xml:space="preserve"> </w:t>
            </w:r>
            <w:r>
              <w:rPr>
                <w:rFonts w:ascii="Arial" w:hAnsi="Arial" w:cs="Arial"/>
              </w:rPr>
              <w:t>loss</w:t>
            </w:r>
            <w:r w:rsidRPr="009F3026">
              <w:rPr>
                <w:rFonts w:ascii="Arial" w:hAnsi="Arial" w:cs="Arial"/>
              </w:rPr>
              <w:t xml:space="preserve"> </w:t>
            </w:r>
          </w:p>
        </w:tc>
        <w:tc>
          <w:tcPr>
            <w:tcW w:w="1620" w:type="dxa"/>
            <w:tcBorders>
              <w:bottom w:val="single" w:sz="12" w:space="0" w:color="auto"/>
            </w:tcBorders>
          </w:tcPr>
          <w:p w14:paraId="00BC24A6" w14:textId="2033856D" w:rsidR="00CD67B3" w:rsidRPr="009F3026" w:rsidRDefault="00602051" w:rsidP="00CD21AD">
            <w:pPr>
              <w:tabs>
                <w:tab w:val="left" w:pos="7214"/>
                <w:tab w:val="decimal" w:pos="8107"/>
                <w:tab w:val="left" w:pos="8467"/>
                <w:tab w:val="decimal" w:pos="9360"/>
              </w:tabs>
              <w:spacing w:after="0" w:line="240" w:lineRule="auto"/>
              <w:ind w:right="270"/>
              <w:jc w:val="right"/>
              <w:rPr>
                <w:rFonts w:ascii="Arial" w:hAnsi="Arial" w:cs="Arial"/>
              </w:rPr>
            </w:pPr>
            <w:r>
              <w:rPr>
                <w:rFonts w:ascii="Arial" w:hAnsi="Arial" w:cs="Arial"/>
              </w:rPr>
              <w:t>(4,</w:t>
            </w:r>
            <w:r w:rsidR="00CD21AD">
              <w:rPr>
                <w:rFonts w:ascii="Arial" w:hAnsi="Arial" w:cs="Arial"/>
              </w:rPr>
              <w:t>254,170</w:t>
            </w:r>
            <w:r>
              <w:rPr>
                <w:rFonts w:ascii="Arial" w:hAnsi="Arial" w:cs="Arial"/>
              </w:rPr>
              <w:t>)</w:t>
            </w:r>
          </w:p>
        </w:tc>
        <w:tc>
          <w:tcPr>
            <w:tcW w:w="1440" w:type="dxa"/>
            <w:tcBorders>
              <w:bottom w:val="single" w:sz="12" w:space="0" w:color="auto"/>
            </w:tcBorders>
            <w:vAlign w:val="bottom"/>
          </w:tcPr>
          <w:p w14:paraId="4CD6ACF3" w14:textId="17D07ABB" w:rsidR="00CD67B3" w:rsidRPr="009F3026" w:rsidRDefault="00E34E8E" w:rsidP="00D31233">
            <w:pPr>
              <w:tabs>
                <w:tab w:val="left" w:pos="1260"/>
                <w:tab w:val="left" w:pos="7214"/>
                <w:tab w:val="decimal" w:pos="8107"/>
                <w:tab w:val="left" w:pos="8467"/>
                <w:tab w:val="decimal" w:pos="9360"/>
              </w:tabs>
              <w:spacing w:after="0" w:line="240" w:lineRule="auto"/>
              <w:ind w:right="90"/>
              <w:jc w:val="right"/>
              <w:rPr>
                <w:rFonts w:ascii="Arial" w:hAnsi="Arial" w:cs="Arial"/>
              </w:rPr>
            </w:pPr>
            <w:r>
              <w:rPr>
                <w:rFonts w:ascii="Arial" w:hAnsi="Arial" w:cs="Arial"/>
              </w:rPr>
              <w:t>(1,</w:t>
            </w:r>
            <w:r w:rsidR="008920C4">
              <w:rPr>
                <w:rFonts w:ascii="Arial" w:hAnsi="Arial" w:cs="Arial"/>
              </w:rPr>
              <w:t>8</w:t>
            </w:r>
            <w:r w:rsidR="00196CF2">
              <w:rPr>
                <w:rFonts w:ascii="Arial" w:hAnsi="Arial" w:cs="Arial"/>
              </w:rPr>
              <w:t>26,</w:t>
            </w:r>
            <w:r w:rsidR="00D31233">
              <w:rPr>
                <w:rFonts w:ascii="Arial" w:hAnsi="Arial" w:cs="Arial"/>
              </w:rPr>
              <w:t>926</w:t>
            </w:r>
            <w:r>
              <w:rPr>
                <w:rFonts w:ascii="Arial" w:hAnsi="Arial" w:cs="Arial"/>
              </w:rPr>
              <w:t>)</w:t>
            </w:r>
          </w:p>
        </w:tc>
        <w:tc>
          <w:tcPr>
            <w:tcW w:w="1560" w:type="dxa"/>
            <w:gridSpan w:val="2"/>
            <w:tcBorders>
              <w:bottom w:val="single" w:sz="12" w:space="0" w:color="auto"/>
            </w:tcBorders>
            <w:shd w:val="clear" w:color="auto" w:fill="auto"/>
          </w:tcPr>
          <w:p w14:paraId="62B5CC67" w14:textId="6DE768E8" w:rsidR="00CD67B3" w:rsidRPr="00BD3189" w:rsidRDefault="00B700F4" w:rsidP="00C7081F">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w:t>
            </w:r>
            <w:r w:rsidR="00C7081F">
              <w:rPr>
                <w:rFonts w:ascii="Arial" w:hAnsi="Arial" w:cs="Arial"/>
              </w:rPr>
              <w:t>6,312,764</w:t>
            </w:r>
            <w:r>
              <w:rPr>
                <w:rFonts w:ascii="Arial" w:hAnsi="Arial" w:cs="Arial"/>
              </w:rPr>
              <w:t>)</w:t>
            </w:r>
          </w:p>
        </w:tc>
        <w:tc>
          <w:tcPr>
            <w:tcW w:w="1560" w:type="dxa"/>
            <w:gridSpan w:val="2"/>
            <w:tcBorders>
              <w:bottom w:val="single" w:sz="12" w:space="0" w:color="auto"/>
            </w:tcBorders>
          </w:tcPr>
          <w:p w14:paraId="736F86D2" w14:textId="7B8D2445" w:rsidR="00CD67B3" w:rsidRPr="009F3026" w:rsidRDefault="00E34E8E" w:rsidP="00D31233">
            <w:pPr>
              <w:tabs>
                <w:tab w:val="left" w:pos="7214"/>
                <w:tab w:val="decimal" w:pos="8107"/>
                <w:tab w:val="left" w:pos="8467"/>
                <w:tab w:val="decimal" w:pos="9360"/>
              </w:tabs>
              <w:spacing w:after="0" w:line="240" w:lineRule="auto"/>
              <w:ind w:right="114"/>
              <w:jc w:val="right"/>
              <w:rPr>
                <w:rFonts w:ascii="Arial" w:hAnsi="Arial" w:cs="Arial"/>
              </w:rPr>
            </w:pPr>
            <w:r>
              <w:rPr>
                <w:rFonts w:ascii="Arial" w:hAnsi="Arial" w:cs="Arial"/>
              </w:rPr>
              <w:t>(3,</w:t>
            </w:r>
            <w:r w:rsidR="00864115">
              <w:rPr>
                <w:rFonts w:ascii="Arial" w:hAnsi="Arial" w:cs="Arial"/>
              </w:rPr>
              <w:t>881,</w:t>
            </w:r>
            <w:r w:rsidR="00D31233">
              <w:rPr>
                <w:rFonts w:ascii="Arial" w:hAnsi="Arial" w:cs="Arial"/>
              </w:rPr>
              <w:t>707</w:t>
            </w:r>
            <w:r>
              <w:rPr>
                <w:rFonts w:ascii="Arial" w:hAnsi="Arial" w:cs="Arial"/>
              </w:rPr>
              <w:t>)</w:t>
            </w:r>
          </w:p>
        </w:tc>
      </w:tr>
      <w:tr w:rsidR="00CD67B3" w:rsidRPr="009F3026" w14:paraId="3FD46713" w14:textId="77777777" w:rsidTr="008568A1">
        <w:tc>
          <w:tcPr>
            <w:tcW w:w="3772" w:type="dxa"/>
            <w:tcBorders>
              <w:top w:val="single" w:sz="12" w:space="0" w:color="auto"/>
            </w:tcBorders>
            <w:vAlign w:val="bottom"/>
          </w:tcPr>
          <w:p w14:paraId="078416DD"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716DE078"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1F4940AD"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vAlign w:val="bottom"/>
          </w:tcPr>
          <w:p w14:paraId="5842E1A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vAlign w:val="bottom"/>
          </w:tcPr>
          <w:p w14:paraId="18D85F80"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1DC30923" w14:textId="77777777" w:rsidTr="008568A1">
        <w:trPr>
          <w:gridAfter w:val="1"/>
          <w:wAfter w:w="11" w:type="dxa"/>
          <w:trHeight w:val="245"/>
        </w:trPr>
        <w:tc>
          <w:tcPr>
            <w:tcW w:w="3772" w:type="dxa"/>
            <w:tcBorders>
              <w:bottom w:val="single" w:sz="12" w:space="0" w:color="auto"/>
            </w:tcBorders>
            <w:vAlign w:val="bottom"/>
          </w:tcPr>
          <w:p w14:paraId="528318DF"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Pr>
                <w:rFonts w:ascii="Arial" w:hAnsi="Arial" w:cs="Arial"/>
              </w:rPr>
              <w:t xml:space="preserve">Net </w:t>
            </w:r>
            <w:r w:rsidRPr="009F3026">
              <w:rPr>
                <w:rFonts w:ascii="Arial" w:hAnsi="Arial" w:cs="Arial"/>
              </w:rPr>
              <w:t xml:space="preserve">loss per share, basic </w:t>
            </w:r>
            <w:r>
              <w:rPr>
                <w:rFonts w:ascii="Arial" w:hAnsi="Arial" w:cs="Arial"/>
              </w:rPr>
              <w:t>and diluted</w:t>
            </w:r>
          </w:p>
        </w:tc>
        <w:tc>
          <w:tcPr>
            <w:tcW w:w="1620" w:type="dxa"/>
            <w:tcBorders>
              <w:bottom w:val="single" w:sz="12" w:space="0" w:color="auto"/>
            </w:tcBorders>
          </w:tcPr>
          <w:p w14:paraId="0A5DFC1B" w14:textId="7BD1C99D" w:rsidR="00CD67B3" w:rsidRPr="009F3026" w:rsidRDefault="009262C7" w:rsidP="008C08DD">
            <w:pPr>
              <w:spacing w:after="0" w:line="240" w:lineRule="auto"/>
              <w:ind w:right="270"/>
              <w:jc w:val="right"/>
              <w:rPr>
                <w:rFonts w:ascii="Arial" w:hAnsi="Arial" w:cs="Arial"/>
              </w:rPr>
            </w:pPr>
            <w:r>
              <w:rPr>
                <w:rFonts w:ascii="Arial" w:hAnsi="Arial" w:cs="Arial"/>
              </w:rPr>
              <w:t>(0.0</w:t>
            </w:r>
            <w:r w:rsidR="008C08DD">
              <w:rPr>
                <w:rFonts w:ascii="Arial" w:hAnsi="Arial" w:cs="Arial"/>
              </w:rPr>
              <w:t>2</w:t>
            </w:r>
            <w:r>
              <w:rPr>
                <w:rFonts w:ascii="Arial" w:hAnsi="Arial" w:cs="Arial"/>
              </w:rPr>
              <w:t>)</w:t>
            </w:r>
          </w:p>
        </w:tc>
        <w:tc>
          <w:tcPr>
            <w:tcW w:w="1440" w:type="dxa"/>
            <w:tcBorders>
              <w:bottom w:val="single" w:sz="12" w:space="0" w:color="auto"/>
            </w:tcBorders>
            <w:vAlign w:val="bottom"/>
          </w:tcPr>
          <w:p w14:paraId="529D4A29" w14:textId="46103767" w:rsidR="00CD67B3" w:rsidRPr="009F3026" w:rsidRDefault="00F635F0" w:rsidP="00CD67B3">
            <w:pPr>
              <w:tabs>
                <w:tab w:val="left" w:pos="1260"/>
              </w:tabs>
              <w:spacing w:after="0" w:line="240" w:lineRule="auto"/>
              <w:ind w:right="90"/>
              <w:jc w:val="right"/>
              <w:rPr>
                <w:rFonts w:ascii="Arial" w:hAnsi="Arial" w:cs="Arial"/>
              </w:rPr>
            </w:pPr>
            <w:r>
              <w:rPr>
                <w:rFonts w:ascii="Arial" w:hAnsi="Arial" w:cs="Arial"/>
              </w:rPr>
              <w:t>(0.02)</w:t>
            </w:r>
          </w:p>
        </w:tc>
        <w:tc>
          <w:tcPr>
            <w:tcW w:w="1554" w:type="dxa"/>
            <w:tcBorders>
              <w:bottom w:val="single" w:sz="12" w:space="0" w:color="auto"/>
            </w:tcBorders>
            <w:vAlign w:val="bottom"/>
          </w:tcPr>
          <w:p w14:paraId="7732E321" w14:textId="068D24C9" w:rsidR="00CD67B3" w:rsidRPr="009F3026" w:rsidRDefault="008C08DD" w:rsidP="00BD3189">
            <w:pPr>
              <w:spacing w:after="0" w:line="240" w:lineRule="auto"/>
              <w:ind w:right="114"/>
              <w:jc w:val="right"/>
              <w:rPr>
                <w:rFonts w:ascii="Arial" w:hAnsi="Arial" w:cs="Arial"/>
              </w:rPr>
            </w:pPr>
            <w:r>
              <w:rPr>
                <w:rFonts w:ascii="Arial" w:hAnsi="Arial" w:cs="Arial"/>
              </w:rPr>
              <w:t>(0.04</w:t>
            </w:r>
            <w:r w:rsidR="00813C15">
              <w:rPr>
                <w:rFonts w:ascii="Arial" w:hAnsi="Arial" w:cs="Arial"/>
              </w:rPr>
              <w:t>)</w:t>
            </w:r>
          </w:p>
        </w:tc>
        <w:tc>
          <w:tcPr>
            <w:tcW w:w="1555" w:type="dxa"/>
            <w:gridSpan w:val="2"/>
            <w:tcBorders>
              <w:bottom w:val="single" w:sz="12" w:space="0" w:color="auto"/>
            </w:tcBorders>
            <w:vAlign w:val="bottom"/>
          </w:tcPr>
          <w:p w14:paraId="764059D4" w14:textId="26DF9EAC" w:rsidR="00CD67B3" w:rsidRPr="009F3026" w:rsidRDefault="00F635F0" w:rsidP="00CD67B3">
            <w:pPr>
              <w:spacing w:after="0" w:line="240" w:lineRule="auto"/>
              <w:ind w:right="114"/>
              <w:jc w:val="right"/>
              <w:rPr>
                <w:rFonts w:ascii="Arial" w:hAnsi="Arial" w:cs="Arial"/>
              </w:rPr>
            </w:pPr>
            <w:r>
              <w:rPr>
                <w:rFonts w:ascii="Arial" w:hAnsi="Arial" w:cs="Arial"/>
              </w:rPr>
              <w:t>(0.04)</w:t>
            </w:r>
          </w:p>
        </w:tc>
      </w:tr>
      <w:tr w:rsidR="00CD67B3" w:rsidRPr="009F3026" w14:paraId="02313769" w14:textId="77777777" w:rsidTr="008568A1">
        <w:tc>
          <w:tcPr>
            <w:tcW w:w="3772" w:type="dxa"/>
            <w:tcBorders>
              <w:top w:val="single" w:sz="12" w:space="0" w:color="auto"/>
            </w:tcBorders>
            <w:vAlign w:val="bottom"/>
          </w:tcPr>
          <w:p w14:paraId="5E424593"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2F740BA5" w14:textId="77777777" w:rsidR="00CD67B3" w:rsidRPr="009F3026" w:rsidRDefault="00CD67B3" w:rsidP="00CD67B3">
            <w:pPr>
              <w:tabs>
                <w:tab w:val="left" w:pos="7214"/>
                <w:tab w:val="decimal" w:pos="8107"/>
                <w:tab w:val="left" w:pos="8467"/>
                <w:tab w:val="decimal" w:pos="9360"/>
              </w:tabs>
              <w:spacing w:after="0" w:line="240" w:lineRule="auto"/>
              <w:ind w:right="270"/>
              <w:jc w:val="right"/>
              <w:rPr>
                <w:rFonts w:ascii="Arial" w:hAnsi="Arial" w:cs="Arial"/>
              </w:rPr>
            </w:pPr>
          </w:p>
        </w:tc>
        <w:tc>
          <w:tcPr>
            <w:tcW w:w="1440" w:type="dxa"/>
            <w:tcBorders>
              <w:top w:val="single" w:sz="12" w:space="0" w:color="auto"/>
            </w:tcBorders>
            <w:vAlign w:val="bottom"/>
          </w:tcPr>
          <w:p w14:paraId="11EF7A5B" w14:textId="77777777" w:rsidR="00CD67B3" w:rsidRPr="009F3026" w:rsidRDefault="00CD67B3" w:rsidP="00CD67B3">
            <w:pPr>
              <w:tabs>
                <w:tab w:val="left" w:pos="1260"/>
                <w:tab w:val="left" w:pos="7214"/>
                <w:tab w:val="decimal" w:pos="8107"/>
                <w:tab w:val="left" w:pos="8467"/>
                <w:tab w:val="decimal" w:pos="9360"/>
              </w:tabs>
              <w:spacing w:after="0" w:line="240" w:lineRule="auto"/>
              <w:ind w:right="90"/>
              <w:jc w:val="right"/>
              <w:rPr>
                <w:rFonts w:ascii="Arial" w:hAnsi="Arial" w:cs="Arial"/>
              </w:rPr>
            </w:pPr>
          </w:p>
        </w:tc>
        <w:tc>
          <w:tcPr>
            <w:tcW w:w="1560" w:type="dxa"/>
            <w:gridSpan w:val="2"/>
            <w:tcBorders>
              <w:top w:val="single" w:sz="12" w:space="0" w:color="auto"/>
            </w:tcBorders>
            <w:vAlign w:val="bottom"/>
          </w:tcPr>
          <w:p w14:paraId="2B35BE7D"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c>
          <w:tcPr>
            <w:tcW w:w="1560" w:type="dxa"/>
            <w:gridSpan w:val="2"/>
            <w:tcBorders>
              <w:top w:val="single" w:sz="12" w:space="0" w:color="auto"/>
            </w:tcBorders>
            <w:vAlign w:val="bottom"/>
          </w:tcPr>
          <w:p w14:paraId="47D99B8C" w14:textId="77777777" w:rsidR="00CD67B3" w:rsidRPr="009F3026" w:rsidRDefault="00CD67B3" w:rsidP="00CD67B3">
            <w:pPr>
              <w:tabs>
                <w:tab w:val="left" w:pos="7214"/>
                <w:tab w:val="decimal" w:pos="8107"/>
                <w:tab w:val="left" w:pos="8467"/>
                <w:tab w:val="decimal" w:pos="9360"/>
              </w:tabs>
              <w:spacing w:after="0" w:line="240" w:lineRule="auto"/>
              <w:ind w:right="114"/>
              <w:jc w:val="right"/>
              <w:rPr>
                <w:rFonts w:ascii="Arial" w:hAnsi="Arial" w:cs="Arial"/>
              </w:rPr>
            </w:pPr>
          </w:p>
        </w:tc>
      </w:tr>
      <w:tr w:rsidR="00CD67B3" w:rsidRPr="009F3026" w14:paraId="66786B77" w14:textId="77777777" w:rsidTr="008568A1">
        <w:trPr>
          <w:gridAfter w:val="1"/>
          <w:wAfter w:w="11" w:type="dxa"/>
          <w:trHeight w:val="245"/>
        </w:trPr>
        <w:tc>
          <w:tcPr>
            <w:tcW w:w="3772" w:type="dxa"/>
            <w:tcBorders>
              <w:bottom w:val="single" w:sz="12" w:space="0" w:color="auto"/>
            </w:tcBorders>
            <w:vAlign w:val="bottom"/>
          </w:tcPr>
          <w:p w14:paraId="352759B0" w14:textId="77777777" w:rsidR="00CD67B3" w:rsidRPr="009F3026" w:rsidRDefault="00CD67B3" w:rsidP="00CD67B3">
            <w:pPr>
              <w:tabs>
                <w:tab w:val="left" w:pos="7214"/>
                <w:tab w:val="decimal" w:pos="8107"/>
                <w:tab w:val="left" w:pos="8467"/>
                <w:tab w:val="decimal" w:pos="9360"/>
              </w:tabs>
              <w:spacing w:after="0" w:line="240" w:lineRule="auto"/>
              <w:rPr>
                <w:rFonts w:ascii="Arial" w:hAnsi="Arial" w:cs="Arial"/>
              </w:rPr>
            </w:pPr>
            <w:r w:rsidRPr="009F3026">
              <w:rPr>
                <w:rFonts w:ascii="Arial" w:hAnsi="Arial" w:cs="Arial"/>
              </w:rPr>
              <w:t xml:space="preserve">Weighted average shares outstanding </w:t>
            </w:r>
            <w:r>
              <w:rPr>
                <w:rFonts w:ascii="Arial" w:hAnsi="Arial" w:cs="Arial"/>
              </w:rPr>
              <w:t>–</w:t>
            </w:r>
            <w:r w:rsidRPr="009F3026">
              <w:rPr>
                <w:rFonts w:ascii="Arial" w:hAnsi="Arial" w:cs="Arial"/>
              </w:rPr>
              <w:t xml:space="preserve"> basic</w:t>
            </w:r>
            <w:r>
              <w:rPr>
                <w:rFonts w:ascii="Arial" w:hAnsi="Arial" w:cs="Arial"/>
              </w:rPr>
              <w:t xml:space="preserve"> and diluted</w:t>
            </w:r>
          </w:p>
        </w:tc>
        <w:tc>
          <w:tcPr>
            <w:tcW w:w="1620" w:type="dxa"/>
            <w:tcBorders>
              <w:bottom w:val="single" w:sz="12" w:space="0" w:color="auto"/>
            </w:tcBorders>
          </w:tcPr>
          <w:p w14:paraId="0F2B62B0" w14:textId="77777777" w:rsidR="00CD67B3" w:rsidRDefault="00CD67B3" w:rsidP="00CD67B3">
            <w:pPr>
              <w:spacing w:after="0" w:line="240" w:lineRule="auto"/>
              <w:jc w:val="center"/>
              <w:rPr>
                <w:rFonts w:ascii="Arial" w:hAnsi="Arial" w:cs="Arial"/>
              </w:rPr>
            </w:pPr>
          </w:p>
          <w:p w14:paraId="41A884AA" w14:textId="49E26FCF" w:rsidR="009262C7" w:rsidRPr="009F3026" w:rsidRDefault="009262C7" w:rsidP="00CD67B3">
            <w:pPr>
              <w:spacing w:after="0" w:line="240" w:lineRule="auto"/>
              <w:jc w:val="center"/>
              <w:rPr>
                <w:rFonts w:ascii="Arial" w:hAnsi="Arial" w:cs="Arial"/>
              </w:rPr>
            </w:pPr>
            <w:r>
              <w:rPr>
                <w:rFonts w:ascii="Arial" w:hAnsi="Arial" w:cs="Arial"/>
              </w:rPr>
              <w:t>157,656,187</w:t>
            </w:r>
          </w:p>
        </w:tc>
        <w:tc>
          <w:tcPr>
            <w:tcW w:w="1440" w:type="dxa"/>
            <w:tcBorders>
              <w:bottom w:val="single" w:sz="12" w:space="0" w:color="auto"/>
            </w:tcBorders>
            <w:vAlign w:val="bottom"/>
          </w:tcPr>
          <w:p w14:paraId="78F6426C" w14:textId="43D83D4D" w:rsidR="00CD67B3" w:rsidRPr="009F3026" w:rsidRDefault="00F635F0" w:rsidP="00CD67B3">
            <w:pPr>
              <w:tabs>
                <w:tab w:val="left" w:pos="1190"/>
                <w:tab w:val="left" w:pos="1260"/>
              </w:tabs>
              <w:spacing w:after="0" w:line="240" w:lineRule="auto"/>
              <w:ind w:right="90"/>
              <w:jc w:val="right"/>
              <w:rPr>
                <w:rFonts w:ascii="Arial" w:hAnsi="Arial" w:cs="Arial"/>
              </w:rPr>
            </w:pPr>
            <w:r w:rsidRPr="00F635F0">
              <w:rPr>
                <w:rFonts w:ascii="Arial" w:hAnsi="Arial" w:cs="Arial"/>
              </w:rPr>
              <w:t>85,364,648</w:t>
            </w:r>
          </w:p>
        </w:tc>
        <w:tc>
          <w:tcPr>
            <w:tcW w:w="1554" w:type="dxa"/>
            <w:tcBorders>
              <w:bottom w:val="single" w:sz="12" w:space="0" w:color="auto"/>
            </w:tcBorders>
            <w:vAlign w:val="bottom"/>
          </w:tcPr>
          <w:p w14:paraId="1A5F332E" w14:textId="7AEDC855" w:rsidR="00CD67B3" w:rsidRPr="009F3026" w:rsidRDefault="009262C7" w:rsidP="00CD67B3">
            <w:pPr>
              <w:tabs>
                <w:tab w:val="left" w:pos="1190"/>
              </w:tabs>
              <w:spacing w:after="0" w:line="240" w:lineRule="auto"/>
              <w:ind w:right="114"/>
              <w:jc w:val="right"/>
              <w:rPr>
                <w:rFonts w:ascii="Arial" w:hAnsi="Arial" w:cs="Arial"/>
              </w:rPr>
            </w:pPr>
            <w:r>
              <w:rPr>
                <w:rFonts w:ascii="Arial" w:hAnsi="Arial" w:cs="Arial"/>
              </w:rPr>
              <w:t>129,199,408</w:t>
            </w:r>
          </w:p>
        </w:tc>
        <w:tc>
          <w:tcPr>
            <w:tcW w:w="1555" w:type="dxa"/>
            <w:gridSpan w:val="2"/>
            <w:tcBorders>
              <w:bottom w:val="single" w:sz="12" w:space="0" w:color="auto"/>
            </w:tcBorders>
            <w:vAlign w:val="bottom"/>
          </w:tcPr>
          <w:p w14:paraId="513B2E9F" w14:textId="714D0056" w:rsidR="00CD67B3" w:rsidRPr="009F3026" w:rsidRDefault="00F635F0" w:rsidP="00CD67B3">
            <w:pPr>
              <w:tabs>
                <w:tab w:val="left" w:pos="1190"/>
              </w:tabs>
              <w:spacing w:after="0" w:line="240" w:lineRule="auto"/>
              <w:ind w:right="114"/>
              <w:jc w:val="right"/>
              <w:rPr>
                <w:rFonts w:ascii="Arial" w:hAnsi="Arial" w:cs="Arial"/>
              </w:rPr>
            </w:pPr>
            <w:r w:rsidRPr="00F635F0">
              <w:rPr>
                <w:rFonts w:ascii="Arial" w:hAnsi="Arial" w:cs="Arial"/>
              </w:rPr>
              <w:t>87,300,658</w:t>
            </w:r>
          </w:p>
        </w:tc>
      </w:tr>
      <w:tr w:rsidR="004C644B" w:rsidRPr="009F3026" w14:paraId="7106B280" w14:textId="77777777" w:rsidTr="008568A1">
        <w:trPr>
          <w:gridAfter w:val="1"/>
          <w:wAfter w:w="11" w:type="dxa"/>
          <w:trHeight w:hRule="exact" w:val="101"/>
        </w:trPr>
        <w:tc>
          <w:tcPr>
            <w:tcW w:w="3772" w:type="dxa"/>
            <w:tcBorders>
              <w:top w:val="single" w:sz="12" w:space="0" w:color="auto"/>
            </w:tcBorders>
            <w:vAlign w:val="bottom"/>
          </w:tcPr>
          <w:p w14:paraId="34BFAF0A" w14:textId="77777777" w:rsidR="004C644B" w:rsidRPr="009F3026" w:rsidRDefault="004C644B" w:rsidP="004C644B">
            <w:pPr>
              <w:tabs>
                <w:tab w:val="left" w:pos="7214"/>
                <w:tab w:val="decimal" w:pos="8107"/>
                <w:tab w:val="left" w:pos="8467"/>
                <w:tab w:val="decimal" w:pos="9360"/>
              </w:tabs>
              <w:spacing w:after="0" w:line="240" w:lineRule="auto"/>
              <w:rPr>
                <w:rFonts w:ascii="Arial" w:hAnsi="Arial" w:cs="Arial"/>
              </w:rPr>
            </w:pPr>
          </w:p>
        </w:tc>
        <w:tc>
          <w:tcPr>
            <w:tcW w:w="1620" w:type="dxa"/>
            <w:tcBorders>
              <w:top w:val="single" w:sz="12" w:space="0" w:color="auto"/>
            </w:tcBorders>
          </w:tcPr>
          <w:p w14:paraId="38AAE14F" w14:textId="77777777" w:rsidR="004C644B" w:rsidRPr="009F3026" w:rsidRDefault="004C644B" w:rsidP="004C644B">
            <w:pPr>
              <w:spacing w:after="0" w:line="240" w:lineRule="auto"/>
              <w:jc w:val="center"/>
              <w:rPr>
                <w:rFonts w:ascii="Arial" w:hAnsi="Arial" w:cs="Arial"/>
              </w:rPr>
            </w:pPr>
          </w:p>
        </w:tc>
        <w:tc>
          <w:tcPr>
            <w:tcW w:w="1440" w:type="dxa"/>
            <w:tcBorders>
              <w:top w:val="single" w:sz="12" w:space="0" w:color="auto"/>
            </w:tcBorders>
            <w:vAlign w:val="bottom"/>
          </w:tcPr>
          <w:p w14:paraId="0E9262E7" w14:textId="77777777" w:rsidR="004C644B" w:rsidRPr="009F3026" w:rsidRDefault="004C644B" w:rsidP="004C644B">
            <w:pPr>
              <w:tabs>
                <w:tab w:val="left" w:pos="1190"/>
                <w:tab w:val="left" w:pos="1260"/>
              </w:tabs>
              <w:spacing w:after="0" w:line="240" w:lineRule="auto"/>
              <w:ind w:right="90"/>
              <w:jc w:val="right"/>
              <w:rPr>
                <w:rFonts w:ascii="Arial" w:hAnsi="Arial" w:cs="Arial"/>
              </w:rPr>
            </w:pPr>
          </w:p>
        </w:tc>
        <w:tc>
          <w:tcPr>
            <w:tcW w:w="1554" w:type="dxa"/>
            <w:tcBorders>
              <w:top w:val="single" w:sz="12" w:space="0" w:color="auto"/>
            </w:tcBorders>
            <w:vAlign w:val="bottom"/>
          </w:tcPr>
          <w:p w14:paraId="20E8EB2C" w14:textId="77777777" w:rsidR="004C644B" w:rsidRPr="009F3026" w:rsidRDefault="004C644B" w:rsidP="004C644B">
            <w:pPr>
              <w:tabs>
                <w:tab w:val="left" w:pos="1190"/>
              </w:tabs>
              <w:spacing w:after="0" w:line="240" w:lineRule="auto"/>
              <w:ind w:right="114"/>
              <w:jc w:val="right"/>
              <w:rPr>
                <w:rFonts w:ascii="Arial" w:hAnsi="Arial" w:cs="Arial"/>
              </w:rPr>
            </w:pPr>
          </w:p>
        </w:tc>
        <w:tc>
          <w:tcPr>
            <w:tcW w:w="1555" w:type="dxa"/>
            <w:gridSpan w:val="2"/>
            <w:tcBorders>
              <w:top w:val="single" w:sz="12" w:space="0" w:color="auto"/>
            </w:tcBorders>
            <w:vAlign w:val="bottom"/>
          </w:tcPr>
          <w:p w14:paraId="2292B3C1" w14:textId="77777777" w:rsidR="004C644B" w:rsidRPr="009F3026" w:rsidRDefault="004C644B" w:rsidP="004C644B">
            <w:pPr>
              <w:tabs>
                <w:tab w:val="left" w:pos="1190"/>
              </w:tabs>
              <w:spacing w:after="0" w:line="240" w:lineRule="auto"/>
              <w:ind w:right="114"/>
              <w:jc w:val="right"/>
              <w:rPr>
                <w:rFonts w:ascii="Arial" w:hAnsi="Arial" w:cs="Arial"/>
              </w:rPr>
            </w:pPr>
          </w:p>
        </w:tc>
      </w:tr>
    </w:tbl>
    <w:p w14:paraId="112A319D" w14:textId="77777777" w:rsidR="006001E6" w:rsidRDefault="006001E6"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37B1D397"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28817E63"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61805482" w14:textId="77777777" w:rsidR="00555018" w:rsidRDefault="00555018"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1336E38F" w14:textId="77777777" w:rsidR="00555018" w:rsidRDefault="00555018"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3BC4A0BE" w14:textId="77777777" w:rsidR="00555018" w:rsidRDefault="00555018"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0ADA5344"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74B90D20" w14:textId="77777777" w:rsidR="004056B2" w:rsidRDefault="004056B2"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szCs w:val="20"/>
        </w:rPr>
      </w:pPr>
    </w:p>
    <w:p w14:paraId="45FADBA3" w14:textId="49A82E7B" w:rsidR="00790828" w:rsidRDefault="00790828" w:rsidP="006A20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rPr>
          <w:rFonts w:ascii="Arial" w:hAnsi="Arial" w:cs="Arial"/>
        </w:rPr>
      </w:pPr>
      <w:r w:rsidRPr="009F3026">
        <w:rPr>
          <w:rFonts w:ascii="Arial" w:hAnsi="Arial" w:cs="Arial"/>
          <w:szCs w:val="20"/>
        </w:rPr>
        <w:t xml:space="preserve">(The accompanying notes are an integral part of these </w:t>
      </w:r>
      <w:r w:rsidR="008B680A">
        <w:rPr>
          <w:rFonts w:ascii="Arial" w:hAnsi="Arial" w:cs="Arial"/>
          <w:szCs w:val="20"/>
        </w:rPr>
        <w:t>condensed consolidated interim financial statements</w:t>
      </w:r>
      <w:r w:rsidRPr="009F3026">
        <w:rPr>
          <w:rFonts w:ascii="Arial" w:hAnsi="Arial" w:cs="Arial"/>
          <w:szCs w:val="20"/>
        </w:rPr>
        <w:t>)</w:t>
      </w:r>
      <w:r>
        <w:rPr>
          <w:rFonts w:ascii="Arial" w:hAnsi="Arial" w:cs="Arial"/>
        </w:rPr>
        <w:br w:type="page"/>
      </w:r>
    </w:p>
    <w:p w14:paraId="43C8E1AB" w14:textId="77777777" w:rsidR="00790828" w:rsidRPr="009F3026" w:rsidRDefault="00790828"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Arial" w:hAnsi="Arial" w:cs="Arial"/>
          <w:b/>
          <w:bCs/>
          <w:sz w:val="24"/>
        </w:rPr>
      </w:pPr>
      <w:r>
        <w:rPr>
          <w:rFonts w:ascii="Arial" w:hAnsi="Arial" w:cs="Arial"/>
          <w:b/>
          <w:bCs/>
          <w:sz w:val="24"/>
        </w:rPr>
        <w:lastRenderedPageBreak/>
        <w:t>PIVOT</w:t>
      </w:r>
      <w:r w:rsidRPr="009F3026">
        <w:rPr>
          <w:rFonts w:ascii="Arial" w:hAnsi="Arial" w:cs="Arial"/>
          <w:b/>
          <w:bCs/>
          <w:sz w:val="24"/>
        </w:rPr>
        <w:t xml:space="preserve"> PHARMACEUTICALS INC.</w:t>
      </w:r>
      <w:r w:rsidR="008E7C6B">
        <w:rPr>
          <w:rFonts w:ascii="Arial" w:hAnsi="Arial" w:cs="Arial"/>
          <w:b/>
          <w:bCs/>
          <w:sz w:val="24"/>
        </w:rPr>
        <w:t xml:space="preserve"> </w:t>
      </w:r>
    </w:p>
    <w:p w14:paraId="0C8634B7" w14:textId="261E4D15" w:rsidR="00790828" w:rsidRPr="009F3026" w:rsidRDefault="008E7C6B" w:rsidP="007908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jc w:val="both"/>
        <w:rPr>
          <w:rFonts w:ascii="Arial" w:hAnsi="Arial" w:cs="Arial"/>
          <w:bCs/>
          <w:szCs w:val="20"/>
        </w:rPr>
      </w:pPr>
      <w:r>
        <w:rPr>
          <w:rFonts w:ascii="Arial" w:hAnsi="Arial" w:cs="Arial"/>
          <w:bCs/>
          <w:szCs w:val="20"/>
        </w:rPr>
        <w:t xml:space="preserve">Consolidated </w:t>
      </w:r>
      <w:r w:rsidR="00790828" w:rsidRPr="009F3026">
        <w:rPr>
          <w:rFonts w:ascii="Arial" w:hAnsi="Arial" w:cs="Arial"/>
          <w:bCs/>
          <w:szCs w:val="20"/>
        </w:rPr>
        <w:t xml:space="preserve">Statements of </w:t>
      </w:r>
      <w:r w:rsidR="00681427">
        <w:rPr>
          <w:rFonts w:ascii="Arial" w:hAnsi="Arial" w:cs="Arial"/>
          <w:bCs/>
          <w:szCs w:val="20"/>
        </w:rPr>
        <w:t>Shareholders’ Equity</w:t>
      </w:r>
      <w:r w:rsidR="00790828" w:rsidRPr="009F3026">
        <w:rPr>
          <w:rFonts w:ascii="Arial" w:hAnsi="Arial" w:cs="Arial"/>
          <w:bCs/>
          <w:szCs w:val="20"/>
        </w:rPr>
        <w:t xml:space="preserve"> </w:t>
      </w:r>
      <w:r w:rsidR="00681427">
        <w:rPr>
          <w:rFonts w:ascii="Arial" w:hAnsi="Arial" w:cs="Arial"/>
          <w:bCs/>
          <w:szCs w:val="20"/>
        </w:rPr>
        <w:t>(</w:t>
      </w:r>
      <w:r w:rsidR="00790828" w:rsidRPr="009F3026">
        <w:rPr>
          <w:rFonts w:ascii="Arial" w:hAnsi="Arial" w:cs="Arial"/>
          <w:bCs/>
          <w:szCs w:val="20"/>
        </w:rPr>
        <w:t>Deficit</w:t>
      </w:r>
      <w:r w:rsidR="00681427">
        <w:rPr>
          <w:rFonts w:ascii="Arial" w:hAnsi="Arial" w:cs="Arial"/>
          <w:bCs/>
          <w:szCs w:val="20"/>
        </w:rPr>
        <w:t>) (unaudited)</w:t>
      </w:r>
    </w:p>
    <w:p w14:paraId="13A110EC" w14:textId="2A1B715B" w:rsidR="00790828"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r w:rsidRPr="009F3026">
        <w:rPr>
          <w:rFonts w:ascii="Arial" w:hAnsi="Arial" w:cs="Arial"/>
          <w:bCs/>
          <w:szCs w:val="20"/>
        </w:rPr>
        <w:t xml:space="preserve">(Expressed in </w:t>
      </w:r>
      <w:r w:rsidR="00BD3189">
        <w:rPr>
          <w:rFonts w:ascii="Arial" w:hAnsi="Arial" w:cs="Arial"/>
          <w:bCs/>
          <w:szCs w:val="20"/>
        </w:rPr>
        <w:t>Canadian</w:t>
      </w:r>
      <w:r w:rsidRPr="009F3026">
        <w:rPr>
          <w:rFonts w:ascii="Arial" w:hAnsi="Arial" w:cs="Arial"/>
          <w:szCs w:val="20"/>
        </w:rPr>
        <w:t xml:space="preserve"> dollars)</w:t>
      </w:r>
    </w:p>
    <w:p w14:paraId="618D1852" w14:textId="77777777" w:rsidR="00790828" w:rsidRPr="009D54BC"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Cs w:val="20"/>
        </w:rPr>
      </w:pPr>
    </w:p>
    <w:tbl>
      <w:tblPr>
        <w:tblpPr w:leftFromText="180" w:rightFromText="180" w:vertAnchor="text" w:tblpX="-862" w:tblpY="1"/>
        <w:tblOverlap w:val="never"/>
        <w:tblW w:w="12105" w:type="dxa"/>
        <w:tblLayout w:type="fixed"/>
        <w:tblCellMar>
          <w:left w:w="0" w:type="dxa"/>
          <w:right w:w="0" w:type="dxa"/>
        </w:tblCellMar>
        <w:tblLook w:val="0000" w:firstRow="0" w:lastRow="0" w:firstColumn="0" w:lastColumn="0" w:noHBand="0" w:noVBand="0"/>
      </w:tblPr>
      <w:tblGrid>
        <w:gridCol w:w="2880"/>
        <w:gridCol w:w="349"/>
        <w:gridCol w:w="927"/>
        <w:gridCol w:w="423"/>
        <w:gridCol w:w="821"/>
        <w:gridCol w:w="423"/>
        <w:gridCol w:w="569"/>
        <w:gridCol w:w="490"/>
        <w:gridCol w:w="644"/>
        <w:gridCol w:w="632"/>
        <w:gridCol w:w="803"/>
        <w:gridCol w:w="565"/>
        <w:gridCol w:w="711"/>
        <w:gridCol w:w="565"/>
        <w:gridCol w:w="738"/>
        <w:gridCol w:w="565"/>
      </w:tblGrid>
      <w:tr w:rsidR="006F321B" w:rsidRPr="00370EC4" w14:paraId="5089807A" w14:textId="77777777" w:rsidTr="008627E3">
        <w:trPr>
          <w:gridAfter w:val="1"/>
          <w:wAfter w:w="565" w:type="dxa"/>
          <w:trHeight w:val="810"/>
        </w:trPr>
        <w:tc>
          <w:tcPr>
            <w:tcW w:w="2880" w:type="dxa"/>
            <w:tcBorders>
              <w:top w:val="nil"/>
              <w:left w:val="nil"/>
            </w:tcBorders>
            <w:noWrap/>
            <w:tcMar>
              <w:right w:w="216" w:type="dxa"/>
            </w:tcMar>
            <w:vAlign w:val="bottom"/>
          </w:tcPr>
          <w:p w14:paraId="7CEAEA76" w14:textId="77777777" w:rsidR="006F321B" w:rsidRPr="00370EC4" w:rsidRDefault="006F321B" w:rsidP="00C75109">
            <w:pPr>
              <w:rPr>
                <w:rFonts w:ascii="Arial" w:eastAsia="Arial Unicode MS" w:hAnsi="Arial" w:cs="Arial"/>
                <w:sz w:val="18"/>
                <w:szCs w:val="18"/>
              </w:rPr>
            </w:pPr>
          </w:p>
        </w:tc>
        <w:tc>
          <w:tcPr>
            <w:tcW w:w="2520" w:type="dxa"/>
            <w:gridSpan w:val="4"/>
            <w:tcBorders>
              <w:bottom w:val="single" w:sz="4" w:space="0" w:color="auto"/>
              <w:right w:val="nil"/>
            </w:tcBorders>
            <w:shd w:val="clear" w:color="auto" w:fill="auto"/>
            <w:vAlign w:val="bottom"/>
          </w:tcPr>
          <w:p w14:paraId="5B31A78D" w14:textId="7E243E29" w:rsidR="006F321B" w:rsidRPr="00370EC4" w:rsidRDefault="006F321B" w:rsidP="00681427">
            <w:pPr>
              <w:spacing w:after="0" w:line="240" w:lineRule="auto"/>
              <w:ind w:right="154"/>
              <w:jc w:val="center"/>
              <w:rPr>
                <w:rFonts w:ascii="Arial" w:hAnsi="Arial" w:cs="Arial"/>
                <w:sz w:val="18"/>
                <w:szCs w:val="18"/>
              </w:rPr>
            </w:pPr>
            <w:r w:rsidRPr="00370EC4">
              <w:rPr>
                <w:rFonts w:ascii="Arial" w:hAnsi="Arial" w:cs="Arial"/>
                <w:sz w:val="18"/>
                <w:szCs w:val="18"/>
              </w:rPr>
              <w:t xml:space="preserve">Common </w:t>
            </w:r>
            <w:r w:rsidR="00681427">
              <w:rPr>
                <w:rFonts w:ascii="Arial" w:hAnsi="Arial" w:cs="Arial"/>
                <w:sz w:val="18"/>
                <w:szCs w:val="18"/>
              </w:rPr>
              <w:t>Shares</w:t>
            </w:r>
          </w:p>
        </w:tc>
        <w:tc>
          <w:tcPr>
            <w:tcW w:w="992" w:type="dxa"/>
            <w:gridSpan w:val="2"/>
            <w:vMerge w:val="restart"/>
            <w:tcBorders>
              <w:left w:val="nil"/>
              <w:bottom w:val="single" w:sz="4" w:space="0" w:color="auto"/>
              <w:right w:val="nil"/>
            </w:tcBorders>
            <w:vAlign w:val="bottom"/>
          </w:tcPr>
          <w:p w14:paraId="1775F734" w14:textId="3C49C70F" w:rsidR="006F321B" w:rsidRPr="00370EC4" w:rsidRDefault="008627E3" w:rsidP="00C75109">
            <w:pPr>
              <w:pStyle w:val="EnvelopeReturn"/>
              <w:jc w:val="center"/>
              <w:rPr>
                <w:rFonts w:eastAsia="Arial Unicode MS" w:cs="Arial"/>
                <w:sz w:val="18"/>
                <w:szCs w:val="18"/>
              </w:rPr>
            </w:pPr>
            <w:r>
              <w:rPr>
                <w:rFonts w:eastAsia="Arial Unicode MS" w:cs="Arial"/>
                <w:sz w:val="18"/>
                <w:szCs w:val="18"/>
              </w:rPr>
              <w:t>C</w:t>
            </w:r>
            <w:r w:rsidR="006F321B" w:rsidRPr="00370EC4">
              <w:rPr>
                <w:rFonts w:eastAsia="Arial Unicode MS" w:cs="Arial"/>
                <w:sz w:val="18"/>
                <w:szCs w:val="18"/>
              </w:rPr>
              <w:t>ommon</w:t>
            </w:r>
          </w:p>
          <w:p w14:paraId="23994488" w14:textId="6440F7EE" w:rsidR="006F321B" w:rsidRPr="00370EC4" w:rsidRDefault="00681427" w:rsidP="00C75109">
            <w:pPr>
              <w:pStyle w:val="EnvelopeReturn"/>
              <w:jc w:val="center"/>
              <w:rPr>
                <w:rFonts w:eastAsia="Arial Unicode MS" w:cs="Arial"/>
                <w:sz w:val="18"/>
                <w:szCs w:val="18"/>
              </w:rPr>
            </w:pPr>
            <w:r>
              <w:rPr>
                <w:rFonts w:eastAsia="Arial Unicode MS" w:cs="Arial"/>
                <w:sz w:val="18"/>
                <w:szCs w:val="18"/>
              </w:rPr>
              <w:t>Shares</w:t>
            </w:r>
          </w:p>
          <w:p w14:paraId="49E6E98D" w14:textId="77777777" w:rsidR="006F321B" w:rsidRPr="00370EC4" w:rsidRDefault="006F321B" w:rsidP="00C75109">
            <w:pPr>
              <w:pStyle w:val="EnvelopeReturn"/>
              <w:jc w:val="center"/>
              <w:rPr>
                <w:rFonts w:eastAsia="Arial Unicode MS" w:cs="Arial"/>
                <w:sz w:val="18"/>
                <w:szCs w:val="18"/>
              </w:rPr>
            </w:pPr>
            <w:r w:rsidRPr="00370EC4">
              <w:rPr>
                <w:rFonts w:eastAsia="Arial Unicode MS" w:cs="Arial"/>
                <w:sz w:val="18"/>
                <w:szCs w:val="18"/>
              </w:rPr>
              <w:t>Issuable</w:t>
            </w:r>
          </w:p>
          <w:p w14:paraId="3A9A9F63"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134" w:type="dxa"/>
            <w:gridSpan w:val="2"/>
            <w:vMerge w:val="restart"/>
            <w:tcBorders>
              <w:left w:val="nil"/>
              <w:bottom w:val="single" w:sz="4" w:space="0" w:color="auto"/>
              <w:right w:val="nil"/>
            </w:tcBorders>
            <w:vAlign w:val="bottom"/>
          </w:tcPr>
          <w:p w14:paraId="7B5589A8" w14:textId="3C2EE19F" w:rsidR="006F321B" w:rsidRPr="00370EC4" w:rsidRDefault="00397EA0" w:rsidP="00C75109">
            <w:pPr>
              <w:pStyle w:val="EnvelopeReturn"/>
              <w:jc w:val="center"/>
              <w:rPr>
                <w:rFonts w:eastAsia="Arial Unicode MS" w:cs="Arial"/>
                <w:sz w:val="18"/>
                <w:szCs w:val="18"/>
              </w:rPr>
            </w:pPr>
            <w:r>
              <w:rPr>
                <w:rFonts w:eastAsia="Arial Unicode MS" w:cs="Arial"/>
                <w:sz w:val="18"/>
                <w:szCs w:val="18"/>
              </w:rPr>
              <w:t>Reserves</w:t>
            </w:r>
          </w:p>
          <w:p w14:paraId="1B8EE87F"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435" w:type="dxa"/>
            <w:gridSpan w:val="2"/>
            <w:tcBorders>
              <w:left w:val="nil"/>
              <w:right w:val="nil"/>
            </w:tcBorders>
          </w:tcPr>
          <w:p w14:paraId="547A0A5B" w14:textId="77777777" w:rsidR="00C75109" w:rsidRPr="00370EC4" w:rsidRDefault="00C75109" w:rsidP="00C75109">
            <w:pPr>
              <w:pStyle w:val="EnvelopeReturn"/>
              <w:jc w:val="center"/>
              <w:rPr>
                <w:rFonts w:eastAsia="Arial Unicode MS" w:cs="Arial"/>
                <w:sz w:val="18"/>
                <w:szCs w:val="18"/>
              </w:rPr>
            </w:pPr>
          </w:p>
          <w:p w14:paraId="7566675B" w14:textId="77777777" w:rsidR="008627E3" w:rsidRDefault="008627E3" w:rsidP="00C75109">
            <w:pPr>
              <w:pStyle w:val="EnvelopeReturn"/>
              <w:jc w:val="center"/>
              <w:rPr>
                <w:rFonts w:eastAsia="Arial Unicode MS" w:cs="Arial"/>
                <w:sz w:val="18"/>
                <w:szCs w:val="18"/>
              </w:rPr>
            </w:pPr>
          </w:p>
          <w:p w14:paraId="68EC2411" w14:textId="77777777" w:rsidR="00C75109" w:rsidRPr="00370EC4" w:rsidRDefault="00C75109" w:rsidP="00C75109">
            <w:pPr>
              <w:pStyle w:val="EnvelopeReturn"/>
              <w:jc w:val="center"/>
              <w:rPr>
                <w:rFonts w:eastAsia="Arial Unicode MS" w:cs="Arial"/>
                <w:sz w:val="18"/>
                <w:szCs w:val="18"/>
              </w:rPr>
            </w:pPr>
            <w:r w:rsidRPr="00370EC4">
              <w:rPr>
                <w:rFonts w:eastAsia="Arial Unicode MS" w:cs="Arial"/>
                <w:sz w:val="18"/>
                <w:szCs w:val="18"/>
              </w:rPr>
              <w:t>Foreign Currency Translation</w:t>
            </w:r>
          </w:p>
        </w:tc>
        <w:tc>
          <w:tcPr>
            <w:tcW w:w="1276" w:type="dxa"/>
            <w:gridSpan w:val="2"/>
            <w:vMerge w:val="restart"/>
            <w:tcBorders>
              <w:left w:val="nil"/>
              <w:bottom w:val="single" w:sz="4" w:space="0" w:color="auto"/>
              <w:right w:val="nil"/>
            </w:tcBorders>
            <w:shd w:val="clear" w:color="auto" w:fill="auto"/>
            <w:vAlign w:val="bottom"/>
          </w:tcPr>
          <w:p w14:paraId="4630864E"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Deficit</w:t>
            </w:r>
          </w:p>
          <w:p w14:paraId="4E9D27EA" w14:textId="77777777" w:rsidR="006F321B" w:rsidRPr="00370EC4" w:rsidRDefault="006F321B" w:rsidP="00C75109">
            <w:pPr>
              <w:pStyle w:val="EnvelopeReturn"/>
              <w:jc w:val="center"/>
              <w:rPr>
                <w:rFonts w:cs="Arial"/>
                <w:sz w:val="18"/>
                <w:szCs w:val="18"/>
              </w:rPr>
            </w:pPr>
            <w:r w:rsidRPr="00370EC4">
              <w:rPr>
                <w:rFonts w:eastAsia="Arial Unicode MS" w:cs="Arial"/>
                <w:sz w:val="18"/>
                <w:szCs w:val="18"/>
              </w:rPr>
              <w:t>$</w:t>
            </w:r>
          </w:p>
        </w:tc>
        <w:tc>
          <w:tcPr>
            <w:tcW w:w="1303" w:type="dxa"/>
            <w:gridSpan w:val="2"/>
            <w:vMerge w:val="restart"/>
            <w:tcBorders>
              <w:left w:val="nil"/>
              <w:bottom w:val="single" w:sz="4" w:space="0" w:color="auto"/>
              <w:right w:val="nil"/>
            </w:tcBorders>
            <w:shd w:val="clear" w:color="auto" w:fill="auto"/>
            <w:vAlign w:val="bottom"/>
          </w:tcPr>
          <w:p w14:paraId="7E112414" w14:textId="77777777" w:rsidR="006F321B" w:rsidRPr="00370EC4" w:rsidRDefault="006F321B" w:rsidP="00C75109">
            <w:pPr>
              <w:pStyle w:val="EnvelopeReturn"/>
              <w:ind w:right="142"/>
              <w:jc w:val="center"/>
              <w:rPr>
                <w:rFonts w:eastAsia="Arial Unicode MS" w:cs="Arial"/>
                <w:sz w:val="18"/>
                <w:szCs w:val="18"/>
              </w:rPr>
            </w:pPr>
            <w:r w:rsidRPr="00370EC4">
              <w:rPr>
                <w:rFonts w:eastAsia="Arial Unicode MS" w:cs="Arial"/>
                <w:sz w:val="18"/>
                <w:szCs w:val="18"/>
              </w:rPr>
              <w:t>Total</w:t>
            </w:r>
          </w:p>
          <w:p w14:paraId="72A21EEE" w14:textId="77777777" w:rsidR="006F321B" w:rsidRPr="00370EC4" w:rsidRDefault="006F321B" w:rsidP="00C75109">
            <w:pPr>
              <w:pStyle w:val="EnvelopeReturn"/>
              <w:ind w:right="142"/>
              <w:jc w:val="center"/>
              <w:rPr>
                <w:rFonts w:cs="Arial"/>
                <w:sz w:val="18"/>
                <w:szCs w:val="18"/>
              </w:rPr>
            </w:pPr>
            <w:r w:rsidRPr="00370EC4">
              <w:rPr>
                <w:rFonts w:eastAsia="Arial Unicode MS" w:cs="Arial"/>
                <w:sz w:val="18"/>
                <w:szCs w:val="18"/>
              </w:rPr>
              <w:t>$</w:t>
            </w:r>
          </w:p>
        </w:tc>
      </w:tr>
      <w:tr w:rsidR="006F321B" w:rsidRPr="00370EC4" w14:paraId="6F76B4AF" w14:textId="77777777" w:rsidTr="00C30D1B">
        <w:trPr>
          <w:gridAfter w:val="1"/>
          <w:wAfter w:w="565" w:type="dxa"/>
          <w:trHeight w:val="227"/>
        </w:trPr>
        <w:tc>
          <w:tcPr>
            <w:tcW w:w="2880" w:type="dxa"/>
            <w:tcBorders>
              <w:top w:val="nil"/>
              <w:left w:val="nil"/>
              <w:bottom w:val="single" w:sz="4" w:space="0" w:color="auto"/>
            </w:tcBorders>
            <w:noWrap/>
            <w:tcMar>
              <w:right w:w="216" w:type="dxa"/>
            </w:tcMar>
            <w:vAlign w:val="bottom"/>
          </w:tcPr>
          <w:p w14:paraId="4612B770" w14:textId="77777777" w:rsidR="006F321B" w:rsidRPr="00370EC4" w:rsidRDefault="006F321B" w:rsidP="00C75109">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bottom w:val="single" w:sz="4" w:space="0" w:color="auto"/>
              <w:right w:val="nil"/>
            </w:tcBorders>
            <w:shd w:val="clear" w:color="auto" w:fill="auto"/>
            <w:vAlign w:val="bottom"/>
          </w:tcPr>
          <w:p w14:paraId="57142BD6" w14:textId="77777777" w:rsidR="006F321B" w:rsidRPr="00370EC4" w:rsidRDefault="006F321B" w:rsidP="00C75109">
            <w:pPr>
              <w:pStyle w:val="EnvelopeReturn"/>
              <w:ind w:right="118"/>
              <w:jc w:val="center"/>
              <w:rPr>
                <w:rFonts w:eastAsia="Arial Unicode MS" w:cs="Arial"/>
                <w:sz w:val="18"/>
                <w:szCs w:val="18"/>
              </w:rPr>
            </w:pPr>
            <w:r w:rsidRPr="00370EC4">
              <w:rPr>
                <w:rFonts w:eastAsia="Arial Unicode MS" w:cs="Arial"/>
                <w:sz w:val="18"/>
                <w:szCs w:val="18"/>
              </w:rPr>
              <w:t>Shares</w:t>
            </w:r>
          </w:p>
          <w:p w14:paraId="3BE29D04" w14:textId="77777777" w:rsidR="006F321B" w:rsidRPr="00370EC4" w:rsidRDefault="006F321B" w:rsidP="00C75109">
            <w:pPr>
              <w:pStyle w:val="EnvelopeReturn"/>
              <w:ind w:left="-101" w:right="118"/>
              <w:jc w:val="center"/>
              <w:rPr>
                <w:rFonts w:eastAsia="Arial Unicode MS" w:cs="Arial"/>
                <w:sz w:val="18"/>
                <w:szCs w:val="18"/>
              </w:rPr>
            </w:pPr>
            <w:r w:rsidRPr="00370EC4">
              <w:rPr>
                <w:rFonts w:eastAsia="Arial Unicode MS" w:cs="Arial"/>
                <w:sz w:val="18"/>
                <w:szCs w:val="18"/>
              </w:rPr>
              <w:t>#</w:t>
            </w:r>
          </w:p>
        </w:tc>
        <w:tc>
          <w:tcPr>
            <w:tcW w:w="1244" w:type="dxa"/>
            <w:gridSpan w:val="2"/>
            <w:tcBorders>
              <w:top w:val="single" w:sz="4" w:space="0" w:color="auto"/>
              <w:left w:val="nil"/>
              <w:bottom w:val="single" w:sz="4" w:space="0" w:color="auto"/>
              <w:right w:val="nil"/>
            </w:tcBorders>
            <w:shd w:val="clear" w:color="auto" w:fill="auto"/>
            <w:vAlign w:val="bottom"/>
          </w:tcPr>
          <w:p w14:paraId="7FAE67FC"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Amount</w:t>
            </w:r>
          </w:p>
          <w:p w14:paraId="60D81DF7" w14:textId="77777777" w:rsidR="006F321B" w:rsidRPr="00370EC4" w:rsidRDefault="006F321B" w:rsidP="00C75109">
            <w:pPr>
              <w:pStyle w:val="EnvelopeReturn"/>
              <w:ind w:right="15"/>
              <w:jc w:val="center"/>
              <w:rPr>
                <w:rFonts w:eastAsia="Arial Unicode MS" w:cs="Arial"/>
                <w:sz w:val="18"/>
                <w:szCs w:val="18"/>
              </w:rPr>
            </w:pPr>
            <w:r w:rsidRPr="00370EC4">
              <w:rPr>
                <w:rFonts w:eastAsia="Arial Unicode MS" w:cs="Arial"/>
                <w:sz w:val="18"/>
                <w:szCs w:val="18"/>
              </w:rPr>
              <w:t>$</w:t>
            </w:r>
          </w:p>
        </w:tc>
        <w:tc>
          <w:tcPr>
            <w:tcW w:w="992" w:type="dxa"/>
            <w:gridSpan w:val="2"/>
            <w:vMerge/>
            <w:tcBorders>
              <w:left w:val="nil"/>
              <w:bottom w:val="single" w:sz="4" w:space="0" w:color="auto"/>
              <w:right w:val="nil"/>
            </w:tcBorders>
          </w:tcPr>
          <w:p w14:paraId="5E026A77" w14:textId="77777777" w:rsidR="006F321B" w:rsidRPr="00370EC4" w:rsidRDefault="006F321B" w:rsidP="00C75109">
            <w:pPr>
              <w:pStyle w:val="EnvelopeReturn"/>
              <w:jc w:val="center"/>
              <w:rPr>
                <w:rFonts w:cs="Arial"/>
                <w:sz w:val="18"/>
                <w:szCs w:val="18"/>
              </w:rPr>
            </w:pPr>
          </w:p>
        </w:tc>
        <w:tc>
          <w:tcPr>
            <w:tcW w:w="1134" w:type="dxa"/>
            <w:gridSpan w:val="2"/>
            <w:vMerge/>
            <w:tcBorders>
              <w:left w:val="nil"/>
              <w:bottom w:val="single" w:sz="4" w:space="0" w:color="auto"/>
              <w:right w:val="nil"/>
            </w:tcBorders>
          </w:tcPr>
          <w:p w14:paraId="1DBB39FD" w14:textId="77777777" w:rsidR="006F321B" w:rsidRPr="00370EC4" w:rsidRDefault="006F321B" w:rsidP="00C75109">
            <w:pPr>
              <w:pStyle w:val="EnvelopeReturn"/>
              <w:jc w:val="center"/>
              <w:rPr>
                <w:rFonts w:eastAsia="Arial Unicode MS" w:cs="Arial"/>
                <w:sz w:val="18"/>
                <w:szCs w:val="18"/>
              </w:rPr>
            </w:pPr>
          </w:p>
        </w:tc>
        <w:tc>
          <w:tcPr>
            <w:tcW w:w="1435" w:type="dxa"/>
            <w:gridSpan w:val="2"/>
            <w:tcBorders>
              <w:left w:val="nil"/>
              <w:bottom w:val="single" w:sz="4" w:space="0" w:color="auto"/>
              <w:right w:val="nil"/>
            </w:tcBorders>
          </w:tcPr>
          <w:p w14:paraId="32AC61D2" w14:textId="77777777" w:rsidR="00C75109" w:rsidRPr="00370EC4" w:rsidRDefault="00C75109" w:rsidP="00C75109">
            <w:pPr>
              <w:pStyle w:val="EnvelopeReturn"/>
              <w:jc w:val="center"/>
              <w:rPr>
                <w:rFonts w:cs="Arial"/>
                <w:sz w:val="18"/>
                <w:szCs w:val="18"/>
              </w:rPr>
            </w:pPr>
            <w:r w:rsidRPr="00370EC4">
              <w:rPr>
                <w:rFonts w:cs="Arial"/>
                <w:sz w:val="18"/>
                <w:szCs w:val="18"/>
              </w:rPr>
              <w:t>Adjustment</w:t>
            </w:r>
          </w:p>
          <w:p w14:paraId="1A319700" w14:textId="77777777" w:rsidR="006F321B" w:rsidRPr="00370EC4" w:rsidRDefault="00C75109" w:rsidP="00C75109">
            <w:pPr>
              <w:pStyle w:val="EnvelopeReturn"/>
              <w:jc w:val="center"/>
              <w:rPr>
                <w:rFonts w:cs="Arial"/>
                <w:sz w:val="18"/>
                <w:szCs w:val="18"/>
              </w:rPr>
            </w:pPr>
            <w:r w:rsidRPr="00370EC4">
              <w:rPr>
                <w:rFonts w:cs="Arial"/>
                <w:sz w:val="18"/>
                <w:szCs w:val="18"/>
              </w:rPr>
              <w:t>$</w:t>
            </w:r>
          </w:p>
        </w:tc>
        <w:tc>
          <w:tcPr>
            <w:tcW w:w="1276" w:type="dxa"/>
            <w:gridSpan w:val="2"/>
            <w:vMerge/>
            <w:tcBorders>
              <w:left w:val="nil"/>
              <w:bottom w:val="single" w:sz="4" w:space="0" w:color="auto"/>
              <w:right w:val="nil"/>
            </w:tcBorders>
            <w:shd w:val="clear" w:color="auto" w:fill="auto"/>
            <w:vAlign w:val="bottom"/>
          </w:tcPr>
          <w:p w14:paraId="7B7A8914" w14:textId="77777777" w:rsidR="006F321B" w:rsidRPr="00370EC4" w:rsidRDefault="006F321B" w:rsidP="00C75109">
            <w:pPr>
              <w:pStyle w:val="EnvelopeReturn"/>
              <w:jc w:val="center"/>
              <w:rPr>
                <w:rFonts w:cs="Arial"/>
                <w:sz w:val="18"/>
                <w:szCs w:val="18"/>
              </w:rPr>
            </w:pPr>
          </w:p>
        </w:tc>
        <w:tc>
          <w:tcPr>
            <w:tcW w:w="1303" w:type="dxa"/>
            <w:gridSpan w:val="2"/>
            <w:vMerge/>
            <w:tcBorders>
              <w:left w:val="nil"/>
              <w:bottom w:val="single" w:sz="4" w:space="0" w:color="auto"/>
              <w:right w:val="nil"/>
            </w:tcBorders>
            <w:shd w:val="clear" w:color="auto" w:fill="auto"/>
            <w:vAlign w:val="bottom"/>
          </w:tcPr>
          <w:p w14:paraId="26E9B94E" w14:textId="77777777" w:rsidR="006F321B" w:rsidRPr="00370EC4" w:rsidRDefault="006F321B" w:rsidP="00C75109">
            <w:pPr>
              <w:pStyle w:val="EnvelopeReturn"/>
              <w:ind w:right="142"/>
              <w:jc w:val="center"/>
              <w:rPr>
                <w:rFonts w:eastAsia="Arial Unicode MS" w:cs="Arial"/>
                <w:sz w:val="18"/>
                <w:szCs w:val="18"/>
              </w:rPr>
            </w:pPr>
          </w:p>
        </w:tc>
      </w:tr>
      <w:tr w:rsidR="008568A1" w:rsidRPr="00370EC4" w14:paraId="3E9A8277" w14:textId="77777777" w:rsidTr="00904B26">
        <w:trPr>
          <w:gridAfter w:val="1"/>
          <w:wAfter w:w="565" w:type="dxa"/>
          <w:trHeight w:hRule="exact" w:val="366"/>
        </w:trPr>
        <w:tc>
          <w:tcPr>
            <w:tcW w:w="2880" w:type="dxa"/>
            <w:tcBorders>
              <w:top w:val="nil"/>
              <w:left w:val="nil"/>
            </w:tcBorders>
            <w:noWrap/>
            <w:tcMar>
              <w:right w:w="216" w:type="dxa"/>
            </w:tcMar>
            <w:vAlign w:val="bottom"/>
          </w:tcPr>
          <w:p w14:paraId="0CEAD5C1" w14:textId="77AFDE5A" w:rsidR="008568A1" w:rsidRPr="00370EC4" w:rsidRDefault="008568A1" w:rsidP="00524166">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sidR="00524166">
              <w:rPr>
                <w:rFonts w:ascii="Arial" w:eastAsia="Arial Unicode MS" w:hAnsi="Arial" w:cs="Arial"/>
                <w:sz w:val="18"/>
                <w:szCs w:val="18"/>
              </w:rPr>
              <w:t>January</w:t>
            </w:r>
            <w:r>
              <w:rPr>
                <w:rFonts w:ascii="Arial" w:eastAsia="Arial Unicode MS" w:hAnsi="Arial" w:cs="Arial"/>
                <w:sz w:val="18"/>
                <w:szCs w:val="18"/>
              </w:rPr>
              <w:t xml:space="preserve"> </w:t>
            </w:r>
            <w:r w:rsidR="00040621">
              <w:rPr>
                <w:rFonts w:ascii="Arial" w:eastAsia="Arial Unicode MS" w:hAnsi="Arial" w:cs="Arial"/>
                <w:sz w:val="18"/>
                <w:szCs w:val="18"/>
              </w:rPr>
              <w:t>3</w:t>
            </w:r>
            <w:r>
              <w:rPr>
                <w:rFonts w:ascii="Arial" w:eastAsia="Arial Unicode MS" w:hAnsi="Arial" w:cs="Arial"/>
                <w:sz w:val="18"/>
                <w:szCs w:val="18"/>
              </w:rPr>
              <w:t>1, 2018</w:t>
            </w:r>
          </w:p>
        </w:tc>
        <w:tc>
          <w:tcPr>
            <w:tcW w:w="1276" w:type="dxa"/>
            <w:gridSpan w:val="2"/>
            <w:tcBorders>
              <w:right w:val="nil"/>
            </w:tcBorders>
            <w:shd w:val="clear" w:color="auto" w:fill="auto"/>
            <w:vAlign w:val="bottom"/>
          </w:tcPr>
          <w:p w14:paraId="28171798" w14:textId="77777777" w:rsidR="008568A1" w:rsidRPr="00370EC4" w:rsidRDefault="008568A1" w:rsidP="008568A1">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82,373,559</w:t>
            </w:r>
          </w:p>
        </w:tc>
        <w:tc>
          <w:tcPr>
            <w:tcW w:w="1244" w:type="dxa"/>
            <w:gridSpan w:val="2"/>
            <w:tcBorders>
              <w:left w:val="nil"/>
              <w:right w:val="nil"/>
            </w:tcBorders>
            <w:shd w:val="clear" w:color="auto" w:fill="auto"/>
            <w:vAlign w:val="bottom"/>
          </w:tcPr>
          <w:p w14:paraId="18F0EAD4" w14:textId="77777777" w:rsidR="008568A1" w:rsidRPr="00370EC4" w:rsidRDefault="008568A1" w:rsidP="008568A1">
            <w:pPr>
              <w:spacing w:after="0" w:line="240" w:lineRule="auto"/>
              <w:ind w:right="154"/>
              <w:jc w:val="right"/>
              <w:rPr>
                <w:rFonts w:ascii="Arial" w:hAnsi="Arial" w:cs="Arial"/>
                <w:sz w:val="18"/>
                <w:szCs w:val="18"/>
              </w:rPr>
            </w:pPr>
            <w:r w:rsidRPr="00370EC4">
              <w:rPr>
                <w:rFonts w:ascii="Arial" w:hAnsi="Arial" w:cs="Arial"/>
                <w:sz w:val="18"/>
                <w:szCs w:val="18"/>
              </w:rPr>
              <w:t>10,047,733</w:t>
            </w:r>
          </w:p>
        </w:tc>
        <w:tc>
          <w:tcPr>
            <w:tcW w:w="992" w:type="dxa"/>
            <w:gridSpan w:val="2"/>
            <w:tcBorders>
              <w:left w:val="nil"/>
              <w:right w:val="nil"/>
            </w:tcBorders>
            <w:vAlign w:val="bottom"/>
          </w:tcPr>
          <w:p w14:paraId="6D6D7ADD" w14:textId="77777777" w:rsidR="008568A1" w:rsidRPr="00370EC4" w:rsidRDefault="008568A1" w:rsidP="008568A1">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1C0F64CD" w14:textId="77777777" w:rsidR="008568A1" w:rsidRPr="00370EC4" w:rsidRDefault="008568A1" w:rsidP="008568A1">
            <w:pPr>
              <w:spacing w:after="0" w:line="240" w:lineRule="auto"/>
              <w:ind w:right="5"/>
              <w:jc w:val="right"/>
              <w:rPr>
                <w:rFonts w:ascii="Arial" w:hAnsi="Arial" w:cs="Arial"/>
                <w:sz w:val="18"/>
                <w:szCs w:val="18"/>
              </w:rPr>
            </w:pPr>
            <w:r w:rsidRPr="00370EC4">
              <w:rPr>
                <w:rFonts w:ascii="Arial" w:hAnsi="Arial" w:cs="Arial"/>
                <w:sz w:val="18"/>
                <w:szCs w:val="18"/>
              </w:rPr>
              <w:t>15,713,439</w:t>
            </w:r>
          </w:p>
        </w:tc>
        <w:tc>
          <w:tcPr>
            <w:tcW w:w="1435" w:type="dxa"/>
            <w:gridSpan w:val="2"/>
            <w:tcBorders>
              <w:left w:val="nil"/>
              <w:right w:val="nil"/>
            </w:tcBorders>
            <w:vAlign w:val="bottom"/>
          </w:tcPr>
          <w:p w14:paraId="159AD156" w14:textId="31F9239D" w:rsidR="008568A1" w:rsidRPr="00370EC4" w:rsidRDefault="0046105F"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6F5D80F1" w14:textId="52FB279F" w:rsidR="008568A1" w:rsidRPr="00370EC4" w:rsidRDefault="008568A1" w:rsidP="0046105F">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(25,</w:t>
            </w:r>
            <w:r w:rsidR="0046105F">
              <w:rPr>
                <w:rFonts w:ascii="Arial" w:hAnsi="Arial" w:cs="Arial"/>
                <w:sz w:val="18"/>
                <w:szCs w:val="18"/>
              </w:rPr>
              <w:t>816,964</w:t>
            </w: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7128A04C" w14:textId="77777777" w:rsidR="008568A1" w:rsidRPr="00370EC4" w:rsidRDefault="008568A1" w:rsidP="008568A1">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(55,792)</w:t>
            </w:r>
          </w:p>
        </w:tc>
      </w:tr>
      <w:tr w:rsidR="008568A1" w:rsidRPr="00370EC4" w14:paraId="66ACB67A" w14:textId="77777777" w:rsidTr="00904B26">
        <w:trPr>
          <w:gridAfter w:val="1"/>
          <w:wAfter w:w="565" w:type="dxa"/>
          <w:trHeight w:hRule="exact" w:val="502"/>
        </w:trPr>
        <w:tc>
          <w:tcPr>
            <w:tcW w:w="2880" w:type="dxa"/>
            <w:tcBorders>
              <w:left w:val="nil"/>
            </w:tcBorders>
            <w:noWrap/>
            <w:tcMar>
              <w:right w:w="216" w:type="dxa"/>
            </w:tcMar>
            <w:vAlign w:val="bottom"/>
          </w:tcPr>
          <w:p w14:paraId="488BD6A3" w14:textId="70EFE4FB" w:rsidR="008568A1" w:rsidRPr="00370EC4" w:rsidRDefault="008568A1" w:rsidP="00FC7923">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sidR="00524166">
              <w:rPr>
                <w:rFonts w:ascii="Arial" w:eastAsia="Arial Unicode MS" w:hAnsi="Arial" w:cs="Arial"/>
                <w:sz w:val="18"/>
                <w:szCs w:val="18"/>
              </w:rPr>
              <w:t>shares</w:t>
            </w:r>
            <w:r w:rsidRPr="00370EC4">
              <w:rPr>
                <w:rFonts w:ascii="Arial" w:eastAsia="Arial Unicode MS" w:hAnsi="Arial" w:cs="Arial"/>
                <w:sz w:val="18"/>
                <w:szCs w:val="18"/>
              </w:rPr>
              <w:t xml:space="preserve"> issued for services</w:t>
            </w:r>
            <w:r w:rsidR="001B4793">
              <w:rPr>
                <w:rFonts w:ascii="Arial" w:eastAsia="Arial Unicode MS" w:hAnsi="Arial" w:cs="Arial"/>
                <w:sz w:val="18"/>
                <w:szCs w:val="18"/>
              </w:rPr>
              <w:t xml:space="preserve"> (Notes </w:t>
            </w:r>
            <w:r w:rsidR="00FC7923">
              <w:rPr>
                <w:rFonts w:ascii="Arial" w:eastAsia="Arial Unicode MS" w:hAnsi="Arial" w:cs="Arial"/>
                <w:sz w:val="18"/>
                <w:szCs w:val="18"/>
              </w:rPr>
              <w:t>11(i) and 11(j)</w:t>
            </w:r>
            <w:r w:rsidR="001B4793">
              <w:rPr>
                <w:rFonts w:ascii="Arial" w:eastAsia="Arial Unicode MS" w:hAnsi="Arial" w:cs="Arial"/>
                <w:sz w:val="18"/>
                <w:szCs w:val="18"/>
              </w:rPr>
              <w:t>)</w:t>
            </w:r>
          </w:p>
        </w:tc>
        <w:tc>
          <w:tcPr>
            <w:tcW w:w="1276" w:type="dxa"/>
            <w:gridSpan w:val="2"/>
            <w:tcBorders>
              <w:right w:val="nil"/>
            </w:tcBorders>
            <w:shd w:val="clear" w:color="auto" w:fill="auto"/>
            <w:vAlign w:val="bottom"/>
          </w:tcPr>
          <w:p w14:paraId="37B60907" w14:textId="24278F17" w:rsidR="008568A1" w:rsidRPr="00370EC4" w:rsidRDefault="00524166" w:rsidP="0046105F">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623,044</w:t>
            </w:r>
          </w:p>
        </w:tc>
        <w:tc>
          <w:tcPr>
            <w:tcW w:w="1244" w:type="dxa"/>
            <w:gridSpan w:val="2"/>
            <w:tcBorders>
              <w:left w:val="nil"/>
              <w:right w:val="nil"/>
            </w:tcBorders>
            <w:shd w:val="clear" w:color="auto" w:fill="auto"/>
            <w:vAlign w:val="bottom"/>
          </w:tcPr>
          <w:p w14:paraId="5D8514E7" w14:textId="41853CB9" w:rsidR="008568A1" w:rsidRPr="00370EC4" w:rsidRDefault="00524166" w:rsidP="008568A1">
            <w:pPr>
              <w:spacing w:after="0" w:line="240" w:lineRule="auto"/>
              <w:ind w:right="154"/>
              <w:jc w:val="right"/>
              <w:rPr>
                <w:rFonts w:ascii="Arial" w:hAnsi="Arial" w:cs="Arial"/>
                <w:sz w:val="18"/>
                <w:szCs w:val="18"/>
              </w:rPr>
            </w:pPr>
            <w:r>
              <w:rPr>
                <w:rFonts w:ascii="Arial" w:hAnsi="Arial" w:cs="Arial"/>
                <w:sz w:val="18"/>
                <w:szCs w:val="18"/>
              </w:rPr>
              <w:t>412,997</w:t>
            </w:r>
          </w:p>
        </w:tc>
        <w:tc>
          <w:tcPr>
            <w:tcW w:w="992" w:type="dxa"/>
            <w:gridSpan w:val="2"/>
            <w:tcBorders>
              <w:left w:val="nil"/>
              <w:right w:val="nil"/>
            </w:tcBorders>
            <w:vAlign w:val="bottom"/>
          </w:tcPr>
          <w:p w14:paraId="557FC712" w14:textId="5C187A36" w:rsidR="008568A1" w:rsidRPr="00370EC4" w:rsidRDefault="00524166" w:rsidP="008568A1">
            <w:pPr>
              <w:spacing w:after="0" w:line="240" w:lineRule="auto"/>
              <w:ind w:right="90"/>
              <w:jc w:val="right"/>
              <w:rPr>
                <w:rFonts w:ascii="Arial" w:hAnsi="Arial" w:cs="Arial"/>
                <w:sz w:val="18"/>
                <w:szCs w:val="18"/>
              </w:rPr>
            </w:pPr>
            <w:r>
              <w:rPr>
                <w:rFonts w:ascii="Arial" w:hAnsi="Arial" w:cs="Arial"/>
                <w:sz w:val="18"/>
                <w:szCs w:val="18"/>
              </w:rPr>
              <w:t>25,000</w:t>
            </w:r>
          </w:p>
        </w:tc>
        <w:tc>
          <w:tcPr>
            <w:tcW w:w="1134" w:type="dxa"/>
            <w:gridSpan w:val="2"/>
            <w:tcBorders>
              <w:left w:val="nil"/>
              <w:right w:val="nil"/>
            </w:tcBorders>
            <w:vAlign w:val="bottom"/>
          </w:tcPr>
          <w:p w14:paraId="2204DF9F" w14:textId="77777777" w:rsidR="008568A1" w:rsidRPr="00370EC4" w:rsidRDefault="008568A1" w:rsidP="008568A1">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3003A7B0"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1744C502"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446AECD" w14:textId="4D7AB190" w:rsidR="008568A1" w:rsidRPr="00370EC4" w:rsidRDefault="00524166" w:rsidP="008568A1">
            <w:pPr>
              <w:tabs>
                <w:tab w:val="decimal" w:pos="1126"/>
              </w:tabs>
              <w:spacing w:after="0" w:line="240" w:lineRule="auto"/>
              <w:ind w:right="142"/>
              <w:jc w:val="right"/>
              <w:rPr>
                <w:rFonts w:ascii="Arial" w:hAnsi="Arial" w:cs="Arial"/>
                <w:sz w:val="18"/>
                <w:szCs w:val="18"/>
              </w:rPr>
            </w:pPr>
            <w:r>
              <w:rPr>
                <w:rFonts w:ascii="Arial" w:hAnsi="Arial" w:cs="Arial"/>
                <w:sz w:val="18"/>
                <w:szCs w:val="18"/>
              </w:rPr>
              <w:t>437,997</w:t>
            </w:r>
          </w:p>
        </w:tc>
      </w:tr>
      <w:tr w:rsidR="008568A1" w:rsidRPr="00370EC4" w14:paraId="204DBA49" w14:textId="77777777" w:rsidTr="00904B26">
        <w:trPr>
          <w:gridAfter w:val="1"/>
          <w:wAfter w:w="565" w:type="dxa"/>
          <w:trHeight w:hRule="exact" w:val="441"/>
        </w:trPr>
        <w:tc>
          <w:tcPr>
            <w:tcW w:w="2880" w:type="dxa"/>
            <w:tcBorders>
              <w:top w:val="nil"/>
              <w:left w:val="nil"/>
            </w:tcBorders>
            <w:noWrap/>
            <w:tcMar>
              <w:right w:w="216" w:type="dxa"/>
            </w:tcMar>
            <w:vAlign w:val="bottom"/>
          </w:tcPr>
          <w:p w14:paraId="3B424358" w14:textId="13859A14" w:rsidR="008568A1" w:rsidRPr="00370EC4" w:rsidRDefault="008568A1"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sidR="00AD1E4D">
              <w:rPr>
                <w:rFonts w:ascii="Arial" w:eastAsia="Arial Unicode MS" w:hAnsi="Arial" w:cs="Arial"/>
                <w:sz w:val="18"/>
                <w:szCs w:val="18"/>
              </w:rPr>
              <w:t>shares</w:t>
            </w:r>
            <w:r w:rsidRPr="00370EC4">
              <w:rPr>
                <w:rFonts w:ascii="Arial" w:eastAsia="Arial Unicode MS" w:hAnsi="Arial" w:cs="Arial"/>
                <w:sz w:val="18"/>
                <w:szCs w:val="18"/>
              </w:rPr>
              <w:t xml:space="preserve"> issued for </w:t>
            </w:r>
            <w:r w:rsidR="00AD1E4D">
              <w:rPr>
                <w:rFonts w:ascii="Arial" w:eastAsia="Arial Unicode MS" w:hAnsi="Arial" w:cs="Arial"/>
                <w:sz w:val="18"/>
                <w:szCs w:val="18"/>
              </w:rPr>
              <w:t xml:space="preserve">asset acquisition </w:t>
            </w:r>
            <w:r w:rsidRPr="00370EC4">
              <w:rPr>
                <w:rFonts w:ascii="Arial" w:eastAsia="Arial Unicode MS" w:hAnsi="Arial" w:cs="Arial"/>
                <w:sz w:val="18"/>
                <w:szCs w:val="18"/>
              </w:rPr>
              <w:t>(Note</w:t>
            </w:r>
            <w:r w:rsidR="00FC7923">
              <w:rPr>
                <w:rFonts w:ascii="Arial" w:eastAsia="Arial Unicode MS" w:hAnsi="Arial" w:cs="Arial"/>
                <w:sz w:val="18"/>
                <w:szCs w:val="18"/>
              </w:rPr>
              <w:t>s</w:t>
            </w:r>
            <w:r w:rsidR="00AD1E4D">
              <w:rPr>
                <w:rFonts w:ascii="Arial" w:eastAsia="Arial Unicode MS" w:hAnsi="Arial" w:cs="Arial"/>
                <w:sz w:val="18"/>
                <w:szCs w:val="18"/>
              </w:rPr>
              <w:t xml:space="preserve"> 4(b)</w:t>
            </w:r>
            <w:r w:rsidR="00FC7923">
              <w:rPr>
                <w:rFonts w:ascii="Arial" w:eastAsia="Arial Unicode MS" w:hAnsi="Arial" w:cs="Arial"/>
                <w:sz w:val="18"/>
                <w:szCs w:val="18"/>
              </w:rPr>
              <w:t xml:space="preserve"> and 11(g)</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781E4874" w14:textId="77777777" w:rsidR="008568A1" w:rsidRPr="00370EC4" w:rsidRDefault="008568A1" w:rsidP="008568A1">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5,000,000</w:t>
            </w:r>
          </w:p>
        </w:tc>
        <w:tc>
          <w:tcPr>
            <w:tcW w:w="1244" w:type="dxa"/>
            <w:gridSpan w:val="2"/>
            <w:tcBorders>
              <w:left w:val="nil"/>
              <w:right w:val="nil"/>
            </w:tcBorders>
            <w:shd w:val="clear" w:color="auto" w:fill="auto"/>
            <w:vAlign w:val="bottom"/>
          </w:tcPr>
          <w:p w14:paraId="3CCE80E7" w14:textId="77777777" w:rsidR="008568A1" w:rsidRPr="00370EC4" w:rsidRDefault="008568A1" w:rsidP="008568A1">
            <w:pPr>
              <w:spacing w:after="0" w:line="240" w:lineRule="auto"/>
              <w:ind w:right="154"/>
              <w:jc w:val="right"/>
              <w:rPr>
                <w:rFonts w:ascii="Arial" w:hAnsi="Arial" w:cs="Arial"/>
                <w:sz w:val="18"/>
                <w:szCs w:val="18"/>
              </w:rPr>
            </w:pPr>
            <w:r w:rsidRPr="00370EC4">
              <w:rPr>
                <w:rFonts w:ascii="Arial" w:hAnsi="Arial" w:cs="Arial"/>
                <w:sz w:val="18"/>
                <w:szCs w:val="18"/>
              </w:rPr>
              <w:t>6,650,000</w:t>
            </w:r>
          </w:p>
        </w:tc>
        <w:tc>
          <w:tcPr>
            <w:tcW w:w="992" w:type="dxa"/>
            <w:gridSpan w:val="2"/>
            <w:tcBorders>
              <w:left w:val="nil"/>
              <w:right w:val="nil"/>
            </w:tcBorders>
            <w:vAlign w:val="bottom"/>
          </w:tcPr>
          <w:p w14:paraId="5933F402" w14:textId="77777777" w:rsidR="008568A1" w:rsidRPr="00370EC4" w:rsidRDefault="008568A1" w:rsidP="008568A1">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3924E59E" w14:textId="77777777" w:rsidR="008568A1" w:rsidRPr="00370EC4" w:rsidRDefault="008568A1" w:rsidP="008568A1">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7899FA9"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55BEF840"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1A4691A2" w14:textId="77777777" w:rsidR="008568A1" w:rsidRPr="00370EC4" w:rsidRDefault="008568A1" w:rsidP="008568A1">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6,650,000</w:t>
            </w:r>
          </w:p>
        </w:tc>
      </w:tr>
      <w:tr w:rsidR="008568A1" w:rsidRPr="00370EC4" w14:paraId="2B9E3FE1" w14:textId="77777777" w:rsidTr="00904B26">
        <w:trPr>
          <w:gridAfter w:val="1"/>
          <w:wAfter w:w="565" w:type="dxa"/>
          <w:trHeight w:hRule="exact" w:val="450"/>
        </w:trPr>
        <w:tc>
          <w:tcPr>
            <w:tcW w:w="2880" w:type="dxa"/>
            <w:tcBorders>
              <w:top w:val="nil"/>
              <w:left w:val="nil"/>
            </w:tcBorders>
            <w:noWrap/>
            <w:tcMar>
              <w:right w:w="216" w:type="dxa"/>
            </w:tcMar>
            <w:vAlign w:val="bottom"/>
          </w:tcPr>
          <w:p w14:paraId="60F05277" w14:textId="1ACBA32D" w:rsidR="008568A1" w:rsidRPr="00370EC4" w:rsidRDefault="008568A1"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sidR="00AD1E4D">
              <w:rPr>
                <w:rFonts w:ascii="Arial" w:eastAsia="Arial Unicode MS" w:hAnsi="Arial" w:cs="Arial"/>
                <w:sz w:val="18"/>
                <w:szCs w:val="18"/>
              </w:rPr>
              <w:t>shares</w:t>
            </w:r>
            <w:r w:rsidRPr="00370EC4">
              <w:rPr>
                <w:rFonts w:ascii="Arial" w:eastAsia="Arial Unicode MS" w:hAnsi="Arial" w:cs="Arial"/>
                <w:sz w:val="18"/>
                <w:szCs w:val="18"/>
              </w:rPr>
              <w:t xml:space="preserve"> issued for </w:t>
            </w:r>
            <w:r w:rsidR="00AD1E4D">
              <w:rPr>
                <w:rFonts w:ascii="Arial" w:eastAsia="Arial Unicode MS" w:hAnsi="Arial" w:cs="Arial"/>
                <w:sz w:val="18"/>
                <w:szCs w:val="18"/>
              </w:rPr>
              <w:t xml:space="preserve">asset </w:t>
            </w:r>
            <w:r w:rsidRPr="00370EC4">
              <w:rPr>
                <w:rFonts w:ascii="Arial" w:eastAsia="Arial Unicode MS" w:hAnsi="Arial" w:cs="Arial"/>
                <w:sz w:val="18"/>
                <w:szCs w:val="18"/>
              </w:rPr>
              <w:t>acquisition (Note</w:t>
            </w:r>
            <w:r w:rsidR="00FC7923">
              <w:rPr>
                <w:rFonts w:ascii="Arial" w:eastAsia="Arial Unicode MS" w:hAnsi="Arial" w:cs="Arial"/>
                <w:sz w:val="18"/>
                <w:szCs w:val="18"/>
              </w:rPr>
              <w:t>s</w:t>
            </w:r>
            <w:r w:rsidR="00AD1E4D">
              <w:rPr>
                <w:rFonts w:ascii="Arial" w:eastAsia="Arial Unicode MS" w:hAnsi="Arial" w:cs="Arial"/>
                <w:sz w:val="18"/>
                <w:szCs w:val="18"/>
              </w:rPr>
              <w:t xml:space="preserve"> 4(a</w:t>
            </w:r>
            <w:r>
              <w:rPr>
                <w:rFonts w:ascii="Arial" w:eastAsia="Arial Unicode MS" w:hAnsi="Arial" w:cs="Arial"/>
                <w:sz w:val="18"/>
                <w:szCs w:val="18"/>
              </w:rPr>
              <w:t>)</w:t>
            </w:r>
            <w:r w:rsidR="00FC7923">
              <w:rPr>
                <w:rFonts w:ascii="Arial" w:eastAsia="Arial Unicode MS" w:hAnsi="Arial" w:cs="Arial"/>
                <w:sz w:val="18"/>
                <w:szCs w:val="18"/>
              </w:rPr>
              <w:t xml:space="preserve"> 11(h)</w:t>
            </w:r>
            <w:r w:rsidRPr="00370EC4">
              <w:rPr>
                <w:rFonts w:ascii="Arial" w:eastAsia="Arial Unicode MS" w:hAnsi="Arial" w:cs="Arial"/>
                <w:sz w:val="18"/>
                <w:szCs w:val="18"/>
              </w:rPr>
              <w:t>)</w:t>
            </w:r>
          </w:p>
        </w:tc>
        <w:tc>
          <w:tcPr>
            <w:tcW w:w="1276" w:type="dxa"/>
            <w:gridSpan w:val="2"/>
            <w:tcBorders>
              <w:right w:val="nil"/>
            </w:tcBorders>
            <w:shd w:val="clear" w:color="auto" w:fill="auto"/>
            <w:vAlign w:val="bottom"/>
          </w:tcPr>
          <w:p w14:paraId="7E989829" w14:textId="77777777" w:rsidR="008568A1" w:rsidRPr="00370EC4" w:rsidRDefault="008568A1" w:rsidP="008568A1">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500,000</w:t>
            </w:r>
          </w:p>
        </w:tc>
        <w:tc>
          <w:tcPr>
            <w:tcW w:w="1244" w:type="dxa"/>
            <w:gridSpan w:val="2"/>
            <w:tcBorders>
              <w:left w:val="nil"/>
              <w:right w:val="nil"/>
            </w:tcBorders>
            <w:shd w:val="clear" w:color="auto" w:fill="auto"/>
            <w:vAlign w:val="bottom"/>
          </w:tcPr>
          <w:p w14:paraId="3F12638B" w14:textId="4AE0D02B" w:rsidR="008568A1" w:rsidRPr="00370EC4" w:rsidRDefault="0046105F" w:rsidP="008568A1">
            <w:pPr>
              <w:spacing w:after="0" w:line="240" w:lineRule="auto"/>
              <w:ind w:right="154"/>
              <w:jc w:val="right"/>
              <w:rPr>
                <w:rFonts w:ascii="Arial" w:hAnsi="Arial" w:cs="Arial"/>
                <w:sz w:val="18"/>
                <w:szCs w:val="18"/>
              </w:rPr>
            </w:pPr>
            <w:r>
              <w:rPr>
                <w:rFonts w:ascii="Arial" w:hAnsi="Arial" w:cs="Arial"/>
                <w:sz w:val="18"/>
                <w:szCs w:val="18"/>
              </w:rPr>
              <w:t>830</w:t>
            </w:r>
            <w:r w:rsidR="008568A1" w:rsidRPr="00370EC4">
              <w:rPr>
                <w:rFonts w:ascii="Arial" w:hAnsi="Arial" w:cs="Arial"/>
                <w:sz w:val="18"/>
                <w:szCs w:val="18"/>
              </w:rPr>
              <w:t>,000</w:t>
            </w:r>
          </w:p>
        </w:tc>
        <w:tc>
          <w:tcPr>
            <w:tcW w:w="992" w:type="dxa"/>
            <w:gridSpan w:val="2"/>
            <w:tcBorders>
              <w:left w:val="nil"/>
              <w:right w:val="nil"/>
            </w:tcBorders>
            <w:vAlign w:val="bottom"/>
          </w:tcPr>
          <w:p w14:paraId="3F818EB5" w14:textId="77777777" w:rsidR="008568A1" w:rsidRPr="00370EC4" w:rsidRDefault="008568A1" w:rsidP="008568A1">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684C8CF8" w14:textId="77777777" w:rsidR="008568A1" w:rsidRPr="00370EC4" w:rsidRDefault="008568A1" w:rsidP="008568A1">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BC8F06A"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46BC090B" w14:textId="77777777" w:rsidR="008568A1" w:rsidRPr="00370EC4" w:rsidRDefault="008568A1" w:rsidP="008568A1">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36B3D279" w14:textId="4E47F9AC" w:rsidR="008568A1" w:rsidRPr="00370EC4" w:rsidRDefault="0046105F" w:rsidP="008568A1">
            <w:pPr>
              <w:tabs>
                <w:tab w:val="decimal" w:pos="1126"/>
              </w:tabs>
              <w:spacing w:after="0" w:line="240" w:lineRule="auto"/>
              <w:ind w:right="142"/>
              <w:jc w:val="right"/>
              <w:rPr>
                <w:rFonts w:ascii="Arial" w:hAnsi="Arial" w:cs="Arial"/>
                <w:sz w:val="18"/>
                <w:szCs w:val="18"/>
              </w:rPr>
            </w:pPr>
            <w:r>
              <w:rPr>
                <w:rFonts w:ascii="Arial" w:hAnsi="Arial" w:cs="Arial"/>
                <w:sz w:val="18"/>
                <w:szCs w:val="18"/>
              </w:rPr>
              <w:t>830</w:t>
            </w:r>
            <w:r w:rsidR="008568A1" w:rsidRPr="00370EC4">
              <w:rPr>
                <w:rFonts w:ascii="Arial" w:hAnsi="Arial" w:cs="Arial"/>
                <w:sz w:val="18"/>
                <w:szCs w:val="18"/>
              </w:rPr>
              <w:t>,000</w:t>
            </w:r>
          </w:p>
        </w:tc>
      </w:tr>
      <w:tr w:rsidR="00B061AA" w:rsidRPr="00370EC4" w14:paraId="2F2F873C" w14:textId="77777777" w:rsidTr="00904B26">
        <w:trPr>
          <w:gridAfter w:val="1"/>
          <w:wAfter w:w="565" w:type="dxa"/>
          <w:trHeight w:hRule="exact" w:val="261"/>
        </w:trPr>
        <w:tc>
          <w:tcPr>
            <w:tcW w:w="2880" w:type="dxa"/>
            <w:tcBorders>
              <w:top w:val="nil"/>
              <w:left w:val="nil"/>
            </w:tcBorders>
            <w:noWrap/>
            <w:tcMar>
              <w:right w:w="216" w:type="dxa"/>
            </w:tcMar>
            <w:vAlign w:val="bottom"/>
          </w:tcPr>
          <w:p w14:paraId="3A4A322D" w14:textId="77777777" w:rsidR="00B061AA" w:rsidRPr="00370EC4" w:rsidRDefault="00B061AA" w:rsidP="00B061AA">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Warrants issued for finder’s fee</w:t>
            </w:r>
          </w:p>
        </w:tc>
        <w:tc>
          <w:tcPr>
            <w:tcW w:w="1276" w:type="dxa"/>
            <w:gridSpan w:val="2"/>
            <w:tcBorders>
              <w:right w:val="nil"/>
            </w:tcBorders>
            <w:shd w:val="clear" w:color="auto" w:fill="auto"/>
            <w:vAlign w:val="bottom"/>
          </w:tcPr>
          <w:p w14:paraId="4B73AE08" w14:textId="77777777" w:rsidR="00B061AA" w:rsidRPr="00370EC4" w:rsidRDefault="00B061AA" w:rsidP="00B061AA">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2FE83FE6" w14:textId="77777777" w:rsidR="00B061AA" w:rsidRPr="00370EC4" w:rsidRDefault="00B061AA" w:rsidP="00B061AA">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7BE82FF8" w14:textId="77777777" w:rsidR="00B061AA" w:rsidRPr="00370EC4" w:rsidRDefault="00B061AA" w:rsidP="00B061AA">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15853FFF" w14:textId="0CF9C0A2" w:rsidR="00B061AA" w:rsidRPr="00370EC4" w:rsidRDefault="00B061AA" w:rsidP="00B061AA">
            <w:pPr>
              <w:spacing w:after="0" w:line="240" w:lineRule="auto"/>
              <w:ind w:right="5"/>
              <w:jc w:val="right"/>
              <w:rPr>
                <w:rFonts w:ascii="Arial" w:hAnsi="Arial" w:cs="Arial"/>
                <w:sz w:val="18"/>
                <w:szCs w:val="18"/>
              </w:rPr>
            </w:pPr>
            <w:r>
              <w:rPr>
                <w:rFonts w:ascii="Arial" w:hAnsi="Arial" w:cs="Arial"/>
                <w:sz w:val="18"/>
                <w:szCs w:val="18"/>
              </w:rPr>
              <w:t>174,813</w:t>
            </w:r>
          </w:p>
        </w:tc>
        <w:tc>
          <w:tcPr>
            <w:tcW w:w="1435" w:type="dxa"/>
            <w:gridSpan w:val="2"/>
            <w:tcBorders>
              <w:left w:val="nil"/>
              <w:right w:val="nil"/>
            </w:tcBorders>
            <w:vAlign w:val="bottom"/>
          </w:tcPr>
          <w:p w14:paraId="33F4D9B4" w14:textId="77777777" w:rsidR="00B061AA" w:rsidRPr="00370EC4" w:rsidRDefault="00B061AA" w:rsidP="00B061AA">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53508D7B" w14:textId="77777777" w:rsidR="00B061AA" w:rsidRPr="00370EC4" w:rsidRDefault="00B061AA" w:rsidP="00B061AA">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54507F46" w14:textId="504307F0" w:rsidR="00B061AA" w:rsidRPr="00370EC4" w:rsidRDefault="00B061AA" w:rsidP="00B061AA">
            <w:pPr>
              <w:tabs>
                <w:tab w:val="decimal" w:pos="1126"/>
              </w:tabs>
              <w:spacing w:after="0" w:line="240" w:lineRule="auto"/>
              <w:ind w:right="142"/>
              <w:jc w:val="right"/>
              <w:rPr>
                <w:rFonts w:ascii="Arial" w:hAnsi="Arial" w:cs="Arial"/>
                <w:sz w:val="18"/>
                <w:szCs w:val="18"/>
              </w:rPr>
            </w:pPr>
            <w:r>
              <w:rPr>
                <w:rFonts w:ascii="Arial" w:hAnsi="Arial" w:cs="Arial"/>
                <w:sz w:val="18"/>
                <w:szCs w:val="18"/>
              </w:rPr>
              <w:t>174,813</w:t>
            </w:r>
          </w:p>
        </w:tc>
      </w:tr>
      <w:tr w:rsidR="00B061AA" w:rsidRPr="00370EC4" w14:paraId="25E2D29B" w14:textId="77777777" w:rsidTr="00904B26">
        <w:trPr>
          <w:gridAfter w:val="1"/>
          <w:wAfter w:w="565" w:type="dxa"/>
          <w:trHeight w:hRule="exact" w:val="261"/>
        </w:trPr>
        <w:tc>
          <w:tcPr>
            <w:tcW w:w="2880" w:type="dxa"/>
            <w:tcBorders>
              <w:top w:val="nil"/>
              <w:left w:val="nil"/>
            </w:tcBorders>
            <w:noWrap/>
            <w:tcMar>
              <w:right w:w="216" w:type="dxa"/>
            </w:tcMar>
            <w:vAlign w:val="bottom"/>
          </w:tcPr>
          <w:p w14:paraId="0F2D203A" w14:textId="301399D8" w:rsidR="00B061AA" w:rsidRPr="00370EC4" w:rsidRDefault="00B061AA" w:rsidP="00B061AA">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Beneficial conversion feature</w:t>
            </w:r>
          </w:p>
        </w:tc>
        <w:tc>
          <w:tcPr>
            <w:tcW w:w="1276" w:type="dxa"/>
            <w:gridSpan w:val="2"/>
            <w:tcBorders>
              <w:right w:val="nil"/>
            </w:tcBorders>
            <w:shd w:val="clear" w:color="auto" w:fill="auto"/>
            <w:vAlign w:val="bottom"/>
          </w:tcPr>
          <w:p w14:paraId="5139F808" w14:textId="7D105811" w:rsidR="00B061AA" w:rsidRPr="00370EC4" w:rsidRDefault="00B061AA" w:rsidP="00B061AA">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37ED3621" w14:textId="770F8D4B" w:rsidR="00B061AA" w:rsidRPr="00370EC4" w:rsidRDefault="00B061AA" w:rsidP="00B061AA">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2242670F" w14:textId="2AAC5FAC" w:rsidR="00B061AA" w:rsidRPr="00370EC4" w:rsidRDefault="00B061AA" w:rsidP="00B061AA">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68786078" w14:textId="13F64DE6" w:rsidR="00B061AA" w:rsidRDefault="00B061AA" w:rsidP="00B061AA">
            <w:pPr>
              <w:spacing w:after="0" w:line="240" w:lineRule="auto"/>
              <w:ind w:right="5"/>
              <w:jc w:val="right"/>
              <w:rPr>
                <w:rFonts w:ascii="Arial" w:hAnsi="Arial" w:cs="Arial"/>
                <w:sz w:val="18"/>
                <w:szCs w:val="18"/>
              </w:rPr>
            </w:pPr>
            <w:r>
              <w:rPr>
                <w:rFonts w:ascii="Arial" w:hAnsi="Arial" w:cs="Arial"/>
                <w:sz w:val="18"/>
                <w:szCs w:val="18"/>
              </w:rPr>
              <w:t>185,753</w:t>
            </w:r>
          </w:p>
        </w:tc>
        <w:tc>
          <w:tcPr>
            <w:tcW w:w="1435" w:type="dxa"/>
            <w:gridSpan w:val="2"/>
            <w:tcBorders>
              <w:left w:val="nil"/>
              <w:right w:val="nil"/>
            </w:tcBorders>
            <w:vAlign w:val="bottom"/>
          </w:tcPr>
          <w:p w14:paraId="6D19DA5F" w14:textId="77777777" w:rsidR="00B061AA" w:rsidRPr="00370EC4" w:rsidRDefault="00B061AA" w:rsidP="00B061AA">
            <w:pPr>
              <w:tabs>
                <w:tab w:val="left"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13DB553E" w14:textId="77777777" w:rsidR="00B061AA" w:rsidRPr="00370EC4" w:rsidRDefault="00B061AA" w:rsidP="00B061AA">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6061E032" w14:textId="7755CAC9" w:rsidR="00B061AA" w:rsidRPr="00370EC4" w:rsidRDefault="00B061AA" w:rsidP="00B061AA">
            <w:pPr>
              <w:tabs>
                <w:tab w:val="decimal" w:pos="1126"/>
              </w:tabs>
              <w:spacing w:after="0" w:line="240" w:lineRule="auto"/>
              <w:ind w:right="142"/>
              <w:jc w:val="right"/>
              <w:rPr>
                <w:rFonts w:ascii="Arial" w:hAnsi="Arial" w:cs="Arial"/>
                <w:sz w:val="18"/>
                <w:szCs w:val="18"/>
              </w:rPr>
            </w:pPr>
            <w:r>
              <w:rPr>
                <w:rFonts w:ascii="Arial" w:hAnsi="Arial" w:cs="Arial"/>
                <w:sz w:val="18"/>
                <w:szCs w:val="18"/>
              </w:rPr>
              <w:t>185,753</w:t>
            </w:r>
          </w:p>
        </w:tc>
      </w:tr>
      <w:tr w:rsidR="0046105F" w:rsidRPr="00370EC4" w14:paraId="52B30265" w14:textId="77777777" w:rsidTr="00904B26">
        <w:trPr>
          <w:gridAfter w:val="1"/>
          <w:wAfter w:w="565" w:type="dxa"/>
          <w:trHeight w:hRule="exact" w:val="261"/>
        </w:trPr>
        <w:tc>
          <w:tcPr>
            <w:tcW w:w="2880" w:type="dxa"/>
            <w:tcBorders>
              <w:top w:val="nil"/>
              <w:left w:val="nil"/>
            </w:tcBorders>
            <w:noWrap/>
            <w:tcMar>
              <w:right w:w="216" w:type="dxa"/>
            </w:tcMar>
            <w:vAlign w:val="bottom"/>
          </w:tcPr>
          <w:p w14:paraId="4D63C45D" w14:textId="77777777" w:rsidR="0046105F" w:rsidRPr="00370EC4" w:rsidRDefault="0046105F" w:rsidP="0046105F">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07710D23" w14:textId="77777777" w:rsidR="0046105F" w:rsidRPr="00370EC4" w:rsidRDefault="0046105F" w:rsidP="0046105F">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1711BA07" w14:textId="77777777" w:rsidR="0046105F" w:rsidRPr="00370EC4" w:rsidRDefault="0046105F" w:rsidP="0046105F">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1E1A6EDE" w14:textId="77777777" w:rsidR="0046105F" w:rsidRPr="00370EC4" w:rsidRDefault="0046105F" w:rsidP="0046105F">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771C09B2" w14:textId="2FDF5C37" w:rsidR="0046105F" w:rsidRPr="00370EC4" w:rsidRDefault="00524166" w:rsidP="0046105F">
            <w:pPr>
              <w:spacing w:after="0" w:line="240" w:lineRule="auto"/>
              <w:ind w:right="5"/>
              <w:jc w:val="right"/>
              <w:rPr>
                <w:rFonts w:ascii="Arial" w:hAnsi="Arial" w:cs="Arial"/>
                <w:sz w:val="18"/>
                <w:szCs w:val="18"/>
              </w:rPr>
            </w:pPr>
            <w:r>
              <w:rPr>
                <w:rFonts w:ascii="Arial" w:hAnsi="Arial" w:cs="Arial"/>
                <w:sz w:val="18"/>
                <w:szCs w:val="18"/>
              </w:rPr>
              <w:t>63,238</w:t>
            </w:r>
          </w:p>
        </w:tc>
        <w:tc>
          <w:tcPr>
            <w:tcW w:w="1435" w:type="dxa"/>
            <w:gridSpan w:val="2"/>
            <w:tcBorders>
              <w:left w:val="nil"/>
              <w:right w:val="nil"/>
            </w:tcBorders>
            <w:vAlign w:val="bottom"/>
          </w:tcPr>
          <w:p w14:paraId="09ACE3B5" w14:textId="77777777" w:rsidR="0046105F" w:rsidRPr="00370EC4" w:rsidRDefault="0046105F" w:rsidP="0046105F">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48A85BEA" w14:textId="77777777" w:rsidR="0046105F" w:rsidRPr="00370EC4" w:rsidRDefault="0046105F" w:rsidP="0046105F">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7DDAEC95" w14:textId="5A2B97ED" w:rsidR="0046105F" w:rsidRPr="00370EC4" w:rsidRDefault="00900307" w:rsidP="0046105F">
            <w:pPr>
              <w:tabs>
                <w:tab w:val="decimal" w:pos="1126"/>
              </w:tabs>
              <w:spacing w:after="0" w:line="240" w:lineRule="auto"/>
              <w:ind w:right="142"/>
              <w:jc w:val="right"/>
              <w:rPr>
                <w:rFonts w:ascii="Arial" w:hAnsi="Arial" w:cs="Arial"/>
                <w:sz w:val="18"/>
                <w:szCs w:val="18"/>
              </w:rPr>
            </w:pPr>
            <w:r>
              <w:rPr>
                <w:rFonts w:ascii="Arial" w:hAnsi="Arial" w:cs="Arial"/>
                <w:sz w:val="18"/>
                <w:szCs w:val="18"/>
              </w:rPr>
              <w:t>63,238</w:t>
            </w:r>
          </w:p>
        </w:tc>
      </w:tr>
      <w:tr w:rsidR="0046105F" w:rsidRPr="00370EC4" w14:paraId="4C511B8D" w14:textId="77777777" w:rsidTr="00904B26">
        <w:trPr>
          <w:gridAfter w:val="1"/>
          <w:wAfter w:w="565" w:type="dxa"/>
          <w:trHeight w:val="267"/>
        </w:trPr>
        <w:tc>
          <w:tcPr>
            <w:tcW w:w="2880" w:type="dxa"/>
            <w:tcBorders>
              <w:top w:val="nil"/>
              <w:left w:val="nil"/>
              <w:bottom w:val="single" w:sz="4" w:space="0" w:color="auto"/>
            </w:tcBorders>
            <w:noWrap/>
            <w:tcMar>
              <w:right w:w="216" w:type="dxa"/>
            </w:tcMar>
            <w:vAlign w:val="bottom"/>
          </w:tcPr>
          <w:p w14:paraId="386FB6AE" w14:textId="77777777" w:rsidR="0046105F" w:rsidRPr="00370EC4" w:rsidRDefault="0046105F" w:rsidP="0046105F">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Net loss</w:t>
            </w:r>
          </w:p>
        </w:tc>
        <w:tc>
          <w:tcPr>
            <w:tcW w:w="1276" w:type="dxa"/>
            <w:gridSpan w:val="2"/>
            <w:tcBorders>
              <w:bottom w:val="single" w:sz="4" w:space="0" w:color="auto"/>
              <w:right w:val="nil"/>
            </w:tcBorders>
            <w:shd w:val="clear" w:color="auto" w:fill="auto"/>
            <w:vAlign w:val="bottom"/>
          </w:tcPr>
          <w:p w14:paraId="30C010D2" w14:textId="77777777" w:rsidR="0046105F" w:rsidRPr="00370EC4" w:rsidRDefault="0046105F" w:rsidP="0046105F">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53521970" w14:textId="77777777" w:rsidR="0046105F" w:rsidRPr="00370EC4" w:rsidRDefault="0046105F" w:rsidP="0046105F">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bottom w:val="single" w:sz="4" w:space="0" w:color="auto"/>
              <w:right w:val="nil"/>
            </w:tcBorders>
            <w:vAlign w:val="bottom"/>
          </w:tcPr>
          <w:p w14:paraId="0FA6ACAA" w14:textId="77777777" w:rsidR="0046105F" w:rsidRPr="00370EC4" w:rsidRDefault="0046105F" w:rsidP="0046105F">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4" w:space="0" w:color="auto"/>
              <w:right w:val="nil"/>
            </w:tcBorders>
            <w:vAlign w:val="bottom"/>
          </w:tcPr>
          <w:p w14:paraId="083ABA79" w14:textId="77777777" w:rsidR="0046105F" w:rsidRPr="00370EC4" w:rsidRDefault="0046105F" w:rsidP="0046105F">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bottom w:val="single" w:sz="4" w:space="0" w:color="auto"/>
              <w:right w:val="nil"/>
            </w:tcBorders>
            <w:vAlign w:val="bottom"/>
          </w:tcPr>
          <w:p w14:paraId="501056B9" w14:textId="67E950E1" w:rsidR="0046105F" w:rsidRPr="00370EC4" w:rsidRDefault="00677109" w:rsidP="0046105F">
            <w:pPr>
              <w:tabs>
                <w:tab w:val="left" w:pos="1080"/>
              </w:tabs>
              <w:spacing w:after="0" w:line="240" w:lineRule="auto"/>
              <w:ind w:right="90"/>
              <w:jc w:val="right"/>
              <w:rPr>
                <w:rFonts w:ascii="Arial" w:hAnsi="Arial" w:cs="Arial"/>
                <w:sz w:val="18"/>
                <w:szCs w:val="18"/>
              </w:rPr>
            </w:pPr>
            <w:r w:rsidRPr="00677109">
              <w:rPr>
                <w:rFonts w:ascii="Arial" w:hAnsi="Arial" w:cs="Arial"/>
                <w:sz w:val="18"/>
                <w:szCs w:val="18"/>
              </w:rPr>
              <w:t>53,298</w:t>
            </w:r>
          </w:p>
        </w:tc>
        <w:tc>
          <w:tcPr>
            <w:tcW w:w="1276" w:type="dxa"/>
            <w:gridSpan w:val="2"/>
            <w:tcBorders>
              <w:left w:val="nil"/>
              <w:bottom w:val="single" w:sz="4" w:space="0" w:color="auto"/>
              <w:right w:val="nil"/>
            </w:tcBorders>
            <w:shd w:val="clear" w:color="auto" w:fill="auto"/>
            <w:vAlign w:val="bottom"/>
          </w:tcPr>
          <w:p w14:paraId="1DDBDBD7" w14:textId="1ECEB26C" w:rsidR="0046105F" w:rsidRPr="00370EC4" w:rsidRDefault="0046105F" w:rsidP="0046105F">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r w:rsidR="00677109" w:rsidRPr="00677109">
              <w:rPr>
                <w:rFonts w:ascii="Arial" w:hAnsi="Arial" w:cs="Arial"/>
                <w:sz w:val="18"/>
                <w:szCs w:val="18"/>
              </w:rPr>
              <w:t>3,</w:t>
            </w:r>
            <w:r w:rsidR="00D31233" w:rsidRPr="00D31233">
              <w:rPr>
                <w:rFonts w:ascii="Arial" w:hAnsi="Arial" w:cs="Arial"/>
                <w:sz w:val="18"/>
                <w:szCs w:val="18"/>
              </w:rPr>
              <w:t>935,005</w:t>
            </w:r>
            <w:r>
              <w:rPr>
                <w:rFonts w:ascii="Arial" w:hAnsi="Arial" w:cs="Arial"/>
                <w:sz w:val="18"/>
                <w:szCs w:val="18"/>
              </w:rPr>
              <w:t>)</w:t>
            </w:r>
          </w:p>
        </w:tc>
        <w:tc>
          <w:tcPr>
            <w:tcW w:w="1303" w:type="dxa"/>
            <w:gridSpan w:val="2"/>
            <w:tcBorders>
              <w:left w:val="nil"/>
              <w:bottom w:val="single" w:sz="4" w:space="0" w:color="auto"/>
              <w:right w:val="nil"/>
            </w:tcBorders>
            <w:shd w:val="clear" w:color="auto" w:fill="auto"/>
            <w:vAlign w:val="bottom"/>
          </w:tcPr>
          <w:p w14:paraId="168D7869" w14:textId="4BB1A6FF" w:rsidR="0046105F" w:rsidRPr="00370EC4" w:rsidRDefault="0046105F" w:rsidP="00D31233">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w:t>
            </w:r>
            <w:r w:rsidR="00900307">
              <w:rPr>
                <w:rFonts w:ascii="Arial" w:hAnsi="Arial" w:cs="Arial"/>
                <w:sz w:val="18"/>
                <w:szCs w:val="18"/>
              </w:rPr>
              <w:t>3,</w:t>
            </w:r>
            <w:r w:rsidR="00677109">
              <w:rPr>
                <w:rFonts w:ascii="Arial" w:hAnsi="Arial" w:cs="Arial"/>
                <w:sz w:val="18"/>
                <w:szCs w:val="18"/>
              </w:rPr>
              <w:t>881,</w:t>
            </w:r>
            <w:r w:rsidR="00D31233">
              <w:rPr>
                <w:rFonts w:ascii="Arial" w:hAnsi="Arial" w:cs="Arial"/>
                <w:sz w:val="18"/>
                <w:szCs w:val="18"/>
              </w:rPr>
              <w:t>707</w:t>
            </w:r>
            <w:r w:rsidRPr="00370EC4">
              <w:rPr>
                <w:rFonts w:ascii="Arial" w:hAnsi="Arial" w:cs="Arial"/>
                <w:sz w:val="18"/>
                <w:szCs w:val="18"/>
              </w:rPr>
              <w:t>)</w:t>
            </w:r>
          </w:p>
        </w:tc>
      </w:tr>
      <w:tr w:rsidR="0046105F" w:rsidRPr="00370EC4" w14:paraId="53797195" w14:textId="77777777" w:rsidTr="00524166">
        <w:trPr>
          <w:gridAfter w:val="1"/>
          <w:wAfter w:w="565" w:type="dxa"/>
          <w:trHeight w:hRule="exact" w:val="101"/>
        </w:trPr>
        <w:tc>
          <w:tcPr>
            <w:tcW w:w="2880" w:type="dxa"/>
            <w:tcBorders>
              <w:top w:val="single" w:sz="4" w:space="0" w:color="auto"/>
              <w:left w:val="nil"/>
            </w:tcBorders>
            <w:noWrap/>
            <w:tcMar>
              <w:right w:w="216" w:type="dxa"/>
            </w:tcMar>
            <w:vAlign w:val="bottom"/>
          </w:tcPr>
          <w:p w14:paraId="5E9ACE08" w14:textId="77777777" w:rsidR="0046105F" w:rsidRPr="00370EC4" w:rsidRDefault="0046105F" w:rsidP="0046105F">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73DEF2A1" w14:textId="77777777" w:rsidR="0046105F" w:rsidRPr="00370EC4" w:rsidRDefault="0046105F" w:rsidP="0046105F">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4B0EEFA4" w14:textId="77777777" w:rsidR="0046105F" w:rsidRPr="00370EC4" w:rsidRDefault="0046105F" w:rsidP="0046105F">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vAlign w:val="bottom"/>
          </w:tcPr>
          <w:p w14:paraId="170C48D0" w14:textId="77777777" w:rsidR="0046105F" w:rsidRPr="00370EC4" w:rsidRDefault="0046105F" w:rsidP="0046105F">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vAlign w:val="bottom"/>
          </w:tcPr>
          <w:p w14:paraId="4D520C0F" w14:textId="77777777" w:rsidR="0046105F" w:rsidRPr="00370EC4" w:rsidRDefault="0046105F" w:rsidP="0046105F">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tcPr>
          <w:p w14:paraId="5FA573A3" w14:textId="77777777" w:rsidR="0046105F" w:rsidRPr="00370EC4" w:rsidRDefault="0046105F" w:rsidP="0046105F">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69522C66" w14:textId="77777777" w:rsidR="0046105F" w:rsidRPr="00370EC4" w:rsidRDefault="0046105F" w:rsidP="0046105F">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107E2C62" w14:textId="77777777" w:rsidR="0046105F" w:rsidRPr="00370EC4" w:rsidRDefault="0046105F" w:rsidP="0046105F">
            <w:pPr>
              <w:tabs>
                <w:tab w:val="decimal" w:pos="1126"/>
              </w:tabs>
              <w:spacing w:after="0" w:line="240" w:lineRule="auto"/>
              <w:ind w:right="142"/>
              <w:jc w:val="right"/>
              <w:rPr>
                <w:rFonts w:ascii="Arial" w:hAnsi="Arial" w:cs="Arial"/>
                <w:sz w:val="18"/>
                <w:szCs w:val="18"/>
              </w:rPr>
            </w:pPr>
          </w:p>
        </w:tc>
      </w:tr>
      <w:tr w:rsidR="0046105F" w:rsidRPr="00370EC4" w14:paraId="72C3EADD" w14:textId="77777777" w:rsidTr="00524166">
        <w:trPr>
          <w:gridAfter w:val="1"/>
          <w:wAfter w:w="565" w:type="dxa"/>
          <w:trHeight w:hRule="exact" w:val="366"/>
        </w:trPr>
        <w:tc>
          <w:tcPr>
            <w:tcW w:w="2880" w:type="dxa"/>
            <w:tcBorders>
              <w:top w:val="nil"/>
              <w:left w:val="nil"/>
              <w:bottom w:val="single" w:sz="12" w:space="0" w:color="auto"/>
            </w:tcBorders>
            <w:noWrap/>
            <w:tcMar>
              <w:right w:w="216" w:type="dxa"/>
            </w:tcMar>
            <w:vAlign w:val="bottom"/>
          </w:tcPr>
          <w:p w14:paraId="750753FE" w14:textId="124200EE" w:rsidR="0046105F" w:rsidRPr="00370EC4" w:rsidRDefault="0046105F" w:rsidP="00524166">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sidR="00524166">
              <w:rPr>
                <w:rFonts w:ascii="Arial" w:eastAsia="Arial Unicode MS" w:hAnsi="Arial" w:cs="Arial"/>
                <w:sz w:val="18"/>
                <w:szCs w:val="18"/>
              </w:rPr>
              <w:t>July</w:t>
            </w:r>
            <w:r w:rsidRPr="00370EC4">
              <w:rPr>
                <w:rFonts w:ascii="Arial" w:eastAsia="Arial Unicode MS" w:hAnsi="Arial" w:cs="Arial"/>
                <w:sz w:val="18"/>
                <w:szCs w:val="18"/>
              </w:rPr>
              <w:t xml:space="preserve"> 31, 201</w:t>
            </w:r>
            <w:r w:rsidR="00524166">
              <w:rPr>
                <w:rFonts w:ascii="Arial" w:eastAsia="Arial Unicode MS" w:hAnsi="Arial" w:cs="Arial"/>
                <w:sz w:val="18"/>
                <w:szCs w:val="18"/>
              </w:rPr>
              <w:t>8</w:t>
            </w:r>
          </w:p>
        </w:tc>
        <w:tc>
          <w:tcPr>
            <w:tcW w:w="1276" w:type="dxa"/>
            <w:gridSpan w:val="2"/>
            <w:tcBorders>
              <w:bottom w:val="single" w:sz="12" w:space="0" w:color="auto"/>
              <w:right w:val="nil"/>
            </w:tcBorders>
            <w:shd w:val="clear" w:color="auto" w:fill="auto"/>
            <w:vAlign w:val="bottom"/>
          </w:tcPr>
          <w:p w14:paraId="352E2292" w14:textId="4FC87763" w:rsidR="0046105F" w:rsidRPr="00370EC4" w:rsidRDefault="003B2100" w:rsidP="0046105F">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88,496,603</w:t>
            </w:r>
          </w:p>
        </w:tc>
        <w:tc>
          <w:tcPr>
            <w:tcW w:w="1244" w:type="dxa"/>
            <w:gridSpan w:val="2"/>
            <w:tcBorders>
              <w:left w:val="nil"/>
              <w:bottom w:val="single" w:sz="12" w:space="0" w:color="auto"/>
              <w:right w:val="nil"/>
            </w:tcBorders>
            <w:shd w:val="clear" w:color="auto" w:fill="auto"/>
            <w:vAlign w:val="bottom"/>
          </w:tcPr>
          <w:p w14:paraId="45F11913" w14:textId="11002771" w:rsidR="0046105F" w:rsidRPr="00370EC4" w:rsidRDefault="003B2100" w:rsidP="00900307">
            <w:pPr>
              <w:spacing w:after="0" w:line="240" w:lineRule="auto"/>
              <w:ind w:right="154"/>
              <w:jc w:val="right"/>
              <w:rPr>
                <w:rFonts w:ascii="Arial" w:hAnsi="Arial" w:cs="Arial"/>
                <w:sz w:val="18"/>
                <w:szCs w:val="18"/>
              </w:rPr>
            </w:pPr>
            <w:r>
              <w:rPr>
                <w:rFonts w:ascii="Arial" w:hAnsi="Arial" w:cs="Arial"/>
                <w:sz w:val="18"/>
                <w:szCs w:val="18"/>
              </w:rPr>
              <w:t>17,</w:t>
            </w:r>
            <w:r w:rsidR="00900307">
              <w:rPr>
                <w:rFonts w:ascii="Arial" w:hAnsi="Arial" w:cs="Arial"/>
                <w:sz w:val="18"/>
                <w:szCs w:val="18"/>
              </w:rPr>
              <w:t>940,730</w:t>
            </w:r>
          </w:p>
        </w:tc>
        <w:tc>
          <w:tcPr>
            <w:tcW w:w="992" w:type="dxa"/>
            <w:gridSpan w:val="2"/>
            <w:tcBorders>
              <w:left w:val="nil"/>
              <w:bottom w:val="single" w:sz="12" w:space="0" w:color="auto"/>
              <w:right w:val="nil"/>
            </w:tcBorders>
            <w:vAlign w:val="bottom"/>
          </w:tcPr>
          <w:p w14:paraId="4D5BC62B" w14:textId="7D42D91A" w:rsidR="0046105F" w:rsidRPr="00370EC4" w:rsidRDefault="003B2100" w:rsidP="0046105F">
            <w:pPr>
              <w:spacing w:after="0" w:line="240" w:lineRule="auto"/>
              <w:ind w:right="90"/>
              <w:jc w:val="right"/>
              <w:rPr>
                <w:rFonts w:ascii="Arial" w:hAnsi="Arial" w:cs="Arial"/>
                <w:sz w:val="18"/>
                <w:szCs w:val="18"/>
              </w:rPr>
            </w:pPr>
            <w:r>
              <w:rPr>
                <w:rFonts w:ascii="Arial" w:hAnsi="Arial" w:cs="Arial"/>
                <w:sz w:val="18"/>
                <w:szCs w:val="18"/>
              </w:rPr>
              <w:t>25</w:t>
            </w:r>
            <w:r w:rsidR="0046105F" w:rsidRPr="00370EC4">
              <w:rPr>
                <w:rFonts w:ascii="Arial" w:hAnsi="Arial" w:cs="Arial"/>
                <w:sz w:val="18"/>
                <w:szCs w:val="18"/>
              </w:rPr>
              <w:t>,000</w:t>
            </w:r>
          </w:p>
        </w:tc>
        <w:tc>
          <w:tcPr>
            <w:tcW w:w="1134" w:type="dxa"/>
            <w:gridSpan w:val="2"/>
            <w:tcBorders>
              <w:left w:val="nil"/>
              <w:bottom w:val="single" w:sz="12" w:space="0" w:color="auto"/>
              <w:right w:val="nil"/>
            </w:tcBorders>
            <w:vAlign w:val="bottom"/>
          </w:tcPr>
          <w:p w14:paraId="54CE3869" w14:textId="3EB0C842" w:rsidR="0046105F" w:rsidRPr="00370EC4" w:rsidRDefault="0046105F" w:rsidP="00677109">
            <w:pPr>
              <w:spacing w:after="0" w:line="240" w:lineRule="auto"/>
              <w:ind w:right="5"/>
              <w:jc w:val="right"/>
              <w:rPr>
                <w:rFonts w:ascii="Arial" w:hAnsi="Arial" w:cs="Arial"/>
                <w:sz w:val="18"/>
                <w:szCs w:val="18"/>
              </w:rPr>
            </w:pPr>
            <w:r>
              <w:rPr>
                <w:rFonts w:ascii="Arial" w:hAnsi="Arial" w:cs="Arial"/>
                <w:sz w:val="18"/>
                <w:szCs w:val="18"/>
              </w:rPr>
              <w:t>16,</w:t>
            </w:r>
            <w:r w:rsidR="00677109">
              <w:rPr>
                <w:rFonts w:ascii="Arial" w:hAnsi="Arial" w:cs="Arial"/>
                <w:sz w:val="18"/>
                <w:szCs w:val="18"/>
              </w:rPr>
              <w:t>137,243</w:t>
            </w:r>
          </w:p>
        </w:tc>
        <w:tc>
          <w:tcPr>
            <w:tcW w:w="1435" w:type="dxa"/>
            <w:gridSpan w:val="2"/>
            <w:tcBorders>
              <w:left w:val="nil"/>
              <w:bottom w:val="single" w:sz="12" w:space="0" w:color="auto"/>
              <w:right w:val="nil"/>
            </w:tcBorders>
            <w:vAlign w:val="bottom"/>
          </w:tcPr>
          <w:p w14:paraId="0656F75A" w14:textId="48C9D5EA" w:rsidR="0046105F" w:rsidRPr="00370EC4" w:rsidRDefault="00677109" w:rsidP="0046105F">
            <w:pPr>
              <w:tabs>
                <w:tab w:val="left" w:pos="1080"/>
              </w:tabs>
              <w:spacing w:after="0" w:line="240" w:lineRule="auto"/>
              <w:ind w:right="90"/>
              <w:jc w:val="right"/>
              <w:rPr>
                <w:rFonts w:ascii="Arial" w:hAnsi="Arial" w:cs="Arial"/>
                <w:sz w:val="18"/>
                <w:szCs w:val="18"/>
              </w:rPr>
            </w:pPr>
            <w:r w:rsidRPr="00677109">
              <w:rPr>
                <w:rFonts w:ascii="Arial" w:hAnsi="Arial" w:cs="Arial"/>
                <w:sz w:val="18"/>
                <w:szCs w:val="18"/>
              </w:rPr>
              <w:t>53,298</w:t>
            </w:r>
          </w:p>
        </w:tc>
        <w:tc>
          <w:tcPr>
            <w:tcW w:w="1276" w:type="dxa"/>
            <w:gridSpan w:val="2"/>
            <w:tcBorders>
              <w:left w:val="nil"/>
              <w:bottom w:val="single" w:sz="12" w:space="0" w:color="auto"/>
              <w:right w:val="nil"/>
            </w:tcBorders>
            <w:shd w:val="clear" w:color="auto" w:fill="auto"/>
            <w:vAlign w:val="bottom"/>
          </w:tcPr>
          <w:p w14:paraId="515BFE0D" w14:textId="7C47E833" w:rsidR="0046105F" w:rsidRPr="00370EC4" w:rsidRDefault="0046105F" w:rsidP="00677109">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r w:rsidR="00900307">
              <w:rPr>
                <w:rFonts w:ascii="Arial" w:hAnsi="Arial" w:cs="Arial"/>
                <w:sz w:val="18"/>
                <w:szCs w:val="18"/>
              </w:rPr>
              <w:t>29,</w:t>
            </w:r>
            <w:r w:rsidR="0037016A">
              <w:rPr>
                <w:rFonts w:ascii="Arial" w:hAnsi="Arial" w:cs="Arial"/>
                <w:sz w:val="18"/>
                <w:szCs w:val="18"/>
              </w:rPr>
              <w:t>7</w:t>
            </w:r>
            <w:r w:rsidR="00677109">
              <w:rPr>
                <w:rFonts w:ascii="Arial" w:hAnsi="Arial" w:cs="Arial"/>
                <w:sz w:val="18"/>
                <w:szCs w:val="18"/>
              </w:rPr>
              <w:t>51,969</w:t>
            </w:r>
            <w:r w:rsidRPr="00370EC4">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512E2811" w14:textId="7F035612" w:rsidR="0046105F" w:rsidRPr="00370EC4" w:rsidRDefault="00900307" w:rsidP="00677109">
            <w:pPr>
              <w:tabs>
                <w:tab w:val="decimal" w:pos="1126"/>
              </w:tabs>
              <w:spacing w:after="0" w:line="240" w:lineRule="auto"/>
              <w:ind w:right="142"/>
              <w:jc w:val="right"/>
              <w:rPr>
                <w:rFonts w:ascii="Arial" w:hAnsi="Arial" w:cs="Arial"/>
                <w:sz w:val="18"/>
                <w:szCs w:val="18"/>
              </w:rPr>
            </w:pPr>
            <w:r>
              <w:rPr>
                <w:rFonts w:ascii="Arial" w:hAnsi="Arial" w:cs="Arial"/>
                <w:sz w:val="18"/>
                <w:szCs w:val="18"/>
              </w:rPr>
              <w:t>4,</w:t>
            </w:r>
            <w:r w:rsidR="00677109">
              <w:rPr>
                <w:rFonts w:ascii="Arial" w:hAnsi="Arial" w:cs="Arial"/>
                <w:sz w:val="18"/>
                <w:szCs w:val="18"/>
              </w:rPr>
              <w:t>404,302</w:t>
            </w:r>
          </w:p>
        </w:tc>
      </w:tr>
      <w:tr w:rsidR="00524166" w:rsidRPr="00370EC4" w14:paraId="574083A3" w14:textId="77777777" w:rsidTr="00524166">
        <w:trPr>
          <w:gridAfter w:val="1"/>
          <w:wAfter w:w="565" w:type="dxa"/>
          <w:trHeight w:hRule="exact" w:val="366"/>
        </w:trPr>
        <w:tc>
          <w:tcPr>
            <w:tcW w:w="2880" w:type="dxa"/>
            <w:tcBorders>
              <w:top w:val="single" w:sz="12" w:space="0" w:color="auto"/>
              <w:left w:val="nil"/>
            </w:tcBorders>
            <w:noWrap/>
            <w:tcMar>
              <w:right w:w="216" w:type="dxa"/>
            </w:tcMar>
            <w:vAlign w:val="bottom"/>
          </w:tcPr>
          <w:p w14:paraId="1F71592D" w14:textId="77777777" w:rsidR="00524166" w:rsidRPr="00370EC4" w:rsidRDefault="00524166" w:rsidP="00524166">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12" w:space="0" w:color="auto"/>
              <w:right w:val="nil"/>
            </w:tcBorders>
            <w:shd w:val="clear" w:color="auto" w:fill="auto"/>
            <w:vAlign w:val="bottom"/>
          </w:tcPr>
          <w:p w14:paraId="5A76C8EC" w14:textId="77777777" w:rsidR="00524166" w:rsidRPr="00370EC4" w:rsidRDefault="00524166" w:rsidP="0046105F">
            <w:pPr>
              <w:tabs>
                <w:tab w:val="left" w:pos="1155"/>
                <w:tab w:val="left" w:pos="3845"/>
              </w:tabs>
              <w:spacing w:after="0" w:line="240" w:lineRule="auto"/>
              <w:ind w:right="90"/>
              <w:jc w:val="right"/>
              <w:rPr>
                <w:rFonts w:ascii="Arial" w:hAnsi="Arial" w:cs="Arial"/>
                <w:sz w:val="18"/>
                <w:szCs w:val="18"/>
              </w:rPr>
            </w:pPr>
          </w:p>
        </w:tc>
        <w:tc>
          <w:tcPr>
            <w:tcW w:w="1244" w:type="dxa"/>
            <w:gridSpan w:val="2"/>
            <w:tcBorders>
              <w:top w:val="single" w:sz="12" w:space="0" w:color="auto"/>
              <w:left w:val="nil"/>
              <w:right w:val="nil"/>
            </w:tcBorders>
            <w:shd w:val="clear" w:color="auto" w:fill="auto"/>
            <w:vAlign w:val="bottom"/>
          </w:tcPr>
          <w:p w14:paraId="1A06DAB5" w14:textId="77777777" w:rsidR="00524166" w:rsidRDefault="00524166" w:rsidP="0046105F">
            <w:pPr>
              <w:spacing w:after="0" w:line="240" w:lineRule="auto"/>
              <w:ind w:right="154"/>
              <w:jc w:val="right"/>
              <w:rPr>
                <w:rFonts w:ascii="Arial" w:hAnsi="Arial" w:cs="Arial"/>
                <w:sz w:val="18"/>
                <w:szCs w:val="18"/>
              </w:rPr>
            </w:pPr>
          </w:p>
        </w:tc>
        <w:tc>
          <w:tcPr>
            <w:tcW w:w="992" w:type="dxa"/>
            <w:gridSpan w:val="2"/>
            <w:tcBorders>
              <w:top w:val="single" w:sz="12" w:space="0" w:color="auto"/>
              <w:left w:val="nil"/>
              <w:right w:val="nil"/>
            </w:tcBorders>
            <w:vAlign w:val="bottom"/>
          </w:tcPr>
          <w:p w14:paraId="1401047C" w14:textId="77777777" w:rsidR="00524166" w:rsidRPr="00370EC4" w:rsidRDefault="00524166" w:rsidP="0046105F">
            <w:pPr>
              <w:spacing w:after="0" w:line="240" w:lineRule="auto"/>
              <w:ind w:right="90"/>
              <w:jc w:val="right"/>
              <w:rPr>
                <w:rFonts w:ascii="Arial" w:hAnsi="Arial" w:cs="Arial"/>
                <w:sz w:val="18"/>
                <w:szCs w:val="18"/>
              </w:rPr>
            </w:pPr>
          </w:p>
        </w:tc>
        <w:tc>
          <w:tcPr>
            <w:tcW w:w="1134" w:type="dxa"/>
            <w:gridSpan w:val="2"/>
            <w:tcBorders>
              <w:top w:val="single" w:sz="12" w:space="0" w:color="auto"/>
              <w:left w:val="nil"/>
              <w:right w:val="nil"/>
            </w:tcBorders>
            <w:vAlign w:val="bottom"/>
          </w:tcPr>
          <w:p w14:paraId="0615BB67" w14:textId="77777777" w:rsidR="00524166" w:rsidRDefault="00524166" w:rsidP="0046105F">
            <w:pPr>
              <w:spacing w:after="0" w:line="240" w:lineRule="auto"/>
              <w:ind w:right="5"/>
              <w:jc w:val="right"/>
              <w:rPr>
                <w:rFonts w:ascii="Arial" w:hAnsi="Arial" w:cs="Arial"/>
                <w:sz w:val="18"/>
                <w:szCs w:val="18"/>
              </w:rPr>
            </w:pPr>
          </w:p>
        </w:tc>
        <w:tc>
          <w:tcPr>
            <w:tcW w:w="1435" w:type="dxa"/>
            <w:gridSpan w:val="2"/>
            <w:tcBorders>
              <w:top w:val="single" w:sz="12" w:space="0" w:color="auto"/>
              <w:left w:val="nil"/>
              <w:right w:val="nil"/>
            </w:tcBorders>
            <w:vAlign w:val="bottom"/>
          </w:tcPr>
          <w:p w14:paraId="0AC3144C" w14:textId="77777777" w:rsidR="00524166" w:rsidRDefault="00524166" w:rsidP="0046105F">
            <w:pPr>
              <w:tabs>
                <w:tab w:val="left" w:pos="1080"/>
              </w:tabs>
              <w:spacing w:after="0" w:line="240" w:lineRule="auto"/>
              <w:ind w:right="90"/>
              <w:jc w:val="right"/>
              <w:rPr>
                <w:rFonts w:ascii="Arial" w:hAnsi="Arial" w:cs="Arial"/>
                <w:sz w:val="18"/>
                <w:szCs w:val="18"/>
              </w:rPr>
            </w:pPr>
          </w:p>
        </w:tc>
        <w:tc>
          <w:tcPr>
            <w:tcW w:w="1276" w:type="dxa"/>
            <w:gridSpan w:val="2"/>
            <w:tcBorders>
              <w:top w:val="single" w:sz="12" w:space="0" w:color="auto"/>
              <w:left w:val="nil"/>
              <w:right w:val="nil"/>
            </w:tcBorders>
            <w:shd w:val="clear" w:color="auto" w:fill="auto"/>
            <w:vAlign w:val="bottom"/>
          </w:tcPr>
          <w:p w14:paraId="78EE4BB9" w14:textId="77777777" w:rsidR="00524166" w:rsidRPr="00370EC4" w:rsidRDefault="00524166" w:rsidP="0046105F">
            <w:pPr>
              <w:tabs>
                <w:tab w:val="left" w:pos="1080"/>
              </w:tabs>
              <w:spacing w:after="0" w:line="240" w:lineRule="auto"/>
              <w:ind w:right="90"/>
              <w:jc w:val="right"/>
              <w:rPr>
                <w:rFonts w:ascii="Arial" w:hAnsi="Arial" w:cs="Arial"/>
                <w:sz w:val="18"/>
                <w:szCs w:val="18"/>
              </w:rPr>
            </w:pPr>
          </w:p>
        </w:tc>
        <w:tc>
          <w:tcPr>
            <w:tcW w:w="1303" w:type="dxa"/>
            <w:gridSpan w:val="2"/>
            <w:tcBorders>
              <w:top w:val="single" w:sz="12" w:space="0" w:color="auto"/>
              <w:left w:val="nil"/>
              <w:right w:val="nil"/>
            </w:tcBorders>
            <w:shd w:val="clear" w:color="auto" w:fill="auto"/>
            <w:vAlign w:val="bottom"/>
          </w:tcPr>
          <w:p w14:paraId="68DBE72C" w14:textId="77777777" w:rsidR="00524166" w:rsidRPr="00370EC4" w:rsidRDefault="00524166" w:rsidP="0046105F">
            <w:pPr>
              <w:tabs>
                <w:tab w:val="decimal" w:pos="1126"/>
              </w:tabs>
              <w:spacing w:after="0" w:line="240" w:lineRule="auto"/>
              <w:ind w:right="142"/>
              <w:jc w:val="right"/>
              <w:rPr>
                <w:rFonts w:ascii="Arial" w:hAnsi="Arial" w:cs="Arial"/>
                <w:sz w:val="18"/>
                <w:szCs w:val="18"/>
              </w:rPr>
            </w:pPr>
          </w:p>
        </w:tc>
      </w:tr>
      <w:tr w:rsidR="00AD1E4D" w:rsidRPr="00370EC4" w14:paraId="55CAD8FE" w14:textId="77777777" w:rsidTr="00524166">
        <w:trPr>
          <w:gridAfter w:val="1"/>
          <w:wAfter w:w="565" w:type="dxa"/>
          <w:trHeight w:hRule="exact" w:val="366"/>
        </w:trPr>
        <w:tc>
          <w:tcPr>
            <w:tcW w:w="2880" w:type="dxa"/>
            <w:tcBorders>
              <w:left w:val="nil"/>
            </w:tcBorders>
            <w:noWrap/>
            <w:tcMar>
              <w:right w:w="216" w:type="dxa"/>
            </w:tcMar>
            <w:vAlign w:val="bottom"/>
          </w:tcPr>
          <w:p w14:paraId="2E6E68C9" w14:textId="598C5543"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791122">
              <w:rPr>
                <w:rFonts w:ascii="Arial" w:eastAsia="Arial Unicode MS" w:hAnsi="Arial" w:cs="Arial"/>
                <w:sz w:val="18"/>
                <w:szCs w:val="18"/>
              </w:rPr>
              <w:t xml:space="preserve">Balance – January </w:t>
            </w:r>
            <w:r w:rsidR="00040621" w:rsidRPr="00791122">
              <w:rPr>
                <w:rFonts w:ascii="Arial" w:eastAsia="Arial Unicode MS" w:hAnsi="Arial" w:cs="Arial"/>
                <w:sz w:val="18"/>
                <w:szCs w:val="18"/>
              </w:rPr>
              <w:t>3</w:t>
            </w:r>
            <w:r w:rsidRPr="00791122">
              <w:rPr>
                <w:rFonts w:ascii="Arial" w:eastAsia="Arial Unicode MS" w:hAnsi="Arial" w:cs="Arial"/>
                <w:sz w:val="18"/>
                <w:szCs w:val="18"/>
              </w:rPr>
              <w:t>1, 2019</w:t>
            </w:r>
          </w:p>
        </w:tc>
        <w:tc>
          <w:tcPr>
            <w:tcW w:w="1276" w:type="dxa"/>
            <w:gridSpan w:val="2"/>
            <w:tcBorders>
              <w:right w:val="nil"/>
            </w:tcBorders>
            <w:shd w:val="clear" w:color="auto" w:fill="auto"/>
            <w:vAlign w:val="bottom"/>
          </w:tcPr>
          <w:p w14:paraId="5CB6C62D" w14:textId="3DA33455"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sidRPr="00707A15">
              <w:rPr>
                <w:rFonts w:ascii="Arial" w:hAnsi="Arial" w:cs="Arial"/>
                <w:sz w:val="18"/>
                <w:szCs w:val="18"/>
              </w:rPr>
              <w:t>96,899,6</w:t>
            </w:r>
            <w:r w:rsidRPr="00773E89">
              <w:rPr>
                <w:rFonts w:ascii="Arial" w:hAnsi="Arial" w:cs="Arial"/>
                <w:sz w:val="18"/>
                <w:szCs w:val="18"/>
              </w:rPr>
              <w:t>78</w:t>
            </w:r>
          </w:p>
        </w:tc>
        <w:tc>
          <w:tcPr>
            <w:tcW w:w="1244" w:type="dxa"/>
            <w:gridSpan w:val="2"/>
            <w:tcBorders>
              <w:left w:val="nil"/>
              <w:right w:val="nil"/>
            </w:tcBorders>
            <w:shd w:val="clear" w:color="auto" w:fill="auto"/>
            <w:vAlign w:val="bottom"/>
          </w:tcPr>
          <w:p w14:paraId="6ADDA069" w14:textId="3C4A2EE5" w:rsidR="00AD1E4D" w:rsidRDefault="00AD1E4D" w:rsidP="00C819E3">
            <w:pPr>
              <w:spacing w:after="0" w:line="240" w:lineRule="auto"/>
              <w:ind w:right="154"/>
              <w:jc w:val="right"/>
              <w:rPr>
                <w:rFonts w:ascii="Arial" w:hAnsi="Arial" w:cs="Arial"/>
                <w:sz w:val="18"/>
                <w:szCs w:val="18"/>
              </w:rPr>
            </w:pPr>
            <w:r w:rsidRPr="00707A15">
              <w:rPr>
                <w:rFonts w:ascii="Arial" w:hAnsi="Arial" w:cs="Arial"/>
                <w:sz w:val="18"/>
                <w:szCs w:val="18"/>
              </w:rPr>
              <w:t>21,</w:t>
            </w:r>
            <w:r w:rsidR="00C819E3">
              <w:rPr>
                <w:rFonts w:ascii="Arial" w:hAnsi="Arial" w:cs="Arial"/>
                <w:sz w:val="18"/>
                <w:szCs w:val="18"/>
              </w:rPr>
              <w:t>395,999</w:t>
            </w:r>
          </w:p>
        </w:tc>
        <w:tc>
          <w:tcPr>
            <w:tcW w:w="992" w:type="dxa"/>
            <w:gridSpan w:val="2"/>
            <w:tcBorders>
              <w:left w:val="nil"/>
              <w:right w:val="nil"/>
            </w:tcBorders>
            <w:vAlign w:val="bottom"/>
          </w:tcPr>
          <w:p w14:paraId="535FC3D8" w14:textId="6B4E9866" w:rsidR="00AD1E4D" w:rsidRPr="00370EC4" w:rsidRDefault="00AD1E4D" w:rsidP="00AD1E4D">
            <w:pPr>
              <w:spacing w:after="0" w:line="240" w:lineRule="auto"/>
              <w:ind w:right="90"/>
              <w:jc w:val="right"/>
              <w:rPr>
                <w:rFonts w:ascii="Arial" w:hAnsi="Arial" w:cs="Arial"/>
                <w:sz w:val="18"/>
                <w:szCs w:val="18"/>
              </w:rPr>
            </w:pPr>
            <w:r w:rsidRPr="00707A15">
              <w:rPr>
                <w:rFonts w:ascii="Arial" w:hAnsi="Arial" w:cs="Arial"/>
                <w:sz w:val="18"/>
                <w:szCs w:val="18"/>
              </w:rPr>
              <w:t>10,000</w:t>
            </w:r>
          </w:p>
        </w:tc>
        <w:tc>
          <w:tcPr>
            <w:tcW w:w="1134" w:type="dxa"/>
            <w:gridSpan w:val="2"/>
            <w:tcBorders>
              <w:left w:val="nil"/>
              <w:right w:val="nil"/>
            </w:tcBorders>
            <w:vAlign w:val="bottom"/>
          </w:tcPr>
          <w:p w14:paraId="1BE91E4C" w14:textId="4975E800" w:rsidR="00AD1E4D" w:rsidRDefault="00C819E3" w:rsidP="00AD1E4D">
            <w:pPr>
              <w:spacing w:after="0" w:line="240" w:lineRule="auto"/>
              <w:ind w:right="5"/>
              <w:jc w:val="right"/>
              <w:rPr>
                <w:rFonts w:ascii="Arial" w:hAnsi="Arial" w:cs="Arial"/>
                <w:sz w:val="18"/>
                <w:szCs w:val="18"/>
              </w:rPr>
            </w:pPr>
            <w:r>
              <w:rPr>
                <w:rFonts w:ascii="Arial" w:hAnsi="Arial" w:cs="Arial"/>
                <w:sz w:val="18"/>
                <w:szCs w:val="18"/>
              </w:rPr>
              <w:t>17,038,202</w:t>
            </w:r>
          </w:p>
        </w:tc>
        <w:tc>
          <w:tcPr>
            <w:tcW w:w="1435" w:type="dxa"/>
            <w:gridSpan w:val="2"/>
            <w:tcBorders>
              <w:left w:val="nil"/>
              <w:right w:val="nil"/>
            </w:tcBorders>
            <w:vAlign w:val="bottom"/>
          </w:tcPr>
          <w:p w14:paraId="593C0181" w14:textId="605C9D1F" w:rsidR="00AD1E4D" w:rsidRDefault="00C819E3" w:rsidP="00AD1E4D">
            <w:pPr>
              <w:tabs>
                <w:tab w:val="left" w:pos="1080"/>
              </w:tabs>
              <w:spacing w:after="0" w:line="240" w:lineRule="auto"/>
              <w:ind w:right="90"/>
              <w:jc w:val="right"/>
              <w:rPr>
                <w:rFonts w:ascii="Arial" w:hAnsi="Arial" w:cs="Arial"/>
                <w:sz w:val="18"/>
                <w:szCs w:val="18"/>
              </w:rPr>
            </w:pPr>
            <w:r w:rsidRPr="00C819E3">
              <w:rPr>
                <w:rFonts w:ascii="Arial" w:hAnsi="Arial" w:cs="Arial"/>
                <w:sz w:val="18"/>
                <w:szCs w:val="18"/>
              </w:rPr>
              <w:t>123,089</w:t>
            </w:r>
          </w:p>
        </w:tc>
        <w:tc>
          <w:tcPr>
            <w:tcW w:w="1276" w:type="dxa"/>
            <w:gridSpan w:val="2"/>
            <w:tcBorders>
              <w:left w:val="nil"/>
              <w:right w:val="nil"/>
            </w:tcBorders>
            <w:shd w:val="clear" w:color="auto" w:fill="auto"/>
            <w:vAlign w:val="bottom"/>
          </w:tcPr>
          <w:p w14:paraId="6E129F08" w14:textId="7F8D22C9" w:rsidR="00AD1E4D" w:rsidRPr="00370EC4" w:rsidRDefault="00AD1E4D" w:rsidP="00AD1E4D">
            <w:pPr>
              <w:tabs>
                <w:tab w:val="left" w:pos="1080"/>
              </w:tabs>
              <w:spacing w:after="0" w:line="240" w:lineRule="auto"/>
              <w:ind w:right="90"/>
              <w:jc w:val="right"/>
              <w:rPr>
                <w:rFonts w:ascii="Arial" w:hAnsi="Arial" w:cs="Arial"/>
                <w:sz w:val="18"/>
                <w:szCs w:val="18"/>
              </w:rPr>
            </w:pPr>
            <w:r w:rsidRPr="00707A15">
              <w:rPr>
                <w:rFonts w:ascii="Arial" w:hAnsi="Arial" w:cs="Arial"/>
                <w:sz w:val="18"/>
                <w:szCs w:val="18"/>
              </w:rPr>
              <w:t>(</w:t>
            </w:r>
            <w:r w:rsidR="00C819E3" w:rsidRPr="00C819E3">
              <w:rPr>
                <w:rFonts w:ascii="Arial" w:hAnsi="Arial" w:cs="Arial"/>
                <w:sz w:val="18"/>
                <w:szCs w:val="18"/>
              </w:rPr>
              <w:t>35,067,677</w:t>
            </w:r>
            <w:r w:rsidRPr="00707A15">
              <w:rPr>
                <w:rFonts w:ascii="Arial" w:hAnsi="Arial" w:cs="Arial"/>
                <w:sz w:val="18"/>
                <w:szCs w:val="18"/>
              </w:rPr>
              <w:t>)</w:t>
            </w:r>
          </w:p>
        </w:tc>
        <w:tc>
          <w:tcPr>
            <w:tcW w:w="1303" w:type="dxa"/>
            <w:gridSpan w:val="2"/>
            <w:tcBorders>
              <w:left w:val="nil"/>
              <w:right w:val="nil"/>
            </w:tcBorders>
            <w:shd w:val="clear" w:color="auto" w:fill="auto"/>
            <w:vAlign w:val="bottom"/>
          </w:tcPr>
          <w:p w14:paraId="5B6BE8B2" w14:textId="4E336A69" w:rsidR="00AD1E4D" w:rsidRPr="00370EC4" w:rsidRDefault="00AD1E4D" w:rsidP="00AD1E4D">
            <w:pPr>
              <w:tabs>
                <w:tab w:val="decimal" w:pos="1126"/>
              </w:tabs>
              <w:spacing w:after="0" w:line="240" w:lineRule="auto"/>
              <w:ind w:right="142"/>
              <w:jc w:val="right"/>
              <w:rPr>
                <w:rFonts w:ascii="Arial" w:hAnsi="Arial" w:cs="Arial"/>
                <w:sz w:val="18"/>
                <w:szCs w:val="18"/>
              </w:rPr>
            </w:pPr>
            <w:r w:rsidRPr="00707A15">
              <w:rPr>
                <w:rFonts w:ascii="Arial" w:hAnsi="Arial" w:cs="Arial"/>
                <w:sz w:val="18"/>
                <w:szCs w:val="18"/>
              </w:rPr>
              <w:t>3,</w:t>
            </w:r>
            <w:r w:rsidR="00C819E3" w:rsidRPr="00C819E3">
              <w:rPr>
                <w:rFonts w:ascii="Arial" w:hAnsi="Arial" w:cs="Arial"/>
                <w:sz w:val="18"/>
                <w:szCs w:val="18"/>
              </w:rPr>
              <w:t>499,613</w:t>
            </w:r>
          </w:p>
        </w:tc>
      </w:tr>
      <w:tr w:rsidR="00AD1E4D" w:rsidRPr="00370EC4" w14:paraId="70BED3C5" w14:textId="77777777" w:rsidTr="00FC7923">
        <w:trPr>
          <w:gridAfter w:val="1"/>
          <w:wAfter w:w="565" w:type="dxa"/>
          <w:trHeight w:hRule="exact" w:val="639"/>
        </w:trPr>
        <w:tc>
          <w:tcPr>
            <w:tcW w:w="2880" w:type="dxa"/>
            <w:tcBorders>
              <w:left w:val="nil"/>
            </w:tcBorders>
            <w:noWrap/>
            <w:tcMar>
              <w:right w:w="216" w:type="dxa"/>
            </w:tcMar>
            <w:vAlign w:val="bottom"/>
          </w:tcPr>
          <w:p w14:paraId="156C4BBA" w14:textId="3B0D49AB"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services</w:t>
            </w:r>
            <w:r w:rsidR="00FC7923">
              <w:rPr>
                <w:rFonts w:ascii="Arial" w:eastAsia="Arial Unicode MS" w:hAnsi="Arial" w:cs="Arial"/>
                <w:sz w:val="18"/>
                <w:szCs w:val="18"/>
              </w:rPr>
              <w:t xml:space="preserve"> (Notes 11(a), (b) and (e))</w:t>
            </w:r>
          </w:p>
        </w:tc>
        <w:tc>
          <w:tcPr>
            <w:tcW w:w="1276" w:type="dxa"/>
            <w:gridSpan w:val="2"/>
            <w:tcBorders>
              <w:right w:val="nil"/>
            </w:tcBorders>
            <w:shd w:val="clear" w:color="auto" w:fill="auto"/>
            <w:vAlign w:val="bottom"/>
          </w:tcPr>
          <w:p w14:paraId="76A1CCCC" w14:textId="271E83D7"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4,396,229</w:t>
            </w:r>
          </w:p>
        </w:tc>
        <w:tc>
          <w:tcPr>
            <w:tcW w:w="1244" w:type="dxa"/>
            <w:gridSpan w:val="2"/>
            <w:tcBorders>
              <w:left w:val="nil"/>
              <w:right w:val="nil"/>
            </w:tcBorders>
            <w:shd w:val="clear" w:color="auto" w:fill="auto"/>
            <w:vAlign w:val="bottom"/>
          </w:tcPr>
          <w:p w14:paraId="383AB116" w14:textId="3F0C5907" w:rsidR="00AD1E4D" w:rsidRPr="00370EC4" w:rsidRDefault="00AD1E4D" w:rsidP="00AD1E4D">
            <w:pPr>
              <w:spacing w:after="0" w:line="240" w:lineRule="auto"/>
              <w:ind w:right="154"/>
              <w:jc w:val="right"/>
              <w:rPr>
                <w:rFonts w:ascii="Arial" w:hAnsi="Arial" w:cs="Arial"/>
                <w:sz w:val="18"/>
                <w:szCs w:val="18"/>
              </w:rPr>
            </w:pPr>
            <w:r>
              <w:rPr>
                <w:rFonts w:ascii="Arial" w:hAnsi="Arial" w:cs="Arial"/>
                <w:sz w:val="18"/>
                <w:szCs w:val="18"/>
              </w:rPr>
              <w:t>1,914,129</w:t>
            </w:r>
          </w:p>
        </w:tc>
        <w:tc>
          <w:tcPr>
            <w:tcW w:w="992" w:type="dxa"/>
            <w:gridSpan w:val="2"/>
            <w:tcBorders>
              <w:left w:val="nil"/>
              <w:right w:val="nil"/>
            </w:tcBorders>
            <w:vAlign w:val="bottom"/>
          </w:tcPr>
          <w:p w14:paraId="3EA85FF3" w14:textId="036B3F05" w:rsidR="00AD1E4D" w:rsidRPr="00370EC4" w:rsidRDefault="00AD1E4D" w:rsidP="00AD1E4D">
            <w:pPr>
              <w:spacing w:after="0" w:line="240" w:lineRule="auto"/>
              <w:ind w:right="90"/>
              <w:jc w:val="right"/>
              <w:rPr>
                <w:rFonts w:ascii="Arial" w:hAnsi="Arial" w:cs="Arial"/>
                <w:sz w:val="18"/>
                <w:szCs w:val="18"/>
              </w:rPr>
            </w:pPr>
            <w:r>
              <w:rPr>
                <w:rFonts w:ascii="Arial" w:hAnsi="Arial" w:cs="Arial"/>
                <w:sz w:val="18"/>
                <w:szCs w:val="18"/>
              </w:rPr>
              <w:t>(</w:t>
            </w:r>
            <w:r w:rsidRPr="00370EC4">
              <w:rPr>
                <w:rFonts w:ascii="Arial" w:hAnsi="Arial" w:cs="Arial"/>
                <w:sz w:val="18"/>
                <w:szCs w:val="18"/>
              </w:rPr>
              <w:t>10,000</w:t>
            </w:r>
            <w:r>
              <w:rPr>
                <w:rFonts w:ascii="Arial" w:hAnsi="Arial" w:cs="Arial"/>
                <w:sz w:val="18"/>
                <w:szCs w:val="18"/>
              </w:rPr>
              <w:t>)</w:t>
            </w:r>
          </w:p>
        </w:tc>
        <w:tc>
          <w:tcPr>
            <w:tcW w:w="1134" w:type="dxa"/>
            <w:gridSpan w:val="2"/>
            <w:tcBorders>
              <w:left w:val="nil"/>
              <w:right w:val="nil"/>
            </w:tcBorders>
            <w:vAlign w:val="bottom"/>
          </w:tcPr>
          <w:p w14:paraId="5C75C7A4" w14:textId="79B93009" w:rsidR="00AD1E4D" w:rsidRPr="00370EC4" w:rsidRDefault="00AD1E4D" w:rsidP="00AD1E4D">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2D78BAAB"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0B9DEEAB"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4D9C09B" w14:textId="75C94FA3" w:rsidR="00AD1E4D" w:rsidRPr="00370EC4" w:rsidRDefault="00AD1E4D"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1,904,129</w:t>
            </w:r>
          </w:p>
        </w:tc>
      </w:tr>
      <w:tr w:rsidR="00AD1E4D" w:rsidRPr="00370EC4" w14:paraId="512929DA" w14:textId="77777777" w:rsidTr="00370EC4">
        <w:trPr>
          <w:gridAfter w:val="1"/>
          <w:wAfter w:w="565" w:type="dxa"/>
          <w:trHeight w:hRule="exact" w:val="657"/>
        </w:trPr>
        <w:tc>
          <w:tcPr>
            <w:tcW w:w="2880" w:type="dxa"/>
            <w:tcBorders>
              <w:left w:val="nil"/>
            </w:tcBorders>
            <w:noWrap/>
            <w:tcMar>
              <w:right w:w="216" w:type="dxa"/>
            </w:tcMar>
            <w:vAlign w:val="bottom"/>
          </w:tcPr>
          <w:p w14:paraId="63CF281F" w14:textId="6CCACC52"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issued for settlement of accounts payable and accrued liabilities</w:t>
            </w:r>
            <w:r w:rsidR="00FC7923">
              <w:rPr>
                <w:rFonts w:ascii="Arial" w:eastAsia="Arial Unicode MS" w:hAnsi="Arial" w:cs="Arial"/>
                <w:sz w:val="18"/>
                <w:szCs w:val="18"/>
              </w:rPr>
              <w:t xml:space="preserve"> (Note 11(b)</w:t>
            </w:r>
          </w:p>
        </w:tc>
        <w:tc>
          <w:tcPr>
            <w:tcW w:w="1276" w:type="dxa"/>
            <w:gridSpan w:val="2"/>
            <w:tcBorders>
              <w:right w:val="nil"/>
            </w:tcBorders>
            <w:shd w:val="clear" w:color="auto" w:fill="auto"/>
            <w:vAlign w:val="bottom"/>
          </w:tcPr>
          <w:p w14:paraId="1D431B55" w14:textId="6A6ED858"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1,690,323</w:t>
            </w:r>
          </w:p>
        </w:tc>
        <w:tc>
          <w:tcPr>
            <w:tcW w:w="1244" w:type="dxa"/>
            <w:gridSpan w:val="2"/>
            <w:tcBorders>
              <w:left w:val="nil"/>
              <w:right w:val="nil"/>
            </w:tcBorders>
            <w:shd w:val="clear" w:color="auto" w:fill="auto"/>
            <w:vAlign w:val="bottom"/>
          </w:tcPr>
          <w:p w14:paraId="327C5F33" w14:textId="2A3D2D12" w:rsidR="00AD1E4D" w:rsidRPr="00370EC4" w:rsidRDefault="00AD1E4D" w:rsidP="00AD1E4D">
            <w:pPr>
              <w:spacing w:after="0" w:line="240" w:lineRule="auto"/>
              <w:ind w:right="154"/>
              <w:jc w:val="right"/>
              <w:rPr>
                <w:rFonts w:ascii="Arial" w:hAnsi="Arial" w:cs="Arial"/>
                <w:sz w:val="18"/>
                <w:szCs w:val="18"/>
              </w:rPr>
            </w:pPr>
            <w:r>
              <w:rPr>
                <w:rFonts w:ascii="Arial" w:hAnsi="Arial" w:cs="Arial"/>
                <w:sz w:val="18"/>
                <w:szCs w:val="18"/>
              </w:rPr>
              <w:t>338,065</w:t>
            </w:r>
          </w:p>
        </w:tc>
        <w:tc>
          <w:tcPr>
            <w:tcW w:w="992" w:type="dxa"/>
            <w:gridSpan w:val="2"/>
            <w:tcBorders>
              <w:left w:val="nil"/>
              <w:right w:val="nil"/>
            </w:tcBorders>
            <w:vAlign w:val="bottom"/>
          </w:tcPr>
          <w:p w14:paraId="685D00C4"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52F345DB" w14:textId="471E3643" w:rsidR="00AD1E4D" w:rsidRPr="00370EC4" w:rsidRDefault="00AD1E4D" w:rsidP="00AD1E4D">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59CBB68D"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772730D0"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3588837D" w14:textId="57EA2BC5" w:rsidR="00AD1E4D" w:rsidRPr="00370EC4" w:rsidRDefault="00AD1E4D"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338,065</w:t>
            </w:r>
          </w:p>
        </w:tc>
      </w:tr>
      <w:tr w:rsidR="00AD1E4D" w:rsidRPr="00370EC4" w14:paraId="1CC560B7" w14:textId="77777777" w:rsidTr="001B4793">
        <w:trPr>
          <w:gridAfter w:val="1"/>
          <w:wAfter w:w="565" w:type="dxa"/>
          <w:trHeight w:hRule="exact" w:val="639"/>
        </w:trPr>
        <w:tc>
          <w:tcPr>
            <w:tcW w:w="2880" w:type="dxa"/>
            <w:tcBorders>
              <w:top w:val="nil"/>
              <w:left w:val="nil"/>
            </w:tcBorders>
            <w:noWrap/>
            <w:tcMar>
              <w:right w:w="216" w:type="dxa"/>
            </w:tcMar>
            <w:vAlign w:val="bottom"/>
          </w:tcPr>
          <w:p w14:paraId="33376910" w14:textId="0355D4E0"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 issued for conversion of debentures</w:t>
            </w:r>
            <w:r w:rsidRPr="00370EC4">
              <w:rPr>
                <w:rFonts w:ascii="Arial" w:eastAsia="Arial Unicode MS" w:hAnsi="Arial" w:cs="Arial"/>
                <w:sz w:val="18"/>
                <w:szCs w:val="18"/>
              </w:rPr>
              <w:t xml:space="preserve"> (Note</w:t>
            </w:r>
            <w:r w:rsidR="00FC7923">
              <w:rPr>
                <w:rFonts w:ascii="Arial" w:eastAsia="Arial Unicode MS" w:hAnsi="Arial" w:cs="Arial"/>
                <w:sz w:val="18"/>
                <w:szCs w:val="18"/>
              </w:rPr>
              <w:t>s 9 and 11(f)</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6FC64E9F" w14:textId="6529A2B5"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595,238</w:t>
            </w:r>
          </w:p>
        </w:tc>
        <w:tc>
          <w:tcPr>
            <w:tcW w:w="1244" w:type="dxa"/>
            <w:gridSpan w:val="2"/>
            <w:tcBorders>
              <w:left w:val="nil"/>
              <w:right w:val="nil"/>
            </w:tcBorders>
            <w:shd w:val="clear" w:color="auto" w:fill="auto"/>
            <w:vAlign w:val="bottom"/>
          </w:tcPr>
          <w:p w14:paraId="25C3125D" w14:textId="7F3E5584" w:rsidR="00AD1E4D" w:rsidRPr="00370EC4" w:rsidRDefault="00C819E3" w:rsidP="00AD1E4D">
            <w:pPr>
              <w:spacing w:after="0" w:line="240" w:lineRule="auto"/>
              <w:ind w:right="154"/>
              <w:jc w:val="right"/>
              <w:rPr>
                <w:rFonts w:ascii="Arial" w:hAnsi="Arial" w:cs="Arial"/>
                <w:sz w:val="18"/>
                <w:szCs w:val="18"/>
              </w:rPr>
            </w:pPr>
            <w:r>
              <w:rPr>
                <w:rFonts w:ascii="Arial" w:hAnsi="Arial" w:cs="Arial"/>
                <w:sz w:val="18"/>
                <w:szCs w:val="18"/>
              </w:rPr>
              <w:t>261,821</w:t>
            </w:r>
          </w:p>
        </w:tc>
        <w:tc>
          <w:tcPr>
            <w:tcW w:w="992" w:type="dxa"/>
            <w:gridSpan w:val="2"/>
            <w:tcBorders>
              <w:left w:val="nil"/>
              <w:right w:val="nil"/>
            </w:tcBorders>
            <w:vAlign w:val="bottom"/>
          </w:tcPr>
          <w:p w14:paraId="47A44324"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03B08F41" w14:textId="32CD2C85" w:rsidR="00AD1E4D" w:rsidRPr="00370EC4" w:rsidRDefault="00C819E3" w:rsidP="00AD1E4D">
            <w:pPr>
              <w:spacing w:after="0" w:line="240" w:lineRule="auto"/>
              <w:ind w:right="5"/>
              <w:jc w:val="right"/>
              <w:rPr>
                <w:rFonts w:ascii="Arial" w:hAnsi="Arial" w:cs="Arial"/>
                <w:sz w:val="18"/>
                <w:szCs w:val="18"/>
              </w:rPr>
            </w:pPr>
            <w:r>
              <w:rPr>
                <w:rFonts w:ascii="Arial" w:hAnsi="Arial" w:cs="Arial"/>
                <w:sz w:val="18"/>
                <w:szCs w:val="18"/>
              </w:rPr>
              <w:t>(11,821)</w:t>
            </w:r>
          </w:p>
        </w:tc>
        <w:tc>
          <w:tcPr>
            <w:tcW w:w="1435" w:type="dxa"/>
            <w:gridSpan w:val="2"/>
            <w:tcBorders>
              <w:left w:val="nil"/>
              <w:right w:val="nil"/>
            </w:tcBorders>
            <w:vAlign w:val="bottom"/>
          </w:tcPr>
          <w:p w14:paraId="2774558E"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3502F11E"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4CE8DF25" w14:textId="223640C3" w:rsidR="00AD1E4D" w:rsidRPr="00370EC4" w:rsidRDefault="00AD1E4D"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250</w:t>
            </w:r>
            <w:r w:rsidRPr="00370EC4">
              <w:rPr>
                <w:rFonts w:ascii="Arial" w:hAnsi="Arial" w:cs="Arial"/>
                <w:sz w:val="18"/>
                <w:szCs w:val="18"/>
              </w:rPr>
              <w:t>,000</w:t>
            </w:r>
          </w:p>
        </w:tc>
      </w:tr>
      <w:tr w:rsidR="00AD1E4D" w:rsidRPr="00370EC4" w14:paraId="4937B9DC" w14:textId="77777777" w:rsidTr="00FC7923">
        <w:trPr>
          <w:gridAfter w:val="1"/>
          <w:wAfter w:w="565" w:type="dxa"/>
          <w:trHeight w:hRule="exact" w:val="684"/>
        </w:trPr>
        <w:tc>
          <w:tcPr>
            <w:tcW w:w="2880" w:type="dxa"/>
            <w:tcBorders>
              <w:top w:val="nil"/>
              <w:left w:val="nil"/>
            </w:tcBorders>
            <w:noWrap/>
            <w:tcMar>
              <w:right w:w="216" w:type="dxa"/>
            </w:tcMar>
            <w:vAlign w:val="bottom"/>
          </w:tcPr>
          <w:p w14:paraId="77154AD2" w14:textId="4A1FE04D"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Common </w:t>
            </w:r>
            <w:r>
              <w:rPr>
                <w:rFonts w:ascii="Arial" w:eastAsia="Arial Unicode MS" w:hAnsi="Arial" w:cs="Arial"/>
                <w:sz w:val="18"/>
                <w:szCs w:val="18"/>
              </w:rPr>
              <w:t>shares</w:t>
            </w:r>
            <w:r w:rsidRPr="00370EC4">
              <w:rPr>
                <w:rFonts w:ascii="Arial" w:eastAsia="Arial Unicode MS" w:hAnsi="Arial" w:cs="Arial"/>
                <w:sz w:val="18"/>
                <w:szCs w:val="18"/>
              </w:rPr>
              <w:t xml:space="preserve"> and warrants issued for cash</w:t>
            </w:r>
            <w:r w:rsidR="00FC7923">
              <w:rPr>
                <w:rFonts w:ascii="Arial" w:eastAsia="Arial Unicode MS" w:hAnsi="Arial" w:cs="Arial"/>
                <w:sz w:val="18"/>
                <w:szCs w:val="18"/>
              </w:rPr>
              <w:t xml:space="preserve"> (Notes 11(d) and (e))</w:t>
            </w:r>
          </w:p>
        </w:tc>
        <w:tc>
          <w:tcPr>
            <w:tcW w:w="1276" w:type="dxa"/>
            <w:gridSpan w:val="2"/>
            <w:tcBorders>
              <w:right w:val="nil"/>
            </w:tcBorders>
            <w:shd w:val="clear" w:color="auto" w:fill="auto"/>
            <w:vAlign w:val="bottom"/>
          </w:tcPr>
          <w:p w14:paraId="06E44896" w14:textId="65244610"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66,950,000</w:t>
            </w:r>
          </w:p>
        </w:tc>
        <w:tc>
          <w:tcPr>
            <w:tcW w:w="1244" w:type="dxa"/>
            <w:gridSpan w:val="2"/>
            <w:tcBorders>
              <w:left w:val="nil"/>
              <w:right w:val="nil"/>
            </w:tcBorders>
            <w:shd w:val="clear" w:color="auto" w:fill="auto"/>
            <w:vAlign w:val="bottom"/>
          </w:tcPr>
          <w:p w14:paraId="7EC1645A" w14:textId="1EE34AA8" w:rsidR="00AD1E4D" w:rsidRPr="00370EC4" w:rsidRDefault="00AD1E4D" w:rsidP="00AD1E4D">
            <w:pPr>
              <w:spacing w:after="0" w:line="240" w:lineRule="auto"/>
              <w:ind w:right="154"/>
              <w:jc w:val="right"/>
              <w:rPr>
                <w:rFonts w:ascii="Arial" w:hAnsi="Arial" w:cs="Arial"/>
                <w:sz w:val="18"/>
                <w:szCs w:val="18"/>
              </w:rPr>
            </w:pPr>
            <w:r>
              <w:rPr>
                <w:rFonts w:ascii="Arial" w:hAnsi="Arial" w:cs="Arial"/>
                <w:sz w:val="18"/>
                <w:szCs w:val="18"/>
              </w:rPr>
              <w:t>16,390,000</w:t>
            </w:r>
          </w:p>
        </w:tc>
        <w:tc>
          <w:tcPr>
            <w:tcW w:w="992" w:type="dxa"/>
            <w:gridSpan w:val="2"/>
            <w:tcBorders>
              <w:left w:val="nil"/>
              <w:right w:val="nil"/>
            </w:tcBorders>
            <w:vAlign w:val="bottom"/>
          </w:tcPr>
          <w:p w14:paraId="5C33C3EF"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48F08FC0" w14:textId="77777777" w:rsidR="00AD1E4D" w:rsidRPr="00370EC4" w:rsidRDefault="00AD1E4D" w:rsidP="00AD1E4D">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right w:val="nil"/>
            </w:tcBorders>
            <w:vAlign w:val="bottom"/>
          </w:tcPr>
          <w:p w14:paraId="4FC7901E"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35F0A0CC"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6B557A0A" w14:textId="7F793E85" w:rsidR="00AD1E4D" w:rsidRPr="00370EC4" w:rsidRDefault="00EA1905"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16,390,000</w:t>
            </w:r>
          </w:p>
        </w:tc>
      </w:tr>
      <w:tr w:rsidR="00AD1E4D" w:rsidRPr="00370EC4" w14:paraId="101C54F2" w14:textId="77777777" w:rsidTr="00EA1905">
        <w:trPr>
          <w:gridAfter w:val="1"/>
          <w:wAfter w:w="565" w:type="dxa"/>
          <w:trHeight w:hRule="exact" w:val="639"/>
        </w:trPr>
        <w:tc>
          <w:tcPr>
            <w:tcW w:w="2880" w:type="dxa"/>
            <w:tcBorders>
              <w:top w:val="nil"/>
              <w:left w:val="nil"/>
            </w:tcBorders>
            <w:noWrap/>
            <w:tcMar>
              <w:right w:w="216" w:type="dxa"/>
            </w:tcMar>
            <w:vAlign w:val="bottom"/>
          </w:tcPr>
          <w:p w14:paraId="79E1F9DF" w14:textId="2C9DC6AD" w:rsidR="00AD1E4D" w:rsidRPr="00370EC4" w:rsidRDefault="00EA1905" w:rsidP="00EA1905">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Common shares and w</w:t>
            </w:r>
            <w:r w:rsidR="00AD1E4D" w:rsidRPr="00370EC4">
              <w:rPr>
                <w:rFonts w:ascii="Arial" w:eastAsia="Arial Unicode MS" w:hAnsi="Arial" w:cs="Arial"/>
                <w:sz w:val="18"/>
                <w:szCs w:val="18"/>
              </w:rPr>
              <w:t>arrants issued</w:t>
            </w:r>
            <w:r>
              <w:rPr>
                <w:rFonts w:ascii="Arial" w:eastAsia="Arial Unicode MS" w:hAnsi="Arial" w:cs="Arial"/>
                <w:sz w:val="18"/>
                <w:szCs w:val="18"/>
              </w:rPr>
              <w:t xml:space="preserve"> and cash paid</w:t>
            </w:r>
            <w:r w:rsidR="00AD1E4D" w:rsidRPr="00370EC4">
              <w:rPr>
                <w:rFonts w:ascii="Arial" w:eastAsia="Arial Unicode MS" w:hAnsi="Arial" w:cs="Arial"/>
                <w:sz w:val="18"/>
                <w:szCs w:val="18"/>
              </w:rPr>
              <w:t xml:space="preserve"> for finder’s fee</w:t>
            </w:r>
            <w:r w:rsidR="00FC7923">
              <w:rPr>
                <w:rFonts w:ascii="Arial" w:eastAsia="Arial Unicode MS" w:hAnsi="Arial" w:cs="Arial"/>
                <w:sz w:val="18"/>
                <w:szCs w:val="18"/>
              </w:rPr>
              <w:t xml:space="preserve"> (Note 11(d))</w:t>
            </w:r>
          </w:p>
        </w:tc>
        <w:tc>
          <w:tcPr>
            <w:tcW w:w="1276" w:type="dxa"/>
            <w:gridSpan w:val="2"/>
            <w:tcBorders>
              <w:right w:val="nil"/>
            </w:tcBorders>
            <w:shd w:val="clear" w:color="auto" w:fill="auto"/>
            <w:vAlign w:val="bottom"/>
          </w:tcPr>
          <w:p w14:paraId="6D3BCEC1" w14:textId="5127E2BE" w:rsidR="00AD1E4D" w:rsidRPr="00370EC4" w:rsidRDefault="00EA1905"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508,000</w:t>
            </w:r>
          </w:p>
        </w:tc>
        <w:tc>
          <w:tcPr>
            <w:tcW w:w="1244" w:type="dxa"/>
            <w:gridSpan w:val="2"/>
            <w:tcBorders>
              <w:left w:val="nil"/>
              <w:right w:val="nil"/>
            </w:tcBorders>
            <w:shd w:val="clear" w:color="auto" w:fill="auto"/>
            <w:vAlign w:val="bottom"/>
          </w:tcPr>
          <w:p w14:paraId="2A77ADF0" w14:textId="43D69DD8" w:rsidR="00AD1E4D" w:rsidRPr="00370EC4" w:rsidRDefault="00EA1905" w:rsidP="00AD1E4D">
            <w:pPr>
              <w:spacing w:after="0" w:line="240" w:lineRule="auto"/>
              <w:ind w:right="154"/>
              <w:jc w:val="right"/>
              <w:rPr>
                <w:rFonts w:ascii="Arial" w:hAnsi="Arial" w:cs="Arial"/>
                <w:sz w:val="18"/>
                <w:szCs w:val="18"/>
              </w:rPr>
            </w:pPr>
            <w:r>
              <w:rPr>
                <w:rFonts w:ascii="Arial" w:hAnsi="Arial" w:cs="Arial"/>
                <w:sz w:val="18"/>
                <w:szCs w:val="18"/>
              </w:rPr>
              <w:t>(99,804)</w:t>
            </w:r>
          </w:p>
        </w:tc>
        <w:tc>
          <w:tcPr>
            <w:tcW w:w="992" w:type="dxa"/>
            <w:gridSpan w:val="2"/>
            <w:tcBorders>
              <w:left w:val="nil"/>
              <w:right w:val="nil"/>
            </w:tcBorders>
            <w:vAlign w:val="bottom"/>
          </w:tcPr>
          <w:p w14:paraId="4C589259"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7CF34914" w14:textId="0E8633B5" w:rsidR="00AD1E4D" w:rsidRPr="00370EC4" w:rsidRDefault="00EA1905" w:rsidP="00AD1E4D">
            <w:pPr>
              <w:spacing w:after="0" w:line="240" w:lineRule="auto"/>
              <w:ind w:right="5"/>
              <w:jc w:val="right"/>
              <w:rPr>
                <w:rFonts w:ascii="Arial" w:hAnsi="Arial" w:cs="Arial"/>
                <w:sz w:val="18"/>
                <w:szCs w:val="18"/>
              </w:rPr>
            </w:pPr>
            <w:r>
              <w:rPr>
                <w:rFonts w:ascii="Arial" w:hAnsi="Arial" w:cs="Arial"/>
                <w:sz w:val="18"/>
                <w:szCs w:val="18"/>
              </w:rPr>
              <w:t>19,804</w:t>
            </w:r>
          </w:p>
        </w:tc>
        <w:tc>
          <w:tcPr>
            <w:tcW w:w="1435" w:type="dxa"/>
            <w:gridSpan w:val="2"/>
            <w:tcBorders>
              <w:left w:val="nil"/>
              <w:right w:val="nil"/>
            </w:tcBorders>
            <w:vAlign w:val="bottom"/>
          </w:tcPr>
          <w:p w14:paraId="1C4781EC"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7E5005BC"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5EF8F6AE" w14:textId="109DB7C5" w:rsidR="00AD1E4D" w:rsidRPr="00370EC4" w:rsidRDefault="00EA1905"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(80,000)</w:t>
            </w:r>
          </w:p>
        </w:tc>
      </w:tr>
      <w:tr w:rsidR="00AD1E4D" w:rsidRPr="00370EC4" w14:paraId="44C3F826" w14:textId="77777777" w:rsidTr="001B4793">
        <w:trPr>
          <w:gridAfter w:val="1"/>
          <w:wAfter w:w="565" w:type="dxa"/>
          <w:trHeight w:hRule="exact" w:val="261"/>
        </w:trPr>
        <w:tc>
          <w:tcPr>
            <w:tcW w:w="2880" w:type="dxa"/>
            <w:tcBorders>
              <w:top w:val="nil"/>
              <w:left w:val="nil"/>
            </w:tcBorders>
            <w:noWrap/>
            <w:tcMar>
              <w:right w:w="216" w:type="dxa"/>
            </w:tcMar>
            <w:vAlign w:val="bottom"/>
          </w:tcPr>
          <w:p w14:paraId="29F37253" w14:textId="56C7A198" w:rsidR="00AD1E4D" w:rsidRPr="00370EC4" w:rsidRDefault="00AD1E4D" w:rsidP="00AD1E4D">
            <w:pPr>
              <w:tabs>
                <w:tab w:val="left" w:pos="4050"/>
              </w:tabs>
              <w:spacing w:after="0" w:line="240" w:lineRule="auto"/>
              <w:ind w:right="-36"/>
              <w:rPr>
                <w:rFonts w:ascii="Arial" w:eastAsia="Arial Unicode MS" w:hAnsi="Arial" w:cs="Arial"/>
                <w:sz w:val="18"/>
                <w:szCs w:val="18"/>
              </w:rPr>
            </w:pPr>
            <w:r>
              <w:rPr>
                <w:rFonts w:ascii="Arial" w:eastAsia="Arial Unicode MS" w:hAnsi="Arial" w:cs="Arial"/>
                <w:sz w:val="18"/>
                <w:szCs w:val="18"/>
              </w:rPr>
              <w:t>Share-based payment</w:t>
            </w:r>
            <w:r w:rsidRPr="00370EC4">
              <w:rPr>
                <w:rFonts w:ascii="Arial" w:eastAsia="Arial Unicode MS" w:hAnsi="Arial" w:cs="Arial"/>
                <w:sz w:val="18"/>
                <w:szCs w:val="18"/>
              </w:rPr>
              <w:t xml:space="preserve"> </w:t>
            </w:r>
          </w:p>
        </w:tc>
        <w:tc>
          <w:tcPr>
            <w:tcW w:w="1276" w:type="dxa"/>
            <w:gridSpan w:val="2"/>
            <w:tcBorders>
              <w:right w:val="nil"/>
            </w:tcBorders>
            <w:shd w:val="clear" w:color="auto" w:fill="auto"/>
            <w:vAlign w:val="bottom"/>
          </w:tcPr>
          <w:p w14:paraId="7B75ACA5" w14:textId="77777777"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right w:val="nil"/>
            </w:tcBorders>
            <w:shd w:val="clear" w:color="auto" w:fill="auto"/>
            <w:vAlign w:val="bottom"/>
          </w:tcPr>
          <w:p w14:paraId="6C6D359E" w14:textId="77777777" w:rsidR="00AD1E4D" w:rsidRPr="00370EC4" w:rsidRDefault="00AD1E4D" w:rsidP="00AD1E4D">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right w:val="nil"/>
            </w:tcBorders>
            <w:vAlign w:val="bottom"/>
          </w:tcPr>
          <w:p w14:paraId="34AEDC05"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right w:val="nil"/>
            </w:tcBorders>
            <w:vAlign w:val="bottom"/>
          </w:tcPr>
          <w:p w14:paraId="333B7BC4" w14:textId="2C99E59B" w:rsidR="00AD1E4D" w:rsidRPr="00370EC4" w:rsidRDefault="00EA1905" w:rsidP="00AD1E4D">
            <w:pPr>
              <w:spacing w:after="0" w:line="240" w:lineRule="auto"/>
              <w:ind w:right="5"/>
              <w:jc w:val="right"/>
              <w:rPr>
                <w:rFonts w:ascii="Arial" w:hAnsi="Arial" w:cs="Arial"/>
                <w:sz w:val="18"/>
                <w:szCs w:val="18"/>
              </w:rPr>
            </w:pPr>
            <w:r>
              <w:rPr>
                <w:rFonts w:ascii="Arial" w:hAnsi="Arial" w:cs="Arial"/>
                <w:sz w:val="18"/>
                <w:szCs w:val="18"/>
              </w:rPr>
              <w:t>567,367</w:t>
            </w:r>
          </w:p>
        </w:tc>
        <w:tc>
          <w:tcPr>
            <w:tcW w:w="1435" w:type="dxa"/>
            <w:gridSpan w:val="2"/>
            <w:tcBorders>
              <w:left w:val="nil"/>
              <w:right w:val="nil"/>
            </w:tcBorders>
            <w:vAlign w:val="bottom"/>
          </w:tcPr>
          <w:p w14:paraId="0C07E0C7"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76" w:type="dxa"/>
            <w:gridSpan w:val="2"/>
            <w:tcBorders>
              <w:left w:val="nil"/>
              <w:right w:val="nil"/>
            </w:tcBorders>
            <w:shd w:val="clear" w:color="auto" w:fill="auto"/>
            <w:vAlign w:val="bottom"/>
          </w:tcPr>
          <w:p w14:paraId="2546EC37" w14:textId="77777777" w:rsidR="00AD1E4D" w:rsidRPr="00370EC4" w:rsidRDefault="00AD1E4D" w:rsidP="00AD1E4D">
            <w:pPr>
              <w:tabs>
                <w:tab w:val="left" w:pos="1080"/>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303" w:type="dxa"/>
            <w:gridSpan w:val="2"/>
            <w:tcBorders>
              <w:left w:val="nil"/>
              <w:right w:val="nil"/>
            </w:tcBorders>
            <w:shd w:val="clear" w:color="auto" w:fill="auto"/>
            <w:vAlign w:val="bottom"/>
          </w:tcPr>
          <w:p w14:paraId="2CE0BD1E" w14:textId="09945A78" w:rsidR="00AD1E4D" w:rsidRPr="00370EC4" w:rsidRDefault="001B4793" w:rsidP="00AD1E4D">
            <w:pPr>
              <w:tabs>
                <w:tab w:val="decimal" w:pos="1126"/>
              </w:tabs>
              <w:spacing w:after="0" w:line="240" w:lineRule="auto"/>
              <w:ind w:right="142"/>
              <w:jc w:val="right"/>
              <w:rPr>
                <w:rFonts w:ascii="Arial" w:hAnsi="Arial" w:cs="Arial"/>
                <w:sz w:val="18"/>
                <w:szCs w:val="18"/>
              </w:rPr>
            </w:pPr>
            <w:r>
              <w:rPr>
                <w:rFonts w:ascii="Arial" w:hAnsi="Arial" w:cs="Arial"/>
                <w:sz w:val="18"/>
                <w:szCs w:val="18"/>
              </w:rPr>
              <w:t>567,367</w:t>
            </w:r>
          </w:p>
        </w:tc>
      </w:tr>
      <w:tr w:rsidR="00AD1E4D" w:rsidRPr="00370EC4" w14:paraId="0E01D443" w14:textId="77777777" w:rsidTr="001B4793">
        <w:trPr>
          <w:gridAfter w:val="1"/>
          <w:wAfter w:w="565" w:type="dxa"/>
          <w:trHeight w:val="267"/>
        </w:trPr>
        <w:tc>
          <w:tcPr>
            <w:tcW w:w="2880" w:type="dxa"/>
            <w:tcBorders>
              <w:left w:val="nil"/>
              <w:bottom w:val="single" w:sz="4" w:space="0" w:color="auto"/>
            </w:tcBorders>
            <w:noWrap/>
            <w:tcMar>
              <w:right w:w="216" w:type="dxa"/>
            </w:tcMar>
            <w:vAlign w:val="bottom"/>
          </w:tcPr>
          <w:p w14:paraId="2D1391E3"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Net loss</w:t>
            </w:r>
          </w:p>
        </w:tc>
        <w:tc>
          <w:tcPr>
            <w:tcW w:w="1276" w:type="dxa"/>
            <w:gridSpan w:val="2"/>
            <w:tcBorders>
              <w:bottom w:val="single" w:sz="4" w:space="0" w:color="auto"/>
              <w:right w:val="nil"/>
            </w:tcBorders>
            <w:shd w:val="clear" w:color="auto" w:fill="auto"/>
            <w:vAlign w:val="bottom"/>
          </w:tcPr>
          <w:p w14:paraId="62D08143" w14:textId="77777777"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r w:rsidRPr="00370EC4">
              <w:rPr>
                <w:rFonts w:ascii="Arial" w:hAnsi="Arial" w:cs="Arial"/>
                <w:sz w:val="18"/>
                <w:szCs w:val="18"/>
              </w:rPr>
              <w:t>–</w:t>
            </w:r>
          </w:p>
        </w:tc>
        <w:tc>
          <w:tcPr>
            <w:tcW w:w="1244" w:type="dxa"/>
            <w:gridSpan w:val="2"/>
            <w:tcBorders>
              <w:left w:val="nil"/>
              <w:bottom w:val="single" w:sz="4" w:space="0" w:color="auto"/>
              <w:right w:val="nil"/>
            </w:tcBorders>
            <w:shd w:val="clear" w:color="auto" w:fill="auto"/>
            <w:vAlign w:val="bottom"/>
          </w:tcPr>
          <w:p w14:paraId="73FBD256" w14:textId="77777777" w:rsidR="00AD1E4D" w:rsidRPr="00370EC4" w:rsidRDefault="00AD1E4D" w:rsidP="00AD1E4D">
            <w:pPr>
              <w:spacing w:after="0" w:line="240" w:lineRule="auto"/>
              <w:ind w:right="154"/>
              <w:jc w:val="right"/>
              <w:rPr>
                <w:rFonts w:ascii="Arial" w:hAnsi="Arial" w:cs="Arial"/>
                <w:sz w:val="18"/>
                <w:szCs w:val="18"/>
              </w:rPr>
            </w:pPr>
            <w:r w:rsidRPr="00370EC4">
              <w:rPr>
                <w:rFonts w:ascii="Arial" w:hAnsi="Arial" w:cs="Arial"/>
                <w:sz w:val="18"/>
                <w:szCs w:val="18"/>
              </w:rPr>
              <w:t>–</w:t>
            </w:r>
          </w:p>
        </w:tc>
        <w:tc>
          <w:tcPr>
            <w:tcW w:w="992" w:type="dxa"/>
            <w:gridSpan w:val="2"/>
            <w:tcBorders>
              <w:left w:val="nil"/>
              <w:bottom w:val="single" w:sz="4" w:space="0" w:color="auto"/>
              <w:right w:val="nil"/>
            </w:tcBorders>
            <w:vAlign w:val="bottom"/>
          </w:tcPr>
          <w:p w14:paraId="1EC115C5" w14:textId="77777777" w:rsidR="00AD1E4D" w:rsidRPr="00370EC4" w:rsidRDefault="00AD1E4D"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4" w:space="0" w:color="auto"/>
              <w:right w:val="nil"/>
            </w:tcBorders>
            <w:vAlign w:val="bottom"/>
          </w:tcPr>
          <w:p w14:paraId="706CE906" w14:textId="77777777" w:rsidR="00AD1E4D" w:rsidRPr="00370EC4" w:rsidRDefault="00AD1E4D" w:rsidP="00AD1E4D">
            <w:pPr>
              <w:spacing w:after="0" w:line="240" w:lineRule="auto"/>
              <w:ind w:right="5"/>
              <w:jc w:val="right"/>
              <w:rPr>
                <w:rFonts w:ascii="Arial" w:hAnsi="Arial" w:cs="Arial"/>
                <w:sz w:val="18"/>
                <w:szCs w:val="18"/>
              </w:rPr>
            </w:pPr>
            <w:r w:rsidRPr="00370EC4">
              <w:rPr>
                <w:rFonts w:ascii="Arial" w:hAnsi="Arial" w:cs="Arial"/>
                <w:sz w:val="18"/>
                <w:szCs w:val="18"/>
              </w:rPr>
              <w:t>–</w:t>
            </w:r>
          </w:p>
        </w:tc>
        <w:tc>
          <w:tcPr>
            <w:tcW w:w="1435" w:type="dxa"/>
            <w:gridSpan w:val="2"/>
            <w:tcBorders>
              <w:left w:val="nil"/>
              <w:bottom w:val="single" w:sz="4" w:space="0" w:color="auto"/>
              <w:right w:val="nil"/>
            </w:tcBorders>
            <w:vAlign w:val="bottom"/>
          </w:tcPr>
          <w:p w14:paraId="1D348FCE" w14:textId="320DFA00" w:rsidR="00AD1E4D" w:rsidRPr="00370EC4" w:rsidRDefault="00C819E3" w:rsidP="00EA1905">
            <w:pPr>
              <w:tabs>
                <w:tab w:val="left" w:pos="1080"/>
              </w:tabs>
              <w:spacing w:after="0" w:line="240" w:lineRule="auto"/>
              <w:ind w:right="90"/>
              <w:jc w:val="right"/>
              <w:rPr>
                <w:rFonts w:ascii="Arial" w:hAnsi="Arial" w:cs="Arial"/>
                <w:sz w:val="18"/>
                <w:szCs w:val="18"/>
              </w:rPr>
            </w:pPr>
            <w:r w:rsidRPr="00C819E3">
              <w:rPr>
                <w:rFonts w:ascii="Arial" w:hAnsi="Arial" w:cs="Arial"/>
                <w:sz w:val="18"/>
                <w:szCs w:val="18"/>
              </w:rPr>
              <w:t>12,556</w:t>
            </w:r>
          </w:p>
        </w:tc>
        <w:tc>
          <w:tcPr>
            <w:tcW w:w="1276" w:type="dxa"/>
            <w:gridSpan w:val="2"/>
            <w:tcBorders>
              <w:left w:val="nil"/>
              <w:bottom w:val="single" w:sz="4" w:space="0" w:color="auto"/>
              <w:right w:val="nil"/>
            </w:tcBorders>
            <w:shd w:val="clear" w:color="auto" w:fill="auto"/>
            <w:vAlign w:val="bottom"/>
          </w:tcPr>
          <w:p w14:paraId="047D98CC" w14:textId="3CB61D45" w:rsidR="00AD1E4D" w:rsidRPr="00A0313B" w:rsidRDefault="00AD1E4D" w:rsidP="00AD1E4D">
            <w:pPr>
              <w:tabs>
                <w:tab w:val="left" w:pos="1080"/>
              </w:tabs>
              <w:spacing w:after="0" w:line="240" w:lineRule="auto"/>
              <w:ind w:right="90"/>
              <w:jc w:val="right"/>
              <w:rPr>
                <w:rFonts w:ascii="Arial" w:hAnsi="Arial" w:cs="Arial"/>
                <w:sz w:val="18"/>
                <w:szCs w:val="18"/>
              </w:rPr>
            </w:pPr>
            <w:r w:rsidRPr="00A0313B">
              <w:rPr>
                <w:rFonts w:ascii="Arial" w:hAnsi="Arial" w:cs="Arial"/>
                <w:sz w:val="18"/>
                <w:szCs w:val="18"/>
              </w:rPr>
              <w:t>(</w:t>
            </w:r>
            <w:r w:rsidR="00302F03" w:rsidRPr="00A0313B">
              <w:rPr>
                <w:rFonts w:ascii="Arial" w:hAnsi="Arial" w:cs="Arial"/>
                <w:sz w:val="18"/>
                <w:szCs w:val="18"/>
              </w:rPr>
              <w:t>6,325,320</w:t>
            </w:r>
            <w:r w:rsidRPr="00A0313B">
              <w:rPr>
                <w:rFonts w:ascii="Arial" w:hAnsi="Arial" w:cs="Arial"/>
                <w:sz w:val="18"/>
                <w:szCs w:val="18"/>
              </w:rPr>
              <w:t>)</w:t>
            </w:r>
          </w:p>
        </w:tc>
        <w:tc>
          <w:tcPr>
            <w:tcW w:w="1303" w:type="dxa"/>
            <w:gridSpan w:val="2"/>
            <w:tcBorders>
              <w:left w:val="nil"/>
              <w:bottom w:val="single" w:sz="4" w:space="0" w:color="auto"/>
              <w:right w:val="nil"/>
            </w:tcBorders>
            <w:shd w:val="clear" w:color="auto" w:fill="auto"/>
            <w:vAlign w:val="bottom"/>
          </w:tcPr>
          <w:p w14:paraId="615B7E1C" w14:textId="3BC99EC1" w:rsidR="00AD1E4D" w:rsidRPr="00370EC4" w:rsidRDefault="00AD1E4D" w:rsidP="00302F03">
            <w:pPr>
              <w:tabs>
                <w:tab w:val="decimal" w:pos="1126"/>
              </w:tabs>
              <w:spacing w:after="0" w:line="240" w:lineRule="auto"/>
              <w:ind w:right="142"/>
              <w:jc w:val="right"/>
              <w:rPr>
                <w:rFonts w:ascii="Arial" w:hAnsi="Arial" w:cs="Arial"/>
                <w:sz w:val="18"/>
                <w:szCs w:val="18"/>
              </w:rPr>
            </w:pPr>
            <w:r w:rsidRPr="00370EC4">
              <w:rPr>
                <w:rFonts w:ascii="Arial" w:hAnsi="Arial" w:cs="Arial"/>
                <w:sz w:val="18"/>
                <w:szCs w:val="18"/>
              </w:rPr>
              <w:t>(</w:t>
            </w:r>
            <w:r w:rsidR="001B4793">
              <w:rPr>
                <w:rFonts w:ascii="Arial" w:hAnsi="Arial" w:cs="Arial"/>
                <w:sz w:val="18"/>
                <w:szCs w:val="18"/>
              </w:rPr>
              <w:t>6,</w:t>
            </w:r>
            <w:r w:rsidR="00302F03">
              <w:rPr>
                <w:rFonts w:ascii="Arial" w:hAnsi="Arial" w:cs="Arial"/>
                <w:sz w:val="18"/>
                <w:szCs w:val="18"/>
              </w:rPr>
              <w:t>312,764</w:t>
            </w:r>
            <w:r w:rsidRPr="00370EC4">
              <w:rPr>
                <w:rFonts w:ascii="Arial" w:hAnsi="Arial" w:cs="Arial"/>
                <w:sz w:val="18"/>
                <w:szCs w:val="18"/>
              </w:rPr>
              <w:t>)</w:t>
            </w:r>
          </w:p>
        </w:tc>
      </w:tr>
      <w:tr w:rsidR="00AD1E4D" w:rsidRPr="00370EC4" w14:paraId="7BEE3E6D" w14:textId="77777777" w:rsidTr="0056368C">
        <w:trPr>
          <w:gridAfter w:val="1"/>
          <w:wAfter w:w="565" w:type="dxa"/>
          <w:trHeight w:hRule="exact" w:val="101"/>
        </w:trPr>
        <w:tc>
          <w:tcPr>
            <w:tcW w:w="2880" w:type="dxa"/>
            <w:tcBorders>
              <w:top w:val="single" w:sz="4" w:space="0" w:color="auto"/>
              <w:left w:val="nil"/>
            </w:tcBorders>
            <w:noWrap/>
            <w:tcMar>
              <w:right w:w="216" w:type="dxa"/>
            </w:tcMar>
            <w:vAlign w:val="bottom"/>
          </w:tcPr>
          <w:p w14:paraId="7738CAE1"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p>
        </w:tc>
        <w:tc>
          <w:tcPr>
            <w:tcW w:w="1276" w:type="dxa"/>
            <w:gridSpan w:val="2"/>
            <w:tcBorders>
              <w:top w:val="single" w:sz="4" w:space="0" w:color="auto"/>
              <w:right w:val="nil"/>
            </w:tcBorders>
            <w:shd w:val="clear" w:color="auto" w:fill="auto"/>
            <w:vAlign w:val="bottom"/>
          </w:tcPr>
          <w:p w14:paraId="58CC10F3" w14:textId="77777777" w:rsidR="00AD1E4D" w:rsidRPr="00370EC4" w:rsidRDefault="00AD1E4D" w:rsidP="00AD1E4D">
            <w:pPr>
              <w:tabs>
                <w:tab w:val="left" w:pos="1155"/>
                <w:tab w:val="left" w:pos="3845"/>
              </w:tabs>
              <w:spacing w:after="0" w:line="240" w:lineRule="auto"/>
              <w:ind w:right="284"/>
              <w:jc w:val="right"/>
              <w:rPr>
                <w:rFonts w:ascii="Arial" w:hAnsi="Arial" w:cs="Arial"/>
                <w:sz w:val="18"/>
                <w:szCs w:val="18"/>
              </w:rPr>
            </w:pPr>
          </w:p>
        </w:tc>
        <w:tc>
          <w:tcPr>
            <w:tcW w:w="1244" w:type="dxa"/>
            <w:gridSpan w:val="2"/>
            <w:tcBorders>
              <w:top w:val="single" w:sz="4" w:space="0" w:color="auto"/>
              <w:left w:val="nil"/>
              <w:right w:val="nil"/>
            </w:tcBorders>
            <w:shd w:val="clear" w:color="auto" w:fill="auto"/>
            <w:vAlign w:val="bottom"/>
          </w:tcPr>
          <w:p w14:paraId="27B313D2" w14:textId="77777777" w:rsidR="00AD1E4D" w:rsidRPr="00370EC4" w:rsidRDefault="00AD1E4D" w:rsidP="00AD1E4D">
            <w:pPr>
              <w:spacing w:after="0" w:line="240" w:lineRule="auto"/>
              <w:ind w:right="154"/>
              <w:jc w:val="right"/>
              <w:rPr>
                <w:rFonts w:ascii="Arial" w:hAnsi="Arial" w:cs="Arial"/>
                <w:sz w:val="18"/>
                <w:szCs w:val="18"/>
              </w:rPr>
            </w:pPr>
          </w:p>
        </w:tc>
        <w:tc>
          <w:tcPr>
            <w:tcW w:w="992" w:type="dxa"/>
            <w:gridSpan w:val="2"/>
            <w:tcBorders>
              <w:top w:val="single" w:sz="4" w:space="0" w:color="auto"/>
              <w:left w:val="nil"/>
              <w:right w:val="nil"/>
            </w:tcBorders>
            <w:vAlign w:val="bottom"/>
          </w:tcPr>
          <w:p w14:paraId="1C0C1517" w14:textId="77777777" w:rsidR="00AD1E4D" w:rsidRPr="00370EC4" w:rsidRDefault="00AD1E4D" w:rsidP="00AD1E4D">
            <w:pPr>
              <w:spacing w:after="0" w:line="240" w:lineRule="auto"/>
              <w:ind w:right="90"/>
              <w:jc w:val="right"/>
              <w:rPr>
                <w:rFonts w:ascii="Arial" w:hAnsi="Arial" w:cs="Arial"/>
                <w:sz w:val="18"/>
                <w:szCs w:val="18"/>
              </w:rPr>
            </w:pPr>
          </w:p>
        </w:tc>
        <w:tc>
          <w:tcPr>
            <w:tcW w:w="1134" w:type="dxa"/>
            <w:gridSpan w:val="2"/>
            <w:tcBorders>
              <w:top w:val="single" w:sz="4" w:space="0" w:color="auto"/>
              <w:left w:val="nil"/>
              <w:right w:val="nil"/>
            </w:tcBorders>
            <w:vAlign w:val="bottom"/>
          </w:tcPr>
          <w:p w14:paraId="1691D6DE" w14:textId="77777777" w:rsidR="00AD1E4D" w:rsidRPr="00370EC4" w:rsidRDefault="00AD1E4D" w:rsidP="00AD1E4D">
            <w:pPr>
              <w:spacing w:after="0" w:line="240" w:lineRule="auto"/>
              <w:ind w:right="5"/>
              <w:jc w:val="right"/>
              <w:rPr>
                <w:rFonts w:ascii="Arial" w:hAnsi="Arial" w:cs="Arial"/>
                <w:sz w:val="18"/>
                <w:szCs w:val="18"/>
              </w:rPr>
            </w:pPr>
          </w:p>
        </w:tc>
        <w:tc>
          <w:tcPr>
            <w:tcW w:w="1435" w:type="dxa"/>
            <w:gridSpan w:val="2"/>
            <w:tcBorders>
              <w:top w:val="single" w:sz="4" w:space="0" w:color="auto"/>
              <w:left w:val="nil"/>
              <w:right w:val="nil"/>
            </w:tcBorders>
          </w:tcPr>
          <w:p w14:paraId="73ECCF5F" w14:textId="77777777" w:rsidR="00AD1E4D" w:rsidRPr="00370EC4" w:rsidRDefault="00AD1E4D" w:rsidP="00AD1E4D">
            <w:pPr>
              <w:tabs>
                <w:tab w:val="left" w:pos="1080"/>
              </w:tabs>
              <w:spacing w:after="0" w:line="240" w:lineRule="auto"/>
              <w:ind w:right="90"/>
              <w:jc w:val="right"/>
              <w:rPr>
                <w:rFonts w:ascii="Arial" w:hAnsi="Arial" w:cs="Arial"/>
                <w:sz w:val="18"/>
                <w:szCs w:val="18"/>
              </w:rPr>
            </w:pPr>
          </w:p>
        </w:tc>
        <w:tc>
          <w:tcPr>
            <w:tcW w:w="1276" w:type="dxa"/>
            <w:gridSpan w:val="2"/>
            <w:tcBorders>
              <w:top w:val="single" w:sz="4" w:space="0" w:color="auto"/>
              <w:left w:val="nil"/>
              <w:right w:val="nil"/>
            </w:tcBorders>
            <w:shd w:val="clear" w:color="auto" w:fill="auto"/>
            <w:vAlign w:val="bottom"/>
          </w:tcPr>
          <w:p w14:paraId="5EDC6FB6" w14:textId="77777777" w:rsidR="00AD1E4D" w:rsidRPr="00A0313B" w:rsidRDefault="00AD1E4D" w:rsidP="00AD1E4D">
            <w:pPr>
              <w:tabs>
                <w:tab w:val="left" w:pos="1080"/>
              </w:tabs>
              <w:spacing w:after="0" w:line="240" w:lineRule="auto"/>
              <w:ind w:right="90"/>
              <w:jc w:val="right"/>
              <w:rPr>
                <w:rFonts w:ascii="Arial" w:hAnsi="Arial" w:cs="Arial"/>
                <w:sz w:val="18"/>
                <w:szCs w:val="18"/>
              </w:rPr>
            </w:pPr>
          </w:p>
        </w:tc>
        <w:tc>
          <w:tcPr>
            <w:tcW w:w="1303" w:type="dxa"/>
            <w:gridSpan w:val="2"/>
            <w:tcBorders>
              <w:top w:val="single" w:sz="4" w:space="0" w:color="auto"/>
              <w:left w:val="nil"/>
              <w:right w:val="nil"/>
            </w:tcBorders>
            <w:shd w:val="clear" w:color="auto" w:fill="auto"/>
            <w:vAlign w:val="bottom"/>
          </w:tcPr>
          <w:p w14:paraId="49B6913A" w14:textId="77777777" w:rsidR="00AD1E4D" w:rsidRPr="00370EC4" w:rsidRDefault="00AD1E4D" w:rsidP="00AD1E4D">
            <w:pPr>
              <w:tabs>
                <w:tab w:val="decimal" w:pos="1126"/>
              </w:tabs>
              <w:spacing w:after="0" w:line="240" w:lineRule="auto"/>
              <w:ind w:right="142"/>
              <w:jc w:val="right"/>
              <w:rPr>
                <w:rFonts w:ascii="Arial" w:hAnsi="Arial" w:cs="Arial"/>
                <w:sz w:val="18"/>
                <w:szCs w:val="18"/>
              </w:rPr>
            </w:pPr>
          </w:p>
        </w:tc>
      </w:tr>
      <w:tr w:rsidR="00AD1E4D" w:rsidRPr="00370EC4" w14:paraId="4F3BE3E2" w14:textId="77777777" w:rsidTr="0056368C">
        <w:trPr>
          <w:gridAfter w:val="1"/>
          <w:wAfter w:w="565" w:type="dxa"/>
          <w:trHeight w:hRule="exact" w:val="366"/>
        </w:trPr>
        <w:tc>
          <w:tcPr>
            <w:tcW w:w="2880" w:type="dxa"/>
            <w:tcBorders>
              <w:top w:val="nil"/>
              <w:left w:val="nil"/>
              <w:bottom w:val="single" w:sz="12" w:space="0" w:color="auto"/>
            </w:tcBorders>
            <w:noWrap/>
            <w:tcMar>
              <w:right w:w="216" w:type="dxa"/>
            </w:tcMar>
            <w:vAlign w:val="bottom"/>
          </w:tcPr>
          <w:p w14:paraId="7DDDCC10" w14:textId="67134167" w:rsidR="00AD1E4D" w:rsidRPr="00370EC4" w:rsidRDefault="00AD1E4D" w:rsidP="00AD1E4D">
            <w:pPr>
              <w:tabs>
                <w:tab w:val="left" w:pos="4050"/>
              </w:tabs>
              <w:spacing w:after="0" w:line="240" w:lineRule="auto"/>
              <w:ind w:right="-36"/>
              <w:rPr>
                <w:rFonts w:ascii="Arial" w:eastAsia="Arial Unicode MS" w:hAnsi="Arial" w:cs="Arial"/>
                <w:sz w:val="18"/>
                <w:szCs w:val="18"/>
              </w:rPr>
            </w:pPr>
            <w:r w:rsidRPr="00370EC4">
              <w:rPr>
                <w:rFonts w:ascii="Arial" w:eastAsia="Arial Unicode MS" w:hAnsi="Arial" w:cs="Arial"/>
                <w:sz w:val="18"/>
                <w:szCs w:val="18"/>
              </w:rPr>
              <w:t xml:space="preserve">Balance – </w:t>
            </w:r>
            <w:r>
              <w:rPr>
                <w:rFonts w:ascii="Arial" w:eastAsia="Arial Unicode MS" w:hAnsi="Arial" w:cs="Arial"/>
                <w:sz w:val="18"/>
                <w:szCs w:val="18"/>
              </w:rPr>
              <w:t>July</w:t>
            </w:r>
            <w:r w:rsidRPr="00370EC4">
              <w:rPr>
                <w:rFonts w:ascii="Arial" w:eastAsia="Arial Unicode MS" w:hAnsi="Arial" w:cs="Arial"/>
                <w:sz w:val="18"/>
                <w:szCs w:val="18"/>
              </w:rPr>
              <w:t xml:space="preserve"> 31, 2019</w:t>
            </w:r>
          </w:p>
        </w:tc>
        <w:tc>
          <w:tcPr>
            <w:tcW w:w="1276" w:type="dxa"/>
            <w:gridSpan w:val="2"/>
            <w:tcBorders>
              <w:bottom w:val="single" w:sz="12" w:space="0" w:color="auto"/>
              <w:right w:val="nil"/>
            </w:tcBorders>
            <w:shd w:val="clear" w:color="auto" w:fill="auto"/>
            <w:vAlign w:val="bottom"/>
          </w:tcPr>
          <w:p w14:paraId="40EA7461" w14:textId="18E91A20" w:rsidR="00AD1E4D" w:rsidRPr="00370EC4" w:rsidRDefault="00EA1905" w:rsidP="00AD1E4D">
            <w:pPr>
              <w:tabs>
                <w:tab w:val="left" w:pos="1155"/>
                <w:tab w:val="left" w:pos="3845"/>
              </w:tabs>
              <w:spacing w:after="0" w:line="240" w:lineRule="auto"/>
              <w:ind w:right="90"/>
              <w:jc w:val="right"/>
              <w:rPr>
                <w:rFonts w:ascii="Arial" w:hAnsi="Arial" w:cs="Arial"/>
                <w:sz w:val="18"/>
                <w:szCs w:val="18"/>
              </w:rPr>
            </w:pPr>
            <w:r>
              <w:rPr>
                <w:rFonts w:ascii="Arial" w:hAnsi="Arial" w:cs="Arial"/>
                <w:sz w:val="18"/>
                <w:szCs w:val="18"/>
              </w:rPr>
              <w:t>171,039,468</w:t>
            </w:r>
          </w:p>
        </w:tc>
        <w:tc>
          <w:tcPr>
            <w:tcW w:w="1244" w:type="dxa"/>
            <w:gridSpan w:val="2"/>
            <w:tcBorders>
              <w:left w:val="nil"/>
              <w:bottom w:val="single" w:sz="12" w:space="0" w:color="auto"/>
              <w:right w:val="nil"/>
            </w:tcBorders>
            <w:shd w:val="clear" w:color="auto" w:fill="auto"/>
            <w:vAlign w:val="bottom"/>
          </w:tcPr>
          <w:p w14:paraId="7D7F7CBC" w14:textId="2BAC7C0D" w:rsidR="00AD1E4D" w:rsidRPr="00370EC4" w:rsidRDefault="00EA1905" w:rsidP="00302F03">
            <w:pPr>
              <w:spacing w:after="0" w:line="240" w:lineRule="auto"/>
              <w:ind w:right="154"/>
              <w:jc w:val="right"/>
              <w:rPr>
                <w:rFonts w:ascii="Arial" w:hAnsi="Arial" w:cs="Arial"/>
                <w:sz w:val="18"/>
                <w:szCs w:val="18"/>
              </w:rPr>
            </w:pPr>
            <w:r>
              <w:rPr>
                <w:rFonts w:ascii="Arial" w:hAnsi="Arial" w:cs="Arial"/>
                <w:sz w:val="18"/>
                <w:szCs w:val="18"/>
              </w:rPr>
              <w:t>40,</w:t>
            </w:r>
            <w:r w:rsidR="00302F03">
              <w:rPr>
                <w:rFonts w:ascii="Arial" w:hAnsi="Arial" w:cs="Arial"/>
                <w:sz w:val="18"/>
                <w:szCs w:val="18"/>
              </w:rPr>
              <w:t>200,210</w:t>
            </w:r>
          </w:p>
        </w:tc>
        <w:tc>
          <w:tcPr>
            <w:tcW w:w="992" w:type="dxa"/>
            <w:gridSpan w:val="2"/>
            <w:tcBorders>
              <w:left w:val="nil"/>
              <w:bottom w:val="single" w:sz="12" w:space="0" w:color="auto"/>
              <w:right w:val="nil"/>
            </w:tcBorders>
            <w:vAlign w:val="bottom"/>
          </w:tcPr>
          <w:p w14:paraId="1EE12DC9" w14:textId="6B52CAA4" w:rsidR="00AD1E4D" w:rsidRPr="00370EC4" w:rsidRDefault="00EA1905" w:rsidP="00AD1E4D">
            <w:pPr>
              <w:spacing w:after="0" w:line="240" w:lineRule="auto"/>
              <w:ind w:right="90"/>
              <w:jc w:val="right"/>
              <w:rPr>
                <w:rFonts w:ascii="Arial" w:hAnsi="Arial" w:cs="Arial"/>
                <w:sz w:val="18"/>
                <w:szCs w:val="18"/>
              </w:rPr>
            </w:pPr>
            <w:r w:rsidRPr="00370EC4">
              <w:rPr>
                <w:rFonts w:ascii="Arial" w:hAnsi="Arial" w:cs="Arial"/>
                <w:sz w:val="18"/>
                <w:szCs w:val="18"/>
              </w:rPr>
              <w:t>–</w:t>
            </w:r>
          </w:p>
        </w:tc>
        <w:tc>
          <w:tcPr>
            <w:tcW w:w="1134" w:type="dxa"/>
            <w:gridSpan w:val="2"/>
            <w:tcBorders>
              <w:left w:val="nil"/>
              <w:bottom w:val="single" w:sz="12" w:space="0" w:color="auto"/>
              <w:right w:val="nil"/>
            </w:tcBorders>
            <w:vAlign w:val="bottom"/>
          </w:tcPr>
          <w:p w14:paraId="3FA64AAA" w14:textId="7C271C68" w:rsidR="00AD1E4D" w:rsidRPr="00370EC4" w:rsidRDefault="00AD1E4D" w:rsidP="00C819E3">
            <w:pPr>
              <w:spacing w:after="0" w:line="240" w:lineRule="auto"/>
              <w:ind w:right="5"/>
              <w:jc w:val="right"/>
              <w:rPr>
                <w:rFonts w:ascii="Arial" w:hAnsi="Arial" w:cs="Arial"/>
                <w:sz w:val="18"/>
                <w:szCs w:val="18"/>
              </w:rPr>
            </w:pPr>
            <w:r w:rsidRPr="00370EC4">
              <w:rPr>
                <w:rFonts w:ascii="Arial" w:hAnsi="Arial" w:cs="Arial"/>
                <w:sz w:val="18"/>
                <w:szCs w:val="18"/>
              </w:rPr>
              <w:t>17,</w:t>
            </w:r>
            <w:r w:rsidR="00C819E3">
              <w:rPr>
                <w:rFonts w:ascii="Arial" w:hAnsi="Arial" w:cs="Arial"/>
                <w:sz w:val="18"/>
                <w:szCs w:val="18"/>
              </w:rPr>
              <w:t>613,552</w:t>
            </w:r>
          </w:p>
        </w:tc>
        <w:tc>
          <w:tcPr>
            <w:tcW w:w="1435" w:type="dxa"/>
            <w:gridSpan w:val="2"/>
            <w:tcBorders>
              <w:left w:val="nil"/>
              <w:bottom w:val="single" w:sz="12" w:space="0" w:color="auto"/>
              <w:right w:val="nil"/>
            </w:tcBorders>
            <w:vAlign w:val="bottom"/>
          </w:tcPr>
          <w:p w14:paraId="698B4302" w14:textId="31577FFB" w:rsidR="00AD1E4D" w:rsidRPr="00370EC4" w:rsidRDefault="00EA1905" w:rsidP="007B1E9D">
            <w:pPr>
              <w:tabs>
                <w:tab w:val="left" w:pos="1080"/>
              </w:tabs>
              <w:spacing w:after="0" w:line="240" w:lineRule="auto"/>
              <w:ind w:right="90"/>
              <w:jc w:val="right"/>
              <w:rPr>
                <w:rFonts w:ascii="Arial" w:hAnsi="Arial" w:cs="Arial"/>
                <w:sz w:val="18"/>
                <w:szCs w:val="18"/>
              </w:rPr>
            </w:pPr>
            <w:r>
              <w:rPr>
                <w:rFonts w:ascii="Arial" w:hAnsi="Arial" w:cs="Arial"/>
                <w:sz w:val="18"/>
                <w:szCs w:val="18"/>
              </w:rPr>
              <w:t>135,</w:t>
            </w:r>
            <w:r w:rsidR="007B1E9D">
              <w:rPr>
                <w:rFonts w:ascii="Arial" w:hAnsi="Arial" w:cs="Arial"/>
                <w:sz w:val="18"/>
                <w:szCs w:val="18"/>
              </w:rPr>
              <w:t>645</w:t>
            </w:r>
          </w:p>
        </w:tc>
        <w:tc>
          <w:tcPr>
            <w:tcW w:w="1276" w:type="dxa"/>
            <w:gridSpan w:val="2"/>
            <w:tcBorders>
              <w:left w:val="nil"/>
              <w:bottom w:val="single" w:sz="12" w:space="0" w:color="auto"/>
              <w:right w:val="nil"/>
            </w:tcBorders>
            <w:shd w:val="clear" w:color="auto" w:fill="auto"/>
            <w:vAlign w:val="bottom"/>
          </w:tcPr>
          <w:p w14:paraId="1E96891B" w14:textId="465F6E05" w:rsidR="00AD1E4D" w:rsidRPr="00A0313B" w:rsidRDefault="00AD1E4D" w:rsidP="007B1E9D">
            <w:pPr>
              <w:tabs>
                <w:tab w:val="left" w:pos="1080"/>
              </w:tabs>
              <w:spacing w:after="0" w:line="240" w:lineRule="auto"/>
              <w:ind w:right="90"/>
              <w:jc w:val="right"/>
              <w:rPr>
                <w:rFonts w:ascii="Arial" w:hAnsi="Arial" w:cs="Arial"/>
                <w:sz w:val="18"/>
                <w:szCs w:val="18"/>
              </w:rPr>
            </w:pPr>
            <w:r w:rsidRPr="00A0313B">
              <w:rPr>
                <w:rFonts w:ascii="Arial" w:hAnsi="Arial" w:cs="Arial"/>
                <w:sz w:val="18"/>
                <w:szCs w:val="18"/>
              </w:rPr>
              <w:t>(</w:t>
            </w:r>
            <w:r w:rsidR="001B4793" w:rsidRPr="00A0313B">
              <w:rPr>
                <w:rFonts w:ascii="Arial" w:hAnsi="Arial" w:cs="Arial"/>
                <w:sz w:val="18"/>
                <w:szCs w:val="18"/>
              </w:rPr>
              <w:t>41,</w:t>
            </w:r>
            <w:r w:rsidR="00302F03" w:rsidRPr="00A0313B">
              <w:rPr>
                <w:rFonts w:ascii="Arial" w:hAnsi="Arial" w:cs="Arial"/>
                <w:sz w:val="18"/>
                <w:szCs w:val="18"/>
              </w:rPr>
              <w:t>392,997</w:t>
            </w:r>
            <w:r w:rsidRPr="00A0313B">
              <w:rPr>
                <w:rFonts w:ascii="Arial" w:hAnsi="Arial" w:cs="Arial"/>
                <w:sz w:val="18"/>
                <w:szCs w:val="18"/>
              </w:rPr>
              <w:t>)</w:t>
            </w:r>
          </w:p>
        </w:tc>
        <w:tc>
          <w:tcPr>
            <w:tcW w:w="1303" w:type="dxa"/>
            <w:gridSpan w:val="2"/>
            <w:tcBorders>
              <w:left w:val="nil"/>
              <w:bottom w:val="single" w:sz="12" w:space="0" w:color="auto"/>
              <w:right w:val="nil"/>
            </w:tcBorders>
            <w:shd w:val="clear" w:color="auto" w:fill="auto"/>
            <w:vAlign w:val="bottom"/>
          </w:tcPr>
          <w:p w14:paraId="1016A16F" w14:textId="6C60F46B" w:rsidR="00AD1E4D" w:rsidRPr="00370EC4" w:rsidRDefault="001B4793" w:rsidP="00302F03">
            <w:pPr>
              <w:tabs>
                <w:tab w:val="decimal" w:pos="1126"/>
              </w:tabs>
              <w:spacing w:after="0" w:line="240" w:lineRule="auto"/>
              <w:ind w:right="142"/>
              <w:jc w:val="right"/>
              <w:rPr>
                <w:rFonts w:ascii="Arial" w:hAnsi="Arial" w:cs="Arial"/>
                <w:sz w:val="18"/>
                <w:szCs w:val="18"/>
              </w:rPr>
            </w:pPr>
            <w:r w:rsidRPr="001B4793">
              <w:rPr>
                <w:rFonts w:ascii="Arial" w:hAnsi="Arial" w:cs="Arial"/>
                <w:sz w:val="18"/>
                <w:szCs w:val="18"/>
              </w:rPr>
              <w:t>16,</w:t>
            </w:r>
            <w:r w:rsidR="00302F03">
              <w:rPr>
                <w:rFonts w:ascii="Arial" w:hAnsi="Arial" w:cs="Arial"/>
                <w:sz w:val="18"/>
                <w:szCs w:val="18"/>
              </w:rPr>
              <w:t>556,410</w:t>
            </w:r>
          </w:p>
        </w:tc>
      </w:tr>
      <w:tr w:rsidR="00AD1E4D" w:rsidRPr="00370EC4" w14:paraId="51BA2757" w14:textId="77777777" w:rsidTr="00C30D1B">
        <w:trPr>
          <w:trHeight w:hRule="exact" w:val="320"/>
        </w:trPr>
        <w:tc>
          <w:tcPr>
            <w:tcW w:w="3229" w:type="dxa"/>
            <w:gridSpan w:val="2"/>
            <w:tcBorders>
              <w:top w:val="nil"/>
              <w:left w:val="nil"/>
            </w:tcBorders>
            <w:noWrap/>
            <w:tcMar>
              <w:right w:w="216" w:type="dxa"/>
            </w:tcMar>
            <w:vAlign w:val="bottom"/>
          </w:tcPr>
          <w:p w14:paraId="2B8B5F62"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p>
          <w:p w14:paraId="1CD70879"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p>
          <w:p w14:paraId="006CC395"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p>
        </w:tc>
        <w:tc>
          <w:tcPr>
            <w:tcW w:w="1350" w:type="dxa"/>
            <w:gridSpan w:val="2"/>
            <w:tcBorders>
              <w:right w:val="nil"/>
            </w:tcBorders>
            <w:shd w:val="clear" w:color="auto" w:fill="auto"/>
            <w:vAlign w:val="bottom"/>
          </w:tcPr>
          <w:p w14:paraId="6797D264" w14:textId="77777777" w:rsidR="00AD1E4D" w:rsidRPr="00370EC4" w:rsidRDefault="00AD1E4D" w:rsidP="00AD1E4D">
            <w:pPr>
              <w:tabs>
                <w:tab w:val="left" w:pos="1155"/>
                <w:tab w:val="left" w:pos="3845"/>
              </w:tabs>
              <w:spacing w:after="0" w:line="240" w:lineRule="auto"/>
              <w:ind w:right="90"/>
              <w:jc w:val="right"/>
              <w:rPr>
                <w:rFonts w:ascii="Arial" w:hAnsi="Arial" w:cs="Arial"/>
                <w:sz w:val="18"/>
                <w:szCs w:val="18"/>
              </w:rPr>
            </w:pPr>
          </w:p>
        </w:tc>
        <w:tc>
          <w:tcPr>
            <w:tcW w:w="1244" w:type="dxa"/>
            <w:gridSpan w:val="2"/>
            <w:tcBorders>
              <w:left w:val="nil"/>
              <w:right w:val="nil"/>
            </w:tcBorders>
            <w:shd w:val="clear" w:color="auto" w:fill="auto"/>
            <w:vAlign w:val="bottom"/>
          </w:tcPr>
          <w:p w14:paraId="466F2710" w14:textId="77777777" w:rsidR="00AD1E4D" w:rsidRPr="00370EC4" w:rsidRDefault="00AD1E4D" w:rsidP="00AD1E4D">
            <w:pPr>
              <w:spacing w:after="0" w:line="240" w:lineRule="auto"/>
              <w:ind w:right="154"/>
              <w:jc w:val="right"/>
              <w:rPr>
                <w:rFonts w:ascii="Arial" w:hAnsi="Arial" w:cs="Arial"/>
                <w:sz w:val="18"/>
                <w:szCs w:val="18"/>
              </w:rPr>
            </w:pPr>
          </w:p>
        </w:tc>
        <w:tc>
          <w:tcPr>
            <w:tcW w:w="1059" w:type="dxa"/>
            <w:gridSpan w:val="2"/>
            <w:tcBorders>
              <w:left w:val="nil"/>
              <w:right w:val="nil"/>
            </w:tcBorders>
            <w:vAlign w:val="bottom"/>
          </w:tcPr>
          <w:p w14:paraId="313A62DC" w14:textId="77777777" w:rsidR="00AD1E4D" w:rsidRPr="00370EC4" w:rsidRDefault="00AD1E4D" w:rsidP="00AD1E4D">
            <w:pPr>
              <w:spacing w:after="0" w:line="240" w:lineRule="auto"/>
              <w:ind w:right="90"/>
              <w:jc w:val="right"/>
              <w:rPr>
                <w:rFonts w:ascii="Arial" w:hAnsi="Arial" w:cs="Arial"/>
                <w:sz w:val="18"/>
                <w:szCs w:val="18"/>
              </w:rPr>
            </w:pPr>
          </w:p>
        </w:tc>
        <w:tc>
          <w:tcPr>
            <w:tcW w:w="1276" w:type="dxa"/>
            <w:gridSpan w:val="2"/>
            <w:tcBorders>
              <w:left w:val="nil"/>
              <w:right w:val="nil"/>
            </w:tcBorders>
          </w:tcPr>
          <w:p w14:paraId="27EF67CB" w14:textId="77777777" w:rsidR="00AD1E4D" w:rsidRPr="00370EC4" w:rsidRDefault="00AD1E4D" w:rsidP="00AD1E4D">
            <w:pPr>
              <w:tabs>
                <w:tab w:val="decimal" w:pos="1080"/>
              </w:tabs>
              <w:spacing w:after="0" w:line="240" w:lineRule="auto"/>
              <w:ind w:right="90"/>
              <w:jc w:val="right"/>
              <w:rPr>
                <w:rFonts w:ascii="Arial" w:hAnsi="Arial" w:cs="Arial"/>
                <w:sz w:val="18"/>
                <w:szCs w:val="18"/>
              </w:rPr>
            </w:pPr>
          </w:p>
        </w:tc>
        <w:tc>
          <w:tcPr>
            <w:tcW w:w="1368" w:type="dxa"/>
            <w:gridSpan w:val="2"/>
            <w:tcBorders>
              <w:left w:val="nil"/>
              <w:right w:val="nil"/>
            </w:tcBorders>
            <w:vAlign w:val="bottom"/>
          </w:tcPr>
          <w:p w14:paraId="266D905E" w14:textId="77777777" w:rsidR="00AD1E4D" w:rsidRPr="00370EC4" w:rsidRDefault="00AD1E4D" w:rsidP="00AD1E4D">
            <w:pPr>
              <w:tabs>
                <w:tab w:val="decimal"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544833C6" w14:textId="77777777" w:rsidR="00AD1E4D" w:rsidRPr="00370EC4" w:rsidRDefault="00AD1E4D" w:rsidP="00AD1E4D">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70F713A9" w14:textId="77777777" w:rsidR="00AD1E4D" w:rsidRPr="00370EC4" w:rsidRDefault="00AD1E4D" w:rsidP="00AD1E4D">
            <w:pPr>
              <w:tabs>
                <w:tab w:val="decimal" w:pos="1126"/>
              </w:tabs>
              <w:spacing w:after="0" w:line="240" w:lineRule="auto"/>
              <w:ind w:right="142"/>
              <w:jc w:val="right"/>
              <w:rPr>
                <w:rFonts w:ascii="Arial" w:hAnsi="Arial" w:cs="Arial"/>
                <w:sz w:val="18"/>
                <w:szCs w:val="18"/>
              </w:rPr>
            </w:pPr>
          </w:p>
        </w:tc>
      </w:tr>
      <w:tr w:rsidR="00AD1E4D" w:rsidRPr="00370EC4" w14:paraId="276CE962" w14:textId="77777777" w:rsidTr="00C30D1B">
        <w:trPr>
          <w:trHeight w:hRule="exact" w:val="101"/>
        </w:trPr>
        <w:tc>
          <w:tcPr>
            <w:tcW w:w="3229" w:type="dxa"/>
            <w:gridSpan w:val="2"/>
            <w:tcBorders>
              <w:left w:val="nil"/>
            </w:tcBorders>
            <w:noWrap/>
            <w:tcMar>
              <w:right w:w="216" w:type="dxa"/>
            </w:tcMar>
            <w:vAlign w:val="bottom"/>
          </w:tcPr>
          <w:p w14:paraId="6D8412A3" w14:textId="77777777" w:rsidR="00AD1E4D" w:rsidRPr="00370EC4" w:rsidRDefault="00AD1E4D" w:rsidP="00AD1E4D">
            <w:pPr>
              <w:tabs>
                <w:tab w:val="left" w:pos="4050"/>
              </w:tabs>
              <w:spacing w:after="0" w:line="240" w:lineRule="auto"/>
              <w:ind w:right="-36"/>
              <w:rPr>
                <w:rFonts w:ascii="Arial" w:eastAsia="Arial Unicode MS" w:hAnsi="Arial" w:cs="Arial"/>
                <w:sz w:val="18"/>
                <w:szCs w:val="18"/>
              </w:rPr>
            </w:pPr>
          </w:p>
        </w:tc>
        <w:tc>
          <w:tcPr>
            <w:tcW w:w="1350" w:type="dxa"/>
            <w:gridSpan w:val="2"/>
            <w:tcBorders>
              <w:right w:val="nil"/>
            </w:tcBorders>
            <w:shd w:val="clear" w:color="auto" w:fill="auto"/>
            <w:vAlign w:val="bottom"/>
          </w:tcPr>
          <w:p w14:paraId="7ECBF5D7" w14:textId="77777777" w:rsidR="00AD1E4D" w:rsidRPr="00370EC4" w:rsidRDefault="00AD1E4D" w:rsidP="00AD1E4D">
            <w:pPr>
              <w:tabs>
                <w:tab w:val="left" w:pos="1155"/>
                <w:tab w:val="left" w:pos="3845"/>
              </w:tabs>
              <w:spacing w:after="0" w:line="240" w:lineRule="auto"/>
              <w:ind w:right="284"/>
              <w:jc w:val="right"/>
              <w:rPr>
                <w:rFonts w:ascii="Arial" w:hAnsi="Arial" w:cs="Arial"/>
                <w:sz w:val="18"/>
                <w:szCs w:val="18"/>
              </w:rPr>
            </w:pPr>
          </w:p>
        </w:tc>
        <w:tc>
          <w:tcPr>
            <w:tcW w:w="1244" w:type="dxa"/>
            <w:gridSpan w:val="2"/>
            <w:tcBorders>
              <w:left w:val="nil"/>
              <w:right w:val="nil"/>
            </w:tcBorders>
            <w:shd w:val="clear" w:color="auto" w:fill="auto"/>
            <w:vAlign w:val="bottom"/>
          </w:tcPr>
          <w:p w14:paraId="71A33868" w14:textId="77777777" w:rsidR="00AD1E4D" w:rsidRPr="00370EC4" w:rsidRDefault="00AD1E4D" w:rsidP="00AD1E4D">
            <w:pPr>
              <w:spacing w:after="0" w:line="240" w:lineRule="auto"/>
              <w:ind w:right="154"/>
              <w:jc w:val="right"/>
              <w:rPr>
                <w:rFonts w:ascii="Arial" w:hAnsi="Arial" w:cs="Arial"/>
                <w:sz w:val="18"/>
                <w:szCs w:val="18"/>
              </w:rPr>
            </w:pPr>
          </w:p>
        </w:tc>
        <w:tc>
          <w:tcPr>
            <w:tcW w:w="1059" w:type="dxa"/>
            <w:gridSpan w:val="2"/>
            <w:tcBorders>
              <w:left w:val="nil"/>
              <w:right w:val="nil"/>
            </w:tcBorders>
            <w:vAlign w:val="bottom"/>
          </w:tcPr>
          <w:p w14:paraId="1DB7DF00" w14:textId="77777777" w:rsidR="00AD1E4D" w:rsidRPr="00370EC4" w:rsidRDefault="00AD1E4D" w:rsidP="00AD1E4D">
            <w:pPr>
              <w:spacing w:after="0" w:line="240" w:lineRule="auto"/>
              <w:ind w:right="90"/>
              <w:jc w:val="right"/>
              <w:rPr>
                <w:rFonts w:ascii="Arial" w:hAnsi="Arial" w:cs="Arial"/>
                <w:sz w:val="18"/>
                <w:szCs w:val="18"/>
              </w:rPr>
            </w:pPr>
          </w:p>
        </w:tc>
        <w:tc>
          <w:tcPr>
            <w:tcW w:w="1276" w:type="dxa"/>
            <w:gridSpan w:val="2"/>
            <w:tcBorders>
              <w:left w:val="nil"/>
              <w:right w:val="nil"/>
            </w:tcBorders>
          </w:tcPr>
          <w:p w14:paraId="31F2C829" w14:textId="77777777" w:rsidR="00AD1E4D" w:rsidRPr="00370EC4" w:rsidRDefault="00AD1E4D" w:rsidP="00AD1E4D">
            <w:pPr>
              <w:tabs>
                <w:tab w:val="decimal" w:pos="1080"/>
              </w:tabs>
              <w:spacing w:after="0" w:line="240" w:lineRule="auto"/>
              <w:ind w:right="90"/>
              <w:jc w:val="right"/>
              <w:rPr>
                <w:rFonts w:ascii="Arial" w:hAnsi="Arial" w:cs="Arial"/>
                <w:sz w:val="18"/>
                <w:szCs w:val="18"/>
              </w:rPr>
            </w:pPr>
          </w:p>
        </w:tc>
        <w:tc>
          <w:tcPr>
            <w:tcW w:w="1368" w:type="dxa"/>
            <w:gridSpan w:val="2"/>
            <w:tcBorders>
              <w:left w:val="nil"/>
              <w:right w:val="nil"/>
            </w:tcBorders>
            <w:vAlign w:val="bottom"/>
          </w:tcPr>
          <w:p w14:paraId="49F59979" w14:textId="77777777" w:rsidR="00AD1E4D" w:rsidRPr="00370EC4" w:rsidRDefault="00AD1E4D" w:rsidP="00AD1E4D">
            <w:pPr>
              <w:tabs>
                <w:tab w:val="decimal" w:pos="1080"/>
              </w:tabs>
              <w:spacing w:after="0" w:line="240" w:lineRule="auto"/>
              <w:ind w:right="90"/>
              <w:jc w:val="right"/>
              <w:rPr>
                <w:rFonts w:ascii="Arial" w:hAnsi="Arial" w:cs="Arial"/>
                <w:sz w:val="18"/>
                <w:szCs w:val="18"/>
              </w:rPr>
            </w:pPr>
          </w:p>
        </w:tc>
        <w:tc>
          <w:tcPr>
            <w:tcW w:w="1276" w:type="dxa"/>
            <w:gridSpan w:val="2"/>
            <w:tcBorders>
              <w:left w:val="nil"/>
              <w:right w:val="nil"/>
            </w:tcBorders>
            <w:shd w:val="clear" w:color="auto" w:fill="auto"/>
            <w:vAlign w:val="bottom"/>
          </w:tcPr>
          <w:p w14:paraId="6E0D82DB" w14:textId="77777777" w:rsidR="00AD1E4D" w:rsidRPr="00370EC4" w:rsidRDefault="00AD1E4D" w:rsidP="00AD1E4D">
            <w:pPr>
              <w:tabs>
                <w:tab w:val="left" w:pos="1080"/>
              </w:tabs>
              <w:spacing w:after="0" w:line="240" w:lineRule="auto"/>
              <w:ind w:right="90"/>
              <w:jc w:val="right"/>
              <w:rPr>
                <w:rFonts w:ascii="Arial" w:hAnsi="Arial" w:cs="Arial"/>
                <w:sz w:val="18"/>
                <w:szCs w:val="18"/>
              </w:rPr>
            </w:pPr>
          </w:p>
        </w:tc>
        <w:tc>
          <w:tcPr>
            <w:tcW w:w="1303" w:type="dxa"/>
            <w:gridSpan w:val="2"/>
            <w:tcBorders>
              <w:left w:val="nil"/>
              <w:right w:val="nil"/>
            </w:tcBorders>
            <w:shd w:val="clear" w:color="auto" w:fill="auto"/>
            <w:vAlign w:val="bottom"/>
          </w:tcPr>
          <w:p w14:paraId="17620BD7" w14:textId="77777777" w:rsidR="00AD1E4D" w:rsidRPr="00370EC4" w:rsidRDefault="00AD1E4D" w:rsidP="00AD1E4D">
            <w:pPr>
              <w:tabs>
                <w:tab w:val="decimal" w:pos="1126"/>
              </w:tabs>
              <w:spacing w:after="0" w:line="240" w:lineRule="auto"/>
              <w:ind w:right="142"/>
              <w:jc w:val="right"/>
              <w:rPr>
                <w:rFonts w:ascii="Arial" w:hAnsi="Arial" w:cs="Arial"/>
                <w:sz w:val="18"/>
                <w:szCs w:val="18"/>
              </w:rPr>
            </w:pPr>
          </w:p>
        </w:tc>
      </w:tr>
    </w:tbl>
    <w:p w14:paraId="6E07C8DC" w14:textId="77777777" w:rsidR="00370EC4" w:rsidRDefault="00370EC4" w:rsidP="00790828">
      <w:pPr>
        <w:jc w:val="center"/>
        <w:rPr>
          <w:rFonts w:ascii="Arial" w:hAnsi="Arial" w:cs="Arial"/>
          <w:sz w:val="18"/>
          <w:szCs w:val="18"/>
        </w:rPr>
      </w:pPr>
    </w:p>
    <w:p w14:paraId="30F21BEE" w14:textId="77777777" w:rsidR="00040621" w:rsidRDefault="00040621" w:rsidP="00790828">
      <w:pPr>
        <w:jc w:val="center"/>
        <w:rPr>
          <w:rFonts w:ascii="Arial" w:hAnsi="Arial" w:cs="Arial"/>
          <w:sz w:val="18"/>
          <w:szCs w:val="18"/>
        </w:rPr>
      </w:pPr>
    </w:p>
    <w:p w14:paraId="145602F0" w14:textId="77777777" w:rsidR="00040621" w:rsidRDefault="00040621" w:rsidP="00790828">
      <w:pPr>
        <w:jc w:val="center"/>
        <w:rPr>
          <w:rFonts w:ascii="Arial" w:hAnsi="Arial" w:cs="Arial"/>
          <w:sz w:val="18"/>
          <w:szCs w:val="18"/>
        </w:rPr>
      </w:pPr>
    </w:p>
    <w:p w14:paraId="53264F67" w14:textId="77777777" w:rsidR="00040621" w:rsidRDefault="00040621" w:rsidP="00790828">
      <w:pPr>
        <w:jc w:val="center"/>
        <w:rPr>
          <w:rFonts w:ascii="Arial" w:hAnsi="Arial" w:cs="Arial"/>
          <w:sz w:val="18"/>
          <w:szCs w:val="18"/>
        </w:rPr>
      </w:pPr>
    </w:p>
    <w:p w14:paraId="3276A75E" w14:textId="7FF7B9A2" w:rsidR="00790828" w:rsidRPr="00040621" w:rsidRDefault="00790828" w:rsidP="00040621">
      <w:pPr>
        <w:jc w:val="center"/>
        <w:rPr>
          <w:rFonts w:ascii="Arial" w:hAnsi="Arial" w:cs="Arial"/>
          <w:sz w:val="18"/>
          <w:szCs w:val="18"/>
        </w:rPr>
      </w:pPr>
      <w:r w:rsidRPr="00370EC4">
        <w:rPr>
          <w:rFonts w:ascii="Arial" w:hAnsi="Arial" w:cs="Arial"/>
          <w:sz w:val="18"/>
          <w:szCs w:val="18"/>
        </w:rPr>
        <w:t>(The accompanying notes are an integral part of these</w:t>
      </w:r>
      <w:r w:rsidR="008E7C6B" w:rsidRPr="00370EC4">
        <w:rPr>
          <w:rFonts w:ascii="Arial" w:hAnsi="Arial" w:cs="Arial"/>
          <w:sz w:val="18"/>
          <w:szCs w:val="18"/>
        </w:rPr>
        <w:t xml:space="preserve"> </w:t>
      </w:r>
      <w:r w:rsidR="008B680A">
        <w:rPr>
          <w:rFonts w:ascii="Arial" w:hAnsi="Arial" w:cs="Arial"/>
          <w:sz w:val="18"/>
          <w:szCs w:val="18"/>
        </w:rPr>
        <w:t>condensed consolidated interim financial statements</w:t>
      </w:r>
      <w:r w:rsidRPr="00370EC4">
        <w:rPr>
          <w:rFonts w:ascii="Arial" w:hAnsi="Arial" w:cs="Arial"/>
          <w:sz w:val="18"/>
          <w:szCs w:val="18"/>
        </w:rPr>
        <w:t>)</w:t>
      </w:r>
    </w:p>
    <w:p w14:paraId="34995CF5" w14:textId="77777777" w:rsidR="0050081F" w:rsidRDefault="0050081F" w:rsidP="00790828">
      <w:pPr>
        <w:spacing w:after="0"/>
        <w:rPr>
          <w:rFonts w:ascii="Arial" w:hAnsi="Arial" w:cs="Arial"/>
          <w:b/>
          <w:bCs/>
          <w:sz w:val="24"/>
        </w:rPr>
      </w:pPr>
    </w:p>
    <w:p w14:paraId="0CFF8FD4" w14:textId="5D996C3E" w:rsidR="00790828" w:rsidRPr="009F3026" w:rsidRDefault="00790828" w:rsidP="00790828">
      <w:pPr>
        <w:spacing w:after="0"/>
        <w:rPr>
          <w:rFonts w:ascii="Arial" w:hAnsi="Arial" w:cs="Arial"/>
          <w:b/>
          <w:bCs/>
          <w:sz w:val="24"/>
        </w:rPr>
      </w:pPr>
      <w:r>
        <w:rPr>
          <w:rFonts w:ascii="Arial" w:hAnsi="Arial" w:cs="Arial"/>
          <w:b/>
          <w:bCs/>
          <w:sz w:val="24"/>
        </w:rPr>
        <w:lastRenderedPageBreak/>
        <w:t>PIVOT</w:t>
      </w:r>
      <w:r w:rsidRPr="009F3026">
        <w:rPr>
          <w:rFonts w:ascii="Arial" w:hAnsi="Arial" w:cs="Arial"/>
          <w:b/>
          <w:bCs/>
          <w:sz w:val="24"/>
        </w:rPr>
        <w:t xml:space="preserve"> PHARMACEUTICALS INC.</w:t>
      </w:r>
    </w:p>
    <w:p w14:paraId="433D60DA" w14:textId="654853F4" w:rsidR="00790828" w:rsidRPr="009F3026" w:rsidRDefault="008E7C6B"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14"/>
          <w:tab w:val="left" w:pos="7560"/>
          <w:tab w:val="left" w:pos="7920"/>
          <w:tab w:val="left" w:pos="8280"/>
          <w:tab w:val="left" w:pos="8640"/>
          <w:tab w:val="left" w:pos="9000"/>
          <w:tab w:val="left" w:pos="9360"/>
        </w:tabs>
        <w:spacing w:after="0" w:line="240" w:lineRule="auto"/>
        <w:jc w:val="both"/>
        <w:rPr>
          <w:rFonts w:ascii="Arial" w:hAnsi="Arial" w:cs="Arial"/>
          <w:bCs/>
          <w:szCs w:val="20"/>
        </w:rPr>
      </w:pPr>
      <w:r>
        <w:rPr>
          <w:rFonts w:ascii="Arial" w:hAnsi="Arial" w:cs="Arial"/>
          <w:bCs/>
          <w:szCs w:val="20"/>
        </w:rPr>
        <w:t xml:space="preserve">Consolidated </w:t>
      </w:r>
      <w:r w:rsidR="00790828" w:rsidRPr="009F3026">
        <w:rPr>
          <w:rFonts w:ascii="Arial" w:hAnsi="Arial" w:cs="Arial"/>
          <w:bCs/>
          <w:szCs w:val="20"/>
        </w:rPr>
        <w:t>Statements of Cash Flows</w:t>
      </w:r>
      <w:r w:rsidR="004056B2">
        <w:rPr>
          <w:rFonts w:ascii="Arial" w:hAnsi="Arial" w:cs="Arial"/>
          <w:bCs/>
          <w:szCs w:val="20"/>
        </w:rPr>
        <w:t xml:space="preserve"> (unaudited)</w:t>
      </w:r>
    </w:p>
    <w:p w14:paraId="24B964D0" w14:textId="47C0B94E" w:rsidR="00790828" w:rsidRPr="009F3026" w:rsidRDefault="00790828" w:rsidP="0079082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both"/>
        <w:rPr>
          <w:rFonts w:ascii="Arial" w:hAnsi="Arial" w:cs="Arial"/>
        </w:rPr>
      </w:pPr>
      <w:r w:rsidRPr="009F3026">
        <w:rPr>
          <w:rFonts w:ascii="Arial" w:hAnsi="Arial" w:cs="Arial"/>
          <w:bCs/>
          <w:szCs w:val="20"/>
        </w:rPr>
        <w:t xml:space="preserve">(Expressed in </w:t>
      </w:r>
      <w:r w:rsidR="008627E3">
        <w:rPr>
          <w:rFonts w:ascii="Arial" w:hAnsi="Arial" w:cs="Arial"/>
          <w:bCs/>
          <w:szCs w:val="20"/>
        </w:rPr>
        <w:t>Canadian</w:t>
      </w:r>
      <w:r w:rsidRPr="009F3026">
        <w:rPr>
          <w:rFonts w:ascii="Arial" w:hAnsi="Arial" w:cs="Arial"/>
        </w:rPr>
        <w:t xml:space="preserve"> dollars)</w:t>
      </w:r>
    </w:p>
    <w:tbl>
      <w:tblPr>
        <w:tblW w:w="9532" w:type="dxa"/>
        <w:tblInd w:w="8" w:type="dxa"/>
        <w:tblLayout w:type="fixed"/>
        <w:tblCellMar>
          <w:left w:w="0" w:type="dxa"/>
          <w:bottom w:w="29" w:type="dxa"/>
          <w:right w:w="0" w:type="dxa"/>
        </w:tblCellMar>
        <w:tblLook w:val="0000" w:firstRow="0" w:lastRow="0" w:firstColumn="0" w:lastColumn="0" w:noHBand="0" w:noVBand="0"/>
      </w:tblPr>
      <w:tblGrid>
        <w:gridCol w:w="6832"/>
        <w:gridCol w:w="1350"/>
        <w:gridCol w:w="1275"/>
        <w:gridCol w:w="75"/>
      </w:tblGrid>
      <w:tr w:rsidR="00681427" w:rsidRPr="009D54BC" w14:paraId="6AD0EEDA" w14:textId="77777777" w:rsidTr="00EA1905">
        <w:trPr>
          <w:gridAfter w:val="1"/>
          <w:wAfter w:w="75" w:type="dxa"/>
        </w:trPr>
        <w:tc>
          <w:tcPr>
            <w:tcW w:w="6832" w:type="dxa"/>
            <w:shd w:val="clear" w:color="auto" w:fill="auto"/>
            <w:vAlign w:val="bottom"/>
          </w:tcPr>
          <w:p w14:paraId="537FF7F8" w14:textId="77777777" w:rsidR="00681427" w:rsidRPr="009D54BC" w:rsidRDefault="00681427" w:rsidP="00EA1905">
            <w:pPr>
              <w:tabs>
                <w:tab w:val="left" w:pos="7272"/>
                <w:tab w:val="decimal" w:pos="8136"/>
                <w:tab w:val="left" w:pos="8496"/>
                <w:tab w:val="decimal" w:pos="9360"/>
              </w:tabs>
              <w:spacing w:after="0" w:line="240" w:lineRule="auto"/>
              <w:rPr>
                <w:rFonts w:ascii="Arial" w:hAnsi="Arial" w:cs="Arial"/>
                <w:szCs w:val="20"/>
              </w:rPr>
            </w:pPr>
          </w:p>
        </w:tc>
        <w:tc>
          <w:tcPr>
            <w:tcW w:w="2625" w:type="dxa"/>
            <w:gridSpan w:val="2"/>
            <w:shd w:val="clear" w:color="auto" w:fill="auto"/>
            <w:vAlign w:val="bottom"/>
          </w:tcPr>
          <w:p w14:paraId="29D00796" w14:textId="77777777" w:rsidR="00681427" w:rsidRPr="0093678E" w:rsidRDefault="00681427" w:rsidP="00EA1905">
            <w:pPr>
              <w:tabs>
                <w:tab w:val="left" w:pos="7214"/>
                <w:tab w:val="decimal" w:pos="8107"/>
                <w:tab w:val="left" w:pos="8467"/>
                <w:tab w:val="decimal" w:pos="9360"/>
              </w:tabs>
              <w:spacing w:after="0" w:line="240" w:lineRule="auto"/>
              <w:jc w:val="center"/>
              <w:rPr>
                <w:rFonts w:ascii="Arial" w:hAnsi="Arial" w:cs="Arial"/>
                <w:szCs w:val="20"/>
              </w:rPr>
            </w:pPr>
          </w:p>
          <w:p w14:paraId="6B710B71" w14:textId="1926AC4B" w:rsidR="00681427" w:rsidRPr="0093678E" w:rsidRDefault="00681427" w:rsidP="00681427">
            <w:pPr>
              <w:tabs>
                <w:tab w:val="left" w:pos="7214"/>
                <w:tab w:val="decimal" w:pos="8107"/>
                <w:tab w:val="left" w:pos="8467"/>
                <w:tab w:val="decimal" w:pos="9360"/>
              </w:tabs>
              <w:spacing w:after="0" w:line="240" w:lineRule="auto"/>
              <w:ind w:left="-20" w:right="-80"/>
              <w:jc w:val="center"/>
              <w:rPr>
                <w:rFonts w:ascii="Arial" w:hAnsi="Arial" w:cs="Arial"/>
                <w:szCs w:val="20"/>
              </w:rPr>
            </w:pPr>
            <w:r w:rsidRPr="0093678E">
              <w:rPr>
                <w:rFonts w:ascii="Arial" w:hAnsi="Arial" w:cs="Arial"/>
                <w:szCs w:val="20"/>
              </w:rPr>
              <w:t>Six Months Ended</w:t>
            </w:r>
          </w:p>
        </w:tc>
      </w:tr>
      <w:tr w:rsidR="00790828" w:rsidRPr="009D54BC" w14:paraId="7472956E" w14:textId="77777777" w:rsidTr="00681427">
        <w:trPr>
          <w:gridAfter w:val="1"/>
          <w:wAfter w:w="75" w:type="dxa"/>
        </w:trPr>
        <w:tc>
          <w:tcPr>
            <w:tcW w:w="6832" w:type="dxa"/>
            <w:tcBorders>
              <w:bottom w:val="single" w:sz="4" w:space="0" w:color="auto"/>
            </w:tcBorders>
            <w:vAlign w:val="bottom"/>
          </w:tcPr>
          <w:p w14:paraId="775D3C5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p>
        </w:tc>
        <w:tc>
          <w:tcPr>
            <w:tcW w:w="1350" w:type="dxa"/>
            <w:tcBorders>
              <w:bottom w:val="single" w:sz="4" w:space="0" w:color="auto"/>
            </w:tcBorders>
            <w:vAlign w:val="bottom"/>
          </w:tcPr>
          <w:p w14:paraId="7EFBDDF0" w14:textId="207232DB" w:rsidR="0046105F" w:rsidRPr="00871308" w:rsidRDefault="00681427"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871308">
              <w:rPr>
                <w:rFonts w:ascii="Arial" w:hAnsi="Arial" w:cs="Arial"/>
                <w:szCs w:val="20"/>
              </w:rPr>
              <w:t>J</w:t>
            </w:r>
            <w:r w:rsidR="0046105F" w:rsidRPr="00871308">
              <w:rPr>
                <w:rFonts w:ascii="Arial" w:hAnsi="Arial" w:cs="Arial"/>
                <w:szCs w:val="20"/>
              </w:rPr>
              <w:t>uly 31,</w:t>
            </w:r>
          </w:p>
          <w:p w14:paraId="1D19A3AF" w14:textId="6DE4D63D" w:rsidR="00790828" w:rsidRPr="00871308" w:rsidRDefault="008627E3"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871308">
              <w:rPr>
                <w:rFonts w:ascii="Arial" w:hAnsi="Arial" w:cs="Arial"/>
                <w:szCs w:val="20"/>
              </w:rPr>
              <w:t>2019</w:t>
            </w:r>
          </w:p>
          <w:p w14:paraId="7BA92565" w14:textId="77777777" w:rsidR="00790828" w:rsidRPr="0050081F" w:rsidRDefault="00790828" w:rsidP="00790828">
            <w:pPr>
              <w:tabs>
                <w:tab w:val="left" w:pos="7214"/>
                <w:tab w:val="decimal" w:pos="8107"/>
                <w:tab w:val="left" w:pos="8467"/>
                <w:tab w:val="decimal" w:pos="9360"/>
              </w:tabs>
              <w:spacing w:after="0" w:line="240" w:lineRule="auto"/>
              <w:jc w:val="center"/>
              <w:rPr>
                <w:rFonts w:ascii="Arial" w:hAnsi="Arial" w:cs="Arial"/>
                <w:szCs w:val="20"/>
                <w:highlight w:val="yellow"/>
              </w:rPr>
            </w:pPr>
            <w:r w:rsidRPr="00871308">
              <w:rPr>
                <w:rFonts w:ascii="Arial" w:hAnsi="Arial" w:cs="Arial"/>
                <w:szCs w:val="20"/>
              </w:rPr>
              <w:t>$</w:t>
            </w:r>
          </w:p>
        </w:tc>
        <w:tc>
          <w:tcPr>
            <w:tcW w:w="1275" w:type="dxa"/>
            <w:tcBorders>
              <w:bottom w:val="single" w:sz="4" w:space="0" w:color="auto"/>
            </w:tcBorders>
            <w:vAlign w:val="bottom"/>
          </w:tcPr>
          <w:p w14:paraId="72B9BB80" w14:textId="79A9A0F5" w:rsidR="00790828" w:rsidRPr="0093678E" w:rsidRDefault="0046105F" w:rsidP="00790828">
            <w:pPr>
              <w:tabs>
                <w:tab w:val="left" w:pos="7214"/>
                <w:tab w:val="decimal" w:pos="8107"/>
                <w:tab w:val="left" w:pos="8467"/>
                <w:tab w:val="decimal" w:pos="9360"/>
              </w:tabs>
              <w:spacing w:after="0" w:line="240" w:lineRule="auto"/>
              <w:ind w:left="-20" w:right="-80"/>
              <w:jc w:val="center"/>
              <w:rPr>
                <w:rFonts w:ascii="Arial" w:hAnsi="Arial" w:cs="Arial"/>
                <w:szCs w:val="20"/>
              </w:rPr>
            </w:pPr>
            <w:r w:rsidRPr="0093678E">
              <w:rPr>
                <w:rFonts w:ascii="Arial" w:hAnsi="Arial" w:cs="Arial"/>
                <w:szCs w:val="20"/>
              </w:rPr>
              <w:t>July</w:t>
            </w:r>
            <w:r w:rsidR="00790828" w:rsidRPr="0093678E">
              <w:rPr>
                <w:rFonts w:ascii="Arial" w:hAnsi="Arial" w:cs="Arial"/>
                <w:szCs w:val="20"/>
              </w:rPr>
              <w:t xml:space="preserve"> 31,</w:t>
            </w:r>
          </w:p>
          <w:p w14:paraId="5A5B1CF4" w14:textId="67D30999" w:rsidR="00790828" w:rsidRPr="0093678E" w:rsidRDefault="008627E3" w:rsidP="00790828">
            <w:pPr>
              <w:tabs>
                <w:tab w:val="left" w:pos="7214"/>
                <w:tab w:val="decimal" w:pos="8107"/>
                <w:tab w:val="left" w:pos="8467"/>
                <w:tab w:val="decimal" w:pos="9360"/>
              </w:tabs>
              <w:spacing w:after="0" w:line="240" w:lineRule="auto"/>
              <w:jc w:val="center"/>
              <w:rPr>
                <w:rFonts w:ascii="Arial" w:hAnsi="Arial" w:cs="Arial"/>
                <w:szCs w:val="20"/>
              </w:rPr>
            </w:pPr>
            <w:r w:rsidRPr="0093678E">
              <w:rPr>
                <w:rFonts w:ascii="Arial" w:hAnsi="Arial" w:cs="Arial"/>
                <w:szCs w:val="20"/>
              </w:rPr>
              <w:t>2018</w:t>
            </w:r>
            <w:r w:rsidR="00790828" w:rsidRPr="0093678E">
              <w:rPr>
                <w:rFonts w:ascii="Arial" w:hAnsi="Arial" w:cs="Arial"/>
                <w:szCs w:val="20"/>
              </w:rPr>
              <w:br/>
              <w:t>$</w:t>
            </w:r>
          </w:p>
        </w:tc>
      </w:tr>
      <w:tr w:rsidR="00790828" w:rsidRPr="009D54BC" w14:paraId="0483BED4" w14:textId="77777777" w:rsidTr="00C36440">
        <w:trPr>
          <w:gridAfter w:val="1"/>
          <w:wAfter w:w="75" w:type="dxa"/>
          <w:trHeight w:hRule="exact" w:val="487"/>
        </w:trPr>
        <w:tc>
          <w:tcPr>
            <w:tcW w:w="6832" w:type="dxa"/>
            <w:tcBorders>
              <w:top w:val="single" w:sz="4" w:space="0" w:color="auto"/>
            </w:tcBorders>
            <w:vAlign w:val="bottom"/>
          </w:tcPr>
          <w:p w14:paraId="6ADB802A" w14:textId="1F7E431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tcPr>
          <w:p w14:paraId="01D0B7FC" w14:textId="77777777" w:rsidR="00790828" w:rsidRPr="009D54BC" w:rsidRDefault="00790828" w:rsidP="00C36440">
            <w:pPr>
              <w:tabs>
                <w:tab w:val="left" w:pos="7272"/>
                <w:tab w:val="decimal" w:pos="8136"/>
                <w:tab w:val="left" w:pos="8496"/>
                <w:tab w:val="decimal" w:pos="9360"/>
              </w:tabs>
              <w:spacing w:before="120" w:after="0" w:line="240" w:lineRule="auto"/>
              <w:ind w:right="29"/>
              <w:jc w:val="center"/>
              <w:rPr>
                <w:rFonts w:ascii="Arial" w:hAnsi="Arial" w:cs="Arial"/>
                <w:szCs w:val="20"/>
              </w:rPr>
            </w:pPr>
          </w:p>
        </w:tc>
        <w:tc>
          <w:tcPr>
            <w:tcW w:w="1275" w:type="dxa"/>
            <w:tcBorders>
              <w:top w:val="single" w:sz="4" w:space="0" w:color="auto"/>
            </w:tcBorders>
          </w:tcPr>
          <w:p w14:paraId="3F2EE13D" w14:textId="2BCA9468" w:rsidR="00790828" w:rsidRPr="009D54BC" w:rsidRDefault="008627E3" w:rsidP="00F627DB">
            <w:pPr>
              <w:tabs>
                <w:tab w:val="left" w:pos="7272"/>
                <w:tab w:val="decimal" w:pos="8136"/>
                <w:tab w:val="left" w:pos="8496"/>
                <w:tab w:val="decimal" w:pos="9360"/>
              </w:tabs>
              <w:spacing w:after="0" w:line="240" w:lineRule="auto"/>
              <w:ind w:right="29"/>
              <w:jc w:val="center"/>
              <w:rPr>
                <w:rFonts w:ascii="Arial" w:hAnsi="Arial" w:cs="Arial"/>
                <w:szCs w:val="20"/>
              </w:rPr>
            </w:pPr>
            <w:r>
              <w:rPr>
                <w:rFonts w:ascii="Arial" w:hAnsi="Arial" w:cs="Arial"/>
                <w:szCs w:val="20"/>
              </w:rPr>
              <w:t>(Note</w:t>
            </w:r>
            <w:r w:rsidR="00824168">
              <w:rPr>
                <w:rFonts w:ascii="Arial" w:hAnsi="Arial" w:cs="Arial"/>
                <w:szCs w:val="20"/>
              </w:rPr>
              <w:t xml:space="preserve"> 22</w:t>
            </w:r>
            <w:r>
              <w:rPr>
                <w:rFonts w:ascii="Arial" w:hAnsi="Arial" w:cs="Arial"/>
                <w:szCs w:val="20"/>
              </w:rPr>
              <w:t>)</w:t>
            </w:r>
          </w:p>
        </w:tc>
      </w:tr>
      <w:tr w:rsidR="00790828" w:rsidRPr="009D54BC" w14:paraId="76AC0FC3" w14:textId="77777777" w:rsidTr="00C36440">
        <w:trPr>
          <w:gridAfter w:val="1"/>
          <w:wAfter w:w="75" w:type="dxa"/>
        </w:trPr>
        <w:tc>
          <w:tcPr>
            <w:tcW w:w="6832" w:type="dxa"/>
            <w:vAlign w:val="bottom"/>
          </w:tcPr>
          <w:p w14:paraId="4D3C711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Operating activities</w:t>
            </w:r>
          </w:p>
        </w:tc>
        <w:tc>
          <w:tcPr>
            <w:tcW w:w="1350" w:type="dxa"/>
          </w:tcPr>
          <w:p w14:paraId="22CAF099"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c>
          <w:tcPr>
            <w:tcW w:w="1275" w:type="dxa"/>
          </w:tcPr>
          <w:p w14:paraId="5E7CD960"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r>
      <w:tr w:rsidR="00790828" w:rsidRPr="009D54BC" w14:paraId="4BF98682" w14:textId="77777777" w:rsidTr="00C36440">
        <w:trPr>
          <w:gridAfter w:val="1"/>
          <w:wAfter w:w="75" w:type="dxa"/>
          <w:trHeight w:hRule="exact" w:val="58"/>
        </w:trPr>
        <w:tc>
          <w:tcPr>
            <w:tcW w:w="6832" w:type="dxa"/>
            <w:vAlign w:val="bottom"/>
          </w:tcPr>
          <w:p w14:paraId="41E5AE84" w14:textId="77777777" w:rsidR="00790828" w:rsidRPr="009D54BC" w:rsidRDefault="00790828" w:rsidP="00790828">
            <w:pPr>
              <w:tabs>
                <w:tab w:val="left" w:pos="7272"/>
                <w:tab w:val="decimal" w:pos="8136"/>
                <w:tab w:val="left" w:pos="8496"/>
                <w:tab w:val="decimal" w:pos="9360"/>
              </w:tabs>
              <w:spacing w:after="0" w:line="240" w:lineRule="auto"/>
              <w:rPr>
                <w:rFonts w:ascii="Arial" w:hAnsi="Arial" w:cs="Arial"/>
                <w:szCs w:val="20"/>
              </w:rPr>
            </w:pPr>
          </w:p>
        </w:tc>
        <w:tc>
          <w:tcPr>
            <w:tcW w:w="1350" w:type="dxa"/>
          </w:tcPr>
          <w:p w14:paraId="2364CF67"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c>
          <w:tcPr>
            <w:tcW w:w="1275" w:type="dxa"/>
          </w:tcPr>
          <w:p w14:paraId="6D7566E6" w14:textId="77777777" w:rsidR="00790828" w:rsidRPr="009D54BC" w:rsidRDefault="00790828" w:rsidP="00790828">
            <w:pPr>
              <w:tabs>
                <w:tab w:val="left" w:pos="7272"/>
                <w:tab w:val="decimal" w:pos="8136"/>
                <w:tab w:val="left" w:pos="8496"/>
                <w:tab w:val="decimal" w:pos="9360"/>
              </w:tabs>
              <w:spacing w:after="0" w:line="240" w:lineRule="auto"/>
              <w:ind w:right="29"/>
              <w:jc w:val="right"/>
              <w:rPr>
                <w:rFonts w:ascii="Arial" w:hAnsi="Arial" w:cs="Arial"/>
                <w:szCs w:val="20"/>
              </w:rPr>
            </w:pPr>
          </w:p>
        </w:tc>
      </w:tr>
      <w:tr w:rsidR="00894AEA" w:rsidRPr="009D54BC" w14:paraId="1AB049FA" w14:textId="77777777" w:rsidTr="00C36440">
        <w:tc>
          <w:tcPr>
            <w:tcW w:w="6832" w:type="dxa"/>
            <w:vAlign w:val="bottom"/>
          </w:tcPr>
          <w:p w14:paraId="3EA9F3EE"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 xml:space="preserve">Net </w:t>
            </w:r>
            <w:r>
              <w:rPr>
                <w:rFonts w:ascii="Arial" w:hAnsi="Arial" w:cs="Arial"/>
                <w:szCs w:val="20"/>
              </w:rPr>
              <w:t>loss</w:t>
            </w:r>
          </w:p>
        </w:tc>
        <w:tc>
          <w:tcPr>
            <w:tcW w:w="1350" w:type="dxa"/>
            <w:vAlign w:val="bottom"/>
          </w:tcPr>
          <w:p w14:paraId="18FFCEF9" w14:textId="079C7B6A" w:rsidR="00894AEA" w:rsidRPr="009D54BC" w:rsidRDefault="001135F5" w:rsidP="008A54C4">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w:t>
            </w:r>
            <w:r w:rsidR="00871308" w:rsidRPr="00871308">
              <w:rPr>
                <w:rFonts w:ascii="Arial" w:hAnsi="Arial" w:cs="Arial"/>
                <w:szCs w:val="20"/>
              </w:rPr>
              <w:t>325,320</w:t>
            </w:r>
            <w:r>
              <w:rPr>
                <w:rFonts w:ascii="Arial" w:hAnsi="Arial" w:cs="Arial"/>
                <w:szCs w:val="20"/>
              </w:rPr>
              <w:t>)</w:t>
            </w:r>
          </w:p>
        </w:tc>
        <w:tc>
          <w:tcPr>
            <w:tcW w:w="1350" w:type="dxa"/>
            <w:gridSpan w:val="2"/>
            <w:vAlign w:val="bottom"/>
          </w:tcPr>
          <w:p w14:paraId="28B3F44F" w14:textId="1CE88CAC" w:rsidR="00894AEA" w:rsidRPr="009D54BC" w:rsidRDefault="00894AEA" w:rsidP="00D31233">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r w:rsidR="00681427">
              <w:rPr>
                <w:rFonts w:ascii="Arial" w:hAnsi="Arial" w:cs="Arial"/>
              </w:rPr>
              <w:t>3,</w:t>
            </w:r>
            <w:r w:rsidR="00D31233">
              <w:rPr>
                <w:rFonts w:ascii="Arial" w:hAnsi="Arial" w:cs="Arial"/>
              </w:rPr>
              <w:t>935,005</w:t>
            </w:r>
            <w:r w:rsidRPr="009D54BC">
              <w:rPr>
                <w:rFonts w:ascii="Arial" w:hAnsi="Arial" w:cs="Arial"/>
                <w:szCs w:val="20"/>
              </w:rPr>
              <w:t>)</w:t>
            </w:r>
          </w:p>
        </w:tc>
      </w:tr>
      <w:tr w:rsidR="00894AEA" w:rsidRPr="009D54BC" w14:paraId="7BF63A55" w14:textId="77777777" w:rsidTr="00C36440">
        <w:tc>
          <w:tcPr>
            <w:tcW w:w="6832" w:type="dxa"/>
            <w:vAlign w:val="bottom"/>
          </w:tcPr>
          <w:p w14:paraId="7812B60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Adjustments to reconcile net loss to net cash used in operating activities:</w:t>
            </w:r>
          </w:p>
        </w:tc>
        <w:tc>
          <w:tcPr>
            <w:tcW w:w="1350" w:type="dxa"/>
            <w:vAlign w:val="bottom"/>
          </w:tcPr>
          <w:p w14:paraId="00DE7CA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726085B4"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C67F7E" w:rsidRPr="009D54BC" w14:paraId="0C128409" w14:textId="77777777" w:rsidTr="00C67F7E">
        <w:tc>
          <w:tcPr>
            <w:tcW w:w="6832" w:type="dxa"/>
            <w:vAlign w:val="bottom"/>
          </w:tcPr>
          <w:p w14:paraId="5351AD27" w14:textId="1A0C1841" w:rsidR="00C67F7E" w:rsidRPr="009D54BC" w:rsidRDefault="00681427" w:rsidP="008A54C4">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I</w:t>
            </w:r>
            <w:r w:rsidR="008A54C4">
              <w:rPr>
                <w:rFonts w:ascii="Arial" w:hAnsi="Arial" w:cs="Arial"/>
                <w:szCs w:val="20"/>
              </w:rPr>
              <w:t>nterest accretio</w:t>
            </w:r>
            <w:r>
              <w:rPr>
                <w:rFonts w:ascii="Arial" w:hAnsi="Arial" w:cs="Arial"/>
                <w:szCs w:val="20"/>
              </w:rPr>
              <w:t>n</w:t>
            </w:r>
            <w:r w:rsidR="00C67F7E">
              <w:rPr>
                <w:rFonts w:ascii="Arial" w:hAnsi="Arial" w:cs="Arial"/>
                <w:szCs w:val="20"/>
              </w:rPr>
              <w:t xml:space="preserve"> </w:t>
            </w:r>
          </w:p>
        </w:tc>
        <w:tc>
          <w:tcPr>
            <w:tcW w:w="1350" w:type="dxa"/>
            <w:vAlign w:val="bottom"/>
          </w:tcPr>
          <w:p w14:paraId="7F6C8AB4" w14:textId="1AF2FE11" w:rsidR="00C67F7E" w:rsidRPr="009D54BC" w:rsidRDefault="00871308" w:rsidP="00C67F7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294,000</w:t>
            </w:r>
          </w:p>
        </w:tc>
        <w:tc>
          <w:tcPr>
            <w:tcW w:w="1350" w:type="dxa"/>
            <w:gridSpan w:val="2"/>
            <w:vAlign w:val="bottom"/>
          </w:tcPr>
          <w:p w14:paraId="02121DEB" w14:textId="3F2E4342" w:rsidR="00C67F7E" w:rsidRPr="009D54BC" w:rsidRDefault="0037662D" w:rsidP="00C67F7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340,509</w:t>
            </w:r>
          </w:p>
        </w:tc>
      </w:tr>
      <w:tr w:rsidR="00894AEA" w:rsidRPr="009D54BC" w14:paraId="174276D7" w14:textId="77777777" w:rsidTr="00C36440">
        <w:tc>
          <w:tcPr>
            <w:tcW w:w="6832" w:type="dxa"/>
            <w:vAlign w:val="bottom"/>
          </w:tcPr>
          <w:p w14:paraId="3028C27F" w14:textId="7717568E" w:rsidR="00894AEA" w:rsidRPr="009D54BC"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Depreciation and amortization</w:t>
            </w:r>
          </w:p>
        </w:tc>
        <w:tc>
          <w:tcPr>
            <w:tcW w:w="1350" w:type="dxa"/>
            <w:vAlign w:val="bottom"/>
          </w:tcPr>
          <w:p w14:paraId="26BA401B" w14:textId="3499A347" w:rsidR="00894AEA"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489,383</w:t>
            </w:r>
          </w:p>
        </w:tc>
        <w:tc>
          <w:tcPr>
            <w:tcW w:w="1350" w:type="dxa"/>
            <w:gridSpan w:val="2"/>
            <w:vAlign w:val="bottom"/>
          </w:tcPr>
          <w:p w14:paraId="523A079A" w14:textId="4FFDEC5D" w:rsidR="00894AEA" w:rsidRPr="009D54BC" w:rsidRDefault="0037662D"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408,922</w:t>
            </w:r>
          </w:p>
        </w:tc>
      </w:tr>
      <w:tr w:rsidR="00894AEA" w:rsidRPr="009D54BC" w14:paraId="057ECA13" w14:textId="77777777" w:rsidTr="00C36440">
        <w:trPr>
          <w:trHeight w:val="243"/>
        </w:trPr>
        <w:tc>
          <w:tcPr>
            <w:tcW w:w="6832" w:type="dxa"/>
            <w:vAlign w:val="bottom"/>
          </w:tcPr>
          <w:p w14:paraId="6BD5CC0D" w14:textId="477A578E" w:rsidR="00894AEA" w:rsidRDefault="00894AEA" w:rsidP="008A54C4">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Common </w:t>
            </w:r>
            <w:r w:rsidR="008A54C4">
              <w:rPr>
                <w:rFonts w:ascii="Arial" w:hAnsi="Arial" w:cs="Arial"/>
                <w:szCs w:val="20"/>
              </w:rPr>
              <w:t>shares</w:t>
            </w:r>
            <w:r>
              <w:rPr>
                <w:rFonts w:ascii="Arial" w:hAnsi="Arial" w:cs="Arial"/>
                <w:szCs w:val="20"/>
              </w:rPr>
              <w:t xml:space="preserve"> issued for services</w:t>
            </w:r>
          </w:p>
        </w:tc>
        <w:tc>
          <w:tcPr>
            <w:tcW w:w="1350" w:type="dxa"/>
            <w:vAlign w:val="bottom"/>
          </w:tcPr>
          <w:p w14:paraId="04020689" w14:textId="05199B3C" w:rsidR="00894AEA" w:rsidRPr="009D54BC" w:rsidRDefault="001135F5" w:rsidP="00D57F4E">
            <w:pPr>
              <w:spacing w:after="0" w:line="240" w:lineRule="auto"/>
              <w:ind w:right="180"/>
              <w:jc w:val="right"/>
              <w:rPr>
                <w:rFonts w:ascii="Arial" w:hAnsi="Arial" w:cs="Arial"/>
                <w:szCs w:val="20"/>
              </w:rPr>
            </w:pPr>
            <w:r>
              <w:rPr>
                <w:rFonts w:ascii="Arial" w:hAnsi="Arial" w:cs="Arial"/>
                <w:szCs w:val="20"/>
              </w:rPr>
              <w:t>1,884,129</w:t>
            </w:r>
          </w:p>
        </w:tc>
        <w:tc>
          <w:tcPr>
            <w:tcW w:w="1350" w:type="dxa"/>
            <w:gridSpan w:val="2"/>
            <w:vAlign w:val="bottom"/>
          </w:tcPr>
          <w:p w14:paraId="5CC17A54" w14:textId="7DE27AB8" w:rsidR="00894AEA" w:rsidRDefault="00681427" w:rsidP="00F07391">
            <w:pPr>
              <w:spacing w:after="0" w:line="240" w:lineRule="auto"/>
              <w:ind w:right="180"/>
              <w:jc w:val="right"/>
              <w:rPr>
                <w:rFonts w:ascii="Arial" w:hAnsi="Arial" w:cs="Arial"/>
              </w:rPr>
            </w:pPr>
            <w:r>
              <w:rPr>
                <w:rFonts w:ascii="Arial" w:hAnsi="Arial" w:cs="Arial"/>
              </w:rPr>
              <w:t>437,99</w:t>
            </w:r>
            <w:r w:rsidR="00F07391">
              <w:rPr>
                <w:rFonts w:ascii="Arial" w:hAnsi="Arial" w:cs="Arial"/>
              </w:rPr>
              <w:t>7</w:t>
            </w:r>
          </w:p>
        </w:tc>
      </w:tr>
      <w:tr w:rsidR="00894AEA" w:rsidRPr="009D54BC" w14:paraId="797298F4" w14:textId="77777777" w:rsidTr="00C36440">
        <w:tc>
          <w:tcPr>
            <w:tcW w:w="6832" w:type="dxa"/>
            <w:vAlign w:val="bottom"/>
          </w:tcPr>
          <w:p w14:paraId="6F018813" w14:textId="68EEE883" w:rsidR="00894AEA" w:rsidRPr="009D54BC"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Share-based payments</w:t>
            </w:r>
          </w:p>
        </w:tc>
        <w:tc>
          <w:tcPr>
            <w:tcW w:w="1350" w:type="dxa"/>
            <w:vAlign w:val="bottom"/>
          </w:tcPr>
          <w:p w14:paraId="28CE32CC" w14:textId="4265085D" w:rsidR="00894AEA"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567,367</w:t>
            </w:r>
          </w:p>
        </w:tc>
        <w:tc>
          <w:tcPr>
            <w:tcW w:w="1350" w:type="dxa"/>
            <w:gridSpan w:val="2"/>
            <w:vAlign w:val="bottom"/>
          </w:tcPr>
          <w:p w14:paraId="097F732F" w14:textId="30652E41" w:rsidR="00894AEA" w:rsidRDefault="00681427"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63,238</w:t>
            </w:r>
          </w:p>
        </w:tc>
      </w:tr>
      <w:tr w:rsidR="008A54C4" w:rsidRPr="009D54BC" w14:paraId="3320075B" w14:textId="77777777" w:rsidTr="00C36440">
        <w:tc>
          <w:tcPr>
            <w:tcW w:w="6832" w:type="dxa"/>
            <w:vAlign w:val="bottom"/>
          </w:tcPr>
          <w:p w14:paraId="0AE3CD11" w14:textId="4402D547" w:rsidR="008A54C4"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Lease expense</w:t>
            </w:r>
          </w:p>
        </w:tc>
        <w:tc>
          <w:tcPr>
            <w:tcW w:w="1350" w:type="dxa"/>
            <w:vAlign w:val="bottom"/>
          </w:tcPr>
          <w:p w14:paraId="603EB9C6" w14:textId="4862A786" w:rsidR="008A54C4" w:rsidRDefault="00871308"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209,557</w:t>
            </w:r>
          </w:p>
        </w:tc>
        <w:tc>
          <w:tcPr>
            <w:tcW w:w="1350" w:type="dxa"/>
            <w:gridSpan w:val="2"/>
            <w:vAlign w:val="bottom"/>
          </w:tcPr>
          <w:p w14:paraId="6169CE66" w14:textId="718B9D5A" w:rsidR="008A54C4" w:rsidRDefault="0037662D"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34,479</w:t>
            </w:r>
          </w:p>
        </w:tc>
      </w:tr>
      <w:tr w:rsidR="00882382" w:rsidRPr="009D54BC" w14:paraId="69530F38" w14:textId="77777777" w:rsidTr="00116DA9">
        <w:tc>
          <w:tcPr>
            <w:tcW w:w="6832" w:type="dxa"/>
            <w:vAlign w:val="bottom"/>
          </w:tcPr>
          <w:p w14:paraId="75869BA7" w14:textId="367A2284" w:rsidR="00882382" w:rsidRPr="009D54BC" w:rsidRDefault="00681427" w:rsidP="00681427">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Gain on repayment of promissory note</w:t>
            </w:r>
          </w:p>
        </w:tc>
        <w:tc>
          <w:tcPr>
            <w:tcW w:w="1350" w:type="dxa"/>
            <w:vAlign w:val="bottom"/>
          </w:tcPr>
          <w:p w14:paraId="480E4490" w14:textId="7F808DB2" w:rsidR="00882382" w:rsidRPr="009D54BC" w:rsidRDefault="001135F5" w:rsidP="00116DA9">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66691B8E" w14:textId="6CB777EC" w:rsidR="00882382" w:rsidRPr="009D54BC" w:rsidRDefault="00681427" w:rsidP="00116DA9">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(8,890)</w:t>
            </w:r>
          </w:p>
        </w:tc>
      </w:tr>
      <w:tr w:rsidR="00882382" w:rsidRPr="009D54BC" w14:paraId="0E7D4E22" w14:textId="77777777" w:rsidTr="00116DA9">
        <w:tc>
          <w:tcPr>
            <w:tcW w:w="6832" w:type="dxa"/>
            <w:vAlign w:val="bottom"/>
          </w:tcPr>
          <w:p w14:paraId="33D4794B" w14:textId="504EE7CF" w:rsidR="00882382" w:rsidRPr="009D54BC" w:rsidRDefault="008A54C4" w:rsidP="00116DA9">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Write-off of equipment</w:t>
            </w:r>
          </w:p>
        </w:tc>
        <w:tc>
          <w:tcPr>
            <w:tcW w:w="1350" w:type="dxa"/>
            <w:vAlign w:val="bottom"/>
          </w:tcPr>
          <w:p w14:paraId="793DF0BC" w14:textId="20441E07" w:rsidR="00882382" w:rsidRPr="009D54BC" w:rsidRDefault="001135F5" w:rsidP="00116DA9">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3,901</w:t>
            </w:r>
          </w:p>
        </w:tc>
        <w:tc>
          <w:tcPr>
            <w:tcW w:w="1350" w:type="dxa"/>
            <w:gridSpan w:val="2"/>
            <w:vAlign w:val="bottom"/>
          </w:tcPr>
          <w:p w14:paraId="584948DE" w14:textId="77777777" w:rsidR="00882382" w:rsidRPr="009D54BC" w:rsidRDefault="00882382" w:rsidP="00116DA9">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94AEA" w:rsidRPr="009D54BC" w14:paraId="2DAF6046" w14:textId="77777777" w:rsidTr="00C36440">
        <w:tc>
          <w:tcPr>
            <w:tcW w:w="6832" w:type="dxa"/>
            <w:vAlign w:val="bottom"/>
          </w:tcPr>
          <w:p w14:paraId="3C62C266" w14:textId="485CB61E" w:rsidR="00894AEA" w:rsidRPr="009D54BC" w:rsidRDefault="008A54C4" w:rsidP="00720186">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Exchange </w:t>
            </w:r>
            <w:r w:rsidR="00720186">
              <w:rPr>
                <w:rFonts w:ascii="Arial" w:hAnsi="Arial" w:cs="Arial"/>
                <w:szCs w:val="20"/>
              </w:rPr>
              <w:t>loss/(gain)</w:t>
            </w:r>
          </w:p>
        </w:tc>
        <w:tc>
          <w:tcPr>
            <w:tcW w:w="1350" w:type="dxa"/>
            <w:vAlign w:val="bottom"/>
          </w:tcPr>
          <w:p w14:paraId="33C8A357" w14:textId="01C8D7C9" w:rsidR="00894AEA" w:rsidRPr="009D54BC" w:rsidRDefault="001135F5" w:rsidP="00882382">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7,455</w:t>
            </w:r>
          </w:p>
        </w:tc>
        <w:tc>
          <w:tcPr>
            <w:tcW w:w="1350" w:type="dxa"/>
            <w:gridSpan w:val="2"/>
            <w:vAlign w:val="bottom"/>
          </w:tcPr>
          <w:p w14:paraId="332F03BE" w14:textId="6097E1E2" w:rsidR="00894AEA" w:rsidRPr="009D54BC" w:rsidRDefault="0037662D"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(32,184)</w:t>
            </w:r>
          </w:p>
        </w:tc>
      </w:tr>
      <w:tr w:rsidR="00894AEA" w:rsidRPr="009D54BC" w14:paraId="11D5F7E5" w14:textId="77777777" w:rsidTr="00C36440">
        <w:tc>
          <w:tcPr>
            <w:tcW w:w="6832" w:type="dxa"/>
            <w:vAlign w:val="bottom"/>
          </w:tcPr>
          <w:p w14:paraId="3C0D2583"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Changes in operating assets and liabilities:</w:t>
            </w:r>
          </w:p>
        </w:tc>
        <w:tc>
          <w:tcPr>
            <w:tcW w:w="1350" w:type="dxa"/>
            <w:vAlign w:val="bottom"/>
          </w:tcPr>
          <w:p w14:paraId="5F64E263"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3C4DDAF7"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82382" w:rsidRPr="009D54BC" w14:paraId="35445DF6" w14:textId="77777777" w:rsidTr="00116DA9">
        <w:tc>
          <w:tcPr>
            <w:tcW w:w="6832" w:type="dxa"/>
            <w:vAlign w:val="bottom"/>
          </w:tcPr>
          <w:p w14:paraId="574B8FB8" w14:textId="77777777" w:rsidR="00882382" w:rsidRPr="009D54BC" w:rsidRDefault="00882382" w:rsidP="00116DA9">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Prepaids and other current assets</w:t>
            </w:r>
          </w:p>
        </w:tc>
        <w:tc>
          <w:tcPr>
            <w:tcW w:w="1350" w:type="dxa"/>
            <w:vAlign w:val="bottom"/>
          </w:tcPr>
          <w:p w14:paraId="08D55BCA" w14:textId="117D9E1C" w:rsidR="00882382" w:rsidRPr="009D54BC" w:rsidRDefault="001135F5" w:rsidP="00720186">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720186">
              <w:rPr>
                <w:rFonts w:ascii="Arial" w:hAnsi="Arial" w:cs="Arial"/>
                <w:szCs w:val="20"/>
              </w:rPr>
              <w:t>196,423</w:t>
            </w:r>
            <w:r>
              <w:rPr>
                <w:rFonts w:ascii="Arial" w:hAnsi="Arial" w:cs="Arial"/>
                <w:szCs w:val="20"/>
              </w:rPr>
              <w:t>)</w:t>
            </w:r>
          </w:p>
        </w:tc>
        <w:tc>
          <w:tcPr>
            <w:tcW w:w="1350" w:type="dxa"/>
            <w:gridSpan w:val="2"/>
            <w:vAlign w:val="bottom"/>
          </w:tcPr>
          <w:p w14:paraId="7C2F14F8" w14:textId="0C34B522" w:rsidR="00882382" w:rsidRPr="009D54BC" w:rsidRDefault="00681427" w:rsidP="00F07391">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(158,80</w:t>
            </w:r>
            <w:r w:rsidR="00F07391">
              <w:rPr>
                <w:rFonts w:ascii="Arial" w:hAnsi="Arial" w:cs="Arial"/>
                <w:szCs w:val="20"/>
              </w:rPr>
              <w:t>7</w:t>
            </w:r>
            <w:r>
              <w:rPr>
                <w:rFonts w:ascii="Arial" w:hAnsi="Arial" w:cs="Arial"/>
                <w:szCs w:val="20"/>
              </w:rPr>
              <w:t>)</w:t>
            </w:r>
          </w:p>
        </w:tc>
      </w:tr>
      <w:tr w:rsidR="001135F5" w:rsidRPr="009D54BC" w14:paraId="637AFE9A" w14:textId="77777777" w:rsidTr="00562405">
        <w:tc>
          <w:tcPr>
            <w:tcW w:w="6832" w:type="dxa"/>
            <w:vAlign w:val="bottom"/>
          </w:tcPr>
          <w:p w14:paraId="021D31CA" w14:textId="1DE9B1E5" w:rsidR="001135F5" w:rsidRPr="009D54BC" w:rsidRDefault="001135F5" w:rsidP="005624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Inventory</w:t>
            </w:r>
          </w:p>
        </w:tc>
        <w:tc>
          <w:tcPr>
            <w:tcW w:w="1350" w:type="dxa"/>
            <w:vAlign w:val="bottom"/>
          </w:tcPr>
          <w:p w14:paraId="350BB779" w14:textId="50ECD048" w:rsidR="001135F5" w:rsidRPr="009D54BC" w:rsidRDefault="001135F5" w:rsidP="005624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(1,441,600)</w:t>
            </w:r>
          </w:p>
        </w:tc>
        <w:tc>
          <w:tcPr>
            <w:tcW w:w="1350" w:type="dxa"/>
            <w:gridSpan w:val="2"/>
            <w:vAlign w:val="bottom"/>
          </w:tcPr>
          <w:p w14:paraId="1D8A736E" w14:textId="77777777" w:rsidR="001135F5" w:rsidRPr="009D54BC" w:rsidRDefault="001135F5" w:rsidP="00562405">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681427" w:rsidRPr="009D54BC" w14:paraId="1AA1FD6D" w14:textId="77777777" w:rsidTr="00116DA9">
        <w:tc>
          <w:tcPr>
            <w:tcW w:w="6832" w:type="dxa"/>
            <w:vAlign w:val="bottom"/>
          </w:tcPr>
          <w:p w14:paraId="1B3611E3" w14:textId="0BC1A859" w:rsidR="00681427" w:rsidRDefault="00681427" w:rsidP="00116DA9">
            <w:pPr>
              <w:tabs>
                <w:tab w:val="left" w:pos="7272"/>
                <w:tab w:val="decimal" w:pos="8136"/>
                <w:tab w:val="left" w:pos="8496"/>
                <w:tab w:val="decimal" w:pos="9360"/>
              </w:tabs>
              <w:spacing w:after="0" w:line="240" w:lineRule="auto"/>
              <w:ind w:left="144"/>
              <w:rPr>
                <w:rFonts w:ascii="Arial" w:hAnsi="Arial" w:cs="Arial"/>
              </w:rPr>
            </w:pPr>
            <w:r>
              <w:rPr>
                <w:rFonts w:ascii="Arial" w:hAnsi="Arial" w:cs="Arial"/>
              </w:rPr>
              <w:t>Deposit</w:t>
            </w:r>
          </w:p>
        </w:tc>
        <w:tc>
          <w:tcPr>
            <w:tcW w:w="1350" w:type="dxa"/>
            <w:vAlign w:val="bottom"/>
          </w:tcPr>
          <w:p w14:paraId="0458E4B8" w14:textId="04C26C14" w:rsidR="00681427" w:rsidRDefault="001135F5" w:rsidP="00116DA9">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614B239C" w14:textId="10992B9B" w:rsidR="00681427" w:rsidRDefault="00681427" w:rsidP="00116DA9">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(250,000)</w:t>
            </w:r>
          </w:p>
        </w:tc>
      </w:tr>
      <w:tr w:rsidR="001135F5" w:rsidRPr="009D54BC" w14:paraId="76E6DB07" w14:textId="77777777" w:rsidTr="00562405">
        <w:tc>
          <w:tcPr>
            <w:tcW w:w="6832" w:type="dxa"/>
            <w:vAlign w:val="bottom"/>
          </w:tcPr>
          <w:p w14:paraId="0DF31C7C" w14:textId="77777777" w:rsidR="001135F5" w:rsidRPr="009D54BC" w:rsidRDefault="001135F5" w:rsidP="00562405">
            <w:pPr>
              <w:tabs>
                <w:tab w:val="left" w:pos="7272"/>
                <w:tab w:val="decimal" w:pos="8136"/>
                <w:tab w:val="left" w:pos="8496"/>
                <w:tab w:val="decimal" w:pos="9360"/>
              </w:tabs>
              <w:spacing w:after="0" w:line="240" w:lineRule="auto"/>
              <w:ind w:left="144"/>
              <w:rPr>
                <w:rFonts w:ascii="Arial" w:hAnsi="Arial" w:cs="Arial"/>
                <w:szCs w:val="20"/>
              </w:rPr>
            </w:pPr>
            <w:r w:rsidRPr="009D54BC">
              <w:rPr>
                <w:rFonts w:ascii="Arial" w:hAnsi="Arial" w:cs="Arial"/>
                <w:szCs w:val="20"/>
              </w:rPr>
              <w:t>Accounts payable and accrued liabilities</w:t>
            </w:r>
          </w:p>
        </w:tc>
        <w:tc>
          <w:tcPr>
            <w:tcW w:w="1350" w:type="dxa"/>
            <w:vAlign w:val="bottom"/>
          </w:tcPr>
          <w:p w14:paraId="429868E9" w14:textId="712DAC07" w:rsidR="001135F5" w:rsidRPr="009D54BC" w:rsidRDefault="001135F5"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871308">
              <w:rPr>
                <w:rFonts w:ascii="Arial" w:hAnsi="Arial" w:cs="Arial"/>
                <w:szCs w:val="20"/>
              </w:rPr>
              <w:t>153,000</w:t>
            </w:r>
            <w:r>
              <w:rPr>
                <w:rFonts w:ascii="Arial" w:hAnsi="Arial" w:cs="Arial"/>
                <w:szCs w:val="20"/>
              </w:rPr>
              <w:t>)</w:t>
            </w:r>
          </w:p>
        </w:tc>
        <w:tc>
          <w:tcPr>
            <w:tcW w:w="1350" w:type="dxa"/>
            <w:gridSpan w:val="2"/>
            <w:vAlign w:val="bottom"/>
          </w:tcPr>
          <w:p w14:paraId="6BFD7E65" w14:textId="31AF6264" w:rsidR="001135F5" w:rsidRPr="009D54BC" w:rsidRDefault="001135F5"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37662D">
              <w:rPr>
                <w:rFonts w:ascii="Arial" w:hAnsi="Arial" w:cs="Arial"/>
                <w:szCs w:val="20"/>
              </w:rPr>
              <w:t>216,343</w:t>
            </w:r>
            <w:r>
              <w:rPr>
                <w:rFonts w:ascii="Arial" w:hAnsi="Arial" w:cs="Arial"/>
                <w:szCs w:val="20"/>
              </w:rPr>
              <w:t>)</w:t>
            </w:r>
          </w:p>
        </w:tc>
      </w:tr>
      <w:tr w:rsidR="00894AEA" w:rsidRPr="009D54BC" w14:paraId="0D10EA4B" w14:textId="77777777" w:rsidTr="00C36440">
        <w:tc>
          <w:tcPr>
            <w:tcW w:w="6832" w:type="dxa"/>
            <w:vAlign w:val="bottom"/>
          </w:tcPr>
          <w:p w14:paraId="5893CE94" w14:textId="6E9CE0C5" w:rsidR="00894AEA" w:rsidRPr="009D54BC" w:rsidRDefault="00882382"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rPr>
              <w:t>Due to related parties</w:t>
            </w:r>
          </w:p>
        </w:tc>
        <w:tc>
          <w:tcPr>
            <w:tcW w:w="1350" w:type="dxa"/>
            <w:vAlign w:val="bottom"/>
          </w:tcPr>
          <w:p w14:paraId="3968DB0F" w14:textId="6CC745DC" w:rsidR="00894AEA" w:rsidRPr="009D54BC" w:rsidRDefault="001135F5"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(273,80</w:t>
            </w:r>
            <w:r w:rsidR="00871308">
              <w:rPr>
                <w:rFonts w:ascii="Arial" w:hAnsi="Arial" w:cs="Arial"/>
                <w:szCs w:val="20"/>
              </w:rPr>
              <w:t>9</w:t>
            </w:r>
            <w:r>
              <w:rPr>
                <w:rFonts w:ascii="Arial" w:hAnsi="Arial" w:cs="Arial"/>
                <w:szCs w:val="20"/>
              </w:rPr>
              <w:t>)</w:t>
            </w:r>
          </w:p>
        </w:tc>
        <w:tc>
          <w:tcPr>
            <w:tcW w:w="1350" w:type="dxa"/>
            <w:gridSpan w:val="2"/>
            <w:vAlign w:val="bottom"/>
          </w:tcPr>
          <w:p w14:paraId="06A89962" w14:textId="126ABDF7" w:rsidR="00894AEA" w:rsidRPr="009D54BC" w:rsidRDefault="00681427"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(12,422)</w:t>
            </w:r>
          </w:p>
        </w:tc>
      </w:tr>
      <w:tr w:rsidR="00D57F4E" w:rsidRPr="009D54BC" w14:paraId="12240760" w14:textId="77777777" w:rsidTr="00C36440">
        <w:tc>
          <w:tcPr>
            <w:tcW w:w="6832" w:type="dxa"/>
            <w:vAlign w:val="bottom"/>
          </w:tcPr>
          <w:p w14:paraId="23A78BCE" w14:textId="358F45F7" w:rsidR="00D57F4E" w:rsidRPr="009D54BC" w:rsidRDefault="008A54C4"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Deferred revenue</w:t>
            </w:r>
          </w:p>
        </w:tc>
        <w:tc>
          <w:tcPr>
            <w:tcW w:w="1350" w:type="dxa"/>
            <w:vAlign w:val="bottom"/>
          </w:tcPr>
          <w:p w14:paraId="6DAB13A2" w14:textId="13AFB923" w:rsidR="00D57F4E" w:rsidRDefault="001135F5" w:rsidP="00D57F4E">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(159,612)</w:t>
            </w:r>
          </w:p>
        </w:tc>
        <w:tc>
          <w:tcPr>
            <w:tcW w:w="1350" w:type="dxa"/>
            <w:gridSpan w:val="2"/>
            <w:vAlign w:val="bottom"/>
          </w:tcPr>
          <w:p w14:paraId="571D17B9" w14:textId="6060BB9F" w:rsidR="00D57F4E" w:rsidRDefault="00D57F4E"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94AEA" w:rsidRPr="009D54BC" w14:paraId="1F367E34" w14:textId="77777777" w:rsidTr="00C36440">
        <w:trPr>
          <w:trHeight w:hRule="exact" w:val="91"/>
        </w:trPr>
        <w:tc>
          <w:tcPr>
            <w:tcW w:w="6832" w:type="dxa"/>
            <w:tcBorders>
              <w:top w:val="single" w:sz="4" w:space="0" w:color="auto"/>
            </w:tcBorders>
            <w:vAlign w:val="bottom"/>
          </w:tcPr>
          <w:p w14:paraId="145838BD"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178565C8"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739E6931"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2E15899F" w14:textId="77777777" w:rsidTr="00C36440">
        <w:tc>
          <w:tcPr>
            <w:tcW w:w="6832" w:type="dxa"/>
            <w:tcBorders>
              <w:bottom w:val="single" w:sz="4" w:space="0" w:color="auto"/>
            </w:tcBorders>
            <w:vAlign w:val="bottom"/>
          </w:tcPr>
          <w:p w14:paraId="08945F0B"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 used in operating activities</w:t>
            </w:r>
          </w:p>
        </w:tc>
        <w:tc>
          <w:tcPr>
            <w:tcW w:w="1350" w:type="dxa"/>
            <w:tcBorders>
              <w:bottom w:val="single" w:sz="4" w:space="0" w:color="auto"/>
            </w:tcBorders>
            <w:vAlign w:val="bottom"/>
          </w:tcPr>
          <w:p w14:paraId="3F0EEDC8" w14:textId="68DA6945" w:rsidR="00894AEA" w:rsidRPr="009D54BC" w:rsidRDefault="001135F5"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w:t>
            </w:r>
            <w:r w:rsidR="00871308">
              <w:rPr>
                <w:rFonts w:ascii="Arial" w:hAnsi="Arial" w:cs="Arial"/>
                <w:szCs w:val="20"/>
              </w:rPr>
              <w:t>093,972</w:t>
            </w:r>
            <w:r>
              <w:rPr>
                <w:rFonts w:ascii="Arial" w:hAnsi="Arial" w:cs="Arial"/>
                <w:szCs w:val="20"/>
              </w:rPr>
              <w:t>)</w:t>
            </w:r>
          </w:p>
        </w:tc>
        <w:tc>
          <w:tcPr>
            <w:tcW w:w="1350" w:type="dxa"/>
            <w:gridSpan w:val="2"/>
            <w:tcBorders>
              <w:bottom w:val="single" w:sz="4" w:space="0" w:color="auto"/>
            </w:tcBorders>
            <w:vAlign w:val="bottom"/>
          </w:tcPr>
          <w:p w14:paraId="3AC4E1C1" w14:textId="2519AB91" w:rsidR="00894AEA" w:rsidRPr="009D54BC" w:rsidRDefault="00894AEA" w:rsidP="00D31233">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r w:rsidR="00681427">
              <w:rPr>
                <w:rFonts w:ascii="Arial" w:hAnsi="Arial" w:cs="Arial"/>
                <w:szCs w:val="20"/>
              </w:rPr>
              <w:t>3,</w:t>
            </w:r>
            <w:r w:rsidR="0037662D">
              <w:rPr>
                <w:rFonts w:ascii="Arial" w:hAnsi="Arial" w:cs="Arial"/>
                <w:szCs w:val="20"/>
              </w:rPr>
              <w:t>328,</w:t>
            </w:r>
            <w:r w:rsidR="00D31233">
              <w:rPr>
                <w:rFonts w:ascii="Arial" w:hAnsi="Arial" w:cs="Arial"/>
                <w:szCs w:val="20"/>
              </w:rPr>
              <w:t>506</w:t>
            </w:r>
            <w:r w:rsidRPr="009D54BC">
              <w:rPr>
                <w:rFonts w:ascii="Arial" w:hAnsi="Arial" w:cs="Arial"/>
                <w:szCs w:val="20"/>
              </w:rPr>
              <w:t>)</w:t>
            </w:r>
          </w:p>
        </w:tc>
      </w:tr>
      <w:tr w:rsidR="008A54C4" w:rsidRPr="009D54BC" w14:paraId="58DD96C4" w14:textId="77777777" w:rsidTr="00EA1905">
        <w:trPr>
          <w:trHeight w:hRule="exact" w:val="91"/>
        </w:trPr>
        <w:tc>
          <w:tcPr>
            <w:tcW w:w="6832" w:type="dxa"/>
            <w:tcBorders>
              <w:top w:val="single" w:sz="4" w:space="0" w:color="auto"/>
            </w:tcBorders>
            <w:vAlign w:val="bottom"/>
          </w:tcPr>
          <w:p w14:paraId="49E89C66" w14:textId="7777777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BC4DA94"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4A0264B0"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31051372" w14:textId="77777777" w:rsidTr="00EA1905">
        <w:tc>
          <w:tcPr>
            <w:tcW w:w="6832" w:type="dxa"/>
            <w:vAlign w:val="bottom"/>
          </w:tcPr>
          <w:p w14:paraId="47EDCD72" w14:textId="07ABE6A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Investing</w:t>
            </w:r>
            <w:r w:rsidRPr="009D54BC">
              <w:rPr>
                <w:rFonts w:ascii="Arial" w:hAnsi="Arial" w:cs="Arial"/>
                <w:szCs w:val="20"/>
              </w:rPr>
              <w:t xml:space="preserve"> activities</w:t>
            </w:r>
          </w:p>
        </w:tc>
        <w:tc>
          <w:tcPr>
            <w:tcW w:w="1350" w:type="dxa"/>
            <w:vAlign w:val="bottom"/>
          </w:tcPr>
          <w:p w14:paraId="08EF6C0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40F10D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0FBB8E52" w14:textId="77777777" w:rsidTr="00EA1905">
        <w:tc>
          <w:tcPr>
            <w:tcW w:w="6832" w:type="dxa"/>
            <w:vAlign w:val="bottom"/>
          </w:tcPr>
          <w:p w14:paraId="2AC7B702" w14:textId="3DF1882A" w:rsidR="008A54C4" w:rsidRPr="009D54BC" w:rsidRDefault="008A54C4" w:rsidP="00EA19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Cash acquired through acquisition</w:t>
            </w:r>
          </w:p>
        </w:tc>
        <w:tc>
          <w:tcPr>
            <w:tcW w:w="1350" w:type="dxa"/>
            <w:vAlign w:val="bottom"/>
          </w:tcPr>
          <w:p w14:paraId="4AC4A337" w14:textId="40AC4D97" w:rsidR="008A54C4" w:rsidRPr="009D54BC" w:rsidRDefault="0024523C" w:rsidP="00EA1905">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74B64680" w14:textId="5CB10CC2"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2,779</w:t>
            </w:r>
          </w:p>
        </w:tc>
      </w:tr>
      <w:tr w:rsidR="008A54C4" w:rsidRPr="009D54BC" w14:paraId="71D85CBC" w14:textId="77777777" w:rsidTr="00EA1905">
        <w:tc>
          <w:tcPr>
            <w:tcW w:w="6832" w:type="dxa"/>
            <w:vAlign w:val="bottom"/>
          </w:tcPr>
          <w:p w14:paraId="2569C0DA" w14:textId="07861C87" w:rsidR="008A54C4" w:rsidRPr="009D54BC" w:rsidRDefault="008A54C4" w:rsidP="00EA190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Purchase of intangible assets</w:t>
            </w:r>
          </w:p>
        </w:tc>
        <w:tc>
          <w:tcPr>
            <w:tcW w:w="1350" w:type="dxa"/>
            <w:vAlign w:val="bottom"/>
          </w:tcPr>
          <w:p w14:paraId="651824F7" w14:textId="44C09CFB"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(432,923)</w:t>
            </w:r>
          </w:p>
        </w:tc>
        <w:tc>
          <w:tcPr>
            <w:tcW w:w="1350" w:type="dxa"/>
            <w:gridSpan w:val="2"/>
            <w:vAlign w:val="bottom"/>
          </w:tcPr>
          <w:p w14:paraId="6A4EF34A" w14:textId="328B8DAA"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(431,217)</w:t>
            </w:r>
          </w:p>
        </w:tc>
      </w:tr>
      <w:tr w:rsidR="008A54C4" w:rsidRPr="009D54BC" w14:paraId="0644D405" w14:textId="77777777" w:rsidTr="00EA1905">
        <w:trPr>
          <w:trHeight w:hRule="exact" w:val="91"/>
        </w:trPr>
        <w:tc>
          <w:tcPr>
            <w:tcW w:w="6832" w:type="dxa"/>
            <w:tcBorders>
              <w:top w:val="single" w:sz="4" w:space="0" w:color="auto"/>
            </w:tcBorders>
            <w:vAlign w:val="bottom"/>
          </w:tcPr>
          <w:p w14:paraId="146A85FF" w14:textId="7777777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55A3381D"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71AC9E61" w14:textId="77777777"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42EAA81A" w14:textId="77777777" w:rsidTr="00EA1905">
        <w:tc>
          <w:tcPr>
            <w:tcW w:w="6832" w:type="dxa"/>
            <w:tcBorders>
              <w:bottom w:val="single" w:sz="4" w:space="0" w:color="auto"/>
            </w:tcBorders>
            <w:vAlign w:val="bottom"/>
          </w:tcPr>
          <w:p w14:paraId="19868322" w14:textId="77777777" w:rsidR="008A54C4" w:rsidRPr="009D54BC" w:rsidRDefault="008A54C4" w:rsidP="00EA1905">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 provided by financing activities</w:t>
            </w:r>
          </w:p>
        </w:tc>
        <w:tc>
          <w:tcPr>
            <w:tcW w:w="1350" w:type="dxa"/>
            <w:tcBorders>
              <w:bottom w:val="single" w:sz="4" w:space="0" w:color="auto"/>
            </w:tcBorders>
            <w:vAlign w:val="bottom"/>
          </w:tcPr>
          <w:p w14:paraId="5861757C" w14:textId="15B8DE9C"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(432,923)</w:t>
            </w:r>
          </w:p>
        </w:tc>
        <w:tc>
          <w:tcPr>
            <w:tcW w:w="1350" w:type="dxa"/>
            <w:gridSpan w:val="2"/>
            <w:tcBorders>
              <w:bottom w:val="single" w:sz="4" w:space="0" w:color="auto"/>
            </w:tcBorders>
            <w:vAlign w:val="bottom"/>
          </w:tcPr>
          <w:p w14:paraId="2DE4F07D" w14:textId="5863A35D" w:rsidR="008A54C4" w:rsidRPr="009D54BC" w:rsidRDefault="008A54C4"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(428,438)</w:t>
            </w:r>
          </w:p>
        </w:tc>
      </w:tr>
      <w:tr w:rsidR="00894AEA" w:rsidRPr="009D54BC" w14:paraId="6DFF43BD" w14:textId="77777777" w:rsidTr="00C36440">
        <w:trPr>
          <w:trHeight w:hRule="exact" w:val="91"/>
        </w:trPr>
        <w:tc>
          <w:tcPr>
            <w:tcW w:w="6832" w:type="dxa"/>
            <w:tcBorders>
              <w:top w:val="single" w:sz="4" w:space="0" w:color="auto"/>
            </w:tcBorders>
            <w:vAlign w:val="bottom"/>
          </w:tcPr>
          <w:p w14:paraId="0B4D70CE"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34ED52B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F8B4C6A"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9792DA6" w14:textId="77777777" w:rsidTr="00C36440">
        <w:tc>
          <w:tcPr>
            <w:tcW w:w="6832" w:type="dxa"/>
            <w:vAlign w:val="bottom"/>
          </w:tcPr>
          <w:p w14:paraId="74D6A391"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Financing activities</w:t>
            </w:r>
          </w:p>
        </w:tc>
        <w:tc>
          <w:tcPr>
            <w:tcW w:w="1350" w:type="dxa"/>
            <w:vAlign w:val="bottom"/>
          </w:tcPr>
          <w:p w14:paraId="694DDFE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6B93358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A54C4" w:rsidRPr="009D54BC" w14:paraId="5D085F5C" w14:textId="77777777" w:rsidTr="00EA1905">
        <w:tc>
          <w:tcPr>
            <w:tcW w:w="6832" w:type="dxa"/>
            <w:vAlign w:val="bottom"/>
          </w:tcPr>
          <w:p w14:paraId="62009408" w14:textId="1E2921CA" w:rsidR="008A54C4" w:rsidRPr="009D54BC" w:rsidRDefault="008A54C4" w:rsidP="0024523C">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 xml:space="preserve">(Repayment of) / </w:t>
            </w:r>
            <w:r w:rsidR="0024523C">
              <w:rPr>
                <w:rFonts w:ascii="Arial" w:hAnsi="Arial" w:cs="Arial"/>
                <w:szCs w:val="20"/>
              </w:rPr>
              <w:t>p</w:t>
            </w:r>
            <w:r>
              <w:rPr>
                <w:rFonts w:ascii="Arial" w:hAnsi="Arial" w:cs="Arial"/>
                <w:szCs w:val="20"/>
              </w:rPr>
              <w:t>roceeds from convertible debenture, net</w:t>
            </w:r>
          </w:p>
        </w:tc>
        <w:tc>
          <w:tcPr>
            <w:tcW w:w="1350" w:type="dxa"/>
            <w:vAlign w:val="bottom"/>
          </w:tcPr>
          <w:p w14:paraId="4B3BD474" w14:textId="22226CA5" w:rsidR="008A54C4" w:rsidRPr="009D54BC" w:rsidRDefault="001135F5" w:rsidP="00EA1905">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(3,250,000)</w:t>
            </w:r>
          </w:p>
        </w:tc>
        <w:tc>
          <w:tcPr>
            <w:tcW w:w="1350" w:type="dxa"/>
            <w:gridSpan w:val="2"/>
            <w:vAlign w:val="bottom"/>
          </w:tcPr>
          <w:p w14:paraId="51524AB2" w14:textId="4064962E" w:rsidR="008A54C4" w:rsidRPr="009D54BC" w:rsidRDefault="0024523C"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w:t>
            </w:r>
            <w:r w:rsidR="0037662D">
              <w:rPr>
                <w:rFonts w:ascii="Arial" w:hAnsi="Arial" w:cs="Arial"/>
                <w:szCs w:val="20"/>
              </w:rPr>
              <w:t>559,206</w:t>
            </w:r>
          </w:p>
        </w:tc>
      </w:tr>
      <w:tr w:rsidR="00894AEA" w:rsidRPr="009D54BC" w14:paraId="2A663576" w14:textId="77777777" w:rsidTr="00C36440">
        <w:tc>
          <w:tcPr>
            <w:tcW w:w="6832" w:type="dxa"/>
            <w:vAlign w:val="bottom"/>
          </w:tcPr>
          <w:p w14:paraId="08D8F660" w14:textId="0A65928F" w:rsidR="00894AEA"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Payment for debt modification</w:t>
            </w:r>
          </w:p>
        </w:tc>
        <w:tc>
          <w:tcPr>
            <w:tcW w:w="1350" w:type="dxa"/>
            <w:vAlign w:val="bottom"/>
          </w:tcPr>
          <w:p w14:paraId="067075C7" w14:textId="435FBE2B" w:rsidR="00894AEA"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(250,000)</w:t>
            </w:r>
          </w:p>
        </w:tc>
        <w:tc>
          <w:tcPr>
            <w:tcW w:w="1350" w:type="dxa"/>
            <w:gridSpan w:val="2"/>
            <w:vAlign w:val="bottom"/>
          </w:tcPr>
          <w:p w14:paraId="23630FE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24523C" w:rsidRPr="009D54BC" w14:paraId="291EE192" w14:textId="77777777" w:rsidTr="00C36440">
        <w:tc>
          <w:tcPr>
            <w:tcW w:w="6832" w:type="dxa"/>
            <w:vAlign w:val="bottom"/>
          </w:tcPr>
          <w:p w14:paraId="6669703D" w14:textId="5ED5A85E" w:rsidR="0024523C"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Proceeds from issuance of units</w:t>
            </w:r>
            <w:r w:rsidR="00F07391">
              <w:rPr>
                <w:rFonts w:ascii="Arial" w:hAnsi="Arial" w:cs="Arial"/>
                <w:szCs w:val="20"/>
              </w:rPr>
              <w:t>, net</w:t>
            </w:r>
          </w:p>
        </w:tc>
        <w:tc>
          <w:tcPr>
            <w:tcW w:w="1350" w:type="dxa"/>
            <w:vAlign w:val="bottom"/>
          </w:tcPr>
          <w:p w14:paraId="7603C380" w14:textId="4B0F459F" w:rsidR="0024523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16,310,000</w:t>
            </w:r>
          </w:p>
        </w:tc>
        <w:tc>
          <w:tcPr>
            <w:tcW w:w="1350" w:type="dxa"/>
            <w:gridSpan w:val="2"/>
            <w:vAlign w:val="bottom"/>
          </w:tcPr>
          <w:p w14:paraId="0970028F" w14:textId="02982866" w:rsidR="0024523C"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r>
      <w:tr w:rsidR="00882382" w:rsidRPr="009D54BC" w14:paraId="5EF7C6BC" w14:textId="77777777" w:rsidTr="00C36440">
        <w:tc>
          <w:tcPr>
            <w:tcW w:w="6832" w:type="dxa"/>
            <w:vAlign w:val="bottom"/>
          </w:tcPr>
          <w:p w14:paraId="61175CE4" w14:textId="09A88C3D" w:rsidR="00882382" w:rsidRPr="009D54BC" w:rsidRDefault="001135F5" w:rsidP="001135F5">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R</w:t>
            </w:r>
            <w:r w:rsidR="0024523C">
              <w:rPr>
                <w:rFonts w:ascii="Arial" w:hAnsi="Arial" w:cs="Arial"/>
                <w:szCs w:val="20"/>
              </w:rPr>
              <w:t>epayment of promissory note</w:t>
            </w:r>
          </w:p>
        </w:tc>
        <w:tc>
          <w:tcPr>
            <w:tcW w:w="1350" w:type="dxa"/>
            <w:vAlign w:val="bottom"/>
          </w:tcPr>
          <w:p w14:paraId="585380B3" w14:textId="684682DE" w:rsidR="00882382"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(24,000)</w:t>
            </w:r>
          </w:p>
        </w:tc>
        <w:tc>
          <w:tcPr>
            <w:tcW w:w="1350" w:type="dxa"/>
            <w:gridSpan w:val="2"/>
            <w:vAlign w:val="bottom"/>
          </w:tcPr>
          <w:p w14:paraId="167D461F" w14:textId="2980185E" w:rsidR="00882382" w:rsidRPr="009D54BC" w:rsidRDefault="0024523C" w:rsidP="0024523C">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(247,305)</w:t>
            </w:r>
          </w:p>
        </w:tc>
      </w:tr>
      <w:tr w:rsidR="00894AEA" w:rsidRPr="009D54BC" w14:paraId="78A3C7F7" w14:textId="77777777" w:rsidTr="00C36440">
        <w:tc>
          <w:tcPr>
            <w:tcW w:w="6832" w:type="dxa"/>
            <w:vAlign w:val="bottom"/>
          </w:tcPr>
          <w:p w14:paraId="2E1DC536" w14:textId="1EDB76C4" w:rsidR="00894AEA" w:rsidRPr="009D54BC" w:rsidRDefault="0024523C" w:rsidP="00894AEA">
            <w:pPr>
              <w:tabs>
                <w:tab w:val="left" w:pos="7272"/>
                <w:tab w:val="decimal" w:pos="8136"/>
                <w:tab w:val="left" w:pos="8496"/>
                <w:tab w:val="decimal" w:pos="9360"/>
              </w:tabs>
              <w:spacing w:after="0" w:line="240" w:lineRule="auto"/>
              <w:ind w:left="144"/>
              <w:rPr>
                <w:rFonts w:ascii="Arial" w:hAnsi="Arial" w:cs="Arial"/>
                <w:szCs w:val="20"/>
              </w:rPr>
            </w:pPr>
            <w:r>
              <w:rPr>
                <w:rFonts w:ascii="Arial" w:hAnsi="Arial" w:cs="Arial"/>
                <w:szCs w:val="20"/>
              </w:rPr>
              <w:t>Repayment of loan payable</w:t>
            </w:r>
          </w:p>
        </w:tc>
        <w:tc>
          <w:tcPr>
            <w:tcW w:w="1350" w:type="dxa"/>
            <w:vAlign w:val="bottom"/>
          </w:tcPr>
          <w:p w14:paraId="47237E2F" w14:textId="191D83D3" w:rsidR="00894AEA" w:rsidRPr="009D54BC" w:rsidRDefault="00882382" w:rsidP="00894AEA">
            <w:pPr>
              <w:tabs>
                <w:tab w:val="left" w:pos="7214"/>
                <w:tab w:val="decimal" w:pos="8107"/>
                <w:tab w:val="left" w:pos="8467"/>
                <w:tab w:val="decimal" w:pos="9360"/>
              </w:tabs>
              <w:spacing w:after="0" w:line="240" w:lineRule="auto"/>
              <w:ind w:right="180"/>
              <w:jc w:val="right"/>
              <w:rPr>
                <w:rFonts w:ascii="Arial" w:hAnsi="Arial" w:cs="Arial"/>
                <w:szCs w:val="20"/>
              </w:rPr>
            </w:pPr>
            <w:r w:rsidRPr="009D54BC">
              <w:rPr>
                <w:rFonts w:ascii="Arial" w:hAnsi="Arial" w:cs="Arial"/>
                <w:szCs w:val="20"/>
              </w:rPr>
              <w:t>–</w:t>
            </w:r>
          </w:p>
        </w:tc>
        <w:tc>
          <w:tcPr>
            <w:tcW w:w="1350" w:type="dxa"/>
            <w:gridSpan w:val="2"/>
            <w:vAlign w:val="bottom"/>
          </w:tcPr>
          <w:p w14:paraId="37ACBB8C" w14:textId="42DB480A" w:rsidR="00894AEA" w:rsidRPr="009D54BC" w:rsidRDefault="0024523C"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w:t>
            </w:r>
            <w:r w:rsidR="0037662D">
              <w:rPr>
                <w:rFonts w:ascii="Arial" w:hAnsi="Arial" w:cs="Arial"/>
                <w:szCs w:val="20"/>
              </w:rPr>
              <w:t>20,540</w:t>
            </w:r>
            <w:r>
              <w:rPr>
                <w:rFonts w:ascii="Arial" w:hAnsi="Arial" w:cs="Arial"/>
                <w:szCs w:val="20"/>
              </w:rPr>
              <w:t>)</w:t>
            </w:r>
          </w:p>
        </w:tc>
      </w:tr>
      <w:tr w:rsidR="00894AEA" w:rsidRPr="009D54BC" w14:paraId="1B9942EE" w14:textId="77777777" w:rsidTr="00C36440">
        <w:trPr>
          <w:trHeight w:hRule="exact" w:val="91"/>
        </w:trPr>
        <w:tc>
          <w:tcPr>
            <w:tcW w:w="6832" w:type="dxa"/>
            <w:tcBorders>
              <w:top w:val="single" w:sz="4" w:space="0" w:color="auto"/>
            </w:tcBorders>
            <w:vAlign w:val="bottom"/>
          </w:tcPr>
          <w:p w14:paraId="696ACB96"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411134E7"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4C27529E"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644E7D05" w14:textId="77777777" w:rsidTr="00C36440">
        <w:tc>
          <w:tcPr>
            <w:tcW w:w="6832" w:type="dxa"/>
            <w:tcBorders>
              <w:bottom w:val="single" w:sz="4" w:space="0" w:color="auto"/>
            </w:tcBorders>
            <w:vAlign w:val="bottom"/>
          </w:tcPr>
          <w:p w14:paraId="61A95B88"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Net cash provided by financing activities</w:t>
            </w:r>
          </w:p>
        </w:tc>
        <w:tc>
          <w:tcPr>
            <w:tcW w:w="1350" w:type="dxa"/>
            <w:tcBorders>
              <w:bottom w:val="single" w:sz="4" w:space="0" w:color="auto"/>
            </w:tcBorders>
            <w:vAlign w:val="bottom"/>
          </w:tcPr>
          <w:p w14:paraId="39295DA7" w14:textId="52F0FD88" w:rsidR="00894AEA" w:rsidRPr="009D54BC" w:rsidRDefault="001135F5" w:rsidP="00871308">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12,</w:t>
            </w:r>
            <w:r w:rsidR="00871308">
              <w:rPr>
                <w:rFonts w:ascii="Arial" w:hAnsi="Arial" w:cs="Arial"/>
                <w:szCs w:val="20"/>
              </w:rPr>
              <w:t>786,000</w:t>
            </w:r>
          </w:p>
        </w:tc>
        <w:tc>
          <w:tcPr>
            <w:tcW w:w="1350" w:type="dxa"/>
            <w:gridSpan w:val="2"/>
            <w:tcBorders>
              <w:bottom w:val="single" w:sz="4" w:space="0" w:color="auto"/>
            </w:tcBorders>
            <w:vAlign w:val="bottom"/>
          </w:tcPr>
          <w:p w14:paraId="02FAA311" w14:textId="4749FB00" w:rsidR="00894AEA" w:rsidRPr="009D54BC" w:rsidRDefault="0024523C" w:rsidP="0037662D">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4,</w:t>
            </w:r>
            <w:r w:rsidR="0037662D">
              <w:rPr>
                <w:rFonts w:ascii="Arial" w:hAnsi="Arial" w:cs="Arial"/>
                <w:szCs w:val="20"/>
              </w:rPr>
              <w:t>291,361</w:t>
            </w:r>
          </w:p>
        </w:tc>
      </w:tr>
      <w:tr w:rsidR="00894AEA" w:rsidRPr="009D54BC" w14:paraId="5858DCD6" w14:textId="77777777" w:rsidTr="00C36440">
        <w:trPr>
          <w:trHeight w:hRule="exact" w:val="91"/>
        </w:trPr>
        <w:tc>
          <w:tcPr>
            <w:tcW w:w="6832" w:type="dxa"/>
            <w:tcBorders>
              <w:top w:val="single" w:sz="4" w:space="0" w:color="auto"/>
            </w:tcBorders>
            <w:vAlign w:val="bottom"/>
          </w:tcPr>
          <w:p w14:paraId="321F0B5A"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6C0340B4"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53D61E65"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614A07AF" w14:textId="77777777" w:rsidTr="00C36440">
        <w:tc>
          <w:tcPr>
            <w:tcW w:w="6832" w:type="dxa"/>
            <w:tcBorders>
              <w:bottom w:val="single" w:sz="2" w:space="0" w:color="auto"/>
            </w:tcBorders>
            <w:vAlign w:val="bottom"/>
          </w:tcPr>
          <w:p w14:paraId="641CD6E8"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Effects of exchange rate changes on cash</w:t>
            </w:r>
            <w:r w:rsidRPr="009D54BC">
              <w:rPr>
                <w:rFonts w:ascii="Arial" w:hAnsi="Arial" w:cs="Arial"/>
                <w:szCs w:val="20"/>
              </w:rPr>
              <w:t xml:space="preserve"> </w:t>
            </w:r>
          </w:p>
        </w:tc>
        <w:tc>
          <w:tcPr>
            <w:tcW w:w="1350" w:type="dxa"/>
            <w:tcBorders>
              <w:bottom w:val="single" w:sz="2" w:space="0" w:color="auto"/>
            </w:tcBorders>
            <w:vAlign w:val="bottom"/>
          </w:tcPr>
          <w:p w14:paraId="416D61F7" w14:textId="3B36225A" w:rsidR="00894AEA" w:rsidRPr="009D54BC" w:rsidRDefault="00871308" w:rsidP="00EE7727">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8,633</w:t>
            </w:r>
          </w:p>
        </w:tc>
        <w:tc>
          <w:tcPr>
            <w:tcW w:w="1350" w:type="dxa"/>
            <w:gridSpan w:val="2"/>
            <w:tcBorders>
              <w:bottom w:val="single" w:sz="2" w:space="0" w:color="auto"/>
            </w:tcBorders>
            <w:vAlign w:val="bottom"/>
          </w:tcPr>
          <w:p w14:paraId="1C5418D9" w14:textId="403735D6" w:rsidR="00894AEA" w:rsidRPr="009D54BC" w:rsidRDefault="0037662D" w:rsidP="00D31233">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3,</w:t>
            </w:r>
            <w:r w:rsidR="00D31233">
              <w:rPr>
                <w:rFonts w:ascii="Arial" w:hAnsi="Arial" w:cs="Arial"/>
                <w:szCs w:val="20"/>
              </w:rPr>
              <w:t>946</w:t>
            </w:r>
          </w:p>
        </w:tc>
      </w:tr>
      <w:tr w:rsidR="00894AEA" w:rsidRPr="009D54BC" w14:paraId="7ACAA330" w14:textId="77777777" w:rsidTr="00C36440">
        <w:trPr>
          <w:trHeight w:hRule="exact" w:val="91"/>
        </w:trPr>
        <w:tc>
          <w:tcPr>
            <w:tcW w:w="6832" w:type="dxa"/>
            <w:tcBorders>
              <w:top w:val="single" w:sz="2" w:space="0" w:color="auto"/>
            </w:tcBorders>
            <w:vAlign w:val="bottom"/>
          </w:tcPr>
          <w:p w14:paraId="7015B005"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2" w:space="0" w:color="auto"/>
            </w:tcBorders>
            <w:vAlign w:val="bottom"/>
          </w:tcPr>
          <w:p w14:paraId="0B0E9BCB"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2" w:space="0" w:color="auto"/>
            </w:tcBorders>
            <w:vAlign w:val="bottom"/>
          </w:tcPr>
          <w:p w14:paraId="4A7B647B"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4A94BD5" w14:textId="77777777" w:rsidTr="00C36440">
        <w:tc>
          <w:tcPr>
            <w:tcW w:w="6832" w:type="dxa"/>
            <w:vAlign w:val="bottom"/>
          </w:tcPr>
          <w:p w14:paraId="4AE366D7" w14:textId="2939B7E3" w:rsidR="00894AEA" w:rsidRPr="009D54BC" w:rsidRDefault="00D57F4E" w:rsidP="00894AEA">
            <w:pPr>
              <w:tabs>
                <w:tab w:val="left" w:pos="7272"/>
                <w:tab w:val="decimal" w:pos="8136"/>
                <w:tab w:val="left" w:pos="8496"/>
                <w:tab w:val="decimal" w:pos="9360"/>
              </w:tabs>
              <w:spacing w:after="0" w:line="240" w:lineRule="auto"/>
              <w:rPr>
                <w:rFonts w:ascii="Arial" w:hAnsi="Arial" w:cs="Arial"/>
                <w:szCs w:val="20"/>
              </w:rPr>
            </w:pPr>
            <w:r>
              <w:rPr>
                <w:rFonts w:ascii="Arial" w:hAnsi="Arial" w:cs="Arial"/>
                <w:szCs w:val="20"/>
              </w:rPr>
              <w:t>Net change</w:t>
            </w:r>
            <w:r w:rsidR="00894AEA" w:rsidRPr="009D54BC">
              <w:rPr>
                <w:rFonts w:ascii="Arial" w:hAnsi="Arial" w:cs="Arial"/>
                <w:szCs w:val="20"/>
              </w:rPr>
              <w:t xml:space="preserve"> in cash </w:t>
            </w:r>
          </w:p>
        </w:tc>
        <w:tc>
          <w:tcPr>
            <w:tcW w:w="1350" w:type="dxa"/>
            <w:vAlign w:val="bottom"/>
          </w:tcPr>
          <w:p w14:paraId="10ED306F" w14:textId="6F6C37AC" w:rsidR="00894AEA"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7,267,738</w:t>
            </w:r>
          </w:p>
        </w:tc>
        <w:tc>
          <w:tcPr>
            <w:tcW w:w="1350" w:type="dxa"/>
            <w:gridSpan w:val="2"/>
            <w:vAlign w:val="bottom"/>
          </w:tcPr>
          <w:p w14:paraId="7667BC22" w14:textId="6ACECF12"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538,363</w:t>
            </w:r>
          </w:p>
        </w:tc>
      </w:tr>
      <w:tr w:rsidR="00894AEA" w:rsidRPr="009D54BC" w14:paraId="36CB3910" w14:textId="77777777" w:rsidTr="00C36440">
        <w:trPr>
          <w:trHeight w:hRule="exact" w:val="91"/>
        </w:trPr>
        <w:tc>
          <w:tcPr>
            <w:tcW w:w="6832" w:type="dxa"/>
            <w:vAlign w:val="bottom"/>
          </w:tcPr>
          <w:p w14:paraId="6DCED802"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vAlign w:val="bottom"/>
          </w:tcPr>
          <w:p w14:paraId="3341B652"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vAlign w:val="bottom"/>
          </w:tcPr>
          <w:p w14:paraId="7AFC2959"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5AB0E5C6" w14:textId="77777777" w:rsidTr="00C36440">
        <w:tc>
          <w:tcPr>
            <w:tcW w:w="6832" w:type="dxa"/>
            <w:tcBorders>
              <w:bottom w:val="single" w:sz="4" w:space="0" w:color="auto"/>
            </w:tcBorders>
            <w:vAlign w:val="bottom"/>
          </w:tcPr>
          <w:p w14:paraId="2D58ECDC"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Cash – beginning of period</w:t>
            </w:r>
          </w:p>
        </w:tc>
        <w:tc>
          <w:tcPr>
            <w:tcW w:w="1350" w:type="dxa"/>
            <w:tcBorders>
              <w:bottom w:val="single" w:sz="4" w:space="0" w:color="auto"/>
            </w:tcBorders>
            <w:vAlign w:val="bottom"/>
          </w:tcPr>
          <w:p w14:paraId="478389CA" w14:textId="1A9D06C1"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74,800</w:t>
            </w:r>
          </w:p>
        </w:tc>
        <w:tc>
          <w:tcPr>
            <w:tcW w:w="1350" w:type="dxa"/>
            <w:gridSpan w:val="2"/>
            <w:tcBorders>
              <w:bottom w:val="single" w:sz="4" w:space="0" w:color="auto"/>
            </w:tcBorders>
            <w:vAlign w:val="bottom"/>
          </w:tcPr>
          <w:p w14:paraId="1C49EA5E" w14:textId="40856D78"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79,304</w:t>
            </w:r>
          </w:p>
        </w:tc>
      </w:tr>
      <w:tr w:rsidR="00894AEA" w:rsidRPr="009D54BC" w14:paraId="19DD882E" w14:textId="77777777" w:rsidTr="00C36440">
        <w:trPr>
          <w:trHeight w:hRule="exact" w:val="91"/>
        </w:trPr>
        <w:tc>
          <w:tcPr>
            <w:tcW w:w="6832" w:type="dxa"/>
            <w:tcBorders>
              <w:top w:val="single" w:sz="4" w:space="0" w:color="auto"/>
            </w:tcBorders>
            <w:vAlign w:val="bottom"/>
          </w:tcPr>
          <w:p w14:paraId="4F6BBDA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p>
        </w:tc>
        <w:tc>
          <w:tcPr>
            <w:tcW w:w="1350" w:type="dxa"/>
            <w:tcBorders>
              <w:top w:val="single" w:sz="4" w:space="0" w:color="auto"/>
            </w:tcBorders>
            <w:vAlign w:val="bottom"/>
          </w:tcPr>
          <w:p w14:paraId="7357E956"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c>
          <w:tcPr>
            <w:tcW w:w="1350" w:type="dxa"/>
            <w:gridSpan w:val="2"/>
            <w:tcBorders>
              <w:top w:val="single" w:sz="4" w:space="0" w:color="auto"/>
            </w:tcBorders>
            <w:vAlign w:val="bottom"/>
          </w:tcPr>
          <w:p w14:paraId="0E9F8C7E" w14:textId="77777777" w:rsidR="00894AEA" w:rsidRPr="009D54BC" w:rsidRDefault="00894AEA" w:rsidP="00894AEA">
            <w:pPr>
              <w:tabs>
                <w:tab w:val="left" w:pos="7214"/>
                <w:tab w:val="decimal" w:pos="8107"/>
                <w:tab w:val="left" w:pos="8467"/>
                <w:tab w:val="decimal" w:pos="9360"/>
              </w:tabs>
              <w:spacing w:after="0" w:line="240" w:lineRule="auto"/>
              <w:ind w:right="180"/>
              <w:jc w:val="right"/>
              <w:rPr>
                <w:rFonts w:ascii="Arial" w:hAnsi="Arial" w:cs="Arial"/>
                <w:szCs w:val="20"/>
              </w:rPr>
            </w:pPr>
          </w:p>
        </w:tc>
      </w:tr>
      <w:tr w:rsidR="00894AEA" w:rsidRPr="009D54BC" w14:paraId="0AEFF2DD" w14:textId="77777777" w:rsidTr="00C36440">
        <w:tc>
          <w:tcPr>
            <w:tcW w:w="6832" w:type="dxa"/>
            <w:tcBorders>
              <w:bottom w:val="single" w:sz="12" w:space="0" w:color="auto"/>
            </w:tcBorders>
            <w:vAlign w:val="bottom"/>
          </w:tcPr>
          <w:p w14:paraId="62BE0E59" w14:textId="77777777" w:rsidR="00894AEA" w:rsidRPr="009D54BC" w:rsidRDefault="00894AEA" w:rsidP="00894AEA">
            <w:pPr>
              <w:tabs>
                <w:tab w:val="left" w:pos="7272"/>
                <w:tab w:val="decimal" w:pos="8136"/>
                <w:tab w:val="left" w:pos="8496"/>
                <w:tab w:val="decimal" w:pos="9360"/>
              </w:tabs>
              <w:spacing w:after="0" w:line="240" w:lineRule="auto"/>
              <w:rPr>
                <w:rFonts w:ascii="Arial" w:hAnsi="Arial" w:cs="Arial"/>
                <w:szCs w:val="20"/>
              </w:rPr>
            </w:pPr>
            <w:r w:rsidRPr="009D54BC">
              <w:rPr>
                <w:rFonts w:ascii="Arial" w:hAnsi="Arial" w:cs="Arial"/>
                <w:szCs w:val="20"/>
              </w:rPr>
              <w:t>Cash – end of period</w:t>
            </w:r>
          </w:p>
        </w:tc>
        <w:tc>
          <w:tcPr>
            <w:tcW w:w="1350" w:type="dxa"/>
            <w:tcBorders>
              <w:bottom w:val="single" w:sz="12" w:space="0" w:color="auto"/>
            </w:tcBorders>
            <w:vAlign w:val="bottom"/>
          </w:tcPr>
          <w:p w14:paraId="30394AAB" w14:textId="25A0AC56" w:rsidR="00894AEA" w:rsidRPr="009D54BC" w:rsidRDefault="001135F5"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szCs w:val="20"/>
              </w:rPr>
              <w:t>7,342,538</w:t>
            </w:r>
          </w:p>
        </w:tc>
        <w:tc>
          <w:tcPr>
            <w:tcW w:w="1350" w:type="dxa"/>
            <w:gridSpan w:val="2"/>
            <w:tcBorders>
              <w:bottom w:val="single" w:sz="12" w:space="0" w:color="auto"/>
            </w:tcBorders>
            <w:vAlign w:val="bottom"/>
          </w:tcPr>
          <w:p w14:paraId="20F24FE6" w14:textId="3B8CD621" w:rsidR="00894AEA" w:rsidRPr="009D54BC" w:rsidRDefault="0024523C" w:rsidP="00894AEA">
            <w:pPr>
              <w:tabs>
                <w:tab w:val="left" w:pos="7214"/>
                <w:tab w:val="decimal" w:pos="8107"/>
                <w:tab w:val="left" w:pos="8467"/>
                <w:tab w:val="decimal" w:pos="9360"/>
              </w:tabs>
              <w:spacing w:after="0" w:line="240" w:lineRule="auto"/>
              <w:ind w:right="180"/>
              <w:jc w:val="right"/>
              <w:rPr>
                <w:rFonts w:ascii="Arial" w:hAnsi="Arial" w:cs="Arial"/>
                <w:szCs w:val="20"/>
              </w:rPr>
            </w:pPr>
            <w:r>
              <w:rPr>
                <w:rFonts w:ascii="Arial" w:hAnsi="Arial" w:cs="Arial"/>
              </w:rPr>
              <w:t>617,667</w:t>
            </w:r>
          </w:p>
        </w:tc>
      </w:tr>
    </w:tbl>
    <w:p w14:paraId="5158F5F8" w14:textId="2BE1381C" w:rsidR="00770F59" w:rsidRDefault="003E7327" w:rsidP="003E7327">
      <w:pPr>
        <w:tabs>
          <w:tab w:val="left" w:pos="4032"/>
        </w:tabs>
        <w:spacing w:before="120"/>
        <w:rPr>
          <w:rFonts w:ascii="Arial" w:hAnsi="Arial" w:cs="Arial"/>
          <w:bCs/>
          <w:szCs w:val="20"/>
        </w:rPr>
      </w:pPr>
      <w:r w:rsidRPr="00824168">
        <w:rPr>
          <w:rFonts w:ascii="Arial" w:hAnsi="Arial" w:cs="Arial"/>
          <w:bCs/>
          <w:szCs w:val="20"/>
        </w:rPr>
        <w:t>Supplementa</w:t>
      </w:r>
      <w:r w:rsidR="005958EA" w:rsidRPr="00824168">
        <w:rPr>
          <w:rFonts w:ascii="Arial" w:hAnsi="Arial" w:cs="Arial"/>
          <w:bCs/>
          <w:szCs w:val="20"/>
        </w:rPr>
        <w:t>l cash flow disclosures (Note 14</w:t>
      </w:r>
      <w:r w:rsidRPr="00824168">
        <w:rPr>
          <w:rFonts w:ascii="Arial" w:hAnsi="Arial" w:cs="Arial"/>
          <w:bCs/>
          <w:szCs w:val="20"/>
        </w:rPr>
        <w:t>)</w:t>
      </w:r>
    </w:p>
    <w:p w14:paraId="5CE10A7A" w14:textId="7E0137B2" w:rsidR="00E46B2D" w:rsidRDefault="00790828" w:rsidP="00705A65">
      <w:pPr>
        <w:tabs>
          <w:tab w:val="left" w:pos="4032"/>
        </w:tabs>
        <w:spacing w:after="0"/>
        <w:jc w:val="center"/>
        <w:rPr>
          <w:rFonts w:ascii="Arial" w:hAnsi="Arial" w:cs="Arial"/>
          <w:szCs w:val="20"/>
        </w:rPr>
      </w:pPr>
      <w:r w:rsidRPr="009F3026">
        <w:rPr>
          <w:rFonts w:ascii="Arial" w:hAnsi="Arial" w:cs="Arial"/>
          <w:szCs w:val="20"/>
        </w:rPr>
        <w:t>(The accompanying notes are an integral part of these</w:t>
      </w:r>
      <w:r w:rsidR="008E7C6B">
        <w:rPr>
          <w:rFonts w:ascii="Arial" w:hAnsi="Arial" w:cs="Arial"/>
          <w:szCs w:val="20"/>
        </w:rPr>
        <w:t xml:space="preserve"> </w:t>
      </w:r>
      <w:r w:rsidR="008B680A">
        <w:rPr>
          <w:rFonts w:ascii="Arial" w:hAnsi="Arial" w:cs="Arial"/>
          <w:szCs w:val="20"/>
        </w:rPr>
        <w:t>condensed consolidated interim financial statements</w:t>
      </w:r>
      <w:r w:rsidRPr="009F3026">
        <w:rPr>
          <w:rFonts w:ascii="Arial" w:hAnsi="Arial" w:cs="Arial"/>
          <w:szCs w:val="20"/>
        </w:rPr>
        <w:t>)</w:t>
      </w:r>
    </w:p>
    <w:p w14:paraId="405BCCED" w14:textId="77777777" w:rsidR="00E46B2D" w:rsidRDefault="00E46B2D" w:rsidP="00790828">
      <w:pPr>
        <w:tabs>
          <w:tab w:val="left" w:pos="4032"/>
        </w:tabs>
        <w:jc w:val="center"/>
        <w:rPr>
          <w:rFonts w:ascii="Arial" w:hAnsi="Arial" w:cs="Arial"/>
          <w:szCs w:val="20"/>
        </w:rPr>
        <w:sectPr w:rsidR="00E46B2D" w:rsidSect="00E565BC">
          <w:headerReference w:type="default" r:id="rId10"/>
          <w:pgSz w:w="12240" w:h="15840"/>
          <w:pgMar w:top="1152" w:right="1296" w:bottom="1152" w:left="1296" w:header="720" w:footer="720" w:gutter="0"/>
          <w:cols w:space="720"/>
          <w:docGrid w:linePitch="360"/>
        </w:sectPr>
      </w:pPr>
    </w:p>
    <w:p w14:paraId="1CD17B70" w14:textId="77777777" w:rsidR="00790828" w:rsidRPr="00F60034" w:rsidRDefault="00790828"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sidRPr="00A4553B">
        <w:rPr>
          <w:rFonts w:ascii="Arial" w:hAnsi="Arial" w:cs="Arial"/>
          <w:b/>
          <w:bCs/>
          <w:szCs w:val="20"/>
        </w:rPr>
        <w:lastRenderedPageBreak/>
        <w:t>1.</w:t>
      </w:r>
      <w:r w:rsidRPr="00A4553B">
        <w:rPr>
          <w:rFonts w:ascii="Arial" w:hAnsi="Arial" w:cs="Arial"/>
          <w:b/>
          <w:bCs/>
          <w:szCs w:val="20"/>
        </w:rPr>
        <w:tab/>
        <w:t>Nature of Operations and Continuance of Business</w:t>
      </w:r>
    </w:p>
    <w:p w14:paraId="2F777726" w14:textId="77777777" w:rsidR="00F15B99" w:rsidRDefault="00F15B99" w:rsidP="00F15B99">
      <w:pPr>
        <w:pStyle w:val="BodyTextIndent"/>
        <w:spacing w:after="0" w:line="240" w:lineRule="auto"/>
        <w:ind w:left="426"/>
        <w:jc w:val="both"/>
        <w:rPr>
          <w:rFonts w:ascii="Arial" w:hAnsi="Arial" w:cs="Arial"/>
          <w:szCs w:val="20"/>
          <w:lang w:val="en-CA"/>
        </w:rPr>
      </w:pPr>
    </w:p>
    <w:p w14:paraId="2B793B46" w14:textId="77777777" w:rsidR="00790828" w:rsidRPr="00F60034" w:rsidRDefault="00F80093" w:rsidP="00F15B99">
      <w:pPr>
        <w:pStyle w:val="BodyTextIndent"/>
        <w:spacing w:after="0" w:line="240" w:lineRule="auto"/>
        <w:ind w:left="426"/>
        <w:jc w:val="both"/>
        <w:rPr>
          <w:rFonts w:ascii="Arial" w:hAnsi="Arial" w:cs="Arial"/>
          <w:szCs w:val="20"/>
          <w:lang w:val="en-CA"/>
        </w:rPr>
      </w:pPr>
      <w:r>
        <w:rPr>
          <w:rFonts w:ascii="Arial" w:hAnsi="Arial" w:cs="Arial"/>
          <w:szCs w:val="20"/>
          <w:lang w:val="en-CA"/>
        </w:rPr>
        <w:t xml:space="preserve">Pivot Pharmaceuticals Inc. </w:t>
      </w:r>
      <w:r w:rsidR="00790828" w:rsidRPr="00F60034">
        <w:rPr>
          <w:rFonts w:ascii="Arial" w:hAnsi="Arial" w:cs="Arial"/>
          <w:szCs w:val="20"/>
          <w:lang w:val="en-CA"/>
        </w:rPr>
        <w:t xml:space="preserve">(the “Company”) was incorporated in British Columbia under the Business Corporations Act on June 10, 2002.  On April 7, 2015, the Company changed its name from Neurokine Pharmaceuticals Inc. to Pivot Pharmaceuticals Inc.  The Company is in the business of </w:t>
      </w:r>
      <w:r w:rsidR="00894AEA">
        <w:rPr>
          <w:rFonts w:ascii="Arial" w:hAnsi="Arial" w:cs="Arial"/>
          <w:szCs w:val="20"/>
          <w:lang w:val="en-CA"/>
        </w:rPr>
        <w:t xml:space="preserve">developing and commercializing </w:t>
      </w:r>
      <w:r w:rsidR="00894AEA" w:rsidRPr="00894AEA">
        <w:rPr>
          <w:rFonts w:ascii="Arial" w:hAnsi="Arial" w:cs="Arial"/>
          <w:szCs w:val="20"/>
          <w:lang w:val="en-CA"/>
        </w:rPr>
        <w:t>therapeutic pharmaceuticals and nutraceuticals, as well as drug delivery platform technologies</w:t>
      </w:r>
      <w:r w:rsidR="00790828" w:rsidRPr="00F60034">
        <w:rPr>
          <w:rFonts w:ascii="Arial" w:hAnsi="Arial" w:cs="Arial"/>
          <w:szCs w:val="20"/>
          <w:lang w:val="en-CA"/>
        </w:rPr>
        <w:t xml:space="preserve">.  </w:t>
      </w:r>
    </w:p>
    <w:p w14:paraId="1522BE41" w14:textId="77777777" w:rsidR="00F15B99" w:rsidRDefault="00F15B99" w:rsidP="00F15B99">
      <w:pPr>
        <w:pStyle w:val="Ne3"/>
        <w:spacing w:before="0"/>
        <w:ind w:left="432"/>
        <w:jc w:val="both"/>
        <w:rPr>
          <w:rFonts w:cs="Arial"/>
          <w:szCs w:val="20"/>
        </w:rPr>
      </w:pPr>
    </w:p>
    <w:p w14:paraId="64E3C01F" w14:textId="04D8CF36" w:rsidR="00F0480A" w:rsidRDefault="00790828" w:rsidP="00F15B99">
      <w:pPr>
        <w:pStyle w:val="Ne3"/>
        <w:spacing w:before="0"/>
        <w:ind w:left="432"/>
        <w:jc w:val="both"/>
        <w:rPr>
          <w:rFonts w:cs="Arial"/>
          <w:szCs w:val="20"/>
        </w:rPr>
      </w:pPr>
      <w:r w:rsidRPr="00F60034">
        <w:rPr>
          <w:rFonts w:cs="Arial"/>
          <w:szCs w:val="20"/>
        </w:rPr>
        <w:t>These</w:t>
      </w:r>
      <w:r w:rsidR="00F37C1E">
        <w:rPr>
          <w:rFonts w:cs="Arial"/>
          <w:szCs w:val="20"/>
        </w:rPr>
        <w:t xml:space="preserve"> </w:t>
      </w:r>
      <w:r w:rsidR="0046105F">
        <w:rPr>
          <w:rFonts w:cs="Arial"/>
          <w:szCs w:val="20"/>
        </w:rPr>
        <w:t xml:space="preserve">condensed </w:t>
      </w:r>
      <w:r w:rsidR="00F37C1E">
        <w:rPr>
          <w:rFonts w:cs="Arial"/>
          <w:szCs w:val="20"/>
        </w:rPr>
        <w:t>consolidated</w:t>
      </w:r>
      <w:r w:rsidR="0046105F">
        <w:rPr>
          <w:rFonts w:cs="Arial"/>
          <w:szCs w:val="20"/>
        </w:rPr>
        <w:t xml:space="preserve"> interim</w:t>
      </w:r>
      <w:r w:rsidRPr="00F60034">
        <w:rPr>
          <w:rFonts w:cs="Arial"/>
          <w:szCs w:val="20"/>
        </w:rPr>
        <w:t xml:space="preserve"> financial statements have been prepared on the going concern basis, which assumes that the Company will be able to realize its assets and discharge its liabilities in the normal course of </w:t>
      </w:r>
      <w:r w:rsidR="00DD20F5">
        <w:rPr>
          <w:rFonts w:cs="Arial"/>
          <w:szCs w:val="20"/>
        </w:rPr>
        <w:t xml:space="preserve">business. As at </w:t>
      </w:r>
      <w:r w:rsidR="0046105F">
        <w:rPr>
          <w:rFonts w:cs="Arial"/>
          <w:szCs w:val="20"/>
        </w:rPr>
        <w:t>July</w:t>
      </w:r>
      <w:r w:rsidR="00DD20F5">
        <w:rPr>
          <w:rFonts w:cs="Arial"/>
          <w:szCs w:val="20"/>
        </w:rPr>
        <w:t xml:space="preserve"> 31, 2019</w:t>
      </w:r>
      <w:r w:rsidRPr="00F60034">
        <w:rPr>
          <w:rFonts w:cs="Arial"/>
          <w:szCs w:val="20"/>
        </w:rPr>
        <w:t>, the Comp</w:t>
      </w:r>
      <w:r w:rsidR="004056B2">
        <w:rPr>
          <w:rFonts w:cs="Arial"/>
          <w:szCs w:val="20"/>
        </w:rPr>
        <w:t xml:space="preserve">any has not earned any revenue </w:t>
      </w:r>
      <w:r w:rsidRPr="00F60034">
        <w:rPr>
          <w:rFonts w:cs="Arial"/>
          <w:szCs w:val="20"/>
        </w:rPr>
        <w:t>and</w:t>
      </w:r>
      <w:r w:rsidR="004056B2">
        <w:rPr>
          <w:rFonts w:cs="Arial"/>
          <w:szCs w:val="20"/>
        </w:rPr>
        <w:t xml:space="preserve"> has</w:t>
      </w:r>
      <w:r w:rsidRPr="00F60034">
        <w:rPr>
          <w:rFonts w:cs="Arial"/>
          <w:szCs w:val="20"/>
        </w:rPr>
        <w:t xml:space="preserve"> an accumulated deficit of $</w:t>
      </w:r>
      <w:r w:rsidR="0050081F" w:rsidRPr="0050081F">
        <w:rPr>
          <w:rFonts w:cs="Arial"/>
          <w:szCs w:val="20"/>
        </w:rPr>
        <w:t>41,392,997</w:t>
      </w:r>
      <w:r w:rsidRPr="00F60034">
        <w:rPr>
          <w:rFonts w:cs="Arial"/>
          <w:szCs w:val="20"/>
        </w:rPr>
        <w:t xml:space="preserve">. The continued operations of the Company are dependent on its ability to generate future cash flows </w:t>
      </w:r>
      <w:r w:rsidR="004056B2">
        <w:rPr>
          <w:rFonts w:cs="Arial"/>
          <w:szCs w:val="20"/>
        </w:rPr>
        <w:t>through</w:t>
      </w:r>
      <w:r w:rsidRPr="00F60034">
        <w:rPr>
          <w:rFonts w:cs="Arial"/>
          <w:szCs w:val="20"/>
        </w:rPr>
        <w:t xml:space="preserve"> additional financing</w:t>
      </w:r>
      <w:r w:rsidR="004056B2">
        <w:rPr>
          <w:rFonts w:cs="Arial"/>
          <w:szCs w:val="20"/>
        </w:rPr>
        <w:t xml:space="preserve"> or commercialization</w:t>
      </w:r>
      <w:r w:rsidRPr="00F60034">
        <w:rPr>
          <w:rFonts w:cs="Arial"/>
          <w:szCs w:val="20"/>
        </w:rPr>
        <w:t>.  These factors raise substantial doubt about the Company’s ability to continue as a going concern</w:t>
      </w:r>
      <w:r w:rsidR="00E73956">
        <w:rPr>
          <w:rFonts w:cs="Arial"/>
          <w:szCs w:val="20"/>
        </w:rPr>
        <w:t xml:space="preserve"> for a period of one year from the issuance of these financial statements</w:t>
      </w:r>
      <w:r w:rsidRPr="00F60034">
        <w:rPr>
          <w:rFonts w:cs="Arial"/>
          <w:szCs w:val="20"/>
        </w:rPr>
        <w:t>.  These</w:t>
      </w:r>
      <w:r w:rsidR="00F37C1E">
        <w:rPr>
          <w:rFonts w:cs="Arial"/>
          <w:szCs w:val="20"/>
        </w:rPr>
        <w:t xml:space="preserve"> </w:t>
      </w:r>
      <w:r w:rsidR="0046105F">
        <w:rPr>
          <w:rFonts w:cs="Arial"/>
          <w:szCs w:val="20"/>
        </w:rPr>
        <w:t xml:space="preserve">condensed </w:t>
      </w:r>
      <w:r w:rsidR="00F37C1E">
        <w:rPr>
          <w:rFonts w:cs="Arial"/>
          <w:szCs w:val="20"/>
        </w:rPr>
        <w:t>consolidated</w:t>
      </w:r>
      <w:r w:rsidR="0046105F">
        <w:rPr>
          <w:rFonts w:cs="Arial"/>
          <w:szCs w:val="20"/>
        </w:rPr>
        <w:t xml:space="preserve"> interim</w:t>
      </w:r>
      <w:r w:rsidRPr="00F60034">
        <w:rPr>
          <w:rFonts w:cs="Arial"/>
          <w:szCs w:val="20"/>
        </w:rPr>
        <w:t xml:space="preserve"> financial statements do not include any adjustments to the recorded assets or liabilities that might be necessary should the Company be unable to continue as a going concern.</w:t>
      </w:r>
    </w:p>
    <w:p w14:paraId="45A2AF79" w14:textId="77777777" w:rsidR="0046105F" w:rsidRDefault="0046105F" w:rsidP="0046105F">
      <w:pPr>
        <w:spacing w:after="0"/>
        <w:rPr>
          <w:lang w:val="en-CA"/>
        </w:rPr>
      </w:pPr>
    </w:p>
    <w:p w14:paraId="0D327DA4" w14:textId="51C45201" w:rsidR="0046105F" w:rsidRPr="0046105F" w:rsidRDefault="0046105F" w:rsidP="0046105F">
      <w:pPr>
        <w:spacing w:after="0"/>
        <w:ind w:left="450"/>
        <w:jc w:val="both"/>
        <w:rPr>
          <w:rFonts w:ascii="Arial" w:hAnsi="Arial" w:cs="Arial"/>
          <w:lang w:val="en-CA"/>
        </w:rPr>
      </w:pPr>
      <w:r w:rsidRPr="0046105F">
        <w:rPr>
          <w:rFonts w:ascii="Arial" w:hAnsi="Arial" w:cs="Arial"/>
          <w:lang w:val="en-CA"/>
        </w:rPr>
        <w:t>The head o</w:t>
      </w:r>
      <w:r>
        <w:rPr>
          <w:rFonts w:ascii="Arial" w:hAnsi="Arial" w:cs="Arial"/>
          <w:lang w:val="en-CA"/>
        </w:rPr>
        <w:t>ffice and principal address of the Company is located at 1275 West 6</w:t>
      </w:r>
      <w:r w:rsidRPr="0046105F">
        <w:rPr>
          <w:rFonts w:ascii="Arial" w:hAnsi="Arial" w:cs="Arial"/>
          <w:vertAlign w:val="superscript"/>
          <w:lang w:val="en-CA"/>
        </w:rPr>
        <w:t>th</w:t>
      </w:r>
      <w:r>
        <w:rPr>
          <w:rFonts w:ascii="Arial" w:hAnsi="Arial" w:cs="Arial"/>
          <w:lang w:val="en-CA"/>
        </w:rPr>
        <w:t xml:space="preserve"> Avenue, Suite 300, Vancouver, British Columbia, V6H 1A6.</w:t>
      </w:r>
    </w:p>
    <w:p w14:paraId="104E6159" w14:textId="77777777" w:rsidR="00F0480A" w:rsidRPr="00F0480A" w:rsidRDefault="00F0480A" w:rsidP="00F15B99">
      <w:pPr>
        <w:spacing w:after="0" w:line="240" w:lineRule="auto"/>
        <w:rPr>
          <w:lang w:val="en-CA"/>
        </w:rPr>
      </w:pPr>
    </w:p>
    <w:p w14:paraId="29F93F04" w14:textId="77777777" w:rsidR="00790828" w:rsidRDefault="00894AEA"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r>
        <w:rPr>
          <w:rFonts w:ascii="Arial" w:hAnsi="Arial" w:cs="Arial"/>
          <w:b/>
          <w:bCs/>
          <w:szCs w:val="20"/>
        </w:rPr>
        <w:t>2</w:t>
      </w:r>
      <w:r w:rsidR="00790828" w:rsidRPr="00F60034">
        <w:rPr>
          <w:rFonts w:ascii="Arial" w:hAnsi="Arial" w:cs="Arial"/>
          <w:b/>
          <w:bCs/>
          <w:szCs w:val="20"/>
        </w:rPr>
        <w:t>.</w:t>
      </w:r>
      <w:r w:rsidR="00790828" w:rsidRPr="00F60034">
        <w:rPr>
          <w:rFonts w:ascii="Arial" w:hAnsi="Arial" w:cs="Arial"/>
          <w:b/>
          <w:bCs/>
          <w:szCs w:val="20"/>
        </w:rPr>
        <w:tab/>
        <w:t>Significant Accounting Policies</w:t>
      </w:r>
    </w:p>
    <w:p w14:paraId="70E98818" w14:textId="77777777" w:rsidR="00F15B99" w:rsidRPr="00F60034"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1" w:hanging="431"/>
        <w:jc w:val="both"/>
        <w:rPr>
          <w:rFonts w:ascii="Arial" w:hAnsi="Arial" w:cs="Arial"/>
          <w:b/>
          <w:bCs/>
          <w:szCs w:val="20"/>
        </w:rPr>
      </w:pPr>
    </w:p>
    <w:p w14:paraId="59F35252" w14:textId="604094CF" w:rsidR="00790828" w:rsidRPr="00F60034" w:rsidRDefault="00790828" w:rsidP="00F15B99">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sidR="007619C6">
        <w:rPr>
          <w:rFonts w:ascii="Arial" w:hAnsi="Arial" w:cs="Arial"/>
          <w:szCs w:val="20"/>
        </w:rPr>
        <w:t>Compliance</w:t>
      </w:r>
    </w:p>
    <w:p w14:paraId="186984F3"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6A9F3C5" w14:textId="237300CB" w:rsidR="00790828" w:rsidRDefault="009358AC"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9358AC">
        <w:rPr>
          <w:rFonts w:ascii="Arial" w:hAnsi="Arial" w:cs="Arial"/>
          <w:szCs w:val="20"/>
        </w:rPr>
        <w:t xml:space="preserve">The Company prepared these </w:t>
      </w:r>
      <w:r w:rsidR="0046105F">
        <w:rPr>
          <w:rFonts w:ascii="Arial" w:hAnsi="Arial" w:cs="Arial"/>
          <w:szCs w:val="20"/>
        </w:rPr>
        <w:t xml:space="preserve">condensed </w:t>
      </w:r>
      <w:r w:rsidRPr="009358AC">
        <w:rPr>
          <w:rFonts w:ascii="Arial" w:hAnsi="Arial" w:cs="Arial"/>
          <w:szCs w:val="20"/>
        </w:rPr>
        <w:t xml:space="preserve">consolidated </w:t>
      </w:r>
      <w:r w:rsidR="0046105F">
        <w:rPr>
          <w:rFonts w:ascii="Arial" w:hAnsi="Arial" w:cs="Arial"/>
          <w:szCs w:val="20"/>
        </w:rPr>
        <w:t xml:space="preserve">interim </w:t>
      </w:r>
      <w:r w:rsidRPr="009358AC">
        <w:rPr>
          <w:rFonts w:ascii="Arial" w:hAnsi="Arial" w:cs="Arial"/>
          <w:szCs w:val="20"/>
        </w:rPr>
        <w:t xml:space="preserve">financial statements in accordance with </w:t>
      </w:r>
      <w:r w:rsidR="00DF5969">
        <w:rPr>
          <w:rFonts w:ascii="Arial" w:hAnsi="Arial" w:cs="Arial"/>
          <w:szCs w:val="20"/>
        </w:rPr>
        <w:t xml:space="preserve">International Accounting Standards (“IAS”) 34, “Interim Financial Reporting” using accounting policies consistent with </w:t>
      </w:r>
      <w:r w:rsidRPr="009358AC">
        <w:rPr>
          <w:rFonts w:ascii="Arial" w:hAnsi="Arial" w:cs="Arial"/>
          <w:szCs w:val="20"/>
        </w:rPr>
        <w:t>International</w:t>
      </w:r>
      <w:r>
        <w:rPr>
          <w:rFonts w:ascii="Arial" w:hAnsi="Arial" w:cs="Arial"/>
          <w:szCs w:val="20"/>
        </w:rPr>
        <w:t xml:space="preserve"> </w:t>
      </w:r>
      <w:r w:rsidRPr="009358AC">
        <w:rPr>
          <w:rFonts w:ascii="Arial" w:hAnsi="Arial" w:cs="Arial"/>
          <w:szCs w:val="20"/>
        </w:rPr>
        <w:t>Financial Reporting Standards (“IFRS”) as issued by the International Accounting Standards Board</w:t>
      </w:r>
      <w:r>
        <w:rPr>
          <w:rFonts w:ascii="Arial" w:hAnsi="Arial" w:cs="Arial"/>
          <w:szCs w:val="20"/>
        </w:rPr>
        <w:t xml:space="preserve"> </w:t>
      </w:r>
      <w:r w:rsidRPr="009358AC">
        <w:rPr>
          <w:rFonts w:ascii="Arial" w:hAnsi="Arial" w:cs="Arial"/>
          <w:szCs w:val="20"/>
        </w:rPr>
        <w:t>and interpretations of the IFRS Interpretations Committee (“IFRIC”).</w:t>
      </w:r>
      <w:r w:rsidR="00790828" w:rsidRPr="00F60034">
        <w:rPr>
          <w:rFonts w:ascii="Arial" w:hAnsi="Arial" w:cs="Arial"/>
          <w:szCs w:val="20"/>
        </w:rPr>
        <w:t xml:space="preserve">   </w:t>
      </w:r>
      <w:r w:rsidR="00511CCF">
        <w:rPr>
          <w:rFonts w:ascii="Arial" w:hAnsi="Arial" w:cs="Arial"/>
          <w:szCs w:val="20"/>
        </w:rPr>
        <w:t>They do not include all of the information required for full annual financial statements in compliance with IAS 1, “Presentation of Financial Statements”.</w:t>
      </w:r>
    </w:p>
    <w:p w14:paraId="231E2C21"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E076E04" w14:textId="15DB8D85"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 xml:space="preserve">The preparation of these condensed consolidated interim financial statements resulted in changes to the accounting policies as compared with the most recent annual financial statements prepared under </w:t>
      </w:r>
      <w:r w:rsidRPr="00843670">
        <w:rPr>
          <w:rFonts w:ascii="Arial" w:hAnsi="Arial" w:cs="Arial"/>
          <w:szCs w:val="20"/>
        </w:rPr>
        <w:t xml:space="preserve">United States Generally Accepted Accounting Principles </w:t>
      </w:r>
      <w:r>
        <w:rPr>
          <w:rFonts w:ascii="Arial" w:hAnsi="Arial" w:cs="Arial"/>
          <w:szCs w:val="20"/>
        </w:rPr>
        <w:t>(“U.S. GAAP”).  The accounting policies set out below have been applied consistently to all periods presented in these condensed consolidated interim financial statements.  They also have been applied in preparing an opening IFRS statement of financial position as at February 1, 2018 for the purposes of the transition to IFRS, as required by IFRS 1 “First-Time Adoption of International Financial Reporting Standards” (“IFRS 1”).  The impact of the transition from U.S. GAAP to IFRS is explained in Note 2</w:t>
      </w:r>
      <w:r w:rsidR="00824168">
        <w:rPr>
          <w:rFonts w:ascii="Arial" w:hAnsi="Arial" w:cs="Arial"/>
          <w:szCs w:val="20"/>
        </w:rPr>
        <w:t>2</w:t>
      </w:r>
      <w:r>
        <w:rPr>
          <w:rFonts w:ascii="Arial" w:hAnsi="Arial" w:cs="Arial"/>
          <w:szCs w:val="20"/>
        </w:rPr>
        <w:t>.</w:t>
      </w:r>
      <w:r w:rsidRPr="009358AC">
        <w:rPr>
          <w:rFonts w:ascii="Arial" w:hAnsi="Arial" w:cs="Arial"/>
          <w:szCs w:val="20"/>
        </w:rPr>
        <w:t xml:space="preserve"> </w:t>
      </w:r>
    </w:p>
    <w:p w14:paraId="2E147163"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5CD4E2A3" w14:textId="64E2ABBA"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9358AC">
        <w:rPr>
          <w:rFonts w:ascii="Arial" w:hAnsi="Arial" w:cs="Arial"/>
          <w:szCs w:val="20"/>
        </w:rPr>
        <w:t xml:space="preserve">These </w:t>
      </w:r>
      <w:r>
        <w:rPr>
          <w:rFonts w:ascii="Arial" w:hAnsi="Arial" w:cs="Arial"/>
          <w:szCs w:val="20"/>
        </w:rPr>
        <w:t xml:space="preserve">condensed </w:t>
      </w:r>
      <w:r w:rsidRPr="009358AC">
        <w:rPr>
          <w:rFonts w:ascii="Arial" w:hAnsi="Arial" w:cs="Arial"/>
          <w:szCs w:val="20"/>
        </w:rPr>
        <w:t xml:space="preserve">consolidated </w:t>
      </w:r>
      <w:r>
        <w:rPr>
          <w:rFonts w:ascii="Arial" w:hAnsi="Arial" w:cs="Arial"/>
          <w:szCs w:val="20"/>
        </w:rPr>
        <w:t xml:space="preserve">interim </w:t>
      </w:r>
      <w:r w:rsidRPr="009358AC">
        <w:rPr>
          <w:rFonts w:ascii="Arial" w:hAnsi="Arial" w:cs="Arial"/>
          <w:szCs w:val="20"/>
        </w:rPr>
        <w:t>financial statements were approved by the Board of Directors</w:t>
      </w:r>
      <w:r>
        <w:rPr>
          <w:rFonts w:ascii="Arial" w:hAnsi="Arial" w:cs="Arial"/>
          <w:szCs w:val="20"/>
        </w:rPr>
        <w:t xml:space="preserve"> </w:t>
      </w:r>
      <w:r w:rsidRPr="009358AC">
        <w:rPr>
          <w:rFonts w:ascii="Arial" w:hAnsi="Arial" w:cs="Arial"/>
          <w:szCs w:val="20"/>
        </w:rPr>
        <w:t xml:space="preserve">and authorized for issue on </w:t>
      </w:r>
      <w:r>
        <w:rPr>
          <w:rFonts w:ascii="Arial" w:hAnsi="Arial" w:cs="Arial"/>
          <w:szCs w:val="20"/>
        </w:rPr>
        <w:t xml:space="preserve">September </w:t>
      </w:r>
      <w:r w:rsidR="00BC3E90">
        <w:rPr>
          <w:rFonts w:ascii="Arial" w:hAnsi="Arial" w:cs="Arial"/>
          <w:szCs w:val="20"/>
        </w:rPr>
        <w:t>30</w:t>
      </w:r>
      <w:r>
        <w:rPr>
          <w:rFonts w:ascii="Arial" w:hAnsi="Arial" w:cs="Arial"/>
          <w:szCs w:val="20"/>
        </w:rPr>
        <w:t>, 2019.</w:t>
      </w:r>
    </w:p>
    <w:p w14:paraId="214423D3"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E7C9428" w14:textId="75602D56" w:rsidR="007619C6" w:rsidRPr="00F60034" w:rsidRDefault="007619C6"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4"/>
        <w:jc w:val="both"/>
        <w:rPr>
          <w:rFonts w:ascii="Arial" w:hAnsi="Arial" w:cs="Arial"/>
          <w:szCs w:val="20"/>
        </w:rPr>
      </w:pPr>
      <w:r w:rsidRPr="00F60034">
        <w:rPr>
          <w:rFonts w:ascii="Arial" w:hAnsi="Arial" w:cs="Arial"/>
          <w:szCs w:val="20"/>
        </w:rPr>
        <w:t xml:space="preserve">Basis of </w:t>
      </w:r>
      <w:r>
        <w:rPr>
          <w:rFonts w:ascii="Arial" w:hAnsi="Arial" w:cs="Arial"/>
          <w:szCs w:val="20"/>
        </w:rPr>
        <w:t>Measurement and Presentation</w:t>
      </w:r>
    </w:p>
    <w:p w14:paraId="315394B4"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00D2A6C2" w14:textId="1640282D" w:rsidR="00843670" w:rsidRDefault="0084367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These</w:t>
      </w:r>
      <w:r w:rsidR="00DF5969">
        <w:rPr>
          <w:rFonts w:ascii="Arial" w:hAnsi="Arial" w:cs="Arial"/>
          <w:szCs w:val="20"/>
        </w:rPr>
        <w:t xml:space="preserve"> condensed</w:t>
      </w:r>
      <w:r w:rsidRPr="009358AC">
        <w:rPr>
          <w:rFonts w:ascii="Arial" w:hAnsi="Arial" w:cs="Arial"/>
          <w:szCs w:val="20"/>
        </w:rPr>
        <w:t xml:space="preserve"> </w:t>
      </w:r>
      <w:r w:rsidRPr="00D936B8">
        <w:rPr>
          <w:rFonts w:ascii="Arial" w:hAnsi="Arial" w:cs="Arial"/>
          <w:szCs w:val="20"/>
        </w:rPr>
        <w:t xml:space="preserve">consolidated </w:t>
      </w:r>
      <w:r w:rsidR="00DF5969">
        <w:rPr>
          <w:rFonts w:ascii="Arial" w:hAnsi="Arial" w:cs="Arial"/>
          <w:szCs w:val="20"/>
        </w:rPr>
        <w:t xml:space="preserve">interim </w:t>
      </w:r>
      <w:r w:rsidRPr="00D936B8">
        <w:rPr>
          <w:rFonts w:ascii="Arial" w:hAnsi="Arial" w:cs="Arial"/>
          <w:szCs w:val="20"/>
        </w:rPr>
        <w:t>financial statements have been prepared on a historical cost basis, except for</w:t>
      </w:r>
      <w:r>
        <w:rPr>
          <w:rFonts w:ascii="Arial" w:hAnsi="Arial" w:cs="Arial"/>
          <w:szCs w:val="20"/>
        </w:rPr>
        <w:t xml:space="preserve"> </w:t>
      </w:r>
      <w:r w:rsidRPr="00D936B8">
        <w:rPr>
          <w:rFonts w:ascii="Arial" w:hAnsi="Arial" w:cs="Arial"/>
          <w:szCs w:val="20"/>
        </w:rPr>
        <w:t>cash and financial instruments classified as fair value through profit or loss that</w:t>
      </w:r>
      <w:r>
        <w:rPr>
          <w:rFonts w:ascii="Arial" w:hAnsi="Arial" w:cs="Arial"/>
          <w:szCs w:val="20"/>
        </w:rPr>
        <w:t xml:space="preserve"> </w:t>
      </w:r>
      <w:r w:rsidRPr="00D936B8">
        <w:rPr>
          <w:rFonts w:ascii="Arial" w:hAnsi="Arial" w:cs="Arial"/>
          <w:szCs w:val="20"/>
        </w:rPr>
        <w:t xml:space="preserve">have been measured at fair value and are presented in </w:t>
      </w:r>
      <w:r>
        <w:rPr>
          <w:rFonts w:ascii="Arial" w:hAnsi="Arial" w:cs="Arial"/>
          <w:szCs w:val="20"/>
        </w:rPr>
        <w:t>Canadian</w:t>
      </w:r>
      <w:r w:rsidRPr="00D936B8">
        <w:rPr>
          <w:rFonts w:ascii="Arial" w:hAnsi="Arial" w:cs="Arial"/>
          <w:szCs w:val="20"/>
        </w:rPr>
        <w:t xml:space="preserve"> dollars</w:t>
      </w:r>
      <w:r>
        <w:rPr>
          <w:rFonts w:ascii="Arial" w:hAnsi="Arial" w:cs="Arial"/>
          <w:szCs w:val="20"/>
        </w:rPr>
        <w:t>.</w:t>
      </w:r>
    </w:p>
    <w:p w14:paraId="578FBD43" w14:textId="77777777" w:rsidR="00F15B99" w:rsidRDefault="00F15B9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2C1C3C3C" w14:textId="3F87EE7C" w:rsidR="009358AC" w:rsidRDefault="009358AC"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32B4B9F5" w14:textId="5A4ECB03" w:rsidR="008B680A" w:rsidRPr="00F60034" w:rsidRDefault="008B680A" w:rsidP="008B680A">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37AAE8E0" w14:textId="77777777" w:rsidR="008B680A" w:rsidRDefault="008B680A"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0F495860" w14:textId="77777777" w:rsidR="000645D8" w:rsidRPr="000645D8" w:rsidRDefault="000645D8" w:rsidP="00F15B99">
      <w:pPr>
        <w:pStyle w:val="ListParagraph"/>
        <w:numPr>
          <w:ilvl w:val="0"/>
          <w:numId w:val="20"/>
        </w:numPr>
        <w:tabs>
          <w:tab w:val="left" w:pos="810"/>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jc w:val="both"/>
        <w:rPr>
          <w:rFonts w:ascii="Arial" w:hAnsi="Arial" w:cs="Arial"/>
          <w:szCs w:val="20"/>
        </w:rPr>
      </w:pPr>
      <w:r>
        <w:rPr>
          <w:rFonts w:ascii="Arial" w:hAnsi="Arial" w:cs="Arial"/>
          <w:szCs w:val="20"/>
        </w:rPr>
        <w:t>Basis of Consolidation</w:t>
      </w:r>
    </w:p>
    <w:p w14:paraId="46B08D95" w14:textId="396DC024"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2"/>
        <w:jc w:val="both"/>
        <w:rPr>
          <w:rFonts w:ascii="Arial" w:hAnsi="Arial" w:cs="Arial"/>
          <w:szCs w:val="20"/>
        </w:rPr>
      </w:pPr>
    </w:p>
    <w:p w14:paraId="1E7CD7B5" w14:textId="59A4DF29" w:rsidR="00F15B99"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Pr>
          <w:rFonts w:ascii="Arial" w:hAnsi="Arial" w:cs="Arial"/>
          <w:szCs w:val="20"/>
        </w:rPr>
        <w:t xml:space="preserve">The </w:t>
      </w:r>
      <w:r w:rsidR="008B680A">
        <w:rPr>
          <w:rFonts w:ascii="Arial" w:hAnsi="Arial" w:cs="Arial"/>
          <w:szCs w:val="20"/>
        </w:rPr>
        <w:t>condensed consolidated interim financial statements</w:t>
      </w:r>
      <w:r>
        <w:rPr>
          <w:rFonts w:ascii="Arial" w:hAnsi="Arial" w:cs="Arial"/>
          <w:szCs w:val="20"/>
        </w:rPr>
        <w:t xml:space="preserve"> incorporate the financial statements of the Company and entities controlled by the Company.  Control is achieved where the Company has the power to govern the financial and operating policies of an entity so as to obtain benefits from its activities.  </w:t>
      </w:r>
    </w:p>
    <w:p w14:paraId="6862564B" w14:textId="77777777"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p w14:paraId="0BD01266" w14:textId="366C00AA" w:rsidR="000645D8" w:rsidRDefault="000645D8"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r>
        <w:rPr>
          <w:rFonts w:ascii="Arial" w:hAnsi="Arial" w:cs="Arial"/>
          <w:szCs w:val="20"/>
        </w:rPr>
        <w:t>The consolidating entities include:</w:t>
      </w:r>
    </w:p>
    <w:p w14:paraId="1F95619A" w14:textId="77777777" w:rsidR="00F15B99" w:rsidRDefault="00F15B99" w:rsidP="00F15B99">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firstLine="16"/>
        <w:jc w:val="both"/>
        <w:rPr>
          <w:rFonts w:ascii="Arial" w:hAnsi="Arial" w:cs="Arial"/>
          <w:szCs w:val="20"/>
        </w:rPr>
      </w:pPr>
    </w:p>
    <w:tbl>
      <w:tblPr>
        <w:tblW w:w="7229" w:type="dxa"/>
        <w:tblInd w:w="1080" w:type="dxa"/>
        <w:tblLayout w:type="fixed"/>
        <w:tblCellMar>
          <w:left w:w="0" w:type="dxa"/>
          <w:right w:w="0" w:type="dxa"/>
        </w:tblCellMar>
        <w:tblLook w:val="0000" w:firstRow="0" w:lastRow="0" w:firstColumn="0" w:lastColumn="0" w:noHBand="0" w:noVBand="0"/>
      </w:tblPr>
      <w:tblGrid>
        <w:gridCol w:w="4140"/>
        <w:gridCol w:w="1530"/>
        <w:gridCol w:w="1559"/>
      </w:tblGrid>
      <w:tr w:rsidR="00D960D2" w:rsidRPr="00F60034" w14:paraId="4923AA40" w14:textId="77777777" w:rsidTr="00D960D2">
        <w:tc>
          <w:tcPr>
            <w:tcW w:w="4140" w:type="dxa"/>
            <w:tcBorders>
              <w:top w:val="nil"/>
              <w:left w:val="nil"/>
              <w:bottom w:val="single" w:sz="4" w:space="0" w:color="auto"/>
            </w:tcBorders>
            <w:vAlign w:val="bottom"/>
          </w:tcPr>
          <w:p w14:paraId="485E9D62" w14:textId="77777777" w:rsidR="00D960D2" w:rsidRPr="00F60034" w:rsidRDefault="00D960D2" w:rsidP="00F15B99">
            <w:pPr>
              <w:spacing w:after="0" w:line="240" w:lineRule="auto"/>
              <w:rPr>
                <w:rFonts w:ascii="Arial" w:hAnsi="Arial" w:cs="Arial"/>
                <w:szCs w:val="20"/>
              </w:rPr>
            </w:pPr>
            <w:r w:rsidRPr="00F60034">
              <w:rPr>
                <w:rFonts w:ascii="Arial" w:hAnsi="Arial" w:cs="Arial"/>
                <w:b/>
                <w:bCs/>
                <w:szCs w:val="20"/>
              </w:rPr>
              <w:tab/>
            </w:r>
          </w:p>
        </w:tc>
        <w:tc>
          <w:tcPr>
            <w:tcW w:w="1530" w:type="dxa"/>
            <w:tcBorders>
              <w:top w:val="nil"/>
              <w:left w:val="nil"/>
              <w:bottom w:val="single" w:sz="4" w:space="0" w:color="auto"/>
              <w:right w:val="nil"/>
            </w:tcBorders>
            <w:vAlign w:val="bottom"/>
          </w:tcPr>
          <w:p w14:paraId="70C899A2"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 of ownership</w:t>
            </w:r>
          </w:p>
        </w:tc>
        <w:tc>
          <w:tcPr>
            <w:tcW w:w="1559" w:type="dxa"/>
            <w:tcBorders>
              <w:top w:val="nil"/>
              <w:left w:val="nil"/>
              <w:bottom w:val="single" w:sz="4" w:space="0" w:color="auto"/>
              <w:right w:val="nil"/>
            </w:tcBorders>
            <w:vAlign w:val="bottom"/>
          </w:tcPr>
          <w:p w14:paraId="5ABABE4E" w14:textId="77777777" w:rsidR="00D960D2" w:rsidRPr="00F60034" w:rsidRDefault="00D960D2" w:rsidP="00F15B99">
            <w:pPr>
              <w:spacing w:after="0" w:line="240" w:lineRule="auto"/>
              <w:jc w:val="center"/>
              <w:rPr>
                <w:rFonts w:ascii="Arial" w:hAnsi="Arial" w:cs="Arial"/>
                <w:szCs w:val="20"/>
              </w:rPr>
            </w:pPr>
            <w:r>
              <w:rPr>
                <w:rFonts w:ascii="Arial" w:hAnsi="Arial" w:cs="Arial"/>
                <w:szCs w:val="20"/>
              </w:rPr>
              <w:t>Jurisdiction</w:t>
            </w:r>
          </w:p>
        </w:tc>
      </w:tr>
      <w:tr w:rsidR="00D960D2" w:rsidRPr="00F60034" w14:paraId="7C26C2B7" w14:textId="77777777" w:rsidTr="00D960D2">
        <w:trPr>
          <w:trHeight w:hRule="exact" w:val="113"/>
        </w:trPr>
        <w:tc>
          <w:tcPr>
            <w:tcW w:w="4140" w:type="dxa"/>
            <w:tcBorders>
              <w:top w:val="single" w:sz="4" w:space="0" w:color="auto"/>
              <w:left w:val="nil"/>
            </w:tcBorders>
            <w:vAlign w:val="bottom"/>
          </w:tcPr>
          <w:p w14:paraId="78473303"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5E7CEB28" w14:textId="77777777" w:rsidR="00D960D2" w:rsidRPr="00F60034" w:rsidRDefault="00D960D2" w:rsidP="00F15B99">
            <w:pPr>
              <w:spacing w:after="0" w:line="240" w:lineRule="auto"/>
              <w:ind w:right="369"/>
              <w:jc w:val="right"/>
              <w:rPr>
                <w:rFonts w:ascii="Arial" w:hAnsi="Arial" w:cs="Arial"/>
                <w:szCs w:val="20"/>
              </w:rPr>
            </w:pPr>
          </w:p>
        </w:tc>
        <w:tc>
          <w:tcPr>
            <w:tcW w:w="1559" w:type="dxa"/>
            <w:tcBorders>
              <w:top w:val="single" w:sz="4" w:space="0" w:color="auto"/>
              <w:left w:val="nil"/>
              <w:right w:val="nil"/>
            </w:tcBorders>
            <w:vAlign w:val="bottom"/>
          </w:tcPr>
          <w:p w14:paraId="79563B1D" w14:textId="77777777" w:rsidR="00D960D2" w:rsidRPr="00F60034" w:rsidRDefault="00D960D2" w:rsidP="00F15B99">
            <w:pPr>
              <w:spacing w:after="0" w:line="240" w:lineRule="auto"/>
              <w:ind w:right="369"/>
              <w:jc w:val="right"/>
              <w:rPr>
                <w:rFonts w:ascii="Arial" w:hAnsi="Arial" w:cs="Arial"/>
                <w:szCs w:val="20"/>
              </w:rPr>
            </w:pPr>
          </w:p>
        </w:tc>
      </w:tr>
      <w:tr w:rsidR="00D960D2" w:rsidRPr="00F60034" w14:paraId="56AB5709" w14:textId="77777777" w:rsidTr="00D960D2">
        <w:tc>
          <w:tcPr>
            <w:tcW w:w="4140" w:type="dxa"/>
            <w:tcBorders>
              <w:left w:val="nil"/>
            </w:tcBorders>
            <w:vAlign w:val="bottom"/>
          </w:tcPr>
          <w:p w14:paraId="7608D7FE" w14:textId="77777777" w:rsidR="00D960D2" w:rsidRPr="00F60034" w:rsidRDefault="00D960D2" w:rsidP="00F15B99">
            <w:pPr>
              <w:spacing w:after="0" w:line="240" w:lineRule="auto"/>
              <w:rPr>
                <w:rFonts w:ascii="Arial" w:hAnsi="Arial" w:cs="Arial"/>
                <w:szCs w:val="20"/>
              </w:rPr>
            </w:pPr>
            <w:r>
              <w:rPr>
                <w:rFonts w:ascii="Arial" w:hAnsi="Arial" w:cs="Arial"/>
                <w:szCs w:val="20"/>
              </w:rPr>
              <w:t>Pivot Pharmaceuticals Inc.</w:t>
            </w:r>
          </w:p>
        </w:tc>
        <w:tc>
          <w:tcPr>
            <w:tcW w:w="1530" w:type="dxa"/>
            <w:tcBorders>
              <w:left w:val="nil"/>
              <w:right w:val="nil"/>
            </w:tcBorders>
            <w:vAlign w:val="bottom"/>
          </w:tcPr>
          <w:p w14:paraId="4C5332AB"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Parent</w:t>
            </w:r>
          </w:p>
        </w:tc>
        <w:tc>
          <w:tcPr>
            <w:tcW w:w="1559" w:type="dxa"/>
            <w:tcBorders>
              <w:left w:val="nil"/>
              <w:right w:val="nil"/>
            </w:tcBorders>
            <w:vAlign w:val="bottom"/>
          </w:tcPr>
          <w:p w14:paraId="2ECBACA7"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Canada</w:t>
            </w:r>
          </w:p>
        </w:tc>
      </w:tr>
      <w:tr w:rsidR="00D960D2" w:rsidRPr="00F60034" w14:paraId="71D5B8E5" w14:textId="77777777" w:rsidTr="00D960D2">
        <w:tc>
          <w:tcPr>
            <w:tcW w:w="4140" w:type="dxa"/>
            <w:tcBorders>
              <w:left w:val="nil"/>
            </w:tcBorders>
            <w:vAlign w:val="bottom"/>
          </w:tcPr>
          <w:p w14:paraId="0636E258" w14:textId="77777777" w:rsidR="00D960D2" w:rsidRPr="00F60034" w:rsidRDefault="00894AEA" w:rsidP="00F15B99">
            <w:pPr>
              <w:spacing w:after="0" w:line="240" w:lineRule="auto"/>
              <w:rPr>
                <w:rFonts w:ascii="Arial" w:hAnsi="Arial" w:cs="Arial"/>
                <w:szCs w:val="20"/>
              </w:rPr>
            </w:pPr>
            <w:r>
              <w:rPr>
                <w:rFonts w:ascii="Arial" w:hAnsi="Arial" w:cs="Arial"/>
                <w:szCs w:val="20"/>
              </w:rPr>
              <w:t>Pivot Green Stream Health Solutions</w:t>
            </w:r>
            <w:r w:rsidR="00D960D2">
              <w:rPr>
                <w:rFonts w:ascii="Arial" w:hAnsi="Arial" w:cs="Arial"/>
                <w:szCs w:val="20"/>
              </w:rPr>
              <w:t xml:space="preserve"> Inc.</w:t>
            </w:r>
          </w:p>
        </w:tc>
        <w:tc>
          <w:tcPr>
            <w:tcW w:w="1530" w:type="dxa"/>
            <w:tcBorders>
              <w:left w:val="nil"/>
              <w:right w:val="nil"/>
            </w:tcBorders>
            <w:vAlign w:val="bottom"/>
          </w:tcPr>
          <w:p w14:paraId="0295F6EE" w14:textId="77777777" w:rsidR="00D960D2" w:rsidRPr="00F60034" w:rsidRDefault="00D960D2" w:rsidP="00F15B99">
            <w:pPr>
              <w:spacing w:after="0" w:line="240" w:lineRule="auto"/>
              <w:ind w:right="173"/>
              <w:jc w:val="center"/>
              <w:rPr>
                <w:rFonts w:ascii="Arial" w:hAnsi="Arial" w:cs="Arial"/>
                <w:szCs w:val="20"/>
              </w:rPr>
            </w:pPr>
            <w:r>
              <w:rPr>
                <w:rFonts w:ascii="Arial" w:hAnsi="Arial" w:cs="Arial"/>
                <w:szCs w:val="20"/>
              </w:rPr>
              <w:t>100%</w:t>
            </w:r>
          </w:p>
        </w:tc>
        <w:tc>
          <w:tcPr>
            <w:tcW w:w="1559" w:type="dxa"/>
            <w:tcBorders>
              <w:left w:val="nil"/>
              <w:right w:val="nil"/>
            </w:tcBorders>
            <w:vAlign w:val="bottom"/>
          </w:tcPr>
          <w:p w14:paraId="4E2EBB56" w14:textId="77777777" w:rsidR="00D960D2" w:rsidRPr="00F60034" w:rsidRDefault="00894AEA" w:rsidP="00F15B99">
            <w:pPr>
              <w:spacing w:after="0" w:line="240" w:lineRule="auto"/>
              <w:ind w:right="173"/>
              <w:jc w:val="center"/>
              <w:rPr>
                <w:rFonts w:ascii="Arial" w:hAnsi="Arial" w:cs="Arial"/>
                <w:szCs w:val="20"/>
              </w:rPr>
            </w:pPr>
            <w:r>
              <w:rPr>
                <w:rFonts w:ascii="Arial" w:hAnsi="Arial" w:cs="Arial"/>
                <w:szCs w:val="20"/>
              </w:rPr>
              <w:t>Canada</w:t>
            </w:r>
          </w:p>
        </w:tc>
      </w:tr>
      <w:tr w:rsidR="009358AC" w:rsidRPr="00F60034" w14:paraId="618F9F20" w14:textId="77777777" w:rsidTr="00D960D2">
        <w:tc>
          <w:tcPr>
            <w:tcW w:w="4140" w:type="dxa"/>
            <w:tcBorders>
              <w:left w:val="nil"/>
            </w:tcBorders>
            <w:vAlign w:val="bottom"/>
          </w:tcPr>
          <w:p w14:paraId="1C8C058B" w14:textId="554B8AF3" w:rsidR="009358AC" w:rsidRDefault="009358AC" w:rsidP="00F15B99">
            <w:pPr>
              <w:spacing w:after="0" w:line="240" w:lineRule="auto"/>
              <w:rPr>
                <w:rFonts w:ascii="Arial" w:hAnsi="Arial" w:cs="Arial"/>
                <w:szCs w:val="20"/>
              </w:rPr>
            </w:pPr>
            <w:r>
              <w:rPr>
                <w:rFonts w:ascii="Arial" w:hAnsi="Arial" w:cs="Arial"/>
                <w:szCs w:val="20"/>
              </w:rPr>
              <w:t>Pivot Naturals, LLC</w:t>
            </w:r>
          </w:p>
        </w:tc>
        <w:tc>
          <w:tcPr>
            <w:tcW w:w="1530" w:type="dxa"/>
            <w:tcBorders>
              <w:left w:val="nil"/>
              <w:right w:val="nil"/>
            </w:tcBorders>
            <w:vAlign w:val="bottom"/>
          </w:tcPr>
          <w:p w14:paraId="42BD57C6" w14:textId="10BC8A8F"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559" w:type="dxa"/>
            <w:tcBorders>
              <w:left w:val="nil"/>
              <w:right w:val="nil"/>
            </w:tcBorders>
            <w:vAlign w:val="bottom"/>
          </w:tcPr>
          <w:p w14:paraId="74DD1C32" w14:textId="6D3476C0" w:rsidR="009358AC" w:rsidRDefault="009358AC" w:rsidP="00F15B99">
            <w:pPr>
              <w:spacing w:after="0" w:line="240" w:lineRule="auto"/>
              <w:ind w:right="173"/>
              <w:jc w:val="center"/>
              <w:rPr>
                <w:rFonts w:ascii="Arial" w:hAnsi="Arial" w:cs="Arial"/>
                <w:szCs w:val="20"/>
              </w:rPr>
            </w:pPr>
            <w:r>
              <w:rPr>
                <w:rFonts w:ascii="Arial" w:hAnsi="Arial" w:cs="Arial"/>
                <w:szCs w:val="20"/>
              </w:rPr>
              <w:t>U.S.A.</w:t>
            </w:r>
          </w:p>
        </w:tc>
      </w:tr>
      <w:tr w:rsidR="009358AC" w:rsidRPr="00F60034" w14:paraId="03DE9E74" w14:textId="77777777" w:rsidTr="00D960D2">
        <w:tc>
          <w:tcPr>
            <w:tcW w:w="4140" w:type="dxa"/>
            <w:tcBorders>
              <w:left w:val="nil"/>
            </w:tcBorders>
            <w:vAlign w:val="bottom"/>
          </w:tcPr>
          <w:p w14:paraId="6B0FD1CF" w14:textId="4E1E6AE9" w:rsidR="009358AC" w:rsidRDefault="009358AC" w:rsidP="00F15B99">
            <w:pPr>
              <w:spacing w:after="0" w:line="240" w:lineRule="auto"/>
              <w:rPr>
                <w:rFonts w:ascii="Arial" w:hAnsi="Arial" w:cs="Arial"/>
                <w:szCs w:val="20"/>
              </w:rPr>
            </w:pPr>
            <w:r>
              <w:rPr>
                <w:rFonts w:ascii="Arial" w:hAnsi="Arial" w:cs="Arial"/>
                <w:szCs w:val="20"/>
              </w:rPr>
              <w:t>Thrudermic, LLC</w:t>
            </w:r>
          </w:p>
        </w:tc>
        <w:tc>
          <w:tcPr>
            <w:tcW w:w="1530" w:type="dxa"/>
            <w:tcBorders>
              <w:left w:val="nil"/>
              <w:right w:val="nil"/>
            </w:tcBorders>
            <w:vAlign w:val="bottom"/>
          </w:tcPr>
          <w:p w14:paraId="58F0E211" w14:textId="7FF8564A" w:rsidR="009358AC" w:rsidRDefault="009358AC" w:rsidP="00F15B99">
            <w:pPr>
              <w:spacing w:after="0" w:line="240" w:lineRule="auto"/>
              <w:ind w:right="173"/>
              <w:jc w:val="center"/>
              <w:rPr>
                <w:rFonts w:ascii="Arial" w:hAnsi="Arial" w:cs="Arial"/>
                <w:szCs w:val="20"/>
              </w:rPr>
            </w:pPr>
            <w:r>
              <w:rPr>
                <w:rFonts w:ascii="Arial" w:hAnsi="Arial" w:cs="Arial"/>
                <w:szCs w:val="20"/>
              </w:rPr>
              <w:t>100%</w:t>
            </w:r>
          </w:p>
        </w:tc>
        <w:tc>
          <w:tcPr>
            <w:tcW w:w="1559" w:type="dxa"/>
            <w:tcBorders>
              <w:left w:val="nil"/>
              <w:right w:val="nil"/>
            </w:tcBorders>
            <w:vAlign w:val="bottom"/>
          </w:tcPr>
          <w:p w14:paraId="2C1D875C" w14:textId="7513596E" w:rsidR="009358AC" w:rsidRDefault="009358AC" w:rsidP="00F15B99">
            <w:pPr>
              <w:spacing w:after="0" w:line="240" w:lineRule="auto"/>
              <w:ind w:right="173"/>
              <w:jc w:val="center"/>
              <w:rPr>
                <w:rFonts w:ascii="Arial" w:hAnsi="Arial" w:cs="Arial"/>
                <w:szCs w:val="20"/>
              </w:rPr>
            </w:pPr>
            <w:r>
              <w:rPr>
                <w:rFonts w:ascii="Arial" w:hAnsi="Arial" w:cs="Arial"/>
                <w:szCs w:val="20"/>
              </w:rPr>
              <w:t>U.S.A.</w:t>
            </w:r>
          </w:p>
        </w:tc>
      </w:tr>
      <w:tr w:rsidR="00D960D2" w:rsidRPr="00F60034" w14:paraId="6F164956" w14:textId="77777777" w:rsidTr="00D960D2">
        <w:trPr>
          <w:trHeight w:hRule="exact" w:val="86"/>
        </w:trPr>
        <w:tc>
          <w:tcPr>
            <w:tcW w:w="4140" w:type="dxa"/>
            <w:tcBorders>
              <w:top w:val="single" w:sz="4" w:space="0" w:color="auto"/>
              <w:left w:val="nil"/>
            </w:tcBorders>
            <w:vAlign w:val="bottom"/>
          </w:tcPr>
          <w:p w14:paraId="2F231431" w14:textId="77777777" w:rsidR="00D960D2" w:rsidRPr="00F60034" w:rsidRDefault="00D960D2" w:rsidP="00F15B99">
            <w:pPr>
              <w:spacing w:after="0" w:line="240" w:lineRule="auto"/>
              <w:rPr>
                <w:rFonts w:ascii="Arial" w:hAnsi="Arial" w:cs="Arial"/>
                <w:szCs w:val="20"/>
              </w:rPr>
            </w:pPr>
          </w:p>
        </w:tc>
        <w:tc>
          <w:tcPr>
            <w:tcW w:w="1530" w:type="dxa"/>
            <w:tcBorders>
              <w:top w:val="single" w:sz="4" w:space="0" w:color="auto"/>
              <w:left w:val="nil"/>
              <w:right w:val="nil"/>
            </w:tcBorders>
            <w:vAlign w:val="bottom"/>
          </w:tcPr>
          <w:p w14:paraId="6FCA5DF6" w14:textId="77777777" w:rsidR="00D960D2" w:rsidRPr="00F60034" w:rsidRDefault="00D960D2" w:rsidP="00F15B99">
            <w:pPr>
              <w:spacing w:after="0" w:line="240" w:lineRule="auto"/>
              <w:ind w:right="173"/>
              <w:jc w:val="right"/>
              <w:rPr>
                <w:rFonts w:ascii="Arial" w:hAnsi="Arial" w:cs="Arial"/>
                <w:szCs w:val="20"/>
              </w:rPr>
            </w:pPr>
          </w:p>
        </w:tc>
        <w:tc>
          <w:tcPr>
            <w:tcW w:w="1559" w:type="dxa"/>
            <w:tcBorders>
              <w:top w:val="single" w:sz="4" w:space="0" w:color="auto"/>
              <w:left w:val="nil"/>
              <w:right w:val="nil"/>
            </w:tcBorders>
            <w:vAlign w:val="bottom"/>
          </w:tcPr>
          <w:p w14:paraId="41838F1E" w14:textId="77777777" w:rsidR="00D960D2" w:rsidRPr="00F60034" w:rsidRDefault="00D960D2" w:rsidP="00F15B99">
            <w:pPr>
              <w:spacing w:after="0" w:line="240" w:lineRule="auto"/>
              <w:ind w:right="173"/>
              <w:jc w:val="right"/>
              <w:rPr>
                <w:rFonts w:ascii="Arial" w:hAnsi="Arial" w:cs="Arial"/>
                <w:szCs w:val="20"/>
              </w:rPr>
            </w:pPr>
          </w:p>
        </w:tc>
      </w:tr>
    </w:tbl>
    <w:p w14:paraId="2D08374B" w14:textId="7777777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5282D4FE" w14:textId="77777777" w:rsidR="007619C6" w:rsidRPr="00F60034" w:rsidRDefault="007619C6"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Pr>
          <w:rFonts w:ascii="Arial" w:hAnsi="Arial" w:cs="Arial"/>
          <w:szCs w:val="20"/>
        </w:rPr>
        <w:t>Use of Estimates and Judgments</w:t>
      </w:r>
    </w:p>
    <w:p w14:paraId="003205DE"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1A17D737"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 xml:space="preserve">The preparation of these </w:t>
      </w:r>
      <w:r>
        <w:rPr>
          <w:rFonts w:ascii="Arial" w:hAnsi="Arial" w:cs="Arial"/>
          <w:szCs w:val="20"/>
        </w:rPr>
        <w:t xml:space="preserve">condensed </w:t>
      </w:r>
      <w:r w:rsidRPr="00D936B8">
        <w:rPr>
          <w:rFonts w:ascii="Arial" w:hAnsi="Arial" w:cs="Arial"/>
          <w:szCs w:val="20"/>
        </w:rPr>
        <w:t>consolidated</w:t>
      </w:r>
      <w:r>
        <w:rPr>
          <w:rFonts w:ascii="Arial" w:hAnsi="Arial" w:cs="Arial"/>
          <w:szCs w:val="20"/>
        </w:rPr>
        <w:t xml:space="preserve"> interim</w:t>
      </w:r>
      <w:r w:rsidRPr="00D936B8">
        <w:rPr>
          <w:rFonts w:ascii="Arial" w:hAnsi="Arial" w:cs="Arial"/>
          <w:szCs w:val="20"/>
        </w:rPr>
        <w:t xml:space="preserve"> financial statements required management to make</w:t>
      </w:r>
      <w:r>
        <w:rPr>
          <w:rFonts w:ascii="Arial" w:hAnsi="Arial" w:cs="Arial"/>
          <w:szCs w:val="20"/>
        </w:rPr>
        <w:t xml:space="preserve"> </w:t>
      </w:r>
      <w:r w:rsidRPr="00D936B8">
        <w:rPr>
          <w:rFonts w:ascii="Arial" w:hAnsi="Arial" w:cs="Arial"/>
          <w:szCs w:val="20"/>
        </w:rPr>
        <w:t>estimates and judgments and form assumptions that affect the reported amounts and other</w:t>
      </w:r>
      <w:r>
        <w:rPr>
          <w:rFonts w:ascii="Arial" w:hAnsi="Arial" w:cs="Arial"/>
          <w:szCs w:val="20"/>
        </w:rPr>
        <w:t xml:space="preserve"> </w:t>
      </w:r>
      <w:r w:rsidRPr="00D936B8">
        <w:rPr>
          <w:rFonts w:ascii="Arial" w:hAnsi="Arial" w:cs="Arial"/>
          <w:szCs w:val="20"/>
        </w:rPr>
        <w:t>disclosures in these</w:t>
      </w:r>
      <w:r>
        <w:rPr>
          <w:rFonts w:ascii="Arial" w:hAnsi="Arial" w:cs="Arial"/>
          <w:szCs w:val="20"/>
        </w:rPr>
        <w:t xml:space="preserve"> condensed</w:t>
      </w:r>
      <w:r w:rsidRPr="00D936B8">
        <w:rPr>
          <w:rFonts w:ascii="Arial" w:hAnsi="Arial" w:cs="Arial"/>
          <w:szCs w:val="20"/>
        </w:rPr>
        <w:t xml:space="preserve"> consolidated </w:t>
      </w:r>
      <w:r>
        <w:rPr>
          <w:rFonts w:ascii="Arial" w:hAnsi="Arial" w:cs="Arial"/>
          <w:szCs w:val="20"/>
        </w:rPr>
        <w:t xml:space="preserve">interim </w:t>
      </w:r>
      <w:r w:rsidRPr="00D936B8">
        <w:rPr>
          <w:rFonts w:ascii="Arial" w:hAnsi="Arial" w:cs="Arial"/>
          <w:szCs w:val="20"/>
        </w:rPr>
        <w:t>financial statements. The estimates and associated assumptions</w:t>
      </w:r>
      <w:r>
        <w:rPr>
          <w:rFonts w:ascii="Arial" w:hAnsi="Arial" w:cs="Arial"/>
          <w:szCs w:val="20"/>
        </w:rPr>
        <w:t xml:space="preserve"> </w:t>
      </w:r>
      <w:r w:rsidRPr="00D936B8">
        <w:rPr>
          <w:rFonts w:ascii="Arial" w:hAnsi="Arial" w:cs="Arial"/>
          <w:szCs w:val="20"/>
        </w:rPr>
        <w:t>are based on historical experience and various other factors that are believed to be reasonable</w:t>
      </w:r>
      <w:r>
        <w:rPr>
          <w:rFonts w:ascii="Arial" w:hAnsi="Arial" w:cs="Arial"/>
          <w:szCs w:val="20"/>
        </w:rPr>
        <w:t xml:space="preserve"> </w:t>
      </w:r>
      <w:r w:rsidRPr="00D936B8">
        <w:rPr>
          <w:rFonts w:ascii="Arial" w:hAnsi="Arial" w:cs="Arial"/>
          <w:szCs w:val="20"/>
        </w:rPr>
        <w:t>under the circumstances, the results of which form the basis of making the judgments about</w:t>
      </w:r>
      <w:r>
        <w:rPr>
          <w:rFonts w:ascii="Arial" w:hAnsi="Arial" w:cs="Arial"/>
          <w:szCs w:val="20"/>
        </w:rPr>
        <w:t xml:space="preserve"> </w:t>
      </w:r>
      <w:r w:rsidRPr="00D936B8">
        <w:rPr>
          <w:rFonts w:ascii="Arial" w:hAnsi="Arial" w:cs="Arial"/>
          <w:szCs w:val="20"/>
        </w:rPr>
        <w:t>carrying values of assets and liabilities that are not readily apparent from other sources. Actual</w:t>
      </w:r>
      <w:r>
        <w:rPr>
          <w:rFonts w:ascii="Arial" w:hAnsi="Arial" w:cs="Arial"/>
          <w:szCs w:val="20"/>
        </w:rPr>
        <w:t xml:space="preserve"> </w:t>
      </w:r>
      <w:r w:rsidRPr="00D936B8">
        <w:rPr>
          <w:rFonts w:ascii="Arial" w:hAnsi="Arial" w:cs="Arial"/>
          <w:szCs w:val="20"/>
        </w:rPr>
        <w:t>results may differ from these estimates under different assumptions and conditions.</w:t>
      </w:r>
    </w:p>
    <w:p w14:paraId="1FA809FD"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0C93E8D1"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The estimates and underlying assumptions are reviewed on an ongoing basis. Revisions to</w:t>
      </w:r>
      <w:r>
        <w:rPr>
          <w:rFonts w:ascii="Arial" w:hAnsi="Arial" w:cs="Arial"/>
          <w:szCs w:val="20"/>
        </w:rPr>
        <w:t xml:space="preserve"> </w:t>
      </w:r>
      <w:r w:rsidRPr="00D936B8">
        <w:rPr>
          <w:rFonts w:ascii="Arial" w:hAnsi="Arial" w:cs="Arial"/>
          <w:szCs w:val="20"/>
        </w:rPr>
        <w:t>accounting estimates are recognized in the period in which the estimate is revised if the revision</w:t>
      </w:r>
      <w:r>
        <w:rPr>
          <w:rFonts w:ascii="Arial" w:hAnsi="Arial" w:cs="Arial"/>
          <w:szCs w:val="20"/>
        </w:rPr>
        <w:t xml:space="preserve"> </w:t>
      </w:r>
      <w:r w:rsidRPr="00D936B8">
        <w:rPr>
          <w:rFonts w:ascii="Arial" w:hAnsi="Arial" w:cs="Arial"/>
          <w:szCs w:val="20"/>
        </w:rPr>
        <w:t>affects only that period or in the period of the revision and further periods if the review affects</w:t>
      </w:r>
      <w:r>
        <w:rPr>
          <w:rFonts w:ascii="Arial" w:hAnsi="Arial" w:cs="Arial"/>
          <w:szCs w:val="20"/>
        </w:rPr>
        <w:t xml:space="preserve"> </w:t>
      </w:r>
      <w:r w:rsidRPr="00D936B8">
        <w:rPr>
          <w:rFonts w:ascii="Arial" w:hAnsi="Arial" w:cs="Arial"/>
          <w:szCs w:val="20"/>
        </w:rPr>
        <w:t>both current and future periods.</w:t>
      </w:r>
      <w:r>
        <w:rPr>
          <w:rFonts w:ascii="Arial" w:hAnsi="Arial" w:cs="Arial"/>
          <w:szCs w:val="20"/>
        </w:rPr>
        <w:t xml:space="preserve"> </w:t>
      </w:r>
    </w:p>
    <w:p w14:paraId="21573E91" w14:textId="77777777" w:rsidR="007619C6"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2B0813B3" w14:textId="77777777" w:rsidR="007619C6" w:rsidRPr="00D936B8"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Critical accounting estimates are estimates and assumptions made by management that may result</w:t>
      </w:r>
      <w:r>
        <w:rPr>
          <w:rFonts w:ascii="Arial" w:hAnsi="Arial" w:cs="Arial"/>
          <w:szCs w:val="20"/>
        </w:rPr>
        <w:t xml:space="preserve"> </w:t>
      </w:r>
      <w:r w:rsidRPr="00D936B8">
        <w:rPr>
          <w:rFonts w:ascii="Arial" w:hAnsi="Arial" w:cs="Arial"/>
          <w:szCs w:val="20"/>
        </w:rPr>
        <w:t>in material adjustments to the carrying amount of assets and liabilities within the next financial</w:t>
      </w:r>
      <w:r>
        <w:rPr>
          <w:rFonts w:ascii="Arial" w:hAnsi="Arial" w:cs="Arial"/>
          <w:szCs w:val="20"/>
        </w:rPr>
        <w:t xml:space="preserve"> </w:t>
      </w:r>
      <w:r w:rsidRPr="00D936B8">
        <w:rPr>
          <w:rFonts w:ascii="Arial" w:hAnsi="Arial" w:cs="Arial"/>
          <w:szCs w:val="20"/>
        </w:rPr>
        <w:t xml:space="preserve">year. Critical estimates used in the preparation of these </w:t>
      </w:r>
      <w:r>
        <w:rPr>
          <w:rFonts w:ascii="Arial" w:hAnsi="Arial" w:cs="Arial"/>
          <w:szCs w:val="20"/>
        </w:rPr>
        <w:t>condensed consolidated interim financial statements</w:t>
      </w:r>
      <w:r w:rsidRPr="00D936B8">
        <w:rPr>
          <w:rFonts w:ascii="Arial" w:hAnsi="Arial" w:cs="Arial"/>
          <w:szCs w:val="20"/>
        </w:rPr>
        <w:t xml:space="preserve"> include,</w:t>
      </w:r>
      <w:r>
        <w:rPr>
          <w:rFonts w:ascii="Arial" w:hAnsi="Arial" w:cs="Arial"/>
          <w:szCs w:val="20"/>
        </w:rPr>
        <w:t xml:space="preserve"> </w:t>
      </w:r>
      <w:r w:rsidRPr="00D936B8">
        <w:rPr>
          <w:rFonts w:ascii="Arial" w:hAnsi="Arial" w:cs="Arial"/>
          <w:szCs w:val="20"/>
        </w:rPr>
        <w:t xml:space="preserve">among others, the </w:t>
      </w:r>
      <w:r>
        <w:rPr>
          <w:rFonts w:ascii="Arial" w:hAnsi="Arial" w:cs="Arial"/>
          <w:szCs w:val="20"/>
        </w:rPr>
        <w:t>fair value</w:t>
      </w:r>
      <w:r w:rsidRPr="00D936B8">
        <w:rPr>
          <w:rFonts w:ascii="Arial" w:hAnsi="Arial" w:cs="Arial"/>
          <w:szCs w:val="20"/>
        </w:rPr>
        <w:t xml:space="preserve"> of</w:t>
      </w:r>
      <w:r>
        <w:rPr>
          <w:rFonts w:ascii="Arial" w:hAnsi="Arial" w:cs="Arial"/>
          <w:szCs w:val="20"/>
        </w:rPr>
        <w:t xml:space="preserve"> </w:t>
      </w:r>
      <w:r w:rsidRPr="00D936B8">
        <w:rPr>
          <w:rFonts w:ascii="Arial" w:hAnsi="Arial" w:cs="Arial"/>
          <w:szCs w:val="20"/>
        </w:rPr>
        <w:t>share-based payments</w:t>
      </w:r>
      <w:r>
        <w:rPr>
          <w:rFonts w:ascii="Arial" w:hAnsi="Arial" w:cs="Arial"/>
          <w:szCs w:val="20"/>
        </w:rPr>
        <w:t xml:space="preserve">, warrants and warrants issued with share units, </w:t>
      </w:r>
      <w:r w:rsidRPr="008B680A">
        <w:rPr>
          <w:rFonts w:ascii="Arial" w:hAnsi="Arial" w:cs="Arial"/>
          <w:szCs w:val="20"/>
        </w:rPr>
        <w:t>fair value of debentures for the purpose of evaluating modification versus extinguishments, fair value of convertible debentures</w:t>
      </w:r>
      <w:r w:rsidRPr="00D936B8">
        <w:rPr>
          <w:rFonts w:ascii="Arial" w:hAnsi="Arial" w:cs="Arial"/>
          <w:szCs w:val="20"/>
        </w:rPr>
        <w:t xml:space="preserve"> and the valuations of </w:t>
      </w:r>
      <w:r>
        <w:rPr>
          <w:rFonts w:ascii="Arial" w:hAnsi="Arial" w:cs="Arial"/>
          <w:szCs w:val="20"/>
        </w:rPr>
        <w:t xml:space="preserve">long-lived assets </w:t>
      </w:r>
      <w:r w:rsidRPr="00D936B8">
        <w:rPr>
          <w:rFonts w:ascii="Arial" w:hAnsi="Arial" w:cs="Arial"/>
          <w:szCs w:val="20"/>
        </w:rPr>
        <w:t>and deferred tax assets.</w:t>
      </w:r>
    </w:p>
    <w:p w14:paraId="6FE87764" w14:textId="77777777"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p>
    <w:p w14:paraId="44392E77" w14:textId="3601700E" w:rsidR="007619C6" w:rsidRDefault="007619C6" w:rsidP="007619C6">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4"/>
        <w:jc w:val="both"/>
        <w:rPr>
          <w:rFonts w:ascii="Arial" w:hAnsi="Arial" w:cs="Arial"/>
          <w:szCs w:val="20"/>
        </w:rPr>
      </w:pPr>
      <w:r w:rsidRPr="00D936B8">
        <w:rPr>
          <w:rFonts w:ascii="Arial" w:hAnsi="Arial" w:cs="Arial"/>
          <w:szCs w:val="20"/>
        </w:rPr>
        <w:t>Critical accounting judgments are accounting policies that have been identified as being complex or</w:t>
      </w:r>
      <w:r>
        <w:rPr>
          <w:rFonts w:ascii="Arial" w:hAnsi="Arial" w:cs="Arial"/>
          <w:szCs w:val="20"/>
        </w:rPr>
        <w:t xml:space="preserve"> </w:t>
      </w:r>
      <w:r w:rsidRPr="00D936B8">
        <w:rPr>
          <w:rFonts w:ascii="Arial" w:hAnsi="Arial" w:cs="Arial"/>
          <w:szCs w:val="20"/>
        </w:rPr>
        <w:t>involving subjective judgments or assessments. Critical accounting judgments include the expected</w:t>
      </w:r>
      <w:r>
        <w:rPr>
          <w:rFonts w:ascii="Arial" w:hAnsi="Arial" w:cs="Arial"/>
          <w:szCs w:val="20"/>
        </w:rPr>
        <w:t xml:space="preserve"> </w:t>
      </w:r>
      <w:r w:rsidRPr="00D936B8">
        <w:rPr>
          <w:rFonts w:ascii="Arial" w:hAnsi="Arial" w:cs="Arial"/>
          <w:szCs w:val="20"/>
        </w:rPr>
        <w:t xml:space="preserve">economic lives of and the estimated future operating results and net cash flows from </w:t>
      </w:r>
      <w:r>
        <w:rPr>
          <w:rFonts w:ascii="Arial" w:hAnsi="Arial" w:cs="Arial"/>
          <w:szCs w:val="20"/>
        </w:rPr>
        <w:t>long-lived assets</w:t>
      </w:r>
      <w:r w:rsidR="00C21FEB">
        <w:rPr>
          <w:rFonts w:ascii="Arial" w:hAnsi="Arial" w:cs="Arial"/>
          <w:szCs w:val="20"/>
        </w:rPr>
        <w:t xml:space="preserve"> and determining whether an acquisition is a business combination or an asset acquisition.</w:t>
      </w:r>
    </w:p>
    <w:p w14:paraId="14E49493" w14:textId="77777777" w:rsidR="008B680A" w:rsidRDefault="008B680A">
      <w:pPr>
        <w:rPr>
          <w:rFonts w:ascii="Arial" w:hAnsi="Arial" w:cs="Arial"/>
          <w:b/>
          <w:bCs/>
          <w:szCs w:val="20"/>
        </w:rPr>
      </w:pPr>
      <w:r>
        <w:rPr>
          <w:rFonts w:ascii="Arial" w:hAnsi="Arial" w:cs="Arial"/>
          <w:b/>
          <w:bCs/>
          <w:szCs w:val="20"/>
        </w:rPr>
        <w:br w:type="page"/>
      </w:r>
    </w:p>
    <w:p w14:paraId="7694D3D7" w14:textId="468FC77B" w:rsidR="008B680A" w:rsidRPr="00F60034" w:rsidRDefault="008B680A" w:rsidP="008B680A">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54986CDA" w14:textId="77777777" w:rsidR="008B680A" w:rsidRDefault="008B680A"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1AA24A61" w14:textId="0AFEA108" w:rsidR="001D529F" w:rsidRPr="000645D8" w:rsidRDefault="001D529F" w:rsidP="007619C6">
      <w:pPr>
        <w:pStyle w:val="ListParagraph"/>
        <w:numPr>
          <w:ilvl w:val="0"/>
          <w:numId w:val="20"/>
        </w:numPr>
        <w:tabs>
          <w:tab w:val="left" w:pos="810"/>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jc w:val="both"/>
        <w:rPr>
          <w:rFonts w:ascii="Arial" w:hAnsi="Arial" w:cs="Arial"/>
          <w:szCs w:val="20"/>
        </w:rPr>
      </w:pPr>
      <w:r>
        <w:rPr>
          <w:rFonts w:ascii="Arial" w:hAnsi="Arial" w:cs="Arial"/>
          <w:szCs w:val="20"/>
        </w:rPr>
        <w:t>Investments in Joint Arrangements</w:t>
      </w:r>
    </w:p>
    <w:p w14:paraId="5F0C3A36" w14:textId="77777777" w:rsidR="001D529F" w:rsidRDefault="001D529F" w:rsidP="001D529F">
      <w:pPr>
        <w:tabs>
          <w:tab w:val="left" w:pos="708"/>
          <w:tab w:val="left" w:pos="714"/>
          <w:tab w:val="left" w:pos="1067"/>
          <w:tab w:val="left" w:pos="1422"/>
          <w:tab w:val="left" w:pos="1780"/>
          <w:tab w:val="left" w:pos="2136"/>
          <w:tab w:val="left" w:pos="2491"/>
          <w:tab w:val="left" w:pos="2849"/>
          <w:tab w:val="left" w:pos="3204"/>
          <w:tab w:val="left" w:pos="3562"/>
          <w:tab w:val="left" w:pos="3918"/>
          <w:tab w:val="left" w:pos="4273"/>
          <w:tab w:val="left" w:pos="4631"/>
          <w:tab w:val="left" w:pos="4986"/>
          <w:tab w:val="left" w:pos="5344"/>
          <w:tab w:val="left" w:pos="5700"/>
          <w:tab w:val="left" w:pos="6055"/>
          <w:tab w:val="left" w:pos="6413"/>
          <w:tab w:val="left" w:pos="6768"/>
          <w:tab w:val="left" w:pos="7126"/>
          <w:tab w:val="left" w:pos="7482"/>
          <w:tab w:val="left" w:pos="7837"/>
          <w:tab w:val="left" w:pos="8195"/>
          <w:tab w:val="left" w:pos="8550"/>
          <w:tab w:val="left" w:pos="8908"/>
          <w:tab w:val="left" w:pos="9264"/>
        </w:tabs>
        <w:spacing w:after="0" w:line="240" w:lineRule="auto"/>
        <w:ind w:left="792"/>
        <w:jc w:val="both"/>
        <w:rPr>
          <w:rFonts w:ascii="Arial" w:hAnsi="Arial" w:cs="Arial"/>
          <w:szCs w:val="20"/>
        </w:rPr>
      </w:pPr>
    </w:p>
    <w:p w14:paraId="0CC27C47" w14:textId="229D073C" w:rsidR="001D529F" w:rsidRP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r>
        <w:rPr>
          <w:rFonts w:ascii="Arial" w:hAnsi="Arial" w:cs="Arial"/>
          <w:szCs w:val="20"/>
        </w:rPr>
        <w:t xml:space="preserve">These </w:t>
      </w:r>
      <w:r w:rsidR="008B680A">
        <w:rPr>
          <w:rFonts w:ascii="Arial" w:hAnsi="Arial" w:cs="Arial"/>
          <w:szCs w:val="20"/>
        </w:rPr>
        <w:t>condensed consolidated interim financial statements</w:t>
      </w:r>
      <w:r w:rsidRPr="001D529F">
        <w:rPr>
          <w:rFonts w:ascii="Arial" w:hAnsi="Arial" w:cs="Arial"/>
          <w:szCs w:val="20"/>
        </w:rPr>
        <w:t xml:space="preserve"> incorporate </w:t>
      </w:r>
      <w:r>
        <w:rPr>
          <w:rFonts w:ascii="Arial" w:hAnsi="Arial" w:cs="Arial"/>
          <w:szCs w:val="20"/>
        </w:rPr>
        <w:t>the Company’s</w:t>
      </w:r>
      <w:r w:rsidRPr="001D529F">
        <w:rPr>
          <w:rFonts w:ascii="Arial" w:hAnsi="Arial" w:cs="Arial"/>
          <w:szCs w:val="20"/>
        </w:rPr>
        <w:t xml:space="preserve"> share of the results of </w:t>
      </w:r>
      <w:r w:rsidR="00795B15">
        <w:rPr>
          <w:rFonts w:ascii="Arial" w:hAnsi="Arial" w:cs="Arial"/>
          <w:szCs w:val="20"/>
        </w:rPr>
        <w:t xml:space="preserve">its joint venture, Pivot-Cartagena Joint Venture Inc. </w:t>
      </w:r>
      <w:r w:rsidRPr="001D529F">
        <w:rPr>
          <w:rFonts w:ascii="Arial" w:hAnsi="Arial" w:cs="Arial"/>
          <w:szCs w:val="20"/>
        </w:rPr>
        <w:t>using t</w:t>
      </w:r>
      <w:r w:rsidR="008B680A">
        <w:rPr>
          <w:rFonts w:ascii="Arial" w:hAnsi="Arial" w:cs="Arial"/>
          <w:szCs w:val="20"/>
        </w:rPr>
        <w:t xml:space="preserve">he equity method of accounting (Note </w:t>
      </w:r>
      <w:r w:rsidR="00DB1F6E">
        <w:rPr>
          <w:rFonts w:ascii="Arial" w:hAnsi="Arial" w:cs="Arial"/>
          <w:szCs w:val="20"/>
        </w:rPr>
        <w:t>16</w:t>
      </w:r>
      <w:r w:rsidR="008B680A">
        <w:rPr>
          <w:rFonts w:ascii="Arial" w:hAnsi="Arial" w:cs="Arial"/>
          <w:szCs w:val="20"/>
        </w:rPr>
        <w:t>).</w:t>
      </w:r>
      <w:r>
        <w:rPr>
          <w:rFonts w:ascii="Arial" w:hAnsi="Arial" w:cs="Arial"/>
          <w:szCs w:val="20"/>
        </w:rPr>
        <w:t xml:space="preserve">  </w:t>
      </w:r>
      <w:r w:rsidRPr="001D529F">
        <w:rPr>
          <w:rFonts w:ascii="Arial" w:hAnsi="Arial" w:cs="Arial"/>
          <w:szCs w:val="20"/>
        </w:rPr>
        <w:t>Investments in joint ventures are recognized initially at cost and adju</w:t>
      </w:r>
      <w:r>
        <w:rPr>
          <w:rFonts w:ascii="Arial" w:hAnsi="Arial" w:cs="Arial"/>
          <w:szCs w:val="20"/>
        </w:rPr>
        <w:t>sted thereafter to include the C</w:t>
      </w:r>
      <w:r w:rsidRPr="001D529F">
        <w:rPr>
          <w:rFonts w:ascii="Arial" w:hAnsi="Arial" w:cs="Arial"/>
          <w:szCs w:val="20"/>
        </w:rPr>
        <w:t>ompany’s share of income or loss and comprehensive income on an after-tax basis.</w:t>
      </w:r>
      <w:r w:rsidR="008B680A">
        <w:rPr>
          <w:rFonts w:ascii="Arial" w:hAnsi="Arial" w:cs="Arial"/>
          <w:szCs w:val="20"/>
        </w:rPr>
        <w:t xml:space="preserve">  </w:t>
      </w:r>
      <w:r w:rsidR="008B680A" w:rsidRPr="006E4A26">
        <w:rPr>
          <w:rFonts w:ascii="Arial" w:hAnsi="Arial" w:cs="Arial"/>
          <w:szCs w:val="20"/>
        </w:rPr>
        <w:t xml:space="preserve">Dividends </w:t>
      </w:r>
      <w:r w:rsidR="008B680A">
        <w:rPr>
          <w:rFonts w:ascii="Arial" w:hAnsi="Arial" w:cs="Arial"/>
          <w:szCs w:val="20"/>
        </w:rPr>
        <w:t xml:space="preserve">or distributions </w:t>
      </w:r>
      <w:r w:rsidR="008B680A" w:rsidRPr="006E4A26">
        <w:rPr>
          <w:rFonts w:ascii="Arial" w:hAnsi="Arial" w:cs="Arial"/>
          <w:szCs w:val="20"/>
        </w:rPr>
        <w:t>received or receivable from associates and joint ventures are</w:t>
      </w:r>
      <w:r w:rsidR="008B680A">
        <w:rPr>
          <w:rFonts w:ascii="Arial" w:hAnsi="Arial" w:cs="Arial"/>
          <w:szCs w:val="20"/>
        </w:rPr>
        <w:t xml:space="preserve"> recogniz</w:t>
      </w:r>
      <w:r w:rsidR="008B680A" w:rsidRPr="006E4A26">
        <w:rPr>
          <w:rFonts w:ascii="Arial" w:hAnsi="Arial" w:cs="Arial"/>
          <w:szCs w:val="20"/>
        </w:rPr>
        <w:t>ed as a reduction in the c</w:t>
      </w:r>
      <w:r w:rsidR="008B680A">
        <w:rPr>
          <w:rFonts w:ascii="Arial" w:hAnsi="Arial" w:cs="Arial"/>
          <w:szCs w:val="20"/>
        </w:rPr>
        <w:t>arrying amount of the investments</w:t>
      </w:r>
    </w:p>
    <w:p w14:paraId="1C265CE7" w14:textId="77777777" w:rsidR="001D529F" w:rsidRP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518FF477" w14:textId="0E6A6184"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r w:rsidRPr="001D529F">
        <w:rPr>
          <w:rFonts w:ascii="Arial" w:hAnsi="Arial" w:cs="Arial"/>
          <w:szCs w:val="20"/>
        </w:rPr>
        <w:t xml:space="preserve">Investments are reviewed for impairment at each reporting period </w:t>
      </w:r>
      <w:r>
        <w:rPr>
          <w:rFonts w:ascii="Arial" w:hAnsi="Arial" w:cs="Arial"/>
          <w:szCs w:val="20"/>
        </w:rPr>
        <w:t>by comparing</w:t>
      </w:r>
      <w:r w:rsidRPr="001D529F">
        <w:rPr>
          <w:rFonts w:ascii="Arial" w:hAnsi="Arial" w:cs="Arial"/>
          <w:szCs w:val="20"/>
        </w:rPr>
        <w:t xml:space="preserve"> recoverable amount to carrying amount when there </w:t>
      </w:r>
      <w:r>
        <w:rPr>
          <w:rFonts w:ascii="Arial" w:hAnsi="Arial" w:cs="Arial"/>
          <w:szCs w:val="20"/>
        </w:rPr>
        <w:t>is an indication of impairment.</w:t>
      </w:r>
    </w:p>
    <w:p w14:paraId="5CBE0BD0" w14:textId="77777777"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ind w:left="792"/>
        <w:jc w:val="both"/>
        <w:rPr>
          <w:rFonts w:ascii="Arial" w:hAnsi="Arial" w:cs="Arial"/>
          <w:szCs w:val="20"/>
        </w:rPr>
      </w:pPr>
    </w:p>
    <w:p w14:paraId="6093171F" w14:textId="4D5F4644" w:rsidR="00790828" w:rsidRPr="00F60034" w:rsidRDefault="007619C6"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Foreign Currency</w:t>
      </w:r>
    </w:p>
    <w:p w14:paraId="74985FE6" w14:textId="77777777" w:rsidR="00F15B99" w:rsidRDefault="00F15B99" w:rsidP="00F15B99">
      <w:pPr>
        <w:pStyle w:val="BodyTextIndent"/>
        <w:spacing w:after="0" w:line="240" w:lineRule="auto"/>
        <w:ind w:left="792"/>
        <w:jc w:val="both"/>
        <w:rPr>
          <w:rFonts w:ascii="Arial" w:hAnsi="Arial" w:cs="Arial"/>
          <w:szCs w:val="20"/>
        </w:rPr>
      </w:pPr>
    </w:p>
    <w:p w14:paraId="2FE9F103" w14:textId="2804A89C" w:rsidR="0012455C" w:rsidRDefault="008B680A" w:rsidP="00F15B99">
      <w:pPr>
        <w:pStyle w:val="BodyTextIndent"/>
        <w:spacing w:after="0" w:line="240" w:lineRule="auto"/>
        <w:ind w:left="792"/>
        <w:jc w:val="both"/>
        <w:rPr>
          <w:rFonts w:ascii="Arial" w:hAnsi="Arial" w:cs="Arial"/>
          <w:szCs w:val="20"/>
        </w:rPr>
      </w:pPr>
      <w:r>
        <w:rPr>
          <w:rFonts w:ascii="Arial" w:hAnsi="Arial" w:cs="Arial"/>
          <w:szCs w:val="20"/>
        </w:rPr>
        <w:t>The Company’s presentation currency is the Canadian dollar</w:t>
      </w:r>
      <w:r w:rsidRPr="0012455C">
        <w:rPr>
          <w:rFonts w:ascii="Arial" w:hAnsi="Arial" w:cs="Arial"/>
          <w:szCs w:val="20"/>
        </w:rPr>
        <w:t xml:space="preserve">. </w:t>
      </w:r>
      <w:r w:rsidR="0012455C" w:rsidRPr="0054049E">
        <w:rPr>
          <w:rFonts w:ascii="Arial" w:hAnsi="Arial" w:cs="Arial"/>
          <w:szCs w:val="20"/>
        </w:rPr>
        <w:t xml:space="preserve">The functional currency of </w:t>
      </w:r>
      <w:r w:rsidR="0012455C">
        <w:rPr>
          <w:rFonts w:ascii="Arial" w:hAnsi="Arial" w:cs="Arial"/>
          <w:szCs w:val="20"/>
        </w:rPr>
        <w:t>the</w:t>
      </w:r>
      <w:r w:rsidR="0012455C" w:rsidRPr="0054049E">
        <w:rPr>
          <w:rFonts w:ascii="Arial" w:hAnsi="Arial" w:cs="Arial"/>
          <w:szCs w:val="20"/>
        </w:rPr>
        <w:t xml:space="preserve"> parent entity, Pivot Pharmaceuticals Inc., and </w:t>
      </w:r>
      <w:r w:rsidR="0012455C">
        <w:rPr>
          <w:rFonts w:ascii="Arial" w:hAnsi="Arial" w:cs="Arial"/>
          <w:szCs w:val="20"/>
        </w:rPr>
        <w:t>the</w:t>
      </w:r>
      <w:r w:rsidR="0012455C" w:rsidRPr="0054049E">
        <w:rPr>
          <w:rFonts w:ascii="Arial" w:hAnsi="Arial" w:cs="Arial"/>
          <w:szCs w:val="20"/>
        </w:rPr>
        <w:t xml:space="preserve"> wholly-owned subsidiary, Pivot Green Stream Health Solutions Inc., is the Canadian dollar</w:t>
      </w:r>
      <w:r w:rsidR="0012455C">
        <w:rPr>
          <w:rFonts w:ascii="Arial" w:hAnsi="Arial" w:cs="Arial"/>
          <w:szCs w:val="20"/>
        </w:rPr>
        <w:t xml:space="preserve">. </w:t>
      </w:r>
      <w:r w:rsidR="0012455C" w:rsidRPr="00F60034">
        <w:rPr>
          <w:rFonts w:ascii="Arial" w:hAnsi="Arial" w:cs="Arial"/>
          <w:szCs w:val="20"/>
        </w:rPr>
        <w:t xml:space="preserve"> </w:t>
      </w:r>
      <w:r w:rsidR="0012455C">
        <w:rPr>
          <w:rFonts w:ascii="Arial" w:hAnsi="Arial" w:cs="Arial"/>
          <w:szCs w:val="20"/>
        </w:rPr>
        <w:t>The functional currency of the wholly-owned subsidiaries, Pivot Naturals, LLC and Thrudermic, LLC, is the U</w:t>
      </w:r>
      <w:r w:rsidR="003225E6">
        <w:rPr>
          <w:rFonts w:ascii="Arial" w:hAnsi="Arial" w:cs="Arial"/>
          <w:szCs w:val="20"/>
        </w:rPr>
        <w:t>.</w:t>
      </w:r>
      <w:r w:rsidR="0012455C">
        <w:rPr>
          <w:rFonts w:ascii="Arial" w:hAnsi="Arial" w:cs="Arial"/>
          <w:szCs w:val="20"/>
        </w:rPr>
        <w:t>S</w:t>
      </w:r>
      <w:r w:rsidR="003225E6">
        <w:rPr>
          <w:rFonts w:ascii="Arial" w:hAnsi="Arial" w:cs="Arial"/>
          <w:szCs w:val="20"/>
        </w:rPr>
        <w:t>.</w:t>
      </w:r>
      <w:r w:rsidR="0012455C">
        <w:rPr>
          <w:rFonts w:ascii="Arial" w:hAnsi="Arial" w:cs="Arial"/>
          <w:szCs w:val="20"/>
        </w:rPr>
        <w:t xml:space="preserve"> dollar.    </w:t>
      </w:r>
    </w:p>
    <w:p w14:paraId="14A4028D" w14:textId="77777777" w:rsidR="00F15B99" w:rsidRDefault="00F15B99" w:rsidP="00F15B99">
      <w:pPr>
        <w:pStyle w:val="BodyTextIndent"/>
        <w:spacing w:after="0" w:line="240" w:lineRule="auto"/>
        <w:ind w:left="792"/>
        <w:jc w:val="both"/>
        <w:rPr>
          <w:rFonts w:ascii="Arial" w:hAnsi="Arial" w:cs="Arial"/>
          <w:szCs w:val="20"/>
        </w:rPr>
      </w:pPr>
    </w:p>
    <w:p w14:paraId="1ADA190F" w14:textId="77777777" w:rsidR="007619C6" w:rsidRPr="006438B7" w:rsidRDefault="007619C6" w:rsidP="00511CCF">
      <w:pPr>
        <w:spacing w:after="0" w:line="240" w:lineRule="auto"/>
        <w:ind w:left="810"/>
        <w:jc w:val="both"/>
        <w:rPr>
          <w:rFonts w:ascii="Arial" w:hAnsi="Arial" w:cs="Arial"/>
          <w:szCs w:val="20"/>
          <w:u w:val="single"/>
        </w:rPr>
      </w:pPr>
      <w:r w:rsidRPr="006438B7">
        <w:rPr>
          <w:rFonts w:ascii="Arial" w:hAnsi="Arial" w:cs="Arial"/>
          <w:szCs w:val="20"/>
          <w:u w:val="single"/>
        </w:rPr>
        <w:t>Foreign currency transactions</w:t>
      </w:r>
    </w:p>
    <w:p w14:paraId="3C001C02" w14:textId="77777777" w:rsidR="007619C6" w:rsidRPr="006438B7" w:rsidRDefault="007619C6" w:rsidP="00511CCF">
      <w:pPr>
        <w:spacing w:after="0" w:line="240" w:lineRule="auto"/>
        <w:ind w:left="810"/>
        <w:jc w:val="both"/>
        <w:rPr>
          <w:rFonts w:ascii="Arial" w:hAnsi="Arial" w:cs="Arial"/>
          <w:szCs w:val="20"/>
        </w:rPr>
      </w:pPr>
      <w:r w:rsidRPr="006438B7">
        <w:rPr>
          <w:rFonts w:ascii="Arial" w:hAnsi="Arial" w:cs="Arial"/>
          <w:szCs w:val="20"/>
        </w:rPr>
        <w:t>Transactions in foreign currencies are translated to the respective functional currencies of the Company and its subsidiar</w:t>
      </w:r>
      <w:r>
        <w:rPr>
          <w:rFonts w:ascii="Arial" w:hAnsi="Arial" w:cs="Arial"/>
          <w:szCs w:val="20"/>
        </w:rPr>
        <w:t xml:space="preserve">ies </w:t>
      </w:r>
      <w:r w:rsidRPr="006438B7">
        <w:rPr>
          <w:rFonts w:ascii="Arial" w:hAnsi="Arial" w:cs="Arial"/>
          <w:szCs w:val="20"/>
        </w:rPr>
        <w:t>at the exchange rate in effect at the transaction date.  Monetary assets and liabilities denominated in other than the functional currency are translated at the exchange rates in effect at the financial position date.  The resulting exchange gains and losses are recognized in profit or loss. Non-monetary assets and liabilities denominated in other than the functional currency that are measured at fair value are translated to the functional currency at the exchange rate at the date that th</w:t>
      </w:r>
      <w:r>
        <w:rPr>
          <w:rFonts w:ascii="Arial" w:hAnsi="Arial" w:cs="Arial"/>
          <w:szCs w:val="20"/>
        </w:rPr>
        <w:t>e fair value is determined. Non</w:t>
      </w:r>
      <w:r w:rsidRPr="006438B7">
        <w:rPr>
          <w:rFonts w:ascii="Arial" w:hAnsi="Arial" w:cs="Arial"/>
          <w:szCs w:val="20"/>
        </w:rPr>
        <w:t xml:space="preserve">-monetary items that are measured in terms of historical cost in other than the functional currency are translated using the exchange rate at the date of transaction.    </w:t>
      </w:r>
    </w:p>
    <w:p w14:paraId="6B3F3E1C" w14:textId="77777777" w:rsidR="007619C6" w:rsidRDefault="007619C6" w:rsidP="00511CCF">
      <w:pPr>
        <w:spacing w:after="0" w:line="240" w:lineRule="auto"/>
        <w:ind w:left="810"/>
        <w:jc w:val="both"/>
        <w:rPr>
          <w:rFonts w:ascii="Arial" w:hAnsi="Arial" w:cs="Arial"/>
          <w:szCs w:val="20"/>
          <w:u w:val="single"/>
        </w:rPr>
      </w:pPr>
    </w:p>
    <w:p w14:paraId="743E99A7" w14:textId="77777777" w:rsidR="007619C6" w:rsidRPr="006438B7" w:rsidRDefault="007619C6" w:rsidP="00511CCF">
      <w:pPr>
        <w:spacing w:after="0" w:line="240" w:lineRule="auto"/>
        <w:ind w:left="810"/>
        <w:jc w:val="both"/>
        <w:rPr>
          <w:rFonts w:ascii="Arial" w:hAnsi="Arial" w:cs="Arial"/>
          <w:szCs w:val="20"/>
          <w:u w:val="single"/>
        </w:rPr>
      </w:pPr>
      <w:r w:rsidRPr="006438B7">
        <w:rPr>
          <w:rFonts w:ascii="Arial" w:hAnsi="Arial" w:cs="Arial"/>
          <w:szCs w:val="20"/>
          <w:u w:val="single"/>
        </w:rPr>
        <w:t>Foreign operations</w:t>
      </w:r>
    </w:p>
    <w:p w14:paraId="05EAE21F" w14:textId="209981A6" w:rsidR="00790828" w:rsidRDefault="007619C6" w:rsidP="00511CCF">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810"/>
        <w:jc w:val="both"/>
        <w:rPr>
          <w:rFonts w:ascii="Arial" w:hAnsi="Arial" w:cs="Arial"/>
          <w:szCs w:val="20"/>
        </w:rPr>
      </w:pPr>
      <w:r w:rsidRPr="006438B7">
        <w:rPr>
          <w:rFonts w:ascii="Arial" w:hAnsi="Arial" w:cs="Arial"/>
          <w:szCs w:val="20"/>
        </w:rPr>
        <w:t xml:space="preserve">For consolidation purposes, the assets and liabilities of foreign operations are translated to the presentation currency using the exchange rate prevailing at the financial position date.  The income and expenses of foreign operations are translated to the presentation currency using the average rates of exchange during the year.  All resulting exchange differences are recorded as other comprehensive </w:t>
      </w:r>
      <w:r>
        <w:rPr>
          <w:rFonts w:ascii="Arial" w:hAnsi="Arial" w:cs="Arial"/>
          <w:szCs w:val="20"/>
        </w:rPr>
        <w:t>income (loss)</w:t>
      </w:r>
      <w:r w:rsidRPr="006438B7">
        <w:rPr>
          <w:rFonts w:ascii="Arial" w:hAnsi="Arial" w:cs="Arial"/>
          <w:szCs w:val="20"/>
        </w:rPr>
        <w:t xml:space="preserve"> and accumulated in a separate component of shareholders’ equity, described as foreign currency translation adjustment.</w:t>
      </w:r>
    </w:p>
    <w:p w14:paraId="43EFCFF0" w14:textId="2F3DFCF5" w:rsidR="00364E20" w:rsidRDefault="00364E20" w:rsidP="00F15B99">
      <w:pPr>
        <w:spacing w:after="0"/>
        <w:rPr>
          <w:rFonts w:ascii="Arial" w:hAnsi="Arial" w:cs="Arial"/>
          <w:b/>
          <w:bCs/>
          <w:szCs w:val="20"/>
        </w:rPr>
      </w:pPr>
    </w:p>
    <w:p w14:paraId="06C6E606" w14:textId="09E0621C" w:rsidR="0012455C" w:rsidRPr="00F60034" w:rsidRDefault="00862D9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Financial Instruments</w:t>
      </w:r>
    </w:p>
    <w:p w14:paraId="1373510B"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7702D1C" w14:textId="3D483FC3" w:rsidR="007619C6" w:rsidRPr="00D301D2" w:rsidRDefault="00170927" w:rsidP="007619C6">
      <w:pPr>
        <w:spacing w:after="0" w:line="240" w:lineRule="auto"/>
        <w:ind w:left="810"/>
        <w:jc w:val="both"/>
        <w:rPr>
          <w:rFonts w:ascii="Arial" w:hAnsi="Arial" w:cs="Arial"/>
          <w:szCs w:val="20"/>
          <w:u w:val="single"/>
        </w:rPr>
      </w:pPr>
      <w:r>
        <w:rPr>
          <w:rFonts w:ascii="Arial" w:hAnsi="Arial" w:cs="Arial"/>
          <w:szCs w:val="20"/>
          <w:u w:val="single"/>
        </w:rPr>
        <w:t>Financial i</w:t>
      </w:r>
      <w:r w:rsidR="007619C6" w:rsidRPr="00D301D2">
        <w:rPr>
          <w:rFonts w:ascii="Arial" w:hAnsi="Arial" w:cs="Arial"/>
          <w:szCs w:val="20"/>
          <w:u w:val="single"/>
        </w:rPr>
        <w:t>nstruments - classification and measurement</w:t>
      </w:r>
    </w:p>
    <w:p w14:paraId="457F5640" w14:textId="77777777" w:rsidR="007619C6" w:rsidRDefault="007619C6" w:rsidP="007619C6">
      <w:pPr>
        <w:spacing w:after="0" w:line="240" w:lineRule="auto"/>
        <w:ind w:left="792"/>
        <w:jc w:val="both"/>
        <w:rPr>
          <w:rFonts w:ascii="Arial" w:hAnsi="Arial" w:cs="Arial"/>
          <w:szCs w:val="20"/>
        </w:rPr>
      </w:pPr>
    </w:p>
    <w:p w14:paraId="411CAF3D" w14:textId="77777777" w:rsidR="007619C6" w:rsidRPr="00D301D2" w:rsidRDefault="007619C6" w:rsidP="007619C6">
      <w:pPr>
        <w:spacing w:after="0" w:line="240" w:lineRule="auto"/>
        <w:ind w:left="810"/>
        <w:jc w:val="both"/>
        <w:rPr>
          <w:rFonts w:ascii="Arial" w:hAnsi="Arial" w:cs="Arial"/>
          <w:i/>
          <w:iCs/>
          <w:szCs w:val="20"/>
        </w:rPr>
      </w:pPr>
      <w:r w:rsidRPr="00D301D2">
        <w:rPr>
          <w:rFonts w:ascii="Arial" w:hAnsi="Arial" w:cs="Arial"/>
          <w:i/>
          <w:iCs/>
          <w:szCs w:val="20"/>
        </w:rPr>
        <w:t>Financial Asset</w:t>
      </w:r>
    </w:p>
    <w:p w14:paraId="047B96C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The classification and measurement of financial assets is based on the Company’s business</w:t>
      </w:r>
      <w:r>
        <w:rPr>
          <w:rFonts w:ascii="Arial" w:hAnsi="Arial" w:cs="Arial"/>
          <w:szCs w:val="20"/>
        </w:rPr>
        <w:t xml:space="preserve"> </w:t>
      </w:r>
      <w:r w:rsidRPr="00D301D2">
        <w:rPr>
          <w:rFonts w:ascii="Arial" w:hAnsi="Arial" w:cs="Arial"/>
          <w:szCs w:val="20"/>
        </w:rPr>
        <w:t>models for managing its financial assets and whether the contractual cash flows represent</w:t>
      </w:r>
      <w:r>
        <w:rPr>
          <w:rFonts w:ascii="Arial" w:hAnsi="Arial" w:cs="Arial"/>
          <w:szCs w:val="20"/>
        </w:rPr>
        <w:t xml:space="preserve"> </w:t>
      </w:r>
      <w:r w:rsidRPr="00D301D2">
        <w:rPr>
          <w:rFonts w:ascii="Arial" w:hAnsi="Arial" w:cs="Arial"/>
          <w:szCs w:val="20"/>
        </w:rPr>
        <w:t>solely payments of principal and interest (“SPPI”). Financial assets are initially measured at</w:t>
      </w:r>
      <w:r>
        <w:rPr>
          <w:rFonts w:ascii="Arial" w:hAnsi="Arial" w:cs="Arial"/>
          <w:szCs w:val="20"/>
        </w:rPr>
        <w:t xml:space="preserve"> </w:t>
      </w:r>
      <w:r w:rsidRPr="00D301D2">
        <w:rPr>
          <w:rFonts w:ascii="Arial" w:hAnsi="Arial" w:cs="Arial"/>
          <w:szCs w:val="20"/>
        </w:rPr>
        <w:t>fair value and are subsequently measured at either (i) amortized cost; (ii) fair value through</w:t>
      </w:r>
      <w:r>
        <w:rPr>
          <w:rFonts w:ascii="Arial" w:hAnsi="Arial" w:cs="Arial"/>
          <w:szCs w:val="20"/>
        </w:rPr>
        <w:t xml:space="preserve"> </w:t>
      </w:r>
      <w:r w:rsidRPr="00D301D2">
        <w:rPr>
          <w:rFonts w:ascii="Arial" w:hAnsi="Arial" w:cs="Arial"/>
          <w:szCs w:val="20"/>
        </w:rPr>
        <w:t>other comprehensive income, or (iii) at fair value through profit or loss.</w:t>
      </w:r>
    </w:p>
    <w:p w14:paraId="1453D4B7" w14:textId="77777777" w:rsidR="007619C6" w:rsidRDefault="007619C6" w:rsidP="007619C6">
      <w:pPr>
        <w:spacing w:after="0" w:line="240" w:lineRule="auto"/>
        <w:ind w:left="810"/>
        <w:jc w:val="both"/>
        <w:rPr>
          <w:rFonts w:ascii="Arial" w:hAnsi="Arial" w:cs="Arial"/>
          <w:szCs w:val="20"/>
        </w:rPr>
      </w:pPr>
    </w:p>
    <w:p w14:paraId="7B7A3F46" w14:textId="77777777" w:rsidR="007619C6" w:rsidRDefault="007619C6">
      <w:pPr>
        <w:rPr>
          <w:rFonts w:ascii="Arial" w:hAnsi="Arial" w:cs="Arial"/>
          <w:b/>
          <w:bCs/>
          <w:szCs w:val="20"/>
        </w:rPr>
      </w:pPr>
      <w:r>
        <w:rPr>
          <w:rFonts w:ascii="Arial" w:hAnsi="Arial" w:cs="Arial"/>
          <w:b/>
          <w:bCs/>
          <w:szCs w:val="20"/>
        </w:rPr>
        <w:br w:type="page"/>
      </w:r>
    </w:p>
    <w:p w14:paraId="4605EA79" w14:textId="6C00F314" w:rsidR="007619C6" w:rsidRPr="00F60034" w:rsidRDefault="007619C6" w:rsidP="007619C6">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1C88C54D" w14:textId="77777777" w:rsidR="007619C6" w:rsidRPr="00D301D2" w:rsidRDefault="007619C6" w:rsidP="007619C6">
      <w:pPr>
        <w:spacing w:after="0" w:line="240" w:lineRule="auto"/>
        <w:ind w:left="810"/>
        <w:jc w:val="both"/>
        <w:rPr>
          <w:rFonts w:ascii="Arial" w:hAnsi="Arial" w:cs="Arial"/>
          <w:szCs w:val="20"/>
        </w:rPr>
      </w:pPr>
    </w:p>
    <w:p w14:paraId="6F143F74"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Amortized cost</w:t>
      </w:r>
    </w:p>
    <w:p w14:paraId="76D33036" w14:textId="77FF2933"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amortized cost are those assets that are held within</w:t>
      </w:r>
      <w:r>
        <w:rPr>
          <w:rFonts w:ascii="Arial" w:hAnsi="Arial" w:cs="Arial"/>
          <w:szCs w:val="20"/>
        </w:rPr>
        <w:t xml:space="preserve"> </w:t>
      </w:r>
      <w:r w:rsidRPr="00D301D2">
        <w:rPr>
          <w:rFonts w:ascii="Arial" w:hAnsi="Arial" w:cs="Arial"/>
          <w:szCs w:val="20"/>
        </w:rPr>
        <w:t>a business model whose objective is to hold financial assets in order to collect contractual</w:t>
      </w:r>
      <w:r>
        <w:rPr>
          <w:rFonts w:ascii="Arial" w:hAnsi="Arial" w:cs="Arial"/>
          <w:szCs w:val="20"/>
        </w:rPr>
        <w:t xml:space="preserve"> </w:t>
      </w:r>
      <w:r w:rsidRPr="00D301D2">
        <w:rPr>
          <w:rFonts w:ascii="Arial" w:hAnsi="Arial" w:cs="Arial"/>
          <w:szCs w:val="20"/>
        </w:rPr>
        <w:t>cash flows, and the contractual terms of the financial asset give rise to cash flows that are</w:t>
      </w:r>
      <w:r>
        <w:rPr>
          <w:rFonts w:ascii="Arial" w:hAnsi="Arial" w:cs="Arial"/>
          <w:szCs w:val="20"/>
        </w:rPr>
        <w:t xml:space="preserve"> </w:t>
      </w:r>
      <w:r w:rsidRPr="00D301D2">
        <w:rPr>
          <w:rFonts w:ascii="Arial" w:hAnsi="Arial" w:cs="Arial"/>
          <w:szCs w:val="20"/>
        </w:rPr>
        <w:t>SPPI. Financial assets classified at amortized cost are measured using the effective interest</w:t>
      </w:r>
      <w:r>
        <w:rPr>
          <w:rFonts w:ascii="Arial" w:hAnsi="Arial" w:cs="Arial"/>
          <w:szCs w:val="20"/>
        </w:rPr>
        <w:t xml:space="preserve"> </w:t>
      </w:r>
      <w:r w:rsidRPr="00D301D2">
        <w:rPr>
          <w:rFonts w:ascii="Arial" w:hAnsi="Arial" w:cs="Arial"/>
          <w:szCs w:val="20"/>
        </w:rPr>
        <w:t xml:space="preserve">method. The Company’s cash </w:t>
      </w:r>
      <w:r w:rsidR="00C135E2">
        <w:rPr>
          <w:rFonts w:ascii="Arial" w:hAnsi="Arial" w:cs="Arial"/>
          <w:szCs w:val="20"/>
        </w:rPr>
        <w:t xml:space="preserve">and amounts receivable </w:t>
      </w:r>
      <w:r w:rsidRPr="00D301D2">
        <w:rPr>
          <w:rFonts w:ascii="Arial" w:hAnsi="Arial" w:cs="Arial"/>
          <w:szCs w:val="20"/>
        </w:rPr>
        <w:t>are classified in this category.</w:t>
      </w:r>
    </w:p>
    <w:p w14:paraId="1EED7730" w14:textId="77777777" w:rsidR="007619C6" w:rsidRPr="00D301D2" w:rsidRDefault="007619C6" w:rsidP="007619C6">
      <w:pPr>
        <w:spacing w:after="0" w:line="240" w:lineRule="auto"/>
        <w:ind w:left="810"/>
        <w:jc w:val="both"/>
        <w:rPr>
          <w:rFonts w:ascii="Arial" w:hAnsi="Arial" w:cs="Arial"/>
          <w:szCs w:val="20"/>
        </w:rPr>
      </w:pPr>
    </w:p>
    <w:p w14:paraId="170231C0"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other comprehensive income (“FVTOCI”)</w:t>
      </w:r>
    </w:p>
    <w:p w14:paraId="4A3B46E6" w14:textId="77777777" w:rsidR="007619C6"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FVTOCI are those assets that are held within a</w:t>
      </w:r>
      <w:r>
        <w:rPr>
          <w:rFonts w:ascii="Arial" w:hAnsi="Arial" w:cs="Arial"/>
          <w:szCs w:val="20"/>
        </w:rPr>
        <w:t xml:space="preserve"> </w:t>
      </w:r>
      <w:r w:rsidRPr="00D301D2">
        <w:rPr>
          <w:rFonts w:ascii="Arial" w:hAnsi="Arial" w:cs="Arial"/>
          <w:szCs w:val="20"/>
        </w:rPr>
        <w:t>business model whose objective is achieved by both collecting contractual cash flows and</w:t>
      </w:r>
      <w:r>
        <w:rPr>
          <w:rFonts w:ascii="Arial" w:hAnsi="Arial" w:cs="Arial"/>
          <w:szCs w:val="20"/>
        </w:rPr>
        <w:t xml:space="preserve"> </w:t>
      </w:r>
      <w:r w:rsidRPr="00D301D2">
        <w:rPr>
          <w:rFonts w:ascii="Arial" w:hAnsi="Arial" w:cs="Arial"/>
          <w:szCs w:val="20"/>
        </w:rPr>
        <w:t>selling financial assets, and the contractual terms of the financial asset give rise to cash flows</w:t>
      </w:r>
      <w:r>
        <w:rPr>
          <w:rFonts w:ascii="Arial" w:hAnsi="Arial" w:cs="Arial"/>
          <w:szCs w:val="20"/>
        </w:rPr>
        <w:t xml:space="preserve"> </w:t>
      </w:r>
      <w:r w:rsidRPr="00D301D2">
        <w:rPr>
          <w:rFonts w:ascii="Arial" w:hAnsi="Arial" w:cs="Arial"/>
          <w:szCs w:val="20"/>
        </w:rPr>
        <w:t>that are SPPI.</w:t>
      </w:r>
    </w:p>
    <w:p w14:paraId="5F1BCF94" w14:textId="77777777" w:rsidR="007619C6" w:rsidRPr="00D301D2" w:rsidRDefault="007619C6" w:rsidP="007619C6">
      <w:pPr>
        <w:spacing w:after="0" w:line="240" w:lineRule="auto"/>
        <w:ind w:left="810"/>
        <w:jc w:val="both"/>
        <w:rPr>
          <w:rFonts w:ascii="Arial" w:hAnsi="Arial" w:cs="Arial"/>
          <w:szCs w:val="20"/>
        </w:rPr>
      </w:pPr>
    </w:p>
    <w:p w14:paraId="48F73B6E" w14:textId="77777777"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 Fair value through profit or loss (“FVTPL”)</w:t>
      </w:r>
    </w:p>
    <w:p w14:paraId="4FAFBC8F" w14:textId="1EED2998"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Financial assets classified and measured at FVTPL are those assets that do not meet the</w:t>
      </w:r>
      <w:r>
        <w:rPr>
          <w:rFonts w:ascii="Arial" w:hAnsi="Arial" w:cs="Arial"/>
          <w:szCs w:val="20"/>
        </w:rPr>
        <w:t xml:space="preserve"> </w:t>
      </w:r>
      <w:r w:rsidRPr="00D301D2">
        <w:rPr>
          <w:rFonts w:ascii="Arial" w:hAnsi="Arial" w:cs="Arial"/>
          <w:szCs w:val="20"/>
        </w:rPr>
        <w:t>criteria to be classified at amortized cost or at FVTOCI.</w:t>
      </w:r>
    </w:p>
    <w:p w14:paraId="422B6FE3" w14:textId="77777777" w:rsidR="007619C6" w:rsidRDefault="007619C6" w:rsidP="007619C6">
      <w:pPr>
        <w:spacing w:after="0" w:line="240" w:lineRule="auto"/>
        <w:ind w:left="810"/>
        <w:jc w:val="both"/>
        <w:rPr>
          <w:rFonts w:ascii="Arial" w:hAnsi="Arial" w:cs="Arial"/>
          <w:i/>
          <w:iCs/>
          <w:szCs w:val="20"/>
        </w:rPr>
      </w:pPr>
    </w:p>
    <w:p w14:paraId="5B4B65A6" w14:textId="77777777" w:rsidR="007619C6" w:rsidRPr="00D301D2" w:rsidRDefault="007619C6" w:rsidP="007619C6">
      <w:pPr>
        <w:spacing w:after="0" w:line="240" w:lineRule="auto"/>
        <w:ind w:left="810"/>
        <w:jc w:val="both"/>
        <w:rPr>
          <w:rFonts w:ascii="Arial" w:hAnsi="Arial" w:cs="Arial"/>
          <w:i/>
          <w:iCs/>
          <w:szCs w:val="20"/>
        </w:rPr>
      </w:pPr>
      <w:r w:rsidRPr="00D301D2">
        <w:rPr>
          <w:rFonts w:ascii="Arial" w:hAnsi="Arial" w:cs="Arial"/>
          <w:i/>
          <w:iCs/>
          <w:szCs w:val="20"/>
        </w:rPr>
        <w:t>Financial Liabilities</w:t>
      </w:r>
    </w:p>
    <w:p w14:paraId="76876D63" w14:textId="6894359F" w:rsidR="007619C6" w:rsidRPr="00D301D2" w:rsidRDefault="007619C6" w:rsidP="007619C6">
      <w:pPr>
        <w:spacing w:after="0" w:line="240" w:lineRule="auto"/>
        <w:ind w:left="810"/>
        <w:jc w:val="both"/>
        <w:rPr>
          <w:rFonts w:ascii="Arial" w:hAnsi="Arial" w:cs="Arial"/>
          <w:szCs w:val="20"/>
        </w:rPr>
      </w:pPr>
      <w:r w:rsidRPr="00D301D2">
        <w:rPr>
          <w:rFonts w:ascii="Arial" w:hAnsi="Arial" w:cs="Arial"/>
          <w:szCs w:val="20"/>
        </w:rPr>
        <w:t>All financial li</w:t>
      </w:r>
      <w:r w:rsidR="00C135E2">
        <w:rPr>
          <w:rFonts w:ascii="Arial" w:hAnsi="Arial" w:cs="Arial"/>
          <w:szCs w:val="20"/>
        </w:rPr>
        <w:t>abilities are initially recogniz</w:t>
      </w:r>
      <w:r w:rsidRPr="00D301D2">
        <w:rPr>
          <w:rFonts w:ascii="Arial" w:hAnsi="Arial" w:cs="Arial"/>
          <w:szCs w:val="20"/>
        </w:rPr>
        <w:t>ed at fair value plus or minus transactions costs that are directly attributable to issuing the financial liability. Financial lia</w:t>
      </w:r>
      <w:r w:rsidR="00C135E2">
        <w:rPr>
          <w:rFonts w:ascii="Arial" w:hAnsi="Arial" w:cs="Arial"/>
          <w:szCs w:val="20"/>
        </w:rPr>
        <w:t>bilities are measured at amortiz</w:t>
      </w:r>
      <w:r w:rsidRPr="00D301D2">
        <w:rPr>
          <w:rFonts w:ascii="Arial" w:hAnsi="Arial" w:cs="Arial"/>
          <w:szCs w:val="20"/>
        </w:rPr>
        <w:t>ed cost, unless they are required to be measured at FVTPL. The Company’s accounts payable and accrued liabilities</w:t>
      </w:r>
      <w:r>
        <w:rPr>
          <w:rFonts w:ascii="Arial" w:hAnsi="Arial" w:cs="Arial"/>
          <w:szCs w:val="20"/>
        </w:rPr>
        <w:t>, due to related parties</w:t>
      </w:r>
      <w:r w:rsidR="00C135E2">
        <w:rPr>
          <w:rFonts w:ascii="Arial" w:hAnsi="Arial" w:cs="Arial"/>
          <w:szCs w:val="20"/>
        </w:rPr>
        <w:t>, convertible debentures</w:t>
      </w:r>
      <w:r>
        <w:rPr>
          <w:rFonts w:ascii="Arial" w:hAnsi="Arial" w:cs="Arial"/>
          <w:szCs w:val="20"/>
        </w:rPr>
        <w:t xml:space="preserve"> and promissory notes</w:t>
      </w:r>
      <w:r w:rsidRPr="00D301D2">
        <w:rPr>
          <w:rFonts w:ascii="Arial" w:hAnsi="Arial" w:cs="Arial"/>
          <w:szCs w:val="20"/>
        </w:rPr>
        <w:t xml:space="preserve"> are measured at amortized cost.</w:t>
      </w:r>
    </w:p>
    <w:p w14:paraId="447C783C" w14:textId="77777777" w:rsidR="007619C6" w:rsidRDefault="007619C6" w:rsidP="007619C6">
      <w:pPr>
        <w:spacing w:after="0" w:line="240" w:lineRule="auto"/>
        <w:ind w:left="810"/>
        <w:jc w:val="both"/>
        <w:rPr>
          <w:rFonts w:ascii="Arial" w:hAnsi="Arial" w:cs="Arial"/>
          <w:szCs w:val="20"/>
          <w:u w:val="single"/>
        </w:rPr>
      </w:pPr>
    </w:p>
    <w:p w14:paraId="761D66A4" w14:textId="4240C0D9" w:rsidR="007619C6" w:rsidRPr="00240949" w:rsidRDefault="007619C6" w:rsidP="007619C6">
      <w:pPr>
        <w:spacing w:after="0" w:line="240" w:lineRule="auto"/>
        <w:ind w:left="810"/>
        <w:jc w:val="both"/>
        <w:rPr>
          <w:rFonts w:ascii="Arial" w:hAnsi="Arial" w:cs="Arial"/>
          <w:szCs w:val="20"/>
          <w:u w:val="single"/>
        </w:rPr>
      </w:pPr>
      <w:r w:rsidRPr="00240949">
        <w:rPr>
          <w:rFonts w:ascii="Arial" w:hAnsi="Arial" w:cs="Arial"/>
          <w:szCs w:val="20"/>
          <w:u w:val="single"/>
        </w:rPr>
        <w:t xml:space="preserve">Financial </w:t>
      </w:r>
      <w:r w:rsidR="00170927">
        <w:rPr>
          <w:rFonts w:ascii="Arial" w:hAnsi="Arial" w:cs="Arial"/>
          <w:szCs w:val="20"/>
          <w:u w:val="single"/>
        </w:rPr>
        <w:t>instruments - i</w:t>
      </w:r>
      <w:r w:rsidRPr="00240949">
        <w:rPr>
          <w:rFonts w:ascii="Arial" w:hAnsi="Arial" w:cs="Arial"/>
          <w:szCs w:val="20"/>
          <w:u w:val="single"/>
        </w:rPr>
        <w:t>mpairment of financial assets</w:t>
      </w:r>
    </w:p>
    <w:p w14:paraId="60F7A167" w14:textId="7C47343E" w:rsidR="007619C6" w:rsidRPr="00240949" w:rsidRDefault="007619C6" w:rsidP="007619C6">
      <w:pPr>
        <w:spacing w:after="0" w:line="240" w:lineRule="auto"/>
        <w:ind w:left="810"/>
        <w:jc w:val="both"/>
        <w:rPr>
          <w:rFonts w:ascii="Arial" w:hAnsi="Arial" w:cs="Arial"/>
          <w:szCs w:val="20"/>
        </w:rPr>
      </w:pPr>
      <w:r w:rsidRPr="00240949">
        <w:rPr>
          <w:rFonts w:ascii="Arial" w:hAnsi="Arial" w:cs="Arial"/>
          <w:szCs w:val="20"/>
        </w:rPr>
        <w:t xml:space="preserve">The Company recognizes a loss allowance for expected credit losses on financial assets that are measured at amortized cost. At each reporting date, the Company measures the loss allowance for the financial asset at an amount equal to the lifetime expected credit losses if the credit risk on the financial asset has increased significantly since initial recognition. If at the reporting date, the financial asset has not increased significantly since initial recognition, the Company measures the loss allowance for the financial asset at an amount equal to twelve month expected credit losses. The Company shall recognize in the </w:t>
      </w:r>
      <w:r w:rsidR="00C135E2">
        <w:rPr>
          <w:rFonts w:ascii="Arial" w:hAnsi="Arial" w:cs="Arial"/>
          <w:szCs w:val="20"/>
        </w:rPr>
        <w:t xml:space="preserve">condensed </w:t>
      </w:r>
      <w:r>
        <w:rPr>
          <w:rFonts w:ascii="Arial" w:hAnsi="Arial" w:cs="Arial"/>
          <w:szCs w:val="20"/>
        </w:rPr>
        <w:t>c</w:t>
      </w:r>
      <w:r w:rsidRPr="00240949">
        <w:rPr>
          <w:rFonts w:ascii="Arial" w:hAnsi="Arial" w:cs="Arial"/>
          <w:szCs w:val="20"/>
        </w:rPr>
        <w:t xml:space="preserve">onsolidated </w:t>
      </w:r>
      <w:r w:rsidR="00C135E2">
        <w:rPr>
          <w:rFonts w:ascii="Arial" w:hAnsi="Arial" w:cs="Arial"/>
          <w:szCs w:val="20"/>
        </w:rPr>
        <w:t xml:space="preserve">interim </w:t>
      </w:r>
      <w:r>
        <w:rPr>
          <w:rFonts w:ascii="Arial" w:hAnsi="Arial" w:cs="Arial"/>
          <w:szCs w:val="20"/>
        </w:rPr>
        <w:t>s</w:t>
      </w:r>
      <w:r w:rsidRPr="00240949">
        <w:rPr>
          <w:rFonts w:ascii="Arial" w:hAnsi="Arial" w:cs="Arial"/>
          <w:szCs w:val="20"/>
        </w:rPr>
        <w:t xml:space="preserve">tatements of </w:t>
      </w:r>
      <w:r>
        <w:rPr>
          <w:rFonts w:ascii="Arial" w:hAnsi="Arial" w:cs="Arial"/>
          <w:szCs w:val="20"/>
        </w:rPr>
        <w:t>income (loss)</w:t>
      </w:r>
      <w:r w:rsidRPr="00240949">
        <w:rPr>
          <w:rFonts w:ascii="Arial" w:hAnsi="Arial" w:cs="Arial"/>
          <w:szCs w:val="20"/>
        </w:rPr>
        <w:t>, as an impairment gain or loss, the amount of expected credit losses (or reversal) that is required to adjust the loss allowance at the reporting date to the amount that is required to be recognized.</w:t>
      </w:r>
    </w:p>
    <w:p w14:paraId="16F7E821" w14:textId="77777777" w:rsidR="007619C6" w:rsidRDefault="007619C6" w:rsidP="007619C6">
      <w:pPr>
        <w:spacing w:after="0" w:line="240" w:lineRule="auto"/>
        <w:ind w:left="810"/>
        <w:jc w:val="both"/>
        <w:rPr>
          <w:rFonts w:ascii="Arial" w:hAnsi="Arial" w:cs="Arial"/>
          <w:szCs w:val="20"/>
        </w:rPr>
      </w:pPr>
    </w:p>
    <w:p w14:paraId="3F90E932" w14:textId="77777777"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The Company classifies and discloses fair value measurements based on a three-level hierarchy:</w:t>
      </w:r>
    </w:p>
    <w:p w14:paraId="354EE746" w14:textId="77777777" w:rsidR="007619C6" w:rsidRDefault="007619C6" w:rsidP="007619C6">
      <w:pPr>
        <w:spacing w:after="0" w:line="240" w:lineRule="auto"/>
        <w:ind w:left="810"/>
        <w:jc w:val="both"/>
        <w:rPr>
          <w:rFonts w:ascii="Arial" w:hAnsi="Arial" w:cs="Arial"/>
          <w:szCs w:val="20"/>
        </w:rPr>
      </w:pPr>
    </w:p>
    <w:p w14:paraId="2F0B468A" w14:textId="77777777" w:rsidR="007619C6" w:rsidRPr="008D24ED" w:rsidRDefault="007619C6" w:rsidP="007619C6">
      <w:pPr>
        <w:pStyle w:val="ListParagraph"/>
        <w:numPr>
          <w:ilvl w:val="0"/>
          <w:numId w:val="39"/>
        </w:numPr>
        <w:spacing w:after="0" w:line="240" w:lineRule="auto"/>
        <w:jc w:val="both"/>
        <w:rPr>
          <w:rFonts w:ascii="Arial" w:hAnsi="Arial" w:cs="Arial"/>
          <w:szCs w:val="20"/>
        </w:rPr>
      </w:pPr>
      <w:r w:rsidRPr="008D24ED">
        <w:rPr>
          <w:rFonts w:ascii="Arial" w:hAnsi="Arial" w:cs="Arial"/>
          <w:szCs w:val="20"/>
        </w:rPr>
        <w:t xml:space="preserve">Level 1 – inputs are unadjusted quoted prices in active markets for identical assets or liabilities; </w:t>
      </w:r>
    </w:p>
    <w:p w14:paraId="5E9DFB5D"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2 – inputs other than quoted prices in Level 1 that are observable for the asset or liability, either directly or indirectly; and</w:t>
      </w:r>
    </w:p>
    <w:p w14:paraId="6DC119D1" w14:textId="77777777" w:rsidR="007619C6" w:rsidRPr="00E80074" w:rsidRDefault="007619C6" w:rsidP="007619C6">
      <w:pPr>
        <w:pStyle w:val="ListParagraph"/>
        <w:numPr>
          <w:ilvl w:val="1"/>
          <w:numId w:val="38"/>
        </w:numPr>
        <w:spacing w:after="0" w:line="240" w:lineRule="auto"/>
        <w:ind w:left="1170"/>
        <w:jc w:val="both"/>
        <w:rPr>
          <w:rFonts w:ascii="Arial" w:hAnsi="Arial" w:cs="Arial"/>
          <w:szCs w:val="20"/>
        </w:rPr>
      </w:pPr>
      <w:r w:rsidRPr="00E80074">
        <w:rPr>
          <w:rFonts w:ascii="Arial" w:hAnsi="Arial" w:cs="Arial"/>
          <w:szCs w:val="20"/>
        </w:rPr>
        <w:t>Level 3 – inputs for the asset or liability are not based on observable market data.</w:t>
      </w:r>
    </w:p>
    <w:p w14:paraId="24084A82" w14:textId="77777777" w:rsidR="007619C6" w:rsidRDefault="007619C6" w:rsidP="007619C6">
      <w:pPr>
        <w:spacing w:after="0" w:line="240" w:lineRule="auto"/>
        <w:ind w:left="810"/>
        <w:jc w:val="both"/>
        <w:rPr>
          <w:rFonts w:ascii="Arial" w:hAnsi="Arial" w:cs="Arial"/>
          <w:szCs w:val="20"/>
        </w:rPr>
      </w:pPr>
    </w:p>
    <w:p w14:paraId="5098A16F" w14:textId="77777777" w:rsidR="00C135E2" w:rsidRDefault="00C135E2">
      <w:pPr>
        <w:rPr>
          <w:rFonts w:ascii="Arial" w:hAnsi="Arial" w:cs="Arial"/>
          <w:b/>
          <w:bCs/>
          <w:szCs w:val="20"/>
        </w:rPr>
      </w:pPr>
      <w:r>
        <w:rPr>
          <w:rFonts w:ascii="Arial" w:hAnsi="Arial" w:cs="Arial"/>
          <w:b/>
          <w:bCs/>
          <w:szCs w:val="20"/>
        </w:rPr>
        <w:br w:type="page"/>
      </w:r>
    </w:p>
    <w:p w14:paraId="2DD22D22" w14:textId="731A3CBA" w:rsidR="00C135E2" w:rsidRPr="00F60034" w:rsidRDefault="00C135E2" w:rsidP="00C135E2">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BE8675D" w14:textId="77777777" w:rsidR="00C135E2" w:rsidRDefault="00C135E2" w:rsidP="007619C6">
      <w:pPr>
        <w:spacing w:after="0" w:line="240" w:lineRule="auto"/>
        <w:ind w:left="810"/>
        <w:jc w:val="both"/>
        <w:rPr>
          <w:rFonts w:ascii="Arial" w:hAnsi="Arial" w:cs="Arial"/>
          <w:szCs w:val="20"/>
        </w:rPr>
      </w:pPr>
    </w:p>
    <w:p w14:paraId="6D1F2023" w14:textId="05EDB968" w:rsidR="007619C6" w:rsidRDefault="007619C6" w:rsidP="007619C6">
      <w:pPr>
        <w:spacing w:after="0" w:line="240" w:lineRule="auto"/>
        <w:ind w:left="810"/>
        <w:jc w:val="both"/>
        <w:rPr>
          <w:rFonts w:ascii="Arial" w:hAnsi="Arial" w:cs="Arial"/>
          <w:szCs w:val="20"/>
        </w:rPr>
      </w:pPr>
      <w:r w:rsidRPr="00E80074">
        <w:rPr>
          <w:rFonts w:ascii="Arial" w:hAnsi="Arial" w:cs="Arial"/>
          <w:szCs w:val="20"/>
        </w:rPr>
        <w:t xml:space="preserve">The Company has determined the estimated fair values of its financial instruments based upon appropriate valuation methodologies. At </w:t>
      </w:r>
      <w:r w:rsidR="00C135E2">
        <w:rPr>
          <w:rFonts w:ascii="Arial" w:hAnsi="Arial" w:cs="Arial"/>
          <w:szCs w:val="20"/>
        </w:rPr>
        <w:t>July</w:t>
      </w:r>
      <w:r>
        <w:rPr>
          <w:rFonts w:ascii="Arial" w:hAnsi="Arial" w:cs="Arial"/>
          <w:szCs w:val="20"/>
        </w:rPr>
        <w:t xml:space="preserve"> 31, 2019</w:t>
      </w:r>
      <w:r w:rsidR="00C135E2">
        <w:rPr>
          <w:rFonts w:ascii="Arial" w:hAnsi="Arial" w:cs="Arial"/>
          <w:szCs w:val="20"/>
        </w:rPr>
        <w:t xml:space="preserve">, January 31, </w:t>
      </w:r>
      <w:r>
        <w:rPr>
          <w:rFonts w:ascii="Arial" w:hAnsi="Arial" w:cs="Arial"/>
          <w:szCs w:val="20"/>
        </w:rPr>
        <w:t>201</w:t>
      </w:r>
      <w:r w:rsidR="00C135E2">
        <w:rPr>
          <w:rFonts w:ascii="Arial" w:hAnsi="Arial" w:cs="Arial"/>
          <w:szCs w:val="20"/>
        </w:rPr>
        <w:t>9 and February 1, 2018</w:t>
      </w:r>
      <w:r w:rsidRPr="00E80074">
        <w:rPr>
          <w:rFonts w:ascii="Arial" w:hAnsi="Arial" w:cs="Arial"/>
          <w:szCs w:val="20"/>
        </w:rPr>
        <w:t xml:space="preserve">, cash </w:t>
      </w:r>
      <w:r w:rsidR="00C5307E">
        <w:rPr>
          <w:rFonts w:ascii="Arial" w:hAnsi="Arial" w:cs="Arial"/>
          <w:szCs w:val="20"/>
        </w:rPr>
        <w:t>was</w:t>
      </w:r>
      <w:r w:rsidRPr="00E80074">
        <w:rPr>
          <w:rFonts w:ascii="Arial" w:hAnsi="Arial" w:cs="Arial"/>
          <w:szCs w:val="20"/>
        </w:rPr>
        <w:t xml:space="preserve"> measured and recognized in the</w:t>
      </w:r>
      <w:r>
        <w:rPr>
          <w:rFonts w:ascii="Arial" w:hAnsi="Arial" w:cs="Arial"/>
          <w:szCs w:val="20"/>
        </w:rPr>
        <w:t xml:space="preserve"> </w:t>
      </w:r>
      <w:r w:rsidR="00C5307E">
        <w:rPr>
          <w:rFonts w:ascii="Arial" w:hAnsi="Arial" w:cs="Arial"/>
          <w:szCs w:val="20"/>
        </w:rPr>
        <w:t xml:space="preserve">condensed </w:t>
      </w:r>
      <w:r>
        <w:rPr>
          <w:rFonts w:ascii="Arial" w:hAnsi="Arial" w:cs="Arial"/>
          <w:szCs w:val="20"/>
        </w:rPr>
        <w:t>consolidated</w:t>
      </w:r>
      <w:r w:rsidR="00C5307E">
        <w:rPr>
          <w:rFonts w:ascii="Arial" w:hAnsi="Arial" w:cs="Arial"/>
          <w:szCs w:val="20"/>
        </w:rPr>
        <w:t xml:space="preserve"> interim</w:t>
      </w:r>
      <w:r w:rsidRPr="00E80074">
        <w:rPr>
          <w:rFonts w:ascii="Arial" w:hAnsi="Arial" w:cs="Arial"/>
          <w:szCs w:val="20"/>
        </w:rPr>
        <w:t xml:space="preserve"> statement of financial </w:t>
      </w:r>
      <w:r>
        <w:rPr>
          <w:rFonts w:ascii="Arial" w:hAnsi="Arial" w:cs="Arial"/>
          <w:szCs w:val="20"/>
        </w:rPr>
        <w:t xml:space="preserve">position using Level 1 inputs in the fair value hierarchy.  At </w:t>
      </w:r>
      <w:r w:rsidR="00C135E2">
        <w:rPr>
          <w:rFonts w:ascii="Arial" w:hAnsi="Arial" w:cs="Arial"/>
          <w:szCs w:val="20"/>
        </w:rPr>
        <w:t>July 31, 2019, January 31, 2019 and February 1, 2018</w:t>
      </w:r>
      <w:r>
        <w:rPr>
          <w:rFonts w:ascii="Arial" w:hAnsi="Arial" w:cs="Arial"/>
          <w:szCs w:val="20"/>
        </w:rPr>
        <w:t>, there</w:t>
      </w:r>
      <w:r w:rsidRPr="00E80074">
        <w:rPr>
          <w:rFonts w:ascii="Arial" w:hAnsi="Arial" w:cs="Arial"/>
          <w:szCs w:val="20"/>
        </w:rPr>
        <w:t xml:space="preserve"> were no financial assets</w:t>
      </w:r>
      <w:r w:rsidR="00C135E2">
        <w:rPr>
          <w:rFonts w:ascii="Arial" w:hAnsi="Arial" w:cs="Arial"/>
          <w:szCs w:val="20"/>
        </w:rPr>
        <w:t xml:space="preserve"> or liabilities</w:t>
      </w:r>
      <w:r w:rsidRPr="00E80074">
        <w:rPr>
          <w:rFonts w:ascii="Arial" w:hAnsi="Arial" w:cs="Arial"/>
          <w:szCs w:val="20"/>
        </w:rPr>
        <w:t xml:space="preserve"> measured and recognized in the </w:t>
      </w:r>
      <w:r w:rsidR="00C5307E">
        <w:rPr>
          <w:rFonts w:ascii="Arial" w:hAnsi="Arial" w:cs="Arial"/>
          <w:szCs w:val="20"/>
        </w:rPr>
        <w:t>condensed consolidated interim</w:t>
      </w:r>
      <w:r w:rsidR="00C5307E" w:rsidRPr="00E80074">
        <w:rPr>
          <w:rFonts w:ascii="Arial" w:hAnsi="Arial" w:cs="Arial"/>
          <w:szCs w:val="20"/>
        </w:rPr>
        <w:t xml:space="preserve"> statement of financial </w:t>
      </w:r>
      <w:r w:rsidR="00C5307E">
        <w:rPr>
          <w:rFonts w:ascii="Arial" w:hAnsi="Arial" w:cs="Arial"/>
          <w:szCs w:val="20"/>
        </w:rPr>
        <w:t>position</w:t>
      </w:r>
      <w:r w:rsidR="00C5307E" w:rsidRPr="00E80074">
        <w:rPr>
          <w:rFonts w:ascii="Arial" w:hAnsi="Arial" w:cs="Arial"/>
          <w:szCs w:val="20"/>
        </w:rPr>
        <w:t xml:space="preserve"> </w:t>
      </w:r>
      <w:r w:rsidRPr="00E80074">
        <w:rPr>
          <w:rFonts w:ascii="Arial" w:hAnsi="Arial" w:cs="Arial"/>
          <w:szCs w:val="20"/>
        </w:rPr>
        <w:t>at fair value that would have been categorized as Level 3 in the fair value hierarchy above.</w:t>
      </w:r>
    </w:p>
    <w:p w14:paraId="17981A5B" w14:textId="6D1860ED" w:rsidR="00364E20" w:rsidRDefault="00364E2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6CDAC6FD" w14:textId="04161EE1" w:rsidR="00862D99" w:rsidRPr="00F60034" w:rsidRDefault="00862D9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 xml:space="preserve">Cash </w:t>
      </w:r>
      <w:r w:rsidR="00C5307E">
        <w:rPr>
          <w:rFonts w:ascii="Arial" w:hAnsi="Arial" w:cs="Arial"/>
          <w:szCs w:val="20"/>
        </w:rPr>
        <w:t>and Cash Equivalents</w:t>
      </w:r>
    </w:p>
    <w:p w14:paraId="0EDBE988"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37F92A5B" w14:textId="59EF7ECF" w:rsidR="00862D9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0030D9">
        <w:rPr>
          <w:rFonts w:ascii="Arial" w:hAnsi="Arial" w:cs="Arial"/>
          <w:szCs w:val="20"/>
        </w:rPr>
        <w:t xml:space="preserve">Cash in the </w:t>
      </w:r>
      <w:r w:rsidR="00C135E2">
        <w:rPr>
          <w:rFonts w:ascii="Arial" w:hAnsi="Arial" w:cs="Arial"/>
          <w:szCs w:val="20"/>
        </w:rPr>
        <w:t xml:space="preserve">condensed </w:t>
      </w:r>
      <w:r w:rsidRPr="000030D9">
        <w:rPr>
          <w:rFonts w:ascii="Arial" w:hAnsi="Arial" w:cs="Arial"/>
          <w:szCs w:val="20"/>
        </w:rPr>
        <w:t>consolidated</w:t>
      </w:r>
      <w:r w:rsidR="00C135E2">
        <w:rPr>
          <w:rFonts w:ascii="Arial" w:hAnsi="Arial" w:cs="Arial"/>
          <w:szCs w:val="20"/>
        </w:rPr>
        <w:t xml:space="preserve"> interim</w:t>
      </w:r>
      <w:r w:rsidRPr="000030D9">
        <w:rPr>
          <w:rFonts w:ascii="Arial" w:hAnsi="Arial" w:cs="Arial"/>
          <w:szCs w:val="20"/>
        </w:rPr>
        <w:t xml:space="preserve"> statement of financial position is comprised of cash and short-term deposits which have an original maturity of three months or less or are readily convertible into a known amount of cash</w:t>
      </w:r>
      <w:r w:rsidR="00862D99" w:rsidRPr="00F60034">
        <w:rPr>
          <w:rFonts w:ascii="Arial" w:hAnsi="Arial" w:cs="Arial"/>
          <w:szCs w:val="20"/>
        </w:rPr>
        <w:t>.</w:t>
      </w:r>
      <w:r w:rsidR="00C135E2">
        <w:rPr>
          <w:rFonts w:ascii="Arial" w:hAnsi="Arial" w:cs="Arial"/>
          <w:szCs w:val="20"/>
        </w:rPr>
        <w:t xml:space="preserve">  At July 31, 2019, January 31, 2019 and February 1, 2018, the Company had no cash equivalents.</w:t>
      </w:r>
    </w:p>
    <w:p w14:paraId="16440920" w14:textId="77777777" w:rsidR="000030D9" w:rsidRDefault="000030D9"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A1F12C1" w14:textId="5E5A475C" w:rsidR="00D462FC" w:rsidRPr="00F60034" w:rsidRDefault="00D462FC" w:rsidP="00D462FC">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Inventories</w:t>
      </w:r>
    </w:p>
    <w:p w14:paraId="351F4311" w14:textId="77777777"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13EA2F23" w14:textId="7CEBA8FE"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sidRPr="00B83D90">
        <w:rPr>
          <w:rFonts w:ascii="Arial" w:hAnsi="Arial" w:cs="Arial"/>
          <w:szCs w:val="20"/>
        </w:rPr>
        <w:t>Inventories are stated at the lower of cost (first-in, first-out method) or net realizable value. Inventories are written down to net realizable value item by item when a decline in the price of items indicates that the cost is higher than the net realizable value. When the events having caused a decline in the valuation of inventories no longer exist, the amount of the write-down is reversed so that the new carrying amount is the lower of the cost and the revised net realizable value.</w:t>
      </w:r>
    </w:p>
    <w:p w14:paraId="7D2E5241" w14:textId="77777777" w:rsidR="00D462FC"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77F3D87E" w14:textId="718B8E91" w:rsidR="000030D9" w:rsidRPr="00F60034" w:rsidRDefault="000030D9"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Equipment</w:t>
      </w:r>
    </w:p>
    <w:p w14:paraId="60C5478B" w14:textId="77777777"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p>
    <w:p w14:paraId="4B1ECEE4" w14:textId="46D6DEB6" w:rsidR="000030D9" w:rsidRDefault="000030D9" w:rsidP="000030D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4"/>
        <w:jc w:val="both"/>
        <w:rPr>
          <w:rFonts w:ascii="Arial" w:hAnsi="Arial" w:cs="Arial"/>
          <w:szCs w:val="20"/>
        </w:rPr>
      </w:pPr>
      <w:r>
        <w:rPr>
          <w:rFonts w:ascii="Arial" w:hAnsi="Arial" w:cs="Arial"/>
          <w:szCs w:val="20"/>
        </w:rPr>
        <w:t>E</w:t>
      </w:r>
      <w:r w:rsidRPr="000030D9">
        <w:rPr>
          <w:rFonts w:ascii="Arial" w:hAnsi="Arial" w:cs="Arial"/>
          <w:szCs w:val="20"/>
        </w:rPr>
        <w:t xml:space="preserve">quipment are recorded at cost less accumulated depreciation and accumulated impairment losses. Depreciation is recorded using the straight-line method to depreciate the cost of </w:t>
      </w:r>
      <w:r>
        <w:rPr>
          <w:rFonts w:ascii="Arial" w:hAnsi="Arial" w:cs="Arial"/>
          <w:szCs w:val="20"/>
        </w:rPr>
        <w:t>equipment</w:t>
      </w:r>
      <w:r w:rsidRPr="000030D9">
        <w:rPr>
          <w:rFonts w:ascii="Arial" w:hAnsi="Arial" w:cs="Arial"/>
          <w:szCs w:val="20"/>
        </w:rPr>
        <w:t xml:space="preserve"> over </w:t>
      </w:r>
      <w:r>
        <w:rPr>
          <w:rFonts w:ascii="Arial" w:hAnsi="Arial" w:cs="Arial"/>
          <w:szCs w:val="20"/>
        </w:rPr>
        <w:t>its</w:t>
      </w:r>
      <w:r w:rsidRPr="000030D9">
        <w:rPr>
          <w:rFonts w:ascii="Arial" w:hAnsi="Arial" w:cs="Arial"/>
          <w:szCs w:val="20"/>
        </w:rPr>
        <w:t xml:space="preserve"> estimated useful </w:t>
      </w:r>
      <w:r>
        <w:rPr>
          <w:rFonts w:ascii="Arial" w:hAnsi="Arial" w:cs="Arial"/>
          <w:szCs w:val="20"/>
        </w:rPr>
        <w:t>life of six years.</w:t>
      </w:r>
    </w:p>
    <w:p w14:paraId="5DDE2B96" w14:textId="77777777" w:rsidR="001D529F" w:rsidRDefault="001D529F" w:rsidP="00F15B99">
      <w:pPr>
        <w:spacing w:after="0"/>
        <w:rPr>
          <w:rFonts w:ascii="Arial" w:hAnsi="Arial" w:cs="Arial"/>
          <w:b/>
          <w:bCs/>
          <w:szCs w:val="20"/>
        </w:rPr>
      </w:pPr>
    </w:p>
    <w:p w14:paraId="1EF17B48" w14:textId="732B9441" w:rsidR="00C118CA" w:rsidRPr="00397EA0" w:rsidRDefault="00C118CA"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397EA0">
        <w:rPr>
          <w:rFonts w:ascii="Arial" w:hAnsi="Arial" w:cs="Arial"/>
          <w:szCs w:val="20"/>
        </w:rPr>
        <w:t>Intangible Asset</w:t>
      </w:r>
      <w:r w:rsidR="00811FD0">
        <w:rPr>
          <w:rFonts w:ascii="Arial" w:hAnsi="Arial" w:cs="Arial"/>
          <w:szCs w:val="20"/>
        </w:rPr>
        <w:t xml:space="preserve">s </w:t>
      </w:r>
    </w:p>
    <w:p w14:paraId="0AE7F6D7" w14:textId="77777777" w:rsidR="000030D9" w:rsidRDefault="000030D9"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31133F97" w14:textId="66ABDECF" w:rsidR="00C118CA" w:rsidRDefault="00BF1F22"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54049E">
        <w:rPr>
          <w:rFonts w:ascii="Arial" w:hAnsi="Arial" w:cs="Arial"/>
          <w:szCs w:val="20"/>
        </w:rPr>
        <w:t>Intangible assets</w:t>
      </w:r>
      <w:r w:rsidR="0054049E" w:rsidRPr="0054049E">
        <w:rPr>
          <w:rFonts w:ascii="Arial" w:hAnsi="Arial" w:cs="Arial"/>
          <w:szCs w:val="20"/>
        </w:rPr>
        <w:t xml:space="preserve"> consist</w:t>
      </w:r>
      <w:r w:rsidR="00397EA0">
        <w:rPr>
          <w:rFonts w:ascii="Arial" w:hAnsi="Arial" w:cs="Arial"/>
          <w:szCs w:val="20"/>
        </w:rPr>
        <w:t>s of costs incurred to acquire</w:t>
      </w:r>
      <w:r w:rsidR="0054049E" w:rsidRPr="0054049E">
        <w:rPr>
          <w:rFonts w:ascii="Arial" w:hAnsi="Arial" w:cs="Arial"/>
          <w:szCs w:val="20"/>
        </w:rPr>
        <w:t xml:space="preserve"> license</w:t>
      </w:r>
      <w:r w:rsidR="00915DE4">
        <w:rPr>
          <w:rFonts w:ascii="Arial" w:hAnsi="Arial" w:cs="Arial"/>
          <w:szCs w:val="20"/>
        </w:rPr>
        <w:t xml:space="preserve">, </w:t>
      </w:r>
      <w:r w:rsidR="00397EA0">
        <w:rPr>
          <w:rFonts w:ascii="Arial" w:hAnsi="Arial" w:cs="Arial"/>
          <w:szCs w:val="20"/>
        </w:rPr>
        <w:t>patents</w:t>
      </w:r>
      <w:r w:rsidR="00915DE4">
        <w:rPr>
          <w:rFonts w:ascii="Arial" w:hAnsi="Arial" w:cs="Arial"/>
          <w:szCs w:val="20"/>
        </w:rPr>
        <w:t xml:space="preserve"> and unpatented technology</w:t>
      </w:r>
      <w:r w:rsidR="0054049E" w:rsidRPr="0054049E">
        <w:rPr>
          <w:rFonts w:ascii="Arial" w:hAnsi="Arial" w:cs="Arial"/>
          <w:szCs w:val="20"/>
        </w:rPr>
        <w:t>.  Intangible assets</w:t>
      </w:r>
      <w:r w:rsidRPr="0054049E">
        <w:rPr>
          <w:rFonts w:ascii="Arial" w:hAnsi="Arial" w:cs="Arial"/>
          <w:szCs w:val="20"/>
        </w:rPr>
        <w:t xml:space="preserve"> are</w:t>
      </w:r>
      <w:r w:rsidR="0054049E">
        <w:rPr>
          <w:rFonts w:ascii="Arial" w:hAnsi="Arial" w:cs="Arial"/>
          <w:szCs w:val="20"/>
        </w:rPr>
        <w:t xml:space="preserve"> considered finite live assets and</w:t>
      </w:r>
      <w:r>
        <w:rPr>
          <w:rFonts w:ascii="Arial" w:hAnsi="Arial" w:cs="Arial"/>
          <w:szCs w:val="20"/>
        </w:rPr>
        <w:t xml:space="preserve"> recorded at cost less accumulated amortization and accumulated impairment.  </w:t>
      </w:r>
      <w:r w:rsidR="0054049E" w:rsidRPr="0054049E">
        <w:rPr>
          <w:rFonts w:ascii="Arial" w:hAnsi="Arial" w:cs="Arial"/>
          <w:szCs w:val="20"/>
        </w:rPr>
        <w:t>Subsequent expenditures are capitalized only when they increase the future economic benefits embodied in the asset</w:t>
      </w:r>
      <w:r w:rsidR="0054049E">
        <w:rPr>
          <w:rFonts w:ascii="Arial" w:hAnsi="Arial" w:cs="Arial"/>
          <w:szCs w:val="20"/>
        </w:rPr>
        <w:t>.</w:t>
      </w:r>
      <w:r w:rsidR="0054049E" w:rsidRPr="0054049E">
        <w:rPr>
          <w:rFonts w:ascii="Arial" w:hAnsi="Arial" w:cs="Arial"/>
          <w:szCs w:val="20"/>
        </w:rPr>
        <w:t xml:space="preserve"> Amortization is recorded using </w:t>
      </w:r>
      <w:r w:rsidR="0054049E">
        <w:rPr>
          <w:rFonts w:ascii="Arial" w:hAnsi="Arial" w:cs="Arial"/>
          <w:szCs w:val="20"/>
        </w:rPr>
        <w:t>the</w:t>
      </w:r>
      <w:r w:rsidR="0054049E" w:rsidRPr="0054049E">
        <w:rPr>
          <w:rFonts w:ascii="Arial" w:hAnsi="Arial" w:cs="Arial"/>
          <w:szCs w:val="20"/>
        </w:rPr>
        <w:t xml:space="preserve"> straight-line method and is intended to amortize the </w:t>
      </w:r>
      <w:r w:rsidR="00915DE4">
        <w:rPr>
          <w:rFonts w:ascii="Arial" w:hAnsi="Arial" w:cs="Arial"/>
          <w:szCs w:val="20"/>
        </w:rPr>
        <w:t>intangible assets</w:t>
      </w:r>
      <w:r w:rsidR="0054049E" w:rsidRPr="0054049E">
        <w:rPr>
          <w:rFonts w:ascii="Arial" w:hAnsi="Arial" w:cs="Arial"/>
          <w:szCs w:val="20"/>
        </w:rPr>
        <w:t xml:space="preserve"> </w:t>
      </w:r>
      <w:r w:rsidR="0054049E">
        <w:rPr>
          <w:rFonts w:ascii="Arial" w:hAnsi="Arial" w:cs="Arial"/>
          <w:szCs w:val="20"/>
        </w:rPr>
        <w:t xml:space="preserve">over </w:t>
      </w:r>
      <w:r w:rsidR="00915DE4">
        <w:rPr>
          <w:rFonts w:ascii="Arial" w:hAnsi="Arial" w:cs="Arial"/>
          <w:szCs w:val="20"/>
        </w:rPr>
        <w:t>their</w:t>
      </w:r>
      <w:r w:rsidR="0054049E">
        <w:rPr>
          <w:rFonts w:ascii="Arial" w:hAnsi="Arial" w:cs="Arial"/>
          <w:szCs w:val="20"/>
        </w:rPr>
        <w:t xml:space="preserve"> estimated useful </w:t>
      </w:r>
      <w:r w:rsidR="00915DE4">
        <w:rPr>
          <w:rFonts w:ascii="Arial" w:hAnsi="Arial" w:cs="Arial"/>
          <w:szCs w:val="20"/>
        </w:rPr>
        <w:t>lives:</w:t>
      </w:r>
    </w:p>
    <w:p w14:paraId="6A8F8A6E" w14:textId="77777777" w:rsidR="00915DE4" w:rsidRDefault="00915DE4" w:rsidP="00F15B99">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1FBE98FF" w14:textId="53D35078" w:rsidR="00915DE4" w:rsidRDefault="00C135E2" w:rsidP="00915DE4">
      <w:pPr>
        <w:pStyle w:val="ListParagraph"/>
        <w:tabs>
          <w:tab w:val="left" w:pos="43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License</w:t>
      </w:r>
      <w:r>
        <w:rPr>
          <w:rFonts w:ascii="Arial" w:hAnsi="Arial" w:cs="Arial"/>
          <w:szCs w:val="20"/>
        </w:rPr>
        <w:tab/>
      </w:r>
      <w:r>
        <w:rPr>
          <w:rFonts w:ascii="Arial" w:hAnsi="Arial" w:cs="Arial"/>
          <w:szCs w:val="20"/>
        </w:rPr>
        <w:tab/>
      </w:r>
      <w:r>
        <w:rPr>
          <w:rFonts w:ascii="Arial" w:hAnsi="Arial" w:cs="Arial"/>
          <w:szCs w:val="20"/>
        </w:rPr>
        <w:tab/>
        <w:t>5</w:t>
      </w:r>
      <w:r w:rsidR="00915DE4">
        <w:rPr>
          <w:rFonts w:ascii="Arial" w:hAnsi="Arial" w:cs="Arial"/>
          <w:szCs w:val="20"/>
        </w:rPr>
        <w:t xml:space="preserve"> years</w:t>
      </w:r>
    </w:p>
    <w:p w14:paraId="2495EEA2" w14:textId="7AD45C22"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Patents</w:t>
      </w:r>
      <w:r>
        <w:rPr>
          <w:rFonts w:ascii="Arial" w:hAnsi="Arial" w:cs="Arial"/>
          <w:szCs w:val="20"/>
        </w:rPr>
        <w:tab/>
        <w:t>10 years</w:t>
      </w:r>
    </w:p>
    <w:p w14:paraId="048B9B60" w14:textId="79BCB20F"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r>
        <w:rPr>
          <w:rFonts w:ascii="Arial" w:hAnsi="Arial" w:cs="Arial"/>
          <w:szCs w:val="20"/>
        </w:rPr>
        <w:t>Unpatented technology</w:t>
      </w:r>
      <w:r>
        <w:rPr>
          <w:rFonts w:ascii="Arial" w:hAnsi="Arial" w:cs="Arial"/>
          <w:szCs w:val="20"/>
        </w:rPr>
        <w:tab/>
        <w:t>10 years</w:t>
      </w:r>
    </w:p>
    <w:p w14:paraId="4DA035E2" w14:textId="77777777" w:rsidR="00915DE4" w:rsidRDefault="00915DE4"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p>
    <w:p w14:paraId="77B660BB" w14:textId="77777777" w:rsidR="00D462FC" w:rsidRDefault="00D462FC">
      <w:pPr>
        <w:rPr>
          <w:rFonts w:ascii="Arial" w:hAnsi="Arial" w:cs="Arial"/>
          <w:b/>
          <w:bCs/>
          <w:szCs w:val="20"/>
        </w:rPr>
      </w:pPr>
      <w:r>
        <w:rPr>
          <w:rFonts w:ascii="Arial" w:hAnsi="Arial" w:cs="Arial"/>
          <w:b/>
          <w:bCs/>
          <w:szCs w:val="20"/>
        </w:rPr>
        <w:br w:type="page"/>
      </w:r>
    </w:p>
    <w:p w14:paraId="41722FAD" w14:textId="549BCA8D"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46EE5CFD" w14:textId="77777777" w:rsidR="00D462FC" w:rsidRDefault="00D462FC" w:rsidP="00915DE4">
      <w:pPr>
        <w:pStyle w:val="ListParagraph"/>
        <w:tabs>
          <w:tab w:val="left" w:pos="432"/>
          <w:tab w:val="left" w:pos="4050"/>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1080"/>
        <w:jc w:val="both"/>
        <w:rPr>
          <w:rFonts w:ascii="Arial" w:hAnsi="Arial" w:cs="Arial"/>
          <w:szCs w:val="20"/>
        </w:rPr>
      </w:pPr>
    </w:p>
    <w:p w14:paraId="2D77DBA8" w14:textId="24673437" w:rsidR="00915DE4" w:rsidRPr="00397EA0" w:rsidRDefault="00915DE4"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 xml:space="preserve">Impairment of </w:t>
      </w:r>
      <w:r w:rsidR="00ED7711">
        <w:rPr>
          <w:rFonts w:ascii="Arial" w:hAnsi="Arial" w:cs="Arial"/>
          <w:szCs w:val="20"/>
        </w:rPr>
        <w:t>Long-lived Assets</w:t>
      </w:r>
    </w:p>
    <w:p w14:paraId="6A32945F" w14:textId="77777777" w:rsidR="00915DE4" w:rsidRDefault="00915DE4" w:rsidP="00915DE4">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806E282" w14:textId="77777777" w:rsidR="00C135E2"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ED7711">
        <w:rPr>
          <w:rFonts w:ascii="Arial" w:hAnsi="Arial" w:cs="Arial"/>
          <w:szCs w:val="20"/>
        </w:rPr>
        <w:t xml:space="preserve">At the end of each reporting period, the Company reviews the carrying amounts of long-lived assets to determine whether there is an indication that those assets </w:t>
      </w:r>
      <w:r>
        <w:rPr>
          <w:rFonts w:ascii="Arial" w:hAnsi="Arial" w:cs="Arial"/>
          <w:szCs w:val="20"/>
        </w:rPr>
        <w:t>are impaired</w:t>
      </w:r>
      <w:r w:rsidRPr="00ED7711">
        <w:rPr>
          <w:rFonts w:ascii="Arial" w:hAnsi="Arial" w:cs="Arial"/>
          <w:szCs w:val="20"/>
        </w:rPr>
        <w:t>. If any such indication exists, the recoverable amount of the asset is estimated in order to determine the extent of the impairment charge (if any)</w:t>
      </w:r>
      <w:r>
        <w:rPr>
          <w:rFonts w:ascii="Arial" w:hAnsi="Arial" w:cs="Arial"/>
          <w:szCs w:val="20"/>
        </w:rPr>
        <w:t xml:space="preserve">.  </w:t>
      </w:r>
      <w:r w:rsidRPr="00ED7711">
        <w:rPr>
          <w:rFonts w:ascii="Arial" w:hAnsi="Arial" w:cs="Arial"/>
          <w:szCs w:val="20"/>
        </w:rPr>
        <w:t>The recoverable amount is the higher of the fair value less costs to sell and value in use. In assessing value in use, the estimated future cash flows are discounted to their present value using a pre-tax discount rate that reflects current market assessments of the time value of money and the risks specific to the asset</w:t>
      </w:r>
      <w:r>
        <w:rPr>
          <w:rFonts w:ascii="Arial" w:hAnsi="Arial" w:cs="Arial"/>
          <w:szCs w:val="20"/>
        </w:rPr>
        <w:t xml:space="preserve">.  </w:t>
      </w:r>
      <w:r w:rsidRPr="00ED7711">
        <w:rPr>
          <w:rFonts w:ascii="Arial" w:hAnsi="Arial" w:cs="Arial"/>
          <w:szCs w:val="20"/>
        </w:rPr>
        <w:t xml:space="preserve">If the recoverable amount of an asset is </w:t>
      </w:r>
      <w:r>
        <w:rPr>
          <w:rFonts w:ascii="Arial" w:hAnsi="Arial" w:cs="Arial"/>
          <w:szCs w:val="20"/>
        </w:rPr>
        <w:t>determined</w:t>
      </w:r>
      <w:r w:rsidRPr="00ED7711">
        <w:rPr>
          <w:rFonts w:ascii="Arial" w:hAnsi="Arial" w:cs="Arial"/>
          <w:szCs w:val="20"/>
        </w:rPr>
        <w:t xml:space="preserve"> to be less than its recorded amount, the recorded amount of the asset is reduced to its recoverable amount. An impairment charge is recognized immediately in the consolidated statement of loss and comprehensive loss, unless the relevant asset is carried at a revalued amount, in which case the impairment loss is treated as a revaluation decrease</w:t>
      </w:r>
      <w:r>
        <w:rPr>
          <w:rFonts w:ascii="Arial" w:hAnsi="Arial" w:cs="Arial"/>
          <w:szCs w:val="20"/>
        </w:rPr>
        <w:t>.</w:t>
      </w:r>
    </w:p>
    <w:p w14:paraId="6B2C96A0" w14:textId="77777777" w:rsidR="00C135E2"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D39A17C" w14:textId="289B6C91" w:rsidR="00ED7711" w:rsidRDefault="00C135E2" w:rsidP="00C135E2">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ED7711">
        <w:rPr>
          <w:rFonts w:ascii="Arial" w:hAnsi="Arial" w:cs="Arial"/>
          <w:szCs w:val="20"/>
        </w:rPr>
        <w:t>Where an impairment loss subsequently reverses, the carrying amount of the asset is increased to the revised estimate of its recoverable amount, to a maximum amount equal to the carrying amount that would have been determined had no impairment loss been recognized for the asset in prior years</w:t>
      </w:r>
      <w:r>
        <w:rPr>
          <w:rFonts w:ascii="Arial" w:hAnsi="Arial" w:cs="Arial"/>
          <w:szCs w:val="20"/>
        </w:rPr>
        <w:t>.</w:t>
      </w:r>
    </w:p>
    <w:p w14:paraId="77F8E6C9" w14:textId="77777777" w:rsid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D2CE5B1" w14:textId="13F2FFC4" w:rsidR="00ED7711" w:rsidRPr="00397EA0" w:rsidRDefault="00ED7711"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Provisions</w:t>
      </w:r>
    </w:p>
    <w:p w14:paraId="6E74AF09" w14:textId="77777777" w:rsid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63962F09" w14:textId="7CA7AD42" w:rsidR="00ED7711" w:rsidRPr="00ED7711" w:rsidRDefault="006A62FC"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CC5FE4">
        <w:rPr>
          <w:rFonts w:ascii="Arial" w:hAnsi="Arial" w:cs="Arial"/>
          <w:szCs w:val="20"/>
        </w:rPr>
        <w:t>Provisions are recorded when a present legal or constructive obligation exists as a result of past events where it is probable that an outflow of resources embodying economic benefits will be required to settle the obligation, and a reliable estimate of the amount of the obligation can be made</w:t>
      </w:r>
      <w:r w:rsidR="00ED7711" w:rsidRPr="00ED7711">
        <w:rPr>
          <w:rFonts w:ascii="Arial" w:hAnsi="Arial" w:cs="Arial"/>
          <w:szCs w:val="20"/>
        </w:rPr>
        <w:t xml:space="preserve">. </w:t>
      </w:r>
    </w:p>
    <w:p w14:paraId="13975566" w14:textId="77777777" w:rsidR="00ED7711" w:rsidRPr="00ED7711" w:rsidRDefault="00ED7711"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p>
    <w:p w14:paraId="22BAA3DC" w14:textId="46E2188A" w:rsidR="00ED7711" w:rsidRDefault="006A62FC" w:rsidP="00ED7711">
      <w:pPr>
        <w:pStyle w:val="ListParagraph"/>
        <w:tabs>
          <w:tab w:val="left" w:pos="432"/>
          <w:tab w:val="left" w:pos="792"/>
          <w:tab w:val="left" w:pos="1152"/>
          <w:tab w:val="left" w:pos="1512"/>
          <w:tab w:val="left" w:pos="1872"/>
          <w:tab w:val="left" w:pos="2232"/>
          <w:tab w:val="left" w:pos="2592"/>
          <w:tab w:val="left" w:pos="2952"/>
          <w:tab w:val="left" w:pos="3312"/>
          <w:tab w:val="left" w:pos="3672"/>
          <w:tab w:val="left" w:pos="4050"/>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792"/>
        <w:jc w:val="both"/>
        <w:rPr>
          <w:rFonts w:ascii="Arial" w:hAnsi="Arial" w:cs="Arial"/>
          <w:szCs w:val="20"/>
        </w:rPr>
      </w:pPr>
      <w:r w:rsidRPr="00CC5FE4">
        <w:rPr>
          <w:rFonts w:ascii="Arial" w:hAnsi="Arial" w:cs="Arial"/>
          <w:szCs w:val="20"/>
        </w:rPr>
        <w:t>The amount recognized as a provision is the best estimate of the consideration required to settle the present obligation at the</w:t>
      </w:r>
      <w:r>
        <w:rPr>
          <w:rFonts w:ascii="Arial" w:hAnsi="Arial" w:cs="Arial"/>
          <w:szCs w:val="20"/>
        </w:rPr>
        <w:t xml:space="preserve"> </w:t>
      </w:r>
      <w:r w:rsidR="00170927">
        <w:rPr>
          <w:rFonts w:ascii="Arial" w:hAnsi="Arial" w:cs="Arial"/>
          <w:szCs w:val="20"/>
        </w:rPr>
        <w:t xml:space="preserve">condensed </w:t>
      </w:r>
      <w:r>
        <w:rPr>
          <w:rFonts w:ascii="Arial" w:hAnsi="Arial" w:cs="Arial"/>
          <w:szCs w:val="20"/>
        </w:rPr>
        <w:t>consolidated</w:t>
      </w:r>
      <w:r w:rsidR="00170927">
        <w:rPr>
          <w:rFonts w:ascii="Arial" w:hAnsi="Arial" w:cs="Arial"/>
          <w:szCs w:val="20"/>
        </w:rPr>
        <w:t xml:space="preserve"> interim</w:t>
      </w:r>
      <w:r w:rsidRPr="00CC5FE4">
        <w:rPr>
          <w:rFonts w:ascii="Arial" w:hAnsi="Arial" w:cs="Arial"/>
          <w:szCs w:val="20"/>
        </w:rPr>
        <w:t xml:space="preserve"> statement of financial position date, taking into account the risks and uncertainties surrounding the obligation. Where a provision is measured using the cash flows estimated to settle the present obligation, its carrying amount is the present value of those cash flows. When some or all of the economic benefits required to settle a provision are expected to be recovered from a third party, the receivable is recognized as an asset if it is virtually certain that reimbursement will be received and the amount rece</w:t>
      </w:r>
      <w:r>
        <w:rPr>
          <w:rFonts w:ascii="Arial" w:hAnsi="Arial" w:cs="Arial"/>
          <w:szCs w:val="20"/>
        </w:rPr>
        <w:t>ivable can be measured reliably</w:t>
      </w:r>
      <w:r w:rsidR="00ED7711">
        <w:rPr>
          <w:rFonts w:ascii="Arial" w:hAnsi="Arial" w:cs="Arial"/>
          <w:szCs w:val="20"/>
        </w:rPr>
        <w:t>.</w:t>
      </w:r>
    </w:p>
    <w:p w14:paraId="64D9B32D" w14:textId="77777777" w:rsidR="001D529F" w:rsidRDefault="001D529F"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4A7B53CE" w14:textId="43B5B631" w:rsidR="00790828" w:rsidRPr="00F60034" w:rsidRDefault="00045254"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jc w:val="both"/>
        <w:rPr>
          <w:rFonts w:ascii="Arial" w:hAnsi="Arial" w:cs="Arial"/>
          <w:szCs w:val="20"/>
        </w:rPr>
      </w:pPr>
      <w:r>
        <w:rPr>
          <w:rFonts w:ascii="Arial" w:hAnsi="Arial" w:cs="Arial"/>
          <w:szCs w:val="20"/>
        </w:rPr>
        <w:t>Share-based Payments</w:t>
      </w:r>
    </w:p>
    <w:p w14:paraId="4BEEECEB" w14:textId="77777777" w:rsidR="00ED7711" w:rsidRDefault="00ED7711" w:rsidP="00F15B99">
      <w:pPr>
        <w:spacing w:after="0" w:line="240" w:lineRule="auto"/>
        <w:ind w:left="792"/>
        <w:jc w:val="both"/>
        <w:rPr>
          <w:rFonts w:ascii="Arial" w:hAnsi="Arial" w:cs="Arial"/>
          <w:szCs w:val="20"/>
        </w:rPr>
      </w:pPr>
    </w:p>
    <w:p w14:paraId="6A5CEE10" w14:textId="58D31281" w:rsidR="00790828"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r w:rsidRPr="006023CF">
        <w:rPr>
          <w:rFonts w:ascii="Arial" w:hAnsi="Arial" w:cs="Arial"/>
          <w:szCs w:val="20"/>
        </w:rPr>
        <w:t>The Company issues share purchase options under its Share Option Plan described in Note</w:t>
      </w:r>
      <w:r w:rsidR="00AD3813">
        <w:rPr>
          <w:rFonts w:ascii="Arial" w:hAnsi="Arial" w:cs="Arial"/>
          <w:szCs w:val="20"/>
        </w:rPr>
        <w:t xml:space="preserve"> 13</w:t>
      </w:r>
      <w:r w:rsidRPr="006023CF">
        <w:rPr>
          <w:rFonts w:ascii="Arial" w:hAnsi="Arial" w:cs="Arial"/>
          <w:szCs w:val="20"/>
        </w:rPr>
        <w:t>. The fair value of share purchase options granted to employees, consultants, directors and others providing similar services is measured at the grant date using an option pricing model. Subsequently, the fair value of share purchase options ultimately expected to vest is charged to operations over the vesting period.  Share purchase options granted to third parties in exchange for goods or services are measured at the fair value of the goods or services received and charged to operations over the vesting period</w:t>
      </w:r>
      <w:r w:rsidR="00045254" w:rsidRPr="00045254">
        <w:rPr>
          <w:rFonts w:ascii="Arial" w:hAnsi="Arial" w:cs="Arial"/>
          <w:szCs w:val="20"/>
        </w:rPr>
        <w:t>.</w:t>
      </w:r>
    </w:p>
    <w:p w14:paraId="3123B9A0" w14:textId="77777777" w:rsidR="006023CF"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3728BDBF" w14:textId="77777777" w:rsidR="00D462FC" w:rsidRDefault="00D462FC">
      <w:pPr>
        <w:rPr>
          <w:rFonts w:ascii="Arial" w:hAnsi="Arial" w:cs="Arial"/>
          <w:b/>
          <w:bCs/>
          <w:szCs w:val="20"/>
        </w:rPr>
      </w:pPr>
      <w:r>
        <w:rPr>
          <w:rFonts w:ascii="Arial" w:hAnsi="Arial" w:cs="Arial"/>
          <w:b/>
          <w:bCs/>
          <w:szCs w:val="20"/>
        </w:rPr>
        <w:br w:type="page"/>
      </w:r>
    </w:p>
    <w:p w14:paraId="18B75BBC" w14:textId="4D46FB6F"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3B3FC6B8" w14:textId="77777777" w:rsidR="00D462FC" w:rsidRDefault="00D462FC"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66866B71" w14:textId="5341763B" w:rsidR="006023CF" w:rsidRPr="006023CF" w:rsidRDefault="006023CF" w:rsidP="007619C6">
      <w:pPr>
        <w:pStyle w:val="ListParagraph"/>
        <w:numPr>
          <w:ilvl w:val="0"/>
          <w:numId w:val="20"/>
        </w:numPr>
        <w:rPr>
          <w:rFonts w:ascii="Arial" w:hAnsi="Arial" w:cs="Arial"/>
          <w:szCs w:val="20"/>
        </w:rPr>
      </w:pPr>
      <w:r w:rsidRPr="006023CF">
        <w:rPr>
          <w:rFonts w:ascii="Arial" w:hAnsi="Arial" w:cs="Arial"/>
          <w:szCs w:val="20"/>
        </w:rPr>
        <w:t>Comprehensive Income (Loss)</w:t>
      </w:r>
    </w:p>
    <w:p w14:paraId="4294EE4A" w14:textId="6B174B98" w:rsidR="006023CF" w:rsidRDefault="006023CF" w:rsidP="006023CF">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r w:rsidRPr="006023CF">
        <w:rPr>
          <w:rFonts w:ascii="Arial" w:hAnsi="Arial" w:cs="Arial"/>
          <w:szCs w:val="20"/>
        </w:rPr>
        <w:t xml:space="preserve">Comprehensive income or loss is the change in net assets arising from transactions and other events and circumstances from non-owner sources. Financial assets that are </w:t>
      </w:r>
      <w:r>
        <w:rPr>
          <w:rFonts w:ascii="Arial" w:hAnsi="Arial" w:cs="Arial"/>
          <w:szCs w:val="20"/>
        </w:rPr>
        <w:t>measured at FVOCI</w:t>
      </w:r>
      <w:r w:rsidRPr="006023CF">
        <w:rPr>
          <w:rFonts w:ascii="Arial" w:hAnsi="Arial" w:cs="Arial"/>
          <w:szCs w:val="20"/>
        </w:rPr>
        <w:t xml:space="preserve"> will have revaluation gains and losses included in other comprehensive income or loss until the asset is removed from the </w:t>
      </w:r>
      <w:r w:rsidR="00170927">
        <w:rPr>
          <w:rFonts w:ascii="Arial" w:hAnsi="Arial" w:cs="Arial"/>
          <w:szCs w:val="20"/>
        </w:rPr>
        <w:t xml:space="preserve">condensed </w:t>
      </w:r>
      <w:r w:rsidRPr="006023CF">
        <w:rPr>
          <w:rFonts w:ascii="Arial" w:hAnsi="Arial" w:cs="Arial"/>
          <w:szCs w:val="20"/>
        </w:rPr>
        <w:t xml:space="preserve">consolidated </w:t>
      </w:r>
      <w:r w:rsidR="00170927">
        <w:rPr>
          <w:rFonts w:ascii="Arial" w:hAnsi="Arial" w:cs="Arial"/>
          <w:szCs w:val="20"/>
        </w:rPr>
        <w:t xml:space="preserve">interim </w:t>
      </w:r>
      <w:r w:rsidRPr="006023CF">
        <w:rPr>
          <w:rFonts w:ascii="Arial" w:hAnsi="Arial" w:cs="Arial"/>
          <w:szCs w:val="20"/>
        </w:rPr>
        <w:t>statement of financial position. Certain gains and losses on the translation of amounts between the functional and presentation currency of the Company are included in other comprehensive income or loss</w:t>
      </w:r>
      <w:r w:rsidR="006A62FC">
        <w:rPr>
          <w:rFonts w:ascii="Arial" w:hAnsi="Arial" w:cs="Arial"/>
          <w:szCs w:val="20"/>
        </w:rPr>
        <w:t>.</w:t>
      </w:r>
    </w:p>
    <w:p w14:paraId="7919D83F" w14:textId="77777777" w:rsidR="006023CF" w:rsidRDefault="006023CF" w:rsidP="00F15B99">
      <w:pPr>
        <w:widowControl w:val="0"/>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ind w:left="792"/>
        <w:jc w:val="both"/>
        <w:rPr>
          <w:rFonts w:ascii="Arial" w:hAnsi="Arial" w:cs="Arial"/>
          <w:szCs w:val="20"/>
        </w:rPr>
      </w:pPr>
    </w:p>
    <w:p w14:paraId="66123E2E" w14:textId="77777777" w:rsidR="00790828" w:rsidRPr="00F60034" w:rsidRDefault="00790828" w:rsidP="007619C6">
      <w:pPr>
        <w:widowControl w:val="0"/>
        <w:numPr>
          <w:ilvl w:val="0"/>
          <w:numId w:val="20"/>
        </w:numPr>
        <w:tabs>
          <w:tab w:val="left" w:pos="810"/>
          <w:tab w:val="left" w:pos="1068"/>
          <w:tab w:val="left" w:pos="1426"/>
          <w:tab w:val="left" w:pos="1782"/>
          <w:tab w:val="left" w:pos="2137"/>
          <w:tab w:val="left" w:pos="2495"/>
          <w:tab w:val="left" w:pos="2850"/>
          <w:tab w:val="left" w:pos="3208"/>
          <w:tab w:val="left" w:pos="3564"/>
          <w:tab w:val="left" w:pos="3919"/>
          <w:tab w:val="left" w:pos="4277"/>
          <w:tab w:val="left" w:pos="4632"/>
          <w:tab w:val="left" w:pos="4990"/>
          <w:tab w:val="left" w:pos="5346"/>
          <w:tab w:val="left" w:pos="5701"/>
          <w:tab w:val="left" w:pos="6059"/>
          <w:tab w:val="left" w:pos="6414"/>
          <w:tab w:val="left" w:pos="6772"/>
          <w:tab w:val="left" w:pos="7128"/>
          <w:tab w:val="left" w:pos="7483"/>
          <w:tab w:val="left" w:pos="7841"/>
          <w:tab w:val="left" w:pos="8196"/>
          <w:tab w:val="left" w:pos="8554"/>
          <w:tab w:val="left" w:pos="8910"/>
          <w:tab w:val="left" w:pos="9265"/>
        </w:tabs>
        <w:autoSpaceDE w:val="0"/>
        <w:autoSpaceDN w:val="0"/>
        <w:adjustRightInd w:val="0"/>
        <w:spacing w:after="0" w:line="240" w:lineRule="auto"/>
        <w:rPr>
          <w:rFonts w:ascii="Arial" w:hAnsi="Arial" w:cs="Arial"/>
          <w:szCs w:val="20"/>
        </w:rPr>
      </w:pPr>
      <w:r w:rsidRPr="00F60034">
        <w:rPr>
          <w:rFonts w:ascii="Arial" w:hAnsi="Arial" w:cs="Arial"/>
          <w:szCs w:val="20"/>
        </w:rPr>
        <w:t>Loss Per Share</w:t>
      </w:r>
    </w:p>
    <w:p w14:paraId="5756E2DA" w14:textId="77777777" w:rsidR="006023CF"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64E85508" w14:textId="13463973" w:rsidR="00790828" w:rsidRDefault="00045254"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045254">
        <w:rPr>
          <w:rFonts w:ascii="Arial" w:hAnsi="Arial" w:cs="Arial"/>
          <w:szCs w:val="20"/>
        </w:rPr>
        <w:t>The Company presents the basic and diluted earnings or loss per share data for its common shares, calculated</w:t>
      </w:r>
      <w:r>
        <w:rPr>
          <w:rFonts w:ascii="Arial" w:hAnsi="Arial" w:cs="Arial"/>
          <w:szCs w:val="20"/>
        </w:rPr>
        <w:t xml:space="preserve"> </w:t>
      </w:r>
      <w:r w:rsidRPr="00045254">
        <w:rPr>
          <w:rFonts w:ascii="Arial" w:hAnsi="Arial" w:cs="Arial"/>
          <w:szCs w:val="20"/>
        </w:rPr>
        <w:t>by dividing the earnings or loss attributable to common shareholders of the Company by the weighted average</w:t>
      </w:r>
      <w:r>
        <w:rPr>
          <w:rFonts w:ascii="Arial" w:hAnsi="Arial" w:cs="Arial"/>
          <w:szCs w:val="20"/>
        </w:rPr>
        <w:t xml:space="preserve"> </w:t>
      </w:r>
      <w:r w:rsidRPr="00045254">
        <w:rPr>
          <w:rFonts w:ascii="Arial" w:hAnsi="Arial" w:cs="Arial"/>
          <w:szCs w:val="20"/>
        </w:rPr>
        <w:t>number of common shares outstanding during the year. Diluted earnings or loss per share is determined by</w:t>
      </w:r>
      <w:r>
        <w:rPr>
          <w:rFonts w:ascii="Arial" w:hAnsi="Arial" w:cs="Arial"/>
          <w:szCs w:val="20"/>
        </w:rPr>
        <w:t xml:space="preserve"> </w:t>
      </w:r>
      <w:r w:rsidRPr="00045254">
        <w:rPr>
          <w:rFonts w:ascii="Arial" w:hAnsi="Arial" w:cs="Arial"/>
          <w:szCs w:val="20"/>
        </w:rPr>
        <w:t>adjusting the earnings or loss attributable to common shareholders and the weighted average number of</w:t>
      </w:r>
      <w:r>
        <w:rPr>
          <w:rFonts w:ascii="Arial" w:hAnsi="Arial" w:cs="Arial"/>
          <w:szCs w:val="20"/>
        </w:rPr>
        <w:t xml:space="preserve"> </w:t>
      </w:r>
      <w:r w:rsidRPr="00045254">
        <w:rPr>
          <w:rFonts w:ascii="Arial" w:hAnsi="Arial" w:cs="Arial"/>
          <w:szCs w:val="20"/>
        </w:rPr>
        <w:t>common shares outstanding for the effects of all dilutive potential common shares</w:t>
      </w:r>
      <w:r w:rsidR="00790828" w:rsidRPr="00F60034">
        <w:rPr>
          <w:rFonts w:ascii="Arial" w:hAnsi="Arial" w:cs="Arial"/>
          <w:szCs w:val="20"/>
        </w:rPr>
        <w:t>.</w:t>
      </w:r>
    </w:p>
    <w:p w14:paraId="3B49AEC5" w14:textId="77777777" w:rsidR="006023CF" w:rsidRPr="00F60034" w:rsidRDefault="006023CF" w:rsidP="00F15B99">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3610A6F7" w14:textId="77777777" w:rsidR="00790828" w:rsidRPr="00F60034" w:rsidRDefault="00790828"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Research and Development Costs</w:t>
      </w:r>
    </w:p>
    <w:p w14:paraId="14C292C9" w14:textId="77777777" w:rsidR="006023CF" w:rsidRDefault="006023CF" w:rsidP="00F15B99">
      <w:pPr>
        <w:spacing w:after="0" w:line="240" w:lineRule="auto"/>
        <w:ind w:left="792"/>
        <w:jc w:val="both"/>
        <w:rPr>
          <w:rFonts w:ascii="Arial" w:hAnsi="Arial" w:cs="Arial"/>
          <w:szCs w:val="20"/>
        </w:rPr>
      </w:pPr>
    </w:p>
    <w:p w14:paraId="37E215FE" w14:textId="77BBEDD7" w:rsidR="00790828" w:rsidRDefault="00790828" w:rsidP="00F15B99">
      <w:pPr>
        <w:spacing w:after="0" w:line="240" w:lineRule="auto"/>
        <w:ind w:left="792"/>
        <w:jc w:val="both"/>
        <w:rPr>
          <w:rFonts w:ascii="Arial" w:hAnsi="Arial" w:cs="Arial"/>
          <w:szCs w:val="20"/>
        </w:rPr>
      </w:pPr>
      <w:r w:rsidRPr="00F60034">
        <w:rPr>
          <w:rFonts w:ascii="Arial" w:hAnsi="Arial" w:cs="Arial"/>
          <w:szCs w:val="20"/>
        </w:rPr>
        <w:t>Research costs are expensed in the period</w:t>
      </w:r>
      <w:r w:rsidR="00971CE3">
        <w:rPr>
          <w:rFonts w:ascii="Arial" w:hAnsi="Arial" w:cs="Arial"/>
          <w:szCs w:val="20"/>
        </w:rPr>
        <w:t xml:space="preserve"> that they are incurred. </w:t>
      </w:r>
      <w:r w:rsidR="006A62FC">
        <w:rPr>
          <w:rFonts w:ascii="Arial" w:hAnsi="Arial" w:cs="Arial"/>
          <w:szCs w:val="20"/>
        </w:rPr>
        <w:t xml:space="preserve"> </w:t>
      </w:r>
      <w:r w:rsidR="006A62FC" w:rsidRPr="006A62FC">
        <w:rPr>
          <w:rFonts w:ascii="Arial" w:hAnsi="Arial" w:cs="Arial"/>
          <w:szCs w:val="20"/>
        </w:rPr>
        <w:t>Development costs are capitalized, to the extent they increase the future economic benefit embodied in the specific asset, to intangible assets</w:t>
      </w:r>
      <w:r w:rsidR="00170927">
        <w:rPr>
          <w:rFonts w:ascii="Arial" w:hAnsi="Arial" w:cs="Arial"/>
          <w:szCs w:val="20"/>
        </w:rPr>
        <w:t>.</w:t>
      </w:r>
    </w:p>
    <w:p w14:paraId="0785ECFC" w14:textId="77777777" w:rsidR="006023CF" w:rsidRDefault="006023CF" w:rsidP="00F15B99">
      <w:pPr>
        <w:spacing w:after="0" w:line="240" w:lineRule="auto"/>
        <w:ind w:left="792"/>
        <w:jc w:val="both"/>
        <w:rPr>
          <w:rFonts w:ascii="Arial" w:hAnsi="Arial" w:cs="Arial"/>
          <w:szCs w:val="20"/>
        </w:rPr>
      </w:pPr>
    </w:p>
    <w:p w14:paraId="2B1DEB22" w14:textId="77777777" w:rsidR="00790828" w:rsidRPr="00F60034" w:rsidRDefault="00790828"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sidRPr="00F60034">
        <w:rPr>
          <w:rFonts w:ascii="Arial" w:hAnsi="Arial" w:cs="Arial"/>
          <w:szCs w:val="20"/>
        </w:rPr>
        <w:t>Income Taxes</w:t>
      </w:r>
    </w:p>
    <w:p w14:paraId="535C1863" w14:textId="77777777" w:rsidR="00BC793B" w:rsidRDefault="00BC793B" w:rsidP="00F15B99">
      <w:pPr>
        <w:spacing w:after="0" w:line="240" w:lineRule="auto"/>
        <w:ind w:left="792"/>
        <w:jc w:val="both"/>
        <w:rPr>
          <w:rFonts w:ascii="Arial" w:hAnsi="Arial" w:cs="Arial"/>
          <w:szCs w:val="20"/>
        </w:rPr>
      </w:pPr>
    </w:p>
    <w:p w14:paraId="02CDCBBC" w14:textId="075C203C" w:rsidR="006A62FC" w:rsidRPr="00D35A48"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D35A48">
        <w:rPr>
          <w:rFonts w:ascii="Arial" w:hAnsi="Arial" w:cs="Arial"/>
          <w:szCs w:val="20"/>
        </w:rPr>
        <w:t xml:space="preserve">Income tax expense comprises current and deferred tax. Income tax expense is recognized in the </w:t>
      </w:r>
      <w:r>
        <w:rPr>
          <w:rFonts w:ascii="Arial" w:hAnsi="Arial" w:cs="Arial"/>
          <w:szCs w:val="20"/>
        </w:rPr>
        <w:t xml:space="preserve">condensed consolidated interim </w:t>
      </w:r>
      <w:r w:rsidRPr="00D35A48">
        <w:rPr>
          <w:rFonts w:ascii="Arial" w:hAnsi="Arial" w:cs="Arial"/>
          <w:szCs w:val="20"/>
        </w:rPr>
        <w:t>statement</w:t>
      </w:r>
      <w:r>
        <w:rPr>
          <w:rFonts w:ascii="Arial" w:hAnsi="Arial" w:cs="Arial"/>
          <w:szCs w:val="20"/>
        </w:rPr>
        <w:t>s</w:t>
      </w:r>
      <w:r w:rsidRPr="00D35A48">
        <w:rPr>
          <w:rFonts w:ascii="Arial" w:hAnsi="Arial" w:cs="Arial"/>
          <w:szCs w:val="20"/>
        </w:rPr>
        <w:t xml:space="preserve"> of</w:t>
      </w:r>
      <w:r>
        <w:rPr>
          <w:rFonts w:ascii="Arial" w:hAnsi="Arial" w:cs="Arial"/>
          <w:szCs w:val="20"/>
        </w:rPr>
        <w:t xml:space="preserve"> income</w:t>
      </w:r>
      <w:r w:rsidRPr="00D35A48">
        <w:rPr>
          <w:rFonts w:ascii="Arial" w:hAnsi="Arial" w:cs="Arial"/>
          <w:szCs w:val="20"/>
        </w:rPr>
        <w:t xml:space="preserve"> </w:t>
      </w:r>
      <w:r>
        <w:rPr>
          <w:rFonts w:ascii="Arial" w:hAnsi="Arial" w:cs="Arial"/>
          <w:szCs w:val="20"/>
        </w:rPr>
        <w:t xml:space="preserve">(loss) and </w:t>
      </w:r>
      <w:r w:rsidRPr="00D35A48">
        <w:rPr>
          <w:rFonts w:ascii="Arial" w:hAnsi="Arial" w:cs="Arial"/>
          <w:szCs w:val="20"/>
        </w:rPr>
        <w:t xml:space="preserve">comprehensive </w:t>
      </w:r>
      <w:r>
        <w:rPr>
          <w:rFonts w:ascii="Arial" w:hAnsi="Arial" w:cs="Arial"/>
          <w:szCs w:val="20"/>
        </w:rPr>
        <w:t>income (</w:t>
      </w:r>
      <w:r w:rsidRPr="00D35A48">
        <w:rPr>
          <w:rFonts w:ascii="Arial" w:hAnsi="Arial" w:cs="Arial"/>
          <w:szCs w:val="20"/>
        </w:rPr>
        <w:t>loss</w:t>
      </w:r>
      <w:r>
        <w:rPr>
          <w:rFonts w:ascii="Arial" w:hAnsi="Arial" w:cs="Arial"/>
          <w:szCs w:val="20"/>
        </w:rPr>
        <w:t>)</w:t>
      </w:r>
      <w:r w:rsidRPr="00D35A48">
        <w:rPr>
          <w:rFonts w:ascii="Arial" w:hAnsi="Arial" w:cs="Arial"/>
          <w:szCs w:val="20"/>
        </w:rPr>
        <w:t xml:space="preserve"> except to the extent that it relates to items recognized directly in equity, in which case it is recognized in equity.</w:t>
      </w:r>
    </w:p>
    <w:p w14:paraId="2C0D982E" w14:textId="77777777" w:rsidR="006A62FC" w:rsidRPr="009F739D"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 w:val="14"/>
          <w:szCs w:val="14"/>
        </w:rPr>
      </w:pPr>
    </w:p>
    <w:p w14:paraId="2093EEFD" w14:textId="77777777" w:rsidR="006A62FC" w:rsidRPr="00391516"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391516">
        <w:rPr>
          <w:rFonts w:ascii="Arial" w:hAnsi="Arial" w:cs="Arial"/>
          <w:szCs w:val="20"/>
        </w:rPr>
        <w:t>Current tax is the expected tax payable on the taxable income for the year, using tax rates enacted or substantively enacted at the reporting date, and any adjustment to tax payable in respect of previous years.</w:t>
      </w:r>
    </w:p>
    <w:p w14:paraId="664414F5" w14:textId="77777777" w:rsidR="006A62FC" w:rsidRPr="009F739D" w:rsidRDefault="006A62FC" w:rsidP="006A62FC">
      <w:pPr>
        <w:spacing w:after="0" w:line="240" w:lineRule="auto"/>
        <w:rPr>
          <w:rFonts w:ascii="Arial" w:hAnsi="Arial" w:cs="Arial"/>
          <w:b/>
          <w:bCs/>
          <w:sz w:val="14"/>
          <w:szCs w:val="14"/>
        </w:rPr>
      </w:pPr>
    </w:p>
    <w:p w14:paraId="5CE4EBEB" w14:textId="77777777" w:rsidR="006A62FC"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r w:rsidRPr="00D35A48">
        <w:rPr>
          <w:rFonts w:ascii="Arial" w:hAnsi="Arial" w:cs="Arial"/>
          <w:szCs w:val="20"/>
        </w:rPr>
        <w:t xml:space="preserve">Deferred tax is recognized using the liability method, providing for temporary differences between the carrying amounts of assets and liabilities for financial reporting purposes and the amounts used for taxation purposes. Deferred tax is not recognized on the initial recognition of assets or liabilities in a transaction that is not a business combination. In addition, deferred tax is not recognized for taxable temporary differences arising on the initial recognition of goodwill. Deferred tax is measured at the tax rates that are expected to be applied to temporary differences when they reverse, based on the laws that have been enacted or substantively enacted by the reporting date. Deferred tax assets and liabilities are offset if there is a legally enforceable right to offset, and they relate to income taxes levied by the same tax authority on the same taxable entity, or on different tax entities, but they intend to settle current tax liabilities and assets on a net basis or their tax assets and liabilities will be realized simultaneously. </w:t>
      </w:r>
    </w:p>
    <w:p w14:paraId="553B8C4F" w14:textId="77777777" w:rsidR="006A62FC" w:rsidRDefault="006A62FC" w:rsidP="006A62FC">
      <w:pPr>
        <w:tabs>
          <w:tab w:val="left" w:pos="707"/>
          <w:tab w:val="left" w:pos="708"/>
          <w:tab w:val="left" w:pos="1060"/>
          <w:tab w:val="left" w:pos="1416"/>
          <w:tab w:val="left" w:pos="1772"/>
          <w:tab w:val="left" w:pos="2129"/>
          <w:tab w:val="left" w:pos="2484"/>
          <w:tab w:val="left" w:pos="2842"/>
          <w:tab w:val="left" w:pos="3198"/>
          <w:tab w:val="left" w:pos="3554"/>
          <w:tab w:val="left" w:pos="3911"/>
          <w:tab w:val="left" w:pos="4266"/>
          <w:tab w:val="left" w:pos="4624"/>
          <w:tab w:val="left" w:pos="4980"/>
          <w:tab w:val="left" w:pos="5336"/>
          <w:tab w:val="left" w:pos="5693"/>
          <w:tab w:val="left" w:pos="6048"/>
          <w:tab w:val="left" w:pos="6406"/>
          <w:tab w:val="left" w:pos="6762"/>
          <w:tab w:val="left" w:pos="7118"/>
          <w:tab w:val="left" w:pos="7475"/>
          <w:tab w:val="left" w:pos="7830"/>
          <w:tab w:val="left" w:pos="8188"/>
          <w:tab w:val="left" w:pos="8544"/>
          <w:tab w:val="left" w:pos="8900"/>
          <w:tab w:val="left" w:pos="9257"/>
        </w:tabs>
        <w:spacing w:after="0" w:line="240" w:lineRule="auto"/>
        <w:ind w:left="792"/>
        <w:jc w:val="both"/>
        <w:rPr>
          <w:rFonts w:ascii="Arial" w:hAnsi="Arial" w:cs="Arial"/>
          <w:szCs w:val="20"/>
        </w:rPr>
      </w:pPr>
    </w:p>
    <w:p w14:paraId="5C3787E0" w14:textId="688288CA" w:rsidR="00790828" w:rsidRDefault="006A62FC" w:rsidP="006A62FC">
      <w:pPr>
        <w:spacing w:after="0" w:line="240" w:lineRule="auto"/>
        <w:ind w:left="792"/>
        <w:jc w:val="both"/>
        <w:rPr>
          <w:rFonts w:ascii="Arial" w:hAnsi="Arial" w:cs="Arial"/>
          <w:szCs w:val="20"/>
        </w:rPr>
      </w:pPr>
      <w:r w:rsidRPr="00D35A48">
        <w:rPr>
          <w:rFonts w:ascii="Arial" w:hAnsi="Arial" w:cs="Arial"/>
          <w:szCs w:val="20"/>
        </w:rPr>
        <w:t>A deferred tax asset is recognized to the extent that it is probable that future taxable profits will be available against which the temporary difference can be utilized. Deferred tax assets are reviewed at each reporting date and are reduced to the extent that it is no longer probable that the related tax benefit will be realized</w:t>
      </w:r>
      <w:r w:rsidR="00790828" w:rsidRPr="00F60034">
        <w:rPr>
          <w:rFonts w:ascii="Arial" w:hAnsi="Arial" w:cs="Arial"/>
          <w:szCs w:val="20"/>
        </w:rPr>
        <w:t>.</w:t>
      </w:r>
    </w:p>
    <w:p w14:paraId="5B76957F" w14:textId="77777777" w:rsidR="00D462FC" w:rsidRDefault="00D462FC">
      <w:pPr>
        <w:rPr>
          <w:rFonts w:ascii="Arial" w:hAnsi="Arial" w:cs="Arial"/>
          <w:b/>
          <w:bCs/>
          <w:szCs w:val="20"/>
        </w:rPr>
      </w:pPr>
      <w:r>
        <w:rPr>
          <w:rFonts w:ascii="Arial" w:hAnsi="Arial" w:cs="Arial"/>
          <w:b/>
          <w:bCs/>
          <w:szCs w:val="20"/>
        </w:rPr>
        <w:br w:type="page"/>
      </w:r>
    </w:p>
    <w:p w14:paraId="05AD87BD" w14:textId="6D3D15B4" w:rsidR="00D462FC" w:rsidRPr="00F60034" w:rsidRDefault="00D462FC" w:rsidP="00D462FC">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Cs/>
          <w:szCs w:val="20"/>
        </w:rPr>
      </w:pPr>
      <w:r>
        <w:rPr>
          <w:rFonts w:ascii="Arial" w:hAnsi="Arial" w:cs="Arial"/>
          <w:b/>
          <w:bCs/>
          <w:szCs w:val="20"/>
        </w:rPr>
        <w:lastRenderedPageBreak/>
        <w:t>2</w:t>
      </w:r>
      <w:r w:rsidRPr="00F60034">
        <w:rPr>
          <w:rFonts w:ascii="Arial" w:hAnsi="Arial" w:cs="Arial"/>
          <w:b/>
          <w:bCs/>
          <w:szCs w:val="20"/>
        </w:rPr>
        <w:t>.</w:t>
      </w:r>
      <w:r w:rsidRPr="00F60034">
        <w:rPr>
          <w:rFonts w:ascii="Arial" w:hAnsi="Arial" w:cs="Arial"/>
          <w:b/>
          <w:bCs/>
          <w:szCs w:val="20"/>
        </w:rPr>
        <w:tab/>
        <w:t>Significant Accounting Policies</w:t>
      </w:r>
      <w:r w:rsidRPr="00F60034">
        <w:rPr>
          <w:rFonts w:ascii="Arial" w:hAnsi="Arial" w:cs="Arial"/>
          <w:bCs/>
          <w:szCs w:val="20"/>
        </w:rPr>
        <w:t xml:space="preserve"> (continued)</w:t>
      </w:r>
    </w:p>
    <w:p w14:paraId="74D43E13" w14:textId="77777777" w:rsidR="00B31C91" w:rsidRDefault="00B31C91" w:rsidP="00F15B99">
      <w:pPr>
        <w:spacing w:after="0" w:line="240" w:lineRule="auto"/>
        <w:ind w:left="792"/>
        <w:jc w:val="both"/>
        <w:rPr>
          <w:rFonts w:ascii="Arial" w:hAnsi="Arial" w:cs="Arial"/>
          <w:szCs w:val="20"/>
        </w:rPr>
      </w:pPr>
    </w:p>
    <w:p w14:paraId="78E09BA3" w14:textId="23268F8A" w:rsidR="00B31C91" w:rsidRPr="00F60034" w:rsidRDefault="00B31C91" w:rsidP="007619C6">
      <w:pPr>
        <w:numPr>
          <w:ilvl w:val="0"/>
          <w:numId w:val="20"/>
        </w:num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after="0" w:line="240" w:lineRule="auto"/>
        <w:jc w:val="both"/>
        <w:rPr>
          <w:rFonts w:ascii="Arial" w:hAnsi="Arial" w:cs="Arial"/>
          <w:szCs w:val="20"/>
        </w:rPr>
      </w:pPr>
      <w:r>
        <w:rPr>
          <w:rFonts w:ascii="Arial" w:hAnsi="Arial" w:cs="Arial"/>
          <w:szCs w:val="20"/>
        </w:rPr>
        <w:t>Related Party Transactions</w:t>
      </w:r>
    </w:p>
    <w:p w14:paraId="5BBFBFCA" w14:textId="77777777" w:rsidR="00B31C91" w:rsidRDefault="00B31C91" w:rsidP="00B31C91">
      <w:pPr>
        <w:spacing w:after="0" w:line="240" w:lineRule="auto"/>
        <w:ind w:left="792"/>
        <w:jc w:val="both"/>
        <w:rPr>
          <w:rFonts w:ascii="Arial" w:hAnsi="Arial" w:cs="Arial"/>
          <w:szCs w:val="20"/>
        </w:rPr>
      </w:pPr>
    </w:p>
    <w:p w14:paraId="0D5E61F5" w14:textId="553B621E" w:rsidR="00B31C91" w:rsidRDefault="006A62FC" w:rsidP="00B31C91">
      <w:pPr>
        <w:spacing w:after="0" w:line="240" w:lineRule="auto"/>
        <w:ind w:left="792"/>
        <w:jc w:val="both"/>
        <w:rPr>
          <w:rFonts w:ascii="Arial" w:hAnsi="Arial" w:cs="Arial"/>
          <w:szCs w:val="20"/>
        </w:rPr>
      </w:pPr>
      <w:r w:rsidRPr="00650CDA">
        <w:rPr>
          <w:rFonts w:ascii="Arial" w:hAnsi="Arial" w:cs="Arial"/>
          <w:szCs w:val="20"/>
        </w:rPr>
        <w:t>Parties are considered to be related if one party has the ability, directly or indirectly, to control the other party or exercise significant influence over the other party in making financial and operating decisions.  Parties are also considered to be related if they are subject to common control, related parties may be individuals or corporate entities.  A transaction is considered to be a related party transaction when there is a transfer of resources or obligations between related parties</w:t>
      </w:r>
      <w:r w:rsidR="00B31C91">
        <w:rPr>
          <w:rFonts w:ascii="Arial" w:hAnsi="Arial" w:cs="Arial"/>
          <w:szCs w:val="20"/>
        </w:rPr>
        <w:t>.</w:t>
      </w:r>
    </w:p>
    <w:p w14:paraId="205C0B65" w14:textId="7A3C9B91" w:rsidR="0054049E" w:rsidRDefault="0054049E" w:rsidP="00F15B99">
      <w:pPr>
        <w:spacing w:after="0" w:line="240" w:lineRule="auto"/>
        <w:rPr>
          <w:rFonts w:ascii="Arial" w:hAnsi="Arial" w:cs="Arial"/>
          <w:b/>
          <w:szCs w:val="20"/>
        </w:rPr>
      </w:pPr>
    </w:p>
    <w:p w14:paraId="3F9C0002" w14:textId="0E93221D" w:rsidR="003C2EF4" w:rsidRPr="00BA56F7" w:rsidRDefault="003C2EF4" w:rsidP="003C2EF4">
      <w:pPr>
        <w:tabs>
          <w:tab w:val="left" w:pos="450"/>
        </w:tabs>
        <w:spacing w:after="0" w:line="240" w:lineRule="auto"/>
        <w:jc w:val="both"/>
        <w:rPr>
          <w:rFonts w:ascii="Arial" w:hAnsi="Arial" w:cs="Arial"/>
          <w:b/>
          <w:szCs w:val="20"/>
        </w:rPr>
      </w:pPr>
      <w:r w:rsidRPr="00BA56F7">
        <w:rPr>
          <w:rFonts w:ascii="Arial" w:hAnsi="Arial" w:cs="Arial"/>
          <w:b/>
          <w:szCs w:val="20"/>
        </w:rPr>
        <w:t xml:space="preserve">3.    </w:t>
      </w:r>
      <w:r w:rsidRPr="00BA56F7">
        <w:rPr>
          <w:rFonts w:ascii="Arial" w:hAnsi="Arial" w:cs="Arial"/>
          <w:b/>
          <w:szCs w:val="20"/>
        </w:rPr>
        <w:tab/>
      </w:r>
      <w:r w:rsidR="0050081F">
        <w:rPr>
          <w:rFonts w:ascii="Arial" w:hAnsi="Arial" w:cs="Arial"/>
          <w:b/>
          <w:szCs w:val="20"/>
        </w:rPr>
        <w:t>New Accounting Pronouncements</w:t>
      </w:r>
    </w:p>
    <w:p w14:paraId="5EB92DC2" w14:textId="77777777" w:rsidR="003C2EF4" w:rsidRDefault="003C2EF4" w:rsidP="003C2EF4">
      <w:pPr>
        <w:tabs>
          <w:tab w:val="left" w:pos="450"/>
        </w:tabs>
        <w:spacing w:after="0" w:line="240" w:lineRule="auto"/>
        <w:ind w:left="450"/>
        <w:jc w:val="both"/>
        <w:rPr>
          <w:rFonts w:ascii="Arial" w:eastAsia="Times New Roman" w:hAnsi="Arial" w:cs="Arial"/>
          <w:bCs/>
          <w:szCs w:val="20"/>
        </w:rPr>
      </w:pPr>
    </w:p>
    <w:p w14:paraId="0AC680B0" w14:textId="3557D828" w:rsidR="0050081F" w:rsidRDefault="0050081F" w:rsidP="003C2EF4">
      <w:pPr>
        <w:tabs>
          <w:tab w:val="left" w:pos="450"/>
        </w:tabs>
        <w:spacing w:after="0" w:line="240" w:lineRule="auto"/>
        <w:ind w:left="450"/>
        <w:jc w:val="both"/>
        <w:rPr>
          <w:rFonts w:ascii="Arial" w:hAnsi="Arial" w:cs="Arial"/>
          <w:szCs w:val="20"/>
        </w:rPr>
      </w:pPr>
      <w:r w:rsidRPr="00CB6281">
        <w:rPr>
          <w:rFonts w:ascii="Arial" w:hAnsi="Arial" w:cs="Arial"/>
          <w:szCs w:val="20"/>
        </w:rPr>
        <w:t xml:space="preserve">The Company has adopted the following new accounting standards and interpretations effective </w:t>
      </w:r>
      <w:r>
        <w:rPr>
          <w:rFonts w:ascii="Arial" w:hAnsi="Arial" w:cs="Arial"/>
          <w:szCs w:val="20"/>
        </w:rPr>
        <w:t>February</w:t>
      </w:r>
      <w:r w:rsidRPr="00CB6281">
        <w:rPr>
          <w:rFonts w:ascii="Arial" w:hAnsi="Arial" w:cs="Arial"/>
          <w:szCs w:val="20"/>
        </w:rPr>
        <w:t xml:space="preserve"> 1, 2018. These</w:t>
      </w:r>
      <w:r w:rsidRPr="00F3067D">
        <w:rPr>
          <w:rFonts w:ascii="Arial" w:hAnsi="Arial" w:cs="Arial"/>
          <w:szCs w:val="20"/>
        </w:rPr>
        <w:t xml:space="preserve"> </w:t>
      </w:r>
      <w:r w:rsidRPr="00CB6281">
        <w:rPr>
          <w:rFonts w:ascii="Arial" w:hAnsi="Arial" w:cs="Arial"/>
          <w:szCs w:val="20"/>
        </w:rPr>
        <w:t>changes were made in accordance with the applicable transitional provisions</w:t>
      </w:r>
      <w:r>
        <w:rPr>
          <w:rFonts w:ascii="Arial" w:hAnsi="Arial" w:cs="Arial"/>
          <w:szCs w:val="20"/>
        </w:rPr>
        <w:t>.</w:t>
      </w:r>
    </w:p>
    <w:p w14:paraId="4EEAE59E" w14:textId="77777777" w:rsidR="0050081F" w:rsidRDefault="0050081F" w:rsidP="003C2EF4">
      <w:pPr>
        <w:tabs>
          <w:tab w:val="left" w:pos="450"/>
        </w:tabs>
        <w:spacing w:after="0" w:line="240" w:lineRule="auto"/>
        <w:ind w:left="450"/>
        <w:jc w:val="both"/>
        <w:rPr>
          <w:rFonts w:ascii="Arial" w:hAnsi="Arial" w:cs="Arial"/>
          <w:szCs w:val="20"/>
        </w:rPr>
      </w:pPr>
    </w:p>
    <w:p w14:paraId="0AB87195" w14:textId="21AA9FFF" w:rsidR="00007823" w:rsidRPr="00747374" w:rsidRDefault="00007823"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3 - Business Combinations (Amendments) (“IFRS 3”)</w:t>
      </w:r>
    </w:p>
    <w:p w14:paraId="29ABEBB2" w14:textId="77777777" w:rsidR="00747374" w:rsidRDefault="00747374" w:rsidP="00007823">
      <w:pPr>
        <w:pStyle w:val="NormalWeb"/>
        <w:tabs>
          <w:tab w:val="left" w:pos="3204"/>
        </w:tabs>
        <w:spacing w:before="0" w:beforeAutospacing="0" w:after="0" w:afterAutospacing="0"/>
        <w:ind w:left="450"/>
        <w:jc w:val="both"/>
        <w:rPr>
          <w:rFonts w:ascii="Arial" w:hAnsi="Arial" w:cs="Arial"/>
          <w:sz w:val="20"/>
          <w:szCs w:val="20"/>
        </w:rPr>
      </w:pPr>
    </w:p>
    <w:p w14:paraId="60EA11C1" w14:textId="77777777" w:rsidR="00007823" w:rsidRDefault="00007823" w:rsidP="00747374">
      <w:pPr>
        <w:pStyle w:val="NormalWeb"/>
        <w:tabs>
          <w:tab w:val="left" w:pos="3204"/>
        </w:tabs>
        <w:spacing w:before="0" w:beforeAutospacing="0" w:after="0" w:afterAutospacing="0"/>
        <w:ind w:left="810"/>
        <w:jc w:val="both"/>
        <w:rPr>
          <w:rFonts w:ascii="Arial" w:hAnsi="Arial" w:cs="Arial"/>
          <w:sz w:val="20"/>
          <w:szCs w:val="20"/>
        </w:rPr>
      </w:pPr>
      <w:r>
        <w:rPr>
          <w:rFonts w:ascii="Arial" w:hAnsi="Arial" w:cs="Arial"/>
          <w:sz w:val="20"/>
          <w:szCs w:val="20"/>
        </w:rPr>
        <w:t>IFRS 3 was amended to clarify the definition of a business in the determination of when an entity has acquired a business or a group of assets.  The amendments are effective for business combinations for which the acquisition date is on or after the beginning of annual periods beginning on or after January 1, 2020.  The Company has early adopted IFRS 3 amendments and applied these amendments for its business combinations undertaken during the year ended January 31, 2019.</w:t>
      </w:r>
    </w:p>
    <w:p w14:paraId="0EB814E6" w14:textId="77777777" w:rsidR="00007823" w:rsidRDefault="00007823" w:rsidP="00007823">
      <w:pPr>
        <w:pStyle w:val="NormalWeb"/>
        <w:tabs>
          <w:tab w:val="left" w:pos="3204"/>
        </w:tabs>
        <w:spacing w:before="0" w:beforeAutospacing="0" w:after="0" w:afterAutospacing="0"/>
        <w:ind w:left="450"/>
        <w:jc w:val="both"/>
        <w:rPr>
          <w:rFonts w:ascii="Arial" w:hAnsi="Arial" w:cs="Arial"/>
          <w:sz w:val="20"/>
          <w:szCs w:val="20"/>
        </w:rPr>
      </w:pPr>
    </w:p>
    <w:p w14:paraId="2056C8A9" w14:textId="4A317ED5" w:rsidR="0050081F" w:rsidRPr="00747374" w:rsidRDefault="0050081F"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9 – Financial Instruments (“IFRS 9”)</w:t>
      </w:r>
    </w:p>
    <w:p w14:paraId="67DB8D3D" w14:textId="77777777" w:rsidR="00747374" w:rsidRDefault="00747374" w:rsidP="0050081F">
      <w:pPr>
        <w:pStyle w:val="NormalWeb"/>
        <w:spacing w:before="0" w:beforeAutospacing="0" w:after="0" w:afterAutospacing="0"/>
        <w:ind w:left="450"/>
        <w:jc w:val="both"/>
        <w:rPr>
          <w:rFonts w:ascii="Arial" w:hAnsi="Arial" w:cs="Arial"/>
          <w:sz w:val="20"/>
          <w:szCs w:val="20"/>
        </w:rPr>
      </w:pPr>
    </w:p>
    <w:p w14:paraId="3C5CC965" w14:textId="094104CF" w:rsidR="0050081F" w:rsidRDefault="0050081F" w:rsidP="00747374">
      <w:pPr>
        <w:pStyle w:val="NormalWeb"/>
        <w:spacing w:before="0" w:beforeAutospacing="0" w:after="0" w:afterAutospacing="0"/>
        <w:ind w:left="810"/>
        <w:jc w:val="both"/>
        <w:rPr>
          <w:rFonts w:ascii="Arial" w:hAnsi="Arial" w:cs="Arial"/>
          <w:sz w:val="20"/>
          <w:szCs w:val="20"/>
        </w:rPr>
      </w:pPr>
      <w:r w:rsidRPr="00CB6281">
        <w:rPr>
          <w:rFonts w:ascii="Arial" w:hAnsi="Arial" w:cs="Arial"/>
          <w:sz w:val="20"/>
          <w:szCs w:val="20"/>
        </w:rPr>
        <w:t>IFRS 9 replaces IAS 39 Financial Instruments: Recognition and Measurement</w:t>
      </w:r>
      <w:r w:rsidRPr="00F3067D">
        <w:rPr>
          <w:rFonts w:ascii="Arial" w:hAnsi="Arial" w:cs="Arial"/>
          <w:sz w:val="20"/>
          <w:szCs w:val="20"/>
        </w:rPr>
        <w:t xml:space="preserve"> </w:t>
      </w:r>
      <w:r w:rsidRPr="00CB6281">
        <w:rPr>
          <w:rFonts w:ascii="Arial" w:hAnsi="Arial" w:cs="Arial"/>
          <w:sz w:val="20"/>
          <w:szCs w:val="20"/>
        </w:rPr>
        <w:t>(“IAS 39”). IFRS 9 utilizes a revised model for recognition and measurement of financial instruments and a single,</w:t>
      </w:r>
      <w:r w:rsidRPr="00F3067D">
        <w:rPr>
          <w:rFonts w:ascii="Arial" w:hAnsi="Arial" w:cs="Arial"/>
          <w:sz w:val="20"/>
          <w:szCs w:val="20"/>
        </w:rPr>
        <w:t xml:space="preserve"> </w:t>
      </w:r>
      <w:r w:rsidRPr="00CB6281">
        <w:rPr>
          <w:rFonts w:ascii="Arial" w:hAnsi="Arial" w:cs="Arial"/>
          <w:sz w:val="20"/>
          <w:szCs w:val="20"/>
        </w:rPr>
        <w:t xml:space="preserve">forward-looking “expected loss” impairment model. As a result of the adoption of IFRS 9, </w:t>
      </w:r>
      <w:r>
        <w:rPr>
          <w:rFonts w:ascii="Arial" w:hAnsi="Arial" w:cs="Arial"/>
          <w:sz w:val="20"/>
          <w:szCs w:val="20"/>
        </w:rPr>
        <w:t>the Company</w:t>
      </w:r>
      <w:r w:rsidRPr="00CB6281">
        <w:rPr>
          <w:rFonts w:ascii="Arial" w:hAnsi="Arial" w:cs="Arial"/>
          <w:sz w:val="20"/>
          <w:szCs w:val="20"/>
        </w:rPr>
        <w:t xml:space="preserve"> has changed</w:t>
      </w:r>
      <w:r w:rsidRPr="00F3067D">
        <w:rPr>
          <w:rFonts w:ascii="Arial" w:hAnsi="Arial" w:cs="Arial"/>
          <w:sz w:val="20"/>
          <w:szCs w:val="20"/>
        </w:rPr>
        <w:t xml:space="preserve"> </w:t>
      </w:r>
      <w:r w:rsidRPr="00CB6281">
        <w:rPr>
          <w:rFonts w:ascii="Arial" w:hAnsi="Arial" w:cs="Arial"/>
          <w:sz w:val="20"/>
          <w:szCs w:val="20"/>
        </w:rPr>
        <w:t>its accounting policy for financial assets retrospectively, for assets that continued to be recognized at the date of initial</w:t>
      </w:r>
      <w:r w:rsidRPr="00F3067D">
        <w:rPr>
          <w:rFonts w:ascii="Arial" w:hAnsi="Arial" w:cs="Arial"/>
          <w:sz w:val="20"/>
          <w:szCs w:val="20"/>
        </w:rPr>
        <w:t xml:space="preserve"> </w:t>
      </w:r>
      <w:r w:rsidRPr="00CB6281">
        <w:rPr>
          <w:rFonts w:ascii="Arial" w:hAnsi="Arial" w:cs="Arial"/>
          <w:sz w:val="20"/>
          <w:szCs w:val="20"/>
        </w:rPr>
        <w:t>application.</w:t>
      </w:r>
      <w:r w:rsidRPr="00F3067D">
        <w:rPr>
          <w:rFonts w:ascii="Arial" w:hAnsi="Arial" w:cs="Arial"/>
          <w:sz w:val="20"/>
          <w:szCs w:val="20"/>
        </w:rPr>
        <w:t xml:space="preserve"> </w:t>
      </w:r>
      <w:r w:rsidRPr="00CB6281">
        <w:rPr>
          <w:rFonts w:ascii="Arial" w:hAnsi="Arial" w:cs="Arial"/>
          <w:sz w:val="20"/>
          <w:szCs w:val="20"/>
        </w:rPr>
        <w:t>The table below summarizes the classification and carrying amount changes upon transition from IAS 39 to IFRS</w:t>
      </w:r>
      <w:r w:rsidR="00B84C5B">
        <w:rPr>
          <w:rFonts w:ascii="Arial" w:hAnsi="Arial" w:cs="Arial"/>
          <w:sz w:val="20"/>
          <w:szCs w:val="20"/>
        </w:rPr>
        <w:t xml:space="preserve"> 9</w:t>
      </w:r>
      <w:r w:rsidRPr="00CB6281">
        <w:rPr>
          <w:rFonts w:ascii="Arial" w:hAnsi="Arial" w:cs="Arial"/>
          <w:sz w:val="20"/>
          <w:szCs w:val="20"/>
        </w:rPr>
        <w:t xml:space="preserve"> as</w:t>
      </w:r>
      <w:r w:rsidRPr="00F3067D">
        <w:rPr>
          <w:rFonts w:ascii="Arial" w:hAnsi="Arial" w:cs="Arial"/>
          <w:sz w:val="20"/>
          <w:szCs w:val="20"/>
        </w:rPr>
        <w:t xml:space="preserve"> </w:t>
      </w:r>
      <w:r w:rsidRPr="00CB6281">
        <w:rPr>
          <w:rFonts w:ascii="Arial" w:hAnsi="Arial" w:cs="Arial"/>
          <w:sz w:val="20"/>
          <w:szCs w:val="20"/>
        </w:rPr>
        <w:t xml:space="preserve">at </w:t>
      </w:r>
      <w:r>
        <w:rPr>
          <w:rFonts w:ascii="Arial" w:hAnsi="Arial" w:cs="Arial"/>
          <w:sz w:val="20"/>
          <w:szCs w:val="20"/>
        </w:rPr>
        <w:t>February</w:t>
      </w:r>
      <w:r w:rsidRPr="00CB6281">
        <w:rPr>
          <w:rFonts w:ascii="Arial" w:hAnsi="Arial" w:cs="Arial"/>
          <w:sz w:val="20"/>
          <w:szCs w:val="20"/>
        </w:rPr>
        <w:t xml:space="preserve"> 1, 2018.</w:t>
      </w:r>
    </w:p>
    <w:p w14:paraId="4EA704E7" w14:textId="77777777" w:rsidR="0050081F" w:rsidRDefault="0050081F" w:rsidP="0050081F">
      <w:pPr>
        <w:pStyle w:val="NormalWeb"/>
        <w:spacing w:before="0" w:beforeAutospacing="0" w:after="0" w:afterAutospacing="0"/>
        <w:ind w:left="450"/>
        <w:jc w:val="both"/>
        <w:rPr>
          <w:rFonts w:ascii="Arial" w:hAnsi="Arial" w:cs="Arial"/>
          <w:sz w:val="20"/>
          <w:szCs w:val="20"/>
        </w:rPr>
      </w:pPr>
    </w:p>
    <w:tbl>
      <w:tblPr>
        <w:tblStyle w:val="TableGrid"/>
        <w:tblW w:w="8746"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645"/>
        <w:gridCol w:w="1547"/>
        <w:gridCol w:w="97"/>
        <w:gridCol w:w="1309"/>
        <w:gridCol w:w="113"/>
        <w:gridCol w:w="1611"/>
        <w:gridCol w:w="90"/>
        <w:gridCol w:w="1258"/>
      </w:tblGrid>
      <w:tr w:rsidR="0050081F" w14:paraId="6795E213" w14:textId="77777777" w:rsidTr="00007823">
        <w:tc>
          <w:tcPr>
            <w:tcW w:w="2076" w:type="dxa"/>
          </w:tcPr>
          <w:p w14:paraId="7873EA41" w14:textId="77777777" w:rsidR="0050081F" w:rsidRDefault="0050081F" w:rsidP="0050081F">
            <w:pPr>
              <w:tabs>
                <w:tab w:val="left" w:pos="432"/>
                <w:tab w:val="left" w:pos="792"/>
              </w:tabs>
              <w:autoSpaceDE w:val="0"/>
              <w:autoSpaceDN w:val="0"/>
              <w:adjustRightInd w:val="0"/>
              <w:ind w:left="450"/>
              <w:jc w:val="both"/>
              <w:rPr>
                <w:rFonts w:ascii="Arial" w:hAnsi="Arial" w:cs="Arial"/>
              </w:rPr>
            </w:pPr>
          </w:p>
        </w:tc>
        <w:tc>
          <w:tcPr>
            <w:tcW w:w="3711" w:type="dxa"/>
            <w:gridSpan w:val="5"/>
            <w:tcBorders>
              <w:bottom w:val="single" w:sz="2" w:space="0" w:color="auto"/>
            </w:tcBorders>
          </w:tcPr>
          <w:p w14:paraId="11EEC5BD"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Original under IAS 39</w:t>
            </w:r>
          </w:p>
        </w:tc>
        <w:tc>
          <w:tcPr>
            <w:tcW w:w="2959" w:type="dxa"/>
            <w:gridSpan w:val="3"/>
            <w:tcBorders>
              <w:bottom w:val="single" w:sz="2" w:space="0" w:color="auto"/>
            </w:tcBorders>
          </w:tcPr>
          <w:p w14:paraId="10249C89"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New under IFRS 9</w:t>
            </w:r>
          </w:p>
        </w:tc>
      </w:tr>
      <w:tr w:rsidR="0050081F" w14:paraId="22F614BC" w14:textId="77777777" w:rsidTr="00007823">
        <w:tc>
          <w:tcPr>
            <w:tcW w:w="2076" w:type="dxa"/>
          </w:tcPr>
          <w:p w14:paraId="7C0ED67B" w14:textId="77777777" w:rsidR="0050081F" w:rsidRDefault="0050081F" w:rsidP="0050081F">
            <w:pPr>
              <w:tabs>
                <w:tab w:val="left" w:pos="432"/>
                <w:tab w:val="left" w:pos="792"/>
              </w:tabs>
              <w:autoSpaceDE w:val="0"/>
              <w:autoSpaceDN w:val="0"/>
              <w:adjustRightInd w:val="0"/>
              <w:ind w:left="450"/>
              <w:rPr>
                <w:rFonts w:ascii="Arial" w:hAnsi="Arial" w:cs="Arial"/>
              </w:rPr>
            </w:pPr>
          </w:p>
        </w:tc>
        <w:tc>
          <w:tcPr>
            <w:tcW w:w="2289" w:type="dxa"/>
            <w:gridSpan w:val="3"/>
            <w:tcBorders>
              <w:top w:val="single" w:sz="2" w:space="0" w:color="auto"/>
            </w:tcBorders>
          </w:tcPr>
          <w:p w14:paraId="604715E2"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221F59D8"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27C665AC" w14:textId="77777777" w:rsidR="0050081F" w:rsidRDefault="0050081F" w:rsidP="00007823">
            <w:pPr>
              <w:tabs>
                <w:tab w:val="left" w:pos="792"/>
              </w:tabs>
              <w:autoSpaceDE w:val="0"/>
              <w:autoSpaceDN w:val="0"/>
              <w:adjustRightInd w:val="0"/>
              <w:ind w:left="1"/>
              <w:jc w:val="center"/>
              <w:rPr>
                <w:rFonts w:ascii="Arial" w:hAnsi="Arial" w:cs="Arial"/>
              </w:rPr>
            </w:pPr>
            <w:r>
              <w:rPr>
                <w:rFonts w:ascii="Arial" w:hAnsi="Arial" w:cs="Arial"/>
              </w:rPr>
              <w:t>Classification</w:t>
            </w:r>
          </w:p>
        </w:tc>
        <w:tc>
          <w:tcPr>
            <w:tcW w:w="1422" w:type="dxa"/>
            <w:gridSpan w:val="2"/>
            <w:tcBorders>
              <w:top w:val="single" w:sz="2" w:space="0" w:color="auto"/>
            </w:tcBorders>
          </w:tcPr>
          <w:p w14:paraId="013745CA"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Carrying</w:t>
            </w:r>
          </w:p>
          <w:p w14:paraId="407D02BE"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Amount</w:t>
            </w:r>
          </w:p>
          <w:p w14:paraId="16DEFAE2"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w:t>
            </w:r>
          </w:p>
        </w:tc>
        <w:tc>
          <w:tcPr>
            <w:tcW w:w="1701" w:type="dxa"/>
            <w:gridSpan w:val="2"/>
            <w:tcBorders>
              <w:top w:val="single" w:sz="2" w:space="0" w:color="auto"/>
            </w:tcBorders>
          </w:tcPr>
          <w:p w14:paraId="034B7677"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010C55DA" w14:textId="77777777" w:rsidR="0050081F" w:rsidRDefault="0050081F" w:rsidP="0050081F">
            <w:pPr>
              <w:tabs>
                <w:tab w:val="left" w:pos="432"/>
                <w:tab w:val="left" w:pos="792"/>
              </w:tabs>
              <w:autoSpaceDE w:val="0"/>
              <w:autoSpaceDN w:val="0"/>
              <w:adjustRightInd w:val="0"/>
              <w:ind w:left="450"/>
              <w:jc w:val="center"/>
              <w:rPr>
                <w:rFonts w:ascii="Arial" w:hAnsi="Arial" w:cs="Arial"/>
              </w:rPr>
            </w:pPr>
          </w:p>
          <w:p w14:paraId="51463C87" w14:textId="77777777" w:rsidR="0050081F" w:rsidRDefault="0050081F" w:rsidP="00007823">
            <w:pPr>
              <w:autoSpaceDE w:val="0"/>
              <w:autoSpaceDN w:val="0"/>
              <w:adjustRightInd w:val="0"/>
              <w:jc w:val="center"/>
              <w:rPr>
                <w:rFonts w:ascii="Arial" w:hAnsi="Arial" w:cs="Arial"/>
              </w:rPr>
            </w:pPr>
            <w:r>
              <w:rPr>
                <w:rFonts w:ascii="Arial" w:hAnsi="Arial" w:cs="Arial"/>
              </w:rPr>
              <w:t>Classification</w:t>
            </w:r>
          </w:p>
        </w:tc>
        <w:tc>
          <w:tcPr>
            <w:tcW w:w="1258" w:type="dxa"/>
            <w:tcBorders>
              <w:top w:val="single" w:sz="2" w:space="0" w:color="auto"/>
            </w:tcBorders>
          </w:tcPr>
          <w:p w14:paraId="0E8CD797" w14:textId="77777777" w:rsidR="0050081F" w:rsidRDefault="0050081F" w:rsidP="00007823">
            <w:pPr>
              <w:autoSpaceDE w:val="0"/>
              <w:autoSpaceDN w:val="0"/>
              <w:adjustRightInd w:val="0"/>
              <w:jc w:val="center"/>
              <w:rPr>
                <w:rFonts w:ascii="Arial" w:hAnsi="Arial" w:cs="Arial"/>
              </w:rPr>
            </w:pPr>
            <w:r>
              <w:rPr>
                <w:rFonts w:ascii="Arial" w:hAnsi="Arial" w:cs="Arial"/>
              </w:rPr>
              <w:t>Carrying</w:t>
            </w:r>
          </w:p>
          <w:p w14:paraId="4C376657" w14:textId="77777777" w:rsidR="0050081F" w:rsidRDefault="0050081F" w:rsidP="00007823">
            <w:pPr>
              <w:autoSpaceDE w:val="0"/>
              <w:autoSpaceDN w:val="0"/>
              <w:adjustRightInd w:val="0"/>
              <w:jc w:val="center"/>
              <w:rPr>
                <w:rFonts w:ascii="Arial" w:hAnsi="Arial" w:cs="Arial"/>
              </w:rPr>
            </w:pPr>
            <w:r>
              <w:rPr>
                <w:rFonts w:ascii="Arial" w:hAnsi="Arial" w:cs="Arial"/>
              </w:rPr>
              <w:t>Amount</w:t>
            </w:r>
          </w:p>
          <w:p w14:paraId="045DF113" w14:textId="77777777" w:rsidR="0050081F" w:rsidRDefault="0050081F" w:rsidP="0050081F">
            <w:pPr>
              <w:tabs>
                <w:tab w:val="left" w:pos="432"/>
                <w:tab w:val="left" w:pos="792"/>
              </w:tabs>
              <w:autoSpaceDE w:val="0"/>
              <w:autoSpaceDN w:val="0"/>
              <w:adjustRightInd w:val="0"/>
              <w:ind w:left="450"/>
              <w:jc w:val="center"/>
              <w:rPr>
                <w:rFonts w:ascii="Arial" w:hAnsi="Arial" w:cs="Arial"/>
              </w:rPr>
            </w:pPr>
            <w:r>
              <w:rPr>
                <w:rFonts w:ascii="Arial" w:hAnsi="Arial" w:cs="Arial"/>
              </w:rPr>
              <w:t>$</w:t>
            </w:r>
          </w:p>
        </w:tc>
      </w:tr>
      <w:tr w:rsidR="0050081F" w14:paraId="00397B27" w14:textId="77777777" w:rsidTr="00007823">
        <w:tc>
          <w:tcPr>
            <w:tcW w:w="2721" w:type="dxa"/>
            <w:gridSpan w:val="2"/>
            <w:tcBorders>
              <w:top w:val="single" w:sz="2" w:space="0" w:color="auto"/>
            </w:tcBorders>
          </w:tcPr>
          <w:p w14:paraId="558637ED" w14:textId="7C0F6543" w:rsidR="0050081F" w:rsidRDefault="0050081F" w:rsidP="00007823">
            <w:pPr>
              <w:autoSpaceDE w:val="0"/>
              <w:autoSpaceDN w:val="0"/>
              <w:adjustRightInd w:val="0"/>
              <w:rPr>
                <w:rFonts w:ascii="Arial" w:hAnsi="Arial" w:cs="Arial"/>
              </w:rPr>
            </w:pPr>
            <w:r>
              <w:rPr>
                <w:rFonts w:ascii="Arial" w:hAnsi="Arial" w:cs="Arial"/>
              </w:rPr>
              <w:t xml:space="preserve">Cash </w:t>
            </w:r>
          </w:p>
        </w:tc>
        <w:tc>
          <w:tcPr>
            <w:tcW w:w="1547" w:type="dxa"/>
            <w:tcBorders>
              <w:top w:val="single" w:sz="2" w:space="0" w:color="auto"/>
            </w:tcBorders>
          </w:tcPr>
          <w:p w14:paraId="734715EC" w14:textId="77777777" w:rsidR="0050081F" w:rsidRDefault="0050081F" w:rsidP="00007823">
            <w:pPr>
              <w:autoSpaceDE w:val="0"/>
              <w:autoSpaceDN w:val="0"/>
              <w:adjustRightInd w:val="0"/>
              <w:jc w:val="center"/>
              <w:rPr>
                <w:rFonts w:ascii="Arial" w:hAnsi="Arial" w:cs="Arial"/>
              </w:rPr>
            </w:pPr>
            <w:r>
              <w:rPr>
                <w:rFonts w:ascii="Arial" w:hAnsi="Arial" w:cs="Arial"/>
              </w:rPr>
              <w:t>FVTPL</w:t>
            </w:r>
          </w:p>
        </w:tc>
        <w:tc>
          <w:tcPr>
            <w:tcW w:w="1406" w:type="dxa"/>
            <w:gridSpan w:val="2"/>
            <w:tcBorders>
              <w:top w:val="single" w:sz="2" w:space="0" w:color="auto"/>
            </w:tcBorders>
          </w:tcPr>
          <w:p w14:paraId="4DFE7BAE" w14:textId="5AE09D6C"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79,304</w:t>
            </w:r>
          </w:p>
        </w:tc>
        <w:tc>
          <w:tcPr>
            <w:tcW w:w="1724" w:type="dxa"/>
            <w:gridSpan w:val="2"/>
            <w:tcBorders>
              <w:top w:val="single" w:sz="2" w:space="0" w:color="auto"/>
            </w:tcBorders>
          </w:tcPr>
          <w:p w14:paraId="23EFBA06"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Borders>
              <w:top w:val="single" w:sz="2" w:space="0" w:color="auto"/>
            </w:tcBorders>
          </w:tcPr>
          <w:p w14:paraId="6FAAA2EE" w14:textId="3FB428D4" w:rsidR="0050081F" w:rsidRDefault="00007823" w:rsidP="00007823">
            <w:pPr>
              <w:autoSpaceDE w:val="0"/>
              <w:autoSpaceDN w:val="0"/>
              <w:adjustRightInd w:val="0"/>
              <w:jc w:val="right"/>
              <w:rPr>
                <w:rFonts w:ascii="Arial" w:hAnsi="Arial" w:cs="Arial"/>
              </w:rPr>
            </w:pPr>
            <w:r>
              <w:rPr>
                <w:rFonts w:ascii="Arial" w:hAnsi="Arial" w:cs="Arial"/>
              </w:rPr>
              <w:t>79,304</w:t>
            </w:r>
          </w:p>
        </w:tc>
      </w:tr>
      <w:tr w:rsidR="0050081F" w14:paraId="3B7DF02A" w14:textId="77777777" w:rsidTr="00007823">
        <w:tc>
          <w:tcPr>
            <w:tcW w:w="2721" w:type="dxa"/>
            <w:gridSpan w:val="2"/>
          </w:tcPr>
          <w:p w14:paraId="38362FDB" w14:textId="189EB131" w:rsidR="0050081F" w:rsidRDefault="0050081F" w:rsidP="0050081F">
            <w:pPr>
              <w:autoSpaceDE w:val="0"/>
              <w:autoSpaceDN w:val="0"/>
              <w:adjustRightInd w:val="0"/>
              <w:rPr>
                <w:rFonts w:ascii="Arial" w:hAnsi="Arial" w:cs="Arial"/>
              </w:rPr>
            </w:pPr>
            <w:r>
              <w:rPr>
                <w:rFonts w:ascii="Arial" w:hAnsi="Arial" w:cs="Arial"/>
              </w:rPr>
              <w:t>Amounts receivable</w:t>
            </w:r>
          </w:p>
        </w:tc>
        <w:tc>
          <w:tcPr>
            <w:tcW w:w="1547" w:type="dxa"/>
          </w:tcPr>
          <w:p w14:paraId="11D6B03E" w14:textId="5ED246CB"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406" w:type="dxa"/>
            <w:gridSpan w:val="2"/>
          </w:tcPr>
          <w:p w14:paraId="7433E78D" w14:textId="3A9FB299"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5,122</w:t>
            </w:r>
          </w:p>
        </w:tc>
        <w:tc>
          <w:tcPr>
            <w:tcW w:w="1724" w:type="dxa"/>
            <w:gridSpan w:val="2"/>
          </w:tcPr>
          <w:p w14:paraId="064712CC" w14:textId="1E4FD338"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6FA8D846" w14:textId="49A1AD3B" w:rsidR="0050081F" w:rsidRDefault="00007823" w:rsidP="00007823">
            <w:pPr>
              <w:autoSpaceDE w:val="0"/>
              <w:autoSpaceDN w:val="0"/>
              <w:adjustRightInd w:val="0"/>
              <w:jc w:val="right"/>
              <w:rPr>
                <w:rFonts w:ascii="Arial" w:hAnsi="Arial" w:cs="Arial"/>
              </w:rPr>
            </w:pPr>
            <w:r>
              <w:rPr>
                <w:rFonts w:ascii="Arial" w:hAnsi="Arial" w:cs="Arial"/>
              </w:rPr>
              <w:t>5,122</w:t>
            </w:r>
          </w:p>
        </w:tc>
      </w:tr>
      <w:tr w:rsidR="0050081F" w14:paraId="402E7D6F" w14:textId="77777777" w:rsidTr="00007823">
        <w:tc>
          <w:tcPr>
            <w:tcW w:w="2721" w:type="dxa"/>
            <w:gridSpan w:val="2"/>
          </w:tcPr>
          <w:p w14:paraId="089AF1F4" w14:textId="77777777" w:rsidR="0050081F" w:rsidRDefault="0050081F" w:rsidP="0050081F">
            <w:pPr>
              <w:autoSpaceDE w:val="0"/>
              <w:autoSpaceDN w:val="0"/>
              <w:adjustRightInd w:val="0"/>
              <w:rPr>
                <w:rFonts w:ascii="Arial" w:hAnsi="Arial" w:cs="Arial"/>
              </w:rPr>
            </w:pPr>
            <w:r>
              <w:rPr>
                <w:rFonts w:ascii="Arial" w:hAnsi="Arial" w:cs="Arial"/>
              </w:rPr>
              <w:t>Accounts payable and accrued liabilities</w:t>
            </w:r>
          </w:p>
        </w:tc>
        <w:tc>
          <w:tcPr>
            <w:tcW w:w="1547" w:type="dxa"/>
          </w:tcPr>
          <w:p w14:paraId="3B40E473"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4388DC34"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74749B37" w14:textId="15364923"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267,892</w:t>
            </w:r>
          </w:p>
        </w:tc>
        <w:tc>
          <w:tcPr>
            <w:tcW w:w="1724" w:type="dxa"/>
            <w:gridSpan w:val="2"/>
          </w:tcPr>
          <w:p w14:paraId="579D1078" w14:textId="77777777" w:rsidR="00007823" w:rsidRDefault="00007823" w:rsidP="00007823">
            <w:pPr>
              <w:autoSpaceDE w:val="0"/>
              <w:autoSpaceDN w:val="0"/>
              <w:adjustRightInd w:val="0"/>
              <w:jc w:val="center"/>
              <w:rPr>
                <w:rFonts w:ascii="Arial" w:hAnsi="Arial" w:cs="Arial"/>
              </w:rPr>
            </w:pPr>
          </w:p>
          <w:p w14:paraId="453B278A"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0968C363" w14:textId="77777777" w:rsidR="0050081F" w:rsidRDefault="0050081F" w:rsidP="00007823">
            <w:pPr>
              <w:autoSpaceDE w:val="0"/>
              <w:autoSpaceDN w:val="0"/>
              <w:adjustRightInd w:val="0"/>
              <w:jc w:val="right"/>
              <w:rPr>
                <w:rFonts w:ascii="Arial" w:hAnsi="Arial" w:cs="Arial"/>
              </w:rPr>
            </w:pPr>
          </w:p>
          <w:p w14:paraId="131C4FCF" w14:textId="78736A1C" w:rsidR="0050081F" w:rsidRDefault="00007823" w:rsidP="00007823">
            <w:pPr>
              <w:autoSpaceDE w:val="0"/>
              <w:autoSpaceDN w:val="0"/>
              <w:adjustRightInd w:val="0"/>
              <w:jc w:val="right"/>
              <w:rPr>
                <w:rFonts w:ascii="Arial" w:hAnsi="Arial" w:cs="Arial"/>
              </w:rPr>
            </w:pPr>
            <w:r>
              <w:rPr>
                <w:rFonts w:ascii="Arial" w:hAnsi="Arial" w:cs="Arial"/>
              </w:rPr>
              <w:t>267,892</w:t>
            </w:r>
          </w:p>
        </w:tc>
      </w:tr>
      <w:tr w:rsidR="0050081F" w14:paraId="31D56532" w14:textId="77777777" w:rsidTr="00007823">
        <w:tc>
          <w:tcPr>
            <w:tcW w:w="2721" w:type="dxa"/>
            <w:gridSpan w:val="2"/>
          </w:tcPr>
          <w:p w14:paraId="464D2937" w14:textId="77777777" w:rsidR="00007823" w:rsidRDefault="00007823" w:rsidP="0050081F">
            <w:pPr>
              <w:autoSpaceDE w:val="0"/>
              <w:autoSpaceDN w:val="0"/>
              <w:adjustRightInd w:val="0"/>
              <w:rPr>
                <w:rFonts w:ascii="Arial" w:hAnsi="Arial" w:cs="Arial"/>
              </w:rPr>
            </w:pPr>
          </w:p>
          <w:p w14:paraId="528EDEDE" w14:textId="77777777" w:rsidR="0050081F" w:rsidRDefault="0050081F" w:rsidP="0050081F">
            <w:pPr>
              <w:autoSpaceDE w:val="0"/>
              <w:autoSpaceDN w:val="0"/>
              <w:adjustRightInd w:val="0"/>
              <w:rPr>
                <w:rFonts w:ascii="Arial" w:hAnsi="Arial" w:cs="Arial"/>
              </w:rPr>
            </w:pPr>
            <w:r>
              <w:rPr>
                <w:rFonts w:ascii="Arial" w:hAnsi="Arial" w:cs="Arial"/>
              </w:rPr>
              <w:t>Due to related parties</w:t>
            </w:r>
          </w:p>
        </w:tc>
        <w:tc>
          <w:tcPr>
            <w:tcW w:w="1547" w:type="dxa"/>
          </w:tcPr>
          <w:p w14:paraId="4E08D8CB"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4471BE09"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5A943463" w14:textId="48F754F8"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12,421</w:t>
            </w:r>
          </w:p>
        </w:tc>
        <w:tc>
          <w:tcPr>
            <w:tcW w:w="1724" w:type="dxa"/>
            <w:gridSpan w:val="2"/>
          </w:tcPr>
          <w:p w14:paraId="3F8DC0DB" w14:textId="77777777" w:rsidR="00007823" w:rsidRDefault="00007823" w:rsidP="00007823">
            <w:pPr>
              <w:autoSpaceDE w:val="0"/>
              <w:autoSpaceDN w:val="0"/>
              <w:adjustRightInd w:val="0"/>
              <w:jc w:val="center"/>
              <w:rPr>
                <w:rFonts w:ascii="Arial" w:hAnsi="Arial" w:cs="Arial"/>
              </w:rPr>
            </w:pPr>
          </w:p>
          <w:p w14:paraId="66EF00BF"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79FC7C5F" w14:textId="77777777" w:rsidR="0050081F" w:rsidRDefault="0050081F" w:rsidP="00007823">
            <w:pPr>
              <w:autoSpaceDE w:val="0"/>
              <w:autoSpaceDN w:val="0"/>
              <w:adjustRightInd w:val="0"/>
              <w:jc w:val="right"/>
              <w:rPr>
                <w:rFonts w:ascii="Arial" w:hAnsi="Arial" w:cs="Arial"/>
              </w:rPr>
            </w:pPr>
          </w:p>
          <w:p w14:paraId="663C4950" w14:textId="6A1D22B2" w:rsidR="0050081F" w:rsidRDefault="00007823" w:rsidP="00007823">
            <w:pPr>
              <w:autoSpaceDE w:val="0"/>
              <w:autoSpaceDN w:val="0"/>
              <w:adjustRightInd w:val="0"/>
              <w:jc w:val="right"/>
              <w:rPr>
                <w:rFonts w:ascii="Arial" w:hAnsi="Arial" w:cs="Arial"/>
              </w:rPr>
            </w:pPr>
            <w:r>
              <w:rPr>
                <w:rFonts w:ascii="Arial" w:hAnsi="Arial" w:cs="Arial"/>
              </w:rPr>
              <w:t>12,421</w:t>
            </w:r>
          </w:p>
        </w:tc>
      </w:tr>
      <w:tr w:rsidR="0050081F" w14:paraId="661A07D3" w14:textId="77777777" w:rsidTr="00007823">
        <w:tc>
          <w:tcPr>
            <w:tcW w:w="2721" w:type="dxa"/>
            <w:gridSpan w:val="2"/>
          </w:tcPr>
          <w:p w14:paraId="1932F747" w14:textId="77777777" w:rsidR="00007823" w:rsidRDefault="00007823" w:rsidP="0050081F">
            <w:pPr>
              <w:autoSpaceDE w:val="0"/>
              <w:autoSpaceDN w:val="0"/>
              <w:adjustRightInd w:val="0"/>
              <w:rPr>
                <w:rFonts w:ascii="Arial" w:hAnsi="Arial" w:cs="Arial"/>
              </w:rPr>
            </w:pPr>
          </w:p>
          <w:p w14:paraId="6297EE8D" w14:textId="1B2DC78D" w:rsidR="0050081F" w:rsidRDefault="00007823" w:rsidP="0050081F">
            <w:pPr>
              <w:autoSpaceDE w:val="0"/>
              <w:autoSpaceDN w:val="0"/>
              <w:adjustRightInd w:val="0"/>
              <w:rPr>
                <w:rFonts w:ascii="Arial" w:hAnsi="Arial" w:cs="Arial"/>
              </w:rPr>
            </w:pPr>
            <w:r>
              <w:rPr>
                <w:rFonts w:ascii="Arial" w:hAnsi="Arial" w:cs="Arial"/>
              </w:rPr>
              <w:t>Convertible debentures</w:t>
            </w:r>
          </w:p>
        </w:tc>
        <w:tc>
          <w:tcPr>
            <w:tcW w:w="1547" w:type="dxa"/>
          </w:tcPr>
          <w:p w14:paraId="79A78AAF" w14:textId="77777777" w:rsidR="0050081F" w:rsidRDefault="0050081F"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Pr>
          <w:p w14:paraId="2B805842" w14:textId="77777777" w:rsidR="0050081F" w:rsidRDefault="0050081F" w:rsidP="0050081F">
            <w:pPr>
              <w:tabs>
                <w:tab w:val="left" w:pos="432"/>
                <w:tab w:val="left" w:pos="792"/>
              </w:tabs>
              <w:autoSpaceDE w:val="0"/>
              <w:autoSpaceDN w:val="0"/>
              <w:adjustRightInd w:val="0"/>
              <w:ind w:left="450"/>
              <w:jc w:val="right"/>
              <w:rPr>
                <w:rFonts w:ascii="Arial" w:hAnsi="Arial" w:cs="Arial"/>
              </w:rPr>
            </w:pPr>
          </w:p>
          <w:p w14:paraId="75C6990A" w14:textId="77777777" w:rsidR="0050081F" w:rsidRDefault="0050081F" w:rsidP="0050081F">
            <w:pPr>
              <w:tabs>
                <w:tab w:val="left" w:pos="432"/>
                <w:tab w:val="left" w:pos="792"/>
              </w:tabs>
              <w:autoSpaceDE w:val="0"/>
              <w:autoSpaceDN w:val="0"/>
              <w:adjustRightInd w:val="0"/>
              <w:ind w:left="450"/>
              <w:jc w:val="right"/>
              <w:rPr>
                <w:rFonts w:ascii="Arial" w:hAnsi="Arial" w:cs="Arial"/>
              </w:rPr>
            </w:pPr>
            <w:r>
              <w:rPr>
                <w:rFonts w:ascii="Arial" w:hAnsi="Arial" w:cs="Arial"/>
              </w:rPr>
              <w:t>-</w:t>
            </w:r>
          </w:p>
        </w:tc>
        <w:tc>
          <w:tcPr>
            <w:tcW w:w="1724" w:type="dxa"/>
            <w:gridSpan w:val="2"/>
          </w:tcPr>
          <w:p w14:paraId="3C2C75AA" w14:textId="77777777" w:rsidR="00007823" w:rsidRDefault="00007823" w:rsidP="00007823">
            <w:pPr>
              <w:autoSpaceDE w:val="0"/>
              <w:autoSpaceDN w:val="0"/>
              <w:adjustRightInd w:val="0"/>
              <w:jc w:val="center"/>
              <w:rPr>
                <w:rFonts w:ascii="Arial" w:hAnsi="Arial" w:cs="Arial"/>
              </w:rPr>
            </w:pPr>
          </w:p>
          <w:p w14:paraId="5564C51B" w14:textId="77777777" w:rsidR="0050081F" w:rsidRDefault="0050081F"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Pr>
          <w:p w14:paraId="15EA8290" w14:textId="77777777" w:rsidR="0050081F" w:rsidRDefault="0050081F" w:rsidP="00007823">
            <w:pPr>
              <w:autoSpaceDE w:val="0"/>
              <w:autoSpaceDN w:val="0"/>
              <w:adjustRightInd w:val="0"/>
              <w:jc w:val="right"/>
              <w:rPr>
                <w:rFonts w:ascii="Arial" w:hAnsi="Arial" w:cs="Arial"/>
              </w:rPr>
            </w:pPr>
          </w:p>
          <w:p w14:paraId="609F9B69" w14:textId="77777777" w:rsidR="0050081F" w:rsidRDefault="0050081F" w:rsidP="00007823">
            <w:pPr>
              <w:autoSpaceDE w:val="0"/>
              <w:autoSpaceDN w:val="0"/>
              <w:adjustRightInd w:val="0"/>
              <w:jc w:val="right"/>
              <w:rPr>
                <w:rFonts w:ascii="Arial" w:hAnsi="Arial" w:cs="Arial"/>
              </w:rPr>
            </w:pPr>
            <w:r>
              <w:rPr>
                <w:rFonts w:ascii="Arial" w:hAnsi="Arial" w:cs="Arial"/>
              </w:rPr>
              <w:t>-</w:t>
            </w:r>
          </w:p>
        </w:tc>
      </w:tr>
      <w:tr w:rsidR="0050081F" w14:paraId="06042CAE" w14:textId="77777777" w:rsidTr="00007823">
        <w:tc>
          <w:tcPr>
            <w:tcW w:w="2721" w:type="dxa"/>
            <w:gridSpan w:val="2"/>
            <w:tcBorders>
              <w:bottom w:val="single" w:sz="2" w:space="0" w:color="auto"/>
            </w:tcBorders>
          </w:tcPr>
          <w:p w14:paraId="7AC904B1" w14:textId="77777777" w:rsidR="00007823" w:rsidRDefault="00007823" w:rsidP="0050081F">
            <w:pPr>
              <w:autoSpaceDE w:val="0"/>
              <w:autoSpaceDN w:val="0"/>
              <w:adjustRightInd w:val="0"/>
              <w:rPr>
                <w:rFonts w:ascii="Arial" w:hAnsi="Arial" w:cs="Arial"/>
              </w:rPr>
            </w:pPr>
          </w:p>
          <w:p w14:paraId="0FAB0D16" w14:textId="5E66E46A" w:rsidR="0050081F" w:rsidRDefault="00007823" w:rsidP="0050081F">
            <w:pPr>
              <w:autoSpaceDE w:val="0"/>
              <w:autoSpaceDN w:val="0"/>
              <w:adjustRightInd w:val="0"/>
              <w:rPr>
                <w:rFonts w:ascii="Arial" w:hAnsi="Arial" w:cs="Arial"/>
              </w:rPr>
            </w:pPr>
            <w:r>
              <w:rPr>
                <w:rFonts w:ascii="Arial" w:hAnsi="Arial" w:cs="Arial"/>
              </w:rPr>
              <w:t>Promissory notes</w:t>
            </w:r>
          </w:p>
        </w:tc>
        <w:tc>
          <w:tcPr>
            <w:tcW w:w="1547" w:type="dxa"/>
            <w:tcBorders>
              <w:bottom w:val="single" w:sz="2" w:space="0" w:color="auto"/>
            </w:tcBorders>
          </w:tcPr>
          <w:p w14:paraId="3021B9E5" w14:textId="307CE7BD" w:rsidR="0050081F" w:rsidRDefault="00007823" w:rsidP="00007823">
            <w:pPr>
              <w:autoSpaceDE w:val="0"/>
              <w:autoSpaceDN w:val="0"/>
              <w:adjustRightInd w:val="0"/>
              <w:jc w:val="center"/>
              <w:rPr>
                <w:rFonts w:ascii="Arial" w:hAnsi="Arial" w:cs="Arial"/>
              </w:rPr>
            </w:pPr>
            <w:r>
              <w:rPr>
                <w:rFonts w:ascii="Arial" w:hAnsi="Arial" w:cs="Arial"/>
              </w:rPr>
              <w:t>Other financial liabilities</w:t>
            </w:r>
          </w:p>
        </w:tc>
        <w:tc>
          <w:tcPr>
            <w:tcW w:w="1406" w:type="dxa"/>
            <w:gridSpan w:val="2"/>
            <w:tcBorders>
              <w:bottom w:val="single" w:sz="2" w:space="0" w:color="auto"/>
            </w:tcBorders>
          </w:tcPr>
          <w:p w14:paraId="42D308D0" w14:textId="77777777" w:rsidR="00007823" w:rsidRDefault="00007823" w:rsidP="0050081F">
            <w:pPr>
              <w:tabs>
                <w:tab w:val="left" w:pos="432"/>
                <w:tab w:val="left" w:pos="792"/>
              </w:tabs>
              <w:autoSpaceDE w:val="0"/>
              <w:autoSpaceDN w:val="0"/>
              <w:adjustRightInd w:val="0"/>
              <w:ind w:left="450"/>
              <w:jc w:val="right"/>
              <w:rPr>
                <w:rFonts w:ascii="Arial" w:hAnsi="Arial" w:cs="Arial"/>
              </w:rPr>
            </w:pPr>
          </w:p>
          <w:p w14:paraId="18E542D0" w14:textId="7ACF97EC" w:rsidR="0050081F" w:rsidRDefault="00007823" w:rsidP="0050081F">
            <w:pPr>
              <w:tabs>
                <w:tab w:val="left" w:pos="432"/>
                <w:tab w:val="left" w:pos="792"/>
              </w:tabs>
              <w:autoSpaceDE w:val="0"/>
              <w:autoSpaceDN w:val="0"/>
              <w:adjustRightInd w:val="0"/>
              <w:ind w:left="450"/>
              <w:jc w:val="right"/>
              <w:rPr>
                <w:rFonts w:ascii="Arial" w:hAnsi="Arial" w:cs="Arial"/>
              </w:rPr>
            </w:pPr>
            <w:r>
              <w:rPr>
                <w:rFonts w:ascii="Arial" w:hAnsi="Arial" w:cs="Arial"/>
              </w:rPr>
              <w:t>247,305</w:t>
            </w:r>
          </w:p>
        </w:tc>
        <w:tc>
          <w:tcPr>
            <w:tcW w:w="1724" w:type="dxa"/>
            <w:gridSpan w:val="2"/>
            <w:tcBorders>
              <w:bottom w:val="single" w:sz="2" w:space="0" w:color="auto"/>
            </w:tcBorders>
          </w:tcPr>
          <w:p w14:paraId="2F253579" w14:textId="77777777" w:rsidR="00007823" w:rsidRDefault="00007823" w:rsidP="00007823">
            <w:pPr>
              <w:autoSpaceDE w:val="0"/>
              <w:autoSpaceDN w:val="0"/>
              <w:adjustRightInd w:val="0"/>
              <w:jc w:val="center"/>
              <w:rPr>
                <w:rFonts w:ascii="Arial" w:hAnsi="Arial" w:cs="Arial"/>
              </w:rPr>
            </w:pPr>
          </w:p>
          <w:p w14:paraId="2E40D704" w14:textId="4ABF7CD8" w:rsidR="0050081F" w:rsidRDefault="00007823" w:rsidP="00007823">
            <w:pPr>
              <w:autoSpaceDE w:val="0"/>
              <w:autoSpaceDN w:val="0"/>
              <w:adjustRightInd w:val="0"/>
              <w:jc w:val="center"/>
              <w:rPr>
                <w:rFonts w:ascii="Arial" w:hAnsi="Arial" w:cs="Arial"/>
              </w:rPr>
            </w:pPr>
            <w:r>
              <w:rPr>
                <w:rFonts w:ascii="Arial" w:hAnsi="Arial" w:cs="Arial"/>
              </w:rPr>
              <w:t>Amortized cost</w:t>
            </w:r>
          </w:p>
        </w:tc>
        <w:tc>
          <w:tcPr>
            <w:tcW w:w="1348" w:type="dxa"/>
            <w:gridSpan w:val="2"/>
            <w:tcBorders>
              <w:bottom w:val="single" w:sz="2" w:space="0" w:color="auto"/>
            </w:tcBorders>
          </w:tcPr>
          <w:p w14:paraId="287255A6" w14:textId="77777777" w:rsidR="00007823" w:rsidRDefault="00007823" w:rsidP="00007823">
            <w:pPr>
              <w:autoSpaceDE w:val="0"/>
              <w:autoSpaceDN w:val="0"/>
              <w:adjustRightInd w:val="0"/>
              <w:jc w:val="right"/>
              <w:rPr>
                <w:rFonts w:ascii="Arial" w:hAnsi="Arial" w:cs="Arial"/>
              </w:rPr>
            </w:pPr>
          </w:p>
          <w:p w14:paraId="088589CD" w14:textId="0DA906B0" w:rsidR="0050081F" w:rsidRDefault="00007823" w:rsidP="00007823">
            <w:pPr>
              <w:autoSpaceDE w:val="0"/>
              <w:autoSpaceDN w:val="0"/>
              <w:adjustRightInd w:val="0"/>
              <w:jc w:val="right"/>
              <w:rPr>
                <w:rFonts w:ascii="Arial" w:hAnsi="Arial" w:cs="Arial"/>
              </w:rPr>
            </w:pPr>
            <w:r>
              <w:rPr>
                <w:rFonts w:ascii="Arial" w:hAnsi="Arial" w:cs="Arial"/>
              </w:rPr>
              <w:t>247,305</w:t>
            </w:r>
          </w:p>
        </w:tc>
      </w:tr>
    </w:tbl>
    <w:p w14:paraId="6932D352" w14:textId="77777777" w:rsidR="0050081F" w:rsidRPr="00CB6281" w:rsidRDefault="0050081F" w:rsidP="0050081F">
      <w:pPr>
        <w:pStyle w:val="NormalWeb"/>
        <w:spacing w:before="0" w:beforeAutospacing="0" w:after="0" w:afterAutospacing="0"/>
        <w:ind w:left="450"/>
        <w:jc w:val="both"/>
        <w:rPr>
          <w:rFonts w:ascii="Arial" w:hAnsi="Arial" w:cs="Arial"/>
          <w:sz w:val="20"/>
          <w:szCs w:val="20"/>
        </w:rPr>
      </w:pPr>
    </w:p>
    <w:p w14:paraId="5DE1CEE6" w14:textId="77777777" w:rsidR="0050081F" w:rsidRPr="00F3067D" w:rsidRDefault="0050081F" w:rsidP="00747374">
      <w:pPr>
        <w:pStyle w:val="NormalWeb"/>
        <w:spacing w:before="0" w:beforeAutospacing="0" w:after="0" w:afterAutospacing="0"/>
        <w:ind w:left="720"/>
        <w:jc w:val="both"/>
        <w:rPr>
          <w:rFonts w:ascii="Arial" w:hAnsi="Arial" w:cs="Arial"/>
          <w:sz w:val="20"/>
          <w:szCs w:val="20"/>
        </w:rPr>
      </w:pPr>
      <w:r w:rsidRPr="00CB6281">
        <w:rPr>
          <w:rFonts w:ascii="Arial" w:hAnsi="Arial" w:cs="Arial"/>
          <w:sz w:val="20"/>
          <w:szCs w:val="20"/>
        </w:rPr>
        <w:t>As the standard permits on transition to IFRS 9, the Company has not restated prior periods with respect to the new</w:t>
      </w:r>
      <w:r w:rsidRPr="00F3067D">
        <w:rPr>
          <w:rFonts w:ascii="Arial" w:hAnsi="Arial" w:cs="Arial"/>
          <w:sz w:val="20"/>
          <w:szCs w:val="20"/>
        </w:rPr>
        <w:t xml:space="preserve"> </w:t>
      </w:r>
      <w:r w:rsidRPr="00CB6281">
        <w:rPr>
          <w:rFonts w:ascii="Arial" w:hAnsi="Arial" w:cs="Arial"/>
          <w:sz w:val="20"/>
          <w:szCs w:val="20"/>
        </w:rPr>
        <w:t>amortized cost measurement for financial assets and impairment requirements.</w:t>
      </w:r>
      <w:r w:rsidRPr="00F3067D">
        <w:rPr>
          <w:rFonts w:ascii="Arial" w:hAnsi="Arial" w:cs="Arial"/>
          <w:sz w:val="20"/>
          <w:szCs w:val="20"/>
        </w:rPr>
        <w:t xml:space="preserve"> </w:t>
      </w:r>
      <w:r w:rsidRPr="00CB6281">
        <w:rPr>
          <w:rFonts w:ascii="Arial" w:hAnsi="Arial" w:cs="Arial"/>
          <w:sz w:val="20"/>
          <w:szCs w:val="20"/>
        </w:rPr>
        <w:t>The adoption of IFRS 9 resulted in no impact to the opening accumulated deficit.</w:t>
      </w:r>
    </w:p>
    <w:p w14:paraId="5AB98638" w14:textId="03EF124C" w:rsidR="00007823" w:rsidRPr="00007823" w:rsidRDefault="00007823" w:rsidP="00007823">
      <w:pPr>
        <w:tabs>
          <w:tab w:val="left" w:pos="450"/>
        </w:tabs>
        <w:spacing w:after="0" w:line="240" w:lineRule="auto"/>
        <w:jc w:val="both"/>
        <w:rPr>
          <w:rFonts w:ascii="Arial" w:hAnsi="Arial" w:cs="Arial"/>
          <w:szCs w:val="20"/>
        </w:rPr>
      </w:pPr>
      <w:r w:rsidRPr="00BA56F7">
        <w:rPr>
          <w:rFonts w:ascii="Arial" w:hAnsi="Arial" w:cs="Arial"/>
          <w:b/>
          <w:szCs w:val="20"/>
        </w:rPr>
        <w:lastRenderedPageBreak/>
        <w:t xml:space="preserve">3.    </w:t>
      </w:r>
      <w:r w:rsidRPr="00BA56F7">
        <w:rPr>
          <w:rFonts w:ascii="Arial" w:hAnsi="Arial" w:cs="Arial"/>
          <w:b/>
          <w:szCs w:val="20"/>
        </w:rPr>
        <w:tab/>
      </w:r>
      <w:r>
        <w:rPr>
          <w:rFonts w:ascii="Arial" w:hAnsi="Arial" w:cs="Arial"/>
          <w:b/>
          <w:szCs w:val="20"/>
        </w:rPr>
        <w:t xml:space="preserve">New Accounting Pronouncements </w:t>
      </w:r>
      <w:r>
        <w:rPr>
          <w:rFonts w:ascii="Arial" w:hAnsi="Arial" w:cs="Arial"/>
          <w:szCs w:val="20"/>
        </w:rPr>
        <w:t>(continued)</w:t>
      </w:r>
    </w:p>
    <w:p w14:paraId="470671BA" w14:textId="77777777" w:rsidR="00007823" w:rsidRDefault="00007823" w:rsidP="0050081F">
      <w:pPr>
        <w:pStyle w:val="NormalWeb"/>
        <w:spacing w:before="0" w:beforeAutospacing="0" w:after="0" w:afterAutospacing="0"/>
        <w:ind w:left="450"/>
        <w:jc w:val="both"/>
        <w:rPr>
          <w:rFonts w:ascii="Arial" w:hAnsi="Arial" w:cs="Arial"/>
          <w:sz w:val="20"/>
          <w:szCs w:val="20"/>
          <w:u w:val="single"/>
        </w:rPr>
      </w:pPr>
    </w:p>
    <w:p w14:paraId="12E5E33C" w14:textId="1C8A4018" w:rsidR="0050081F" w:rsidRPr="00747374" w:rsidRDefault="0050081F" w:rsidP="00747374">
      <w:pPr>
        <w:pStyle w:val="NormalWeb"/>
        <w:numPr>
          <w:ilvl w:val="0"/>
          <w:numId w:val="42"/>
        </w:numPr>
        <w:spacing w:before="0" w:beforeAutospacing="0" w:after="0" w:afterAutospacing="0"/>
        <w:jc w:val="both"/>
        <w:rPr>
          <w:rFonts w:ascii="Arial" w:hAnsi="Arial" w:cs="Arial"/>
          <w:sz w:val="20"/>
          <w:szCs w:val="20"/>
        </w:rPr>
      </w:pPr>
      <w:r w:rsidRPr="00747374">
        <w:rPr>
          <w:rFonts w:ascii="Arial" w:hAnsi="Arial" w:cs="Arial"/>
          <w:sz w:val="20"/>
          <w:szCs w:val="20"/>
        </w:rPr>
        <w:t>IFRS 16 – Leases</w:t>
      </w:r>
    </w:p>
    <w:p w14:paraId="7EC9AA2A" w14:textId="77777777" w:rsidR="00747374" w:rsidRDefault="00747374" w:rsidP="0050081F">
      <w:pPr>
        <w:pStyle w:val="NormalWeb"/>
        <w:spacing w:before="0" w:beforeAutospacing="0" w:after="0" w:afterAutospacing="0"/>
        <w:ind w:left="450"/>
        <w:jc w:val="both"/>
        <w:rPr>
          <w:rFonts w:ascii="Arial" w:hAnsi="Arial" w:cs="Arial"/>
          <w:sz w:val="20"/>
          <w:szCs w:val="20"/>
        </w:rPr>
      </w:pPr>
    </w:p>
    <w:p w14:paraId="184B3490" w14:textId="2D7C6589" w:rsidR="0050081F" w:rsidRPr="00422076" w:rsidRDefault="0050081F" w:rsidP="00747374">
      <w:pPr>
        <w:pStyle w:val="NormalWeb"/>
        <w:spacing w:before="0" w:beforeAutospacing="0" w:after="0" w:afterAutospacing="0"/>
        <w:ind w:left="810"/>
        <w:jc w:val="both"/>
        <w:rPr>
          <w:rFonts w:ascii="Arial" w:hAnsi="Arial" w:cs="Arial"/>
          <w:sz w:val="20"/>
          <w:szCs w:val="20"/>
        </w:rPr>
      </w:pPr>
      <w:r w:rsidRPr="00422076">
        <w:rPr>
          <w:rFonts w:ascii="Arial" w:hAnsi="Arial" w:cs="Arial"/>
          <w:sz w:val="20"/>
          <w:szCs w:val="20"/>
        </w:rPr>
        <w:t xml:space="preserve">IFRS 16 specifies how to recognize, measure, present and disclose leases. The standard provides a single lessee model, requiring lessees to recognize assets and liabilities for all leases unless the lease term is twelve months or less or the underlying asset has a low value. IFRS 16 replaces IAS 17 Leases, IFRIC 4 Determining Whether an Arrangement Contains a Lease, SIC-15 Operating Leases – Incentives, and SIC-27 Evaluating the Substance of Transactions Involving the Legal Form of a Lease. IFRS 16 is effective for annual periods beginning on or after January 1, 2019.  </w:t>
      </w:r>
      <w:r w:rsidR="00007823">
        <w:rPr>
          <w:rFonts w:ascii="Arial" w:hAnsi="Arial" w:cs="Arial"/>
          <w:sz w:val="20"/>
          <w:szCs w:val="20"/>
        </w:rPr>
        <w:t>On February 1, 201</w:t>
      </w:r>
      <w:r w:rsidR="001D1EF9">
        <w:rPr>
          <w:rFonts w:ascii="Arial" w:hAnsi="Arial" w:cs="Arial"/>
          <w:sz w:val="20"/>
          <w:szCs w:val="20"/>
        </w:rPr>
        <w:t>9</w:t>
      </w:r>
      <w:r>
        <w:rPr>
          <w:rFonts w:ascii="Arial" w:hAnsi="Arial" w:cs="Arial"/>
          <w:sz w:val="20"/>
          <w:szCs w:val="20"/>
        </w:rPr>
        <w:t>, the</w:t>
      </w:r>
      <w:r w:rsidRPr="00422076">
        <w:rPr>
          <w:rFonts w:ascii="Arial" w:hAnsi="Arial" w:cs="Arial"/>
          <w:sz w:val="20"/>
          <w:szCs w:val="20"/>
        </w:rPr>
        <w:t xml:space="preserve"> Company </w:t>
      </w:r>
      <w:r>
        <w:rPr>
          <w:rFonts w:ascii="Arial" w:hAnsi="Arial" w:cs="Arial"/>
          <w:sz w:val="20"/>
          <w:szCs w:val="20"/>
        </w:rPr>
        <w:t>adopted</w:t>
      </w:r>
      <w:r w:rsidRPr="00422076">
        <w:rPr>
          <w:rFonts w:ascii="Arial" w:hAnsi="Arial" w:cs="Arial"/>
          <w:sz w:val="20"/>
          <w:szCs w:val="20"/>
        </w:rPr>
        <w:t xml:space="preserve"> IFRS 16</w:t>
      </w:r>
      <w:r w:rsidR="001D1EF9">
        <w:rPr>
          <w:rFonts w:ascii="Arial" w:hAnsi="Arial" w:cs="Arial"/>
          <w:sz w:val="20"/>
          <w:szCs w:val="20"/>
        </w:rPr>
        <w:t xml:space="preserve"> and </w:t>
      </w:r>
      <w:r w:rsidR="008653A8">
        <w:rPr>
          <w:rFonts w:ascii="Arial" w:hAnsi="Arial" w:cs="Arial"/>
          <w:sz w:val="20"/>
          <w:szCs w:val="20"/>
        </w:rPr>
        <w:t>applied IFRS 16 retrospectively to each prior reporting period presented.</w:t>
      </w:r>
    </w:p>
    <w:p w14:paraId="451C9678" w14:textId="77777777" w:rsidR="0050081F" w:rsidRDefault="0050081F" w:rsidP="00747374">
      <w:pPr>
        <w:tabs>
          <w:tab w:val="left" w:pos="450"/>
        </w:tabs>
        <w:spacing w:after="0" w:line="240" w:lineRule="auto"/>
        <w:ind w:left="810"/>
        <w:jc w:val="both"/>
        <w:rPr>
          <w:rFonts w:ascii="Arial" w:eastAsia="Times New Roman" w:hAnsi="Arial" w:cs="Arial"/>
          <w:bCs/>
          <w:szCs w:val="20"/>
        </w:rPr>
      </w:pPr>
    </w:p>
    <w:p w14:paraId="6FFFB3A7" w14:textId="496E66EE" w:rsid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In accordance with </w:t>
      </w:r>
      <w:r>
        <w:rPr>
          <w:rFonts w:ascii="Arial" w:eastAsia="Times New Roman" w:hAnsi="Arial" w:cs="Arial"/>
          <w:bCs/>
          <w:szCs w:val="20"/>
        </w:rPr>
        <w:t>IFRS 16</w:t>
      </w:r>
      <w:r w:rsidRPr="003C2EF4">
        <w:rPr>
          <w:rFonts w:ascii="Arial" w:eastAsia="Times New Roman" w:hAnsi="Arial" w:cs="Arial"/>
          <w:bCs/>
          <w:szCs w:val="20"/>
        </w:rPr>
        <w:t xml:space="preserve">, the Company determines if an arrangement is a lease at inception based on whether there is an identified asset, whether the Company has the right to obtain substantially all of the economic benefits from the use of the asset and whether the Company has the right to direct the use of the asset. The Company has operating leases, on office and facility spaces, and no financing leases. Operating lease </w:t>
      </w:r>
      <w:r>
        <w:rPr>
          <w:rFonts w:ascii="Arial" w:eastAsia="Times New Roman" w:hAnsi="Arial" w:cs="Arial"/>
          <w:bCs/>
          <w:szCs w:val="20"/>
        </w:rPr>
        <w:t>right-of-use (“</w:t>
      </w:r>
      <w:r w:rsidRPr="003C2EF4">
        <w:rPr>
          <w:rFonts w:ascii="Arial" w:eastAsia="Times New Roman" w:hAnsi="Arial" w:cs="Arial"/>
          <w:bCs/>
          <w:szCs w:val="20"/>
        </w:rPr>
        <w:t>ROU</w:t>
      </w:r>
      <w:r>
        <w:rPr>
          <w:rFonts w:ascii="Arial" w:eastAsia="Times New Roman" w:hAnsi="Arial" w:cs="Arial"/>
          <w:bCs/>
          <w:szCs w:val="20"/>
        </w:rPr>
        <w:t>”)</w:t>
      </w:r>
      <w:r w:rsidRPr="003C2EF4">
        <w:rPr>
          <w:rFonts w:ascii="Arial" w:eastAsia="Times New Roman" w:hAnsi="Arial" w:cs="Arial"/>
          <w:bCs/>
          <w:szCs w:val="20"/>
        </w:rPr>
        <w:t xml:space="preserve"> assets and operating lease liabilities are recognized based on the present value of the future minimum lease payments over the lease term. Lease expense for minimum lease payments is recognized on a straight-line basis over the lease term. See Note </w:t>
      </w:r>
      <w:r w:rsidR="003F632A">
        <w:rPr>
          <w:rFonts w:ascii="Arial" w:eastAsia="Times New Roman" w:hAnsi="Arial" w:cs="Arial"/>
          <w:bCs/>
          <w:szCs w:val="20"/>
        </w:rPr>
        <w:t>8</w:t>
      </w:r>
      <w:r w:rsidRPr="003C2EF4">
        <w:rPr>
          <w:rFonts w:ascii="Arial" w:eastAsia="Times New Roman" w:hAnsi="Arial" w:cs="Arial"/>
          <w:bCs/>
          <w:szCs w:val="20"/>
        </w:rPr>
        <w:t xml:space="preserve"> for further disclosures and detail regarding the Company’s operating leases</w:t>
      </w:r>
      <w:r>
        <w:rPr>
          <w:rFonts w:ascii="Arial" w:eastAsia="Times New Roman" w:hAnsi="Arial" w:cs="Arial"/>
          <w:bCs/>
          <w:szCs w:val="20"/>
        </w:rPr>
        <w:t>.</w:t>
      </w:r>
    </w:p>
    <w:p w14:paraId="618E1CD2" w14:textId="77777777" w:rsidR="00D462FC" w:rsidRDefault="00D462FC" w:rsidP="00747374">
      <w:pPr>
        <w:tabs>
          <w:tab w:val="left" w:pos="450"/>
        </w:tabs>
        <w:spacing w:after="0" w:line="240" w:lineRule="auto"/>
        <w:ind w:left="810"/>
        <w:jc w:val="both"/>
        <w:rPr>
          <w:rFonts w:ascii="Arial" w:eastAsia="Times New Roman" w:hAnsi="Arial" w:cs="Arial"/>
          <w:bCs/>
          <w:szCs w:val="20"/>
        </w:rPr>
      </w:pPr>
    </w:p>
    <w:p w14:paraId="2F826287" w14:textId="77777777" w:rsidR="003C2EF4" w:rsidRP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For leases with terms greater than twelve (12) months, the Company records the related ROU asset and lease obligation at the present value of lease payments over the term. Leases may include fixed rental escalation clauses, renewal options and / or termination options that are factored into the determination of lease payments when appropriate. The Company’s leases do not provide a readily determinable implicit rate; therefore, an estimate of the Company’s incremental borrowing rate is used to discount the lease payments based on information available at the lease commencement date. The discount rate used was 14.4%.</w:t>
      </w:r>
    </w:p>
    <w:p w14:paraId="380A9AF4" w14:textId="77777777" w:rsidR="003C2EF4" w:rsidRP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 </w:t>
      </w:r>
    </w:p>
    <w:p w14:paraId="4A6816A4" w14:textId="5B0B8704" w:rsidR="003C2EF4" w:rsidRDefault="003C2EF4" w:rsidP="00747374">
      <w:pPr>
        <w:tabs>
          <w:tab w:val="left" w:pos="450"/>
        </w:tabs>
        <w:spacing w:after="0" w:line="240" w:lineRule="auto"/>
        <w:ind w:left="810"/>
        <w:jc w:val="both"/>
        <w:rPr>
          <w:rFonts w:ascii="Arial" w:eastAsia="Times New Roman" w:hAnsi="Arial" w:cs="Arial"/>
          <w:bCs/>
          <w:szCs w:val="20"/>
        </w:rPr>
      </w:pPr>
      <w:r w:rsidRPr="003C2EF4">
        <w:rPr>
          <w:rFonts w:ascii="Arial" w:eastAsia="Times New Roman" w:hAnsi="Arial" w:cs="Arial"/>
          <w:bCs/>
          <w:szCs w:val="20"/>
        </w:rPr>
        <w:t xml:space="preserve">The adoption of </w:t>
      </w:r>
      <w:r>
        <w:rPr>
          <w:rFonts w:ascii="Arial" w:eastAsia="Times New Roman" w:hAnsi="Arial" w:cs="Arial"/>
          <w:bCs/>
          <w:szCs w:val="20"/>
        </w:rPr>
        <w:t>IFRS 16</w:t>
      </w:r>
      <w:r w:rsidRPr="003C2EF4">
        <w:rPr>
          <w:rFonts w:ascii="Arial" w:eastAsia="Times New Roman" w:hAnsi="Arial" w:cs="Arial"/>
          <w:bCs/>
          <w:szCs w:val="20"/>
        </w:rPr>
        <w:t xml:space="preserve"> resulted in the recognition of </w:t>
      </w:r>
      <w:r>
        <w:rPr>
          <w:rFonts w:ascii="Arial" w:eastAsia="Times New Roman" w:hAnsi="Arial" w:cs="Arial"/>
          <w:bCs/>
          <w:szCs w:val="20"/>
        </w:rPr>
        <w:t>ROU</w:t>
      </w:r>
      <w:r w:rsidRPr="003C2EF4">
        <w:rPr>
          <w:rFonts w:ascii="Arial" w:eastAsia="Times New Roman" w:hAnsi="Arial" w:cs="Arial"/>
          <w:bCs/>
          <w:szCs w:val="20"/>
        </w:rPr>
        <w:t xml:space="preserve"> assets and lease liabilities of $</w:t>
      </w:r>
      <w:r w:rsidR="00ED7B37">
        <w:rPr>
          <w:rFonts w:ascii="Arial" w:eastAsia="Times New Roman" w:hAnsi="Arial" w:cs="Arial"/>
          <w:bCs/>
          <w:szCs w:val="20"/>
        </w:rPr>
        <w:t>1,367,287 in July 2018.</w:t>
      </w:r>
    </w:p>
    <w:p w14:paraId="47A7C3BE" w14:textId="77777777" w:rsidR="003C2EF4" w:rsidRDefault="003C2EF4" w:rsidP="003C2EF4">
      <w:pPr>
        <w:tabs>
          <w:tab w:val="left" w:pos="450"/>
        </w:tabs>
        <w:spacing w:after="0" w:line="240" w:lineRule="auto"/>
        <w:jc w:val="both"/>
        <w:rPr>
          <w:rFonts w:ascii="Arial" w:hAnsi="Arial" w:cs="Arial"/>
          <w:b/>
          <w:szCs w:val="20"/>
        </w:rPr>
      </w:pPr>
    </w:p>
    <w:p w14:paraId="37D1AD07" w14:textId="6CDA3703" w:rsidR="00BA56F7" w:rsidRPr="00BA56F7" w:rsidRDefault="00BA56F7" w:rsidP="00F15B99">
      <w:pPr>
        <w:tabs>
          <w:tab w:val="left" w:pos="450"/>
        </w:tabs>
        <w:spacing w:after="0" w:line="240" w:lineRule="auto"/>
        <w:jc w:val="both"/>
        <w:rPr>
          <w:rFonts w:ascii="Arial" w:hAnsi="Arial" w:cs="Arial"/>
          <w:b/>
          <w:szCs w:val="20"/>
        </w:rPr>
      </w:pPr>
      <w:r w:rsidRPr="00BA56F7">
        <w:rPr>
          <w:rFonts w:ascii="Arial" w:hAnsi="Arial" w:cs="Arial"/>
          <w:b/>
          <w:szCs w:val="20"/>
        </w:rPr>
        <w:t xml:space="preserve">4.    </w:t>
      </w:r>
      <w:r w:rsidRPr="00BA56F7">
        <w:rPr>
          <w:rFonts w:ascii="Arial" w:hAnsi="Arial" w:cs="Arial"/>
          <w:b/>
          <w:szCs w:val="20"/>
        </w:rPr>
        <w:tab/>
        <w:t>Asset Acquisitions</w:t>
      </w:r>
    </w:p>
    <w:p w14:paraId="3922521F" w14:textId="77777777" w:rsidR="00E54C87" w:rsidRDefault="00E54C87" w:rsidP="00F15B99">
      <w:pPr>
        <w:tabs>
          <w:tab w:val="left" w:pos="450"/>
        </w:tabs>
        <w:spacing w:after="0" w:line="240" w:lineRule="auto"/>
        <w:ind w:left="450"/>
        <w:jc w:val="both"/>
        <w:rPr>
          <w:rFonts w:ascii="Arial" w:eastAsia="Times New Roman" w:hAnsi="Arial" w:cs="Arial"/>
          <w:bCs/>
          <w:szCs w:val="20"/>
        </w:rPr>
      </w:pPr>
    </w:p>
    <w:p w14:paraId="56CFDE7F" w14:textId="0FDF4248" w:rsidR="004E5AFC" w:rsidRPr="00BA56F7" w:rsidRDefault="00C174F9" w:rsidP="004E5AFC">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w:t>
      </w:r>
      <w:r w:rsidR="00EC3BF6">
        <w:rPr>
          <w:rFonts w:ascii="Arial" w:eastAsia="Times New Roman" w:hAnsi="Arial" w:cs="Arial"/>
          <w:bCs/>
          <w:szCs w:val="20"/>
        </w:rPr>
        <w:t>a</w:t>
      </w:r>
      <w:r w:rsidR="004E5AFC">
        <w:rPr>
          <w:rFonts w:ascii="Arial" w:eastAsia="Times New Roman" w:hAnsi="Arial" w:cs="Arial"/>
          <w:bCs/>
          <w:szCs w:val="20"/>
        </w:rPr>
        <w:t xml:space="preserve">) </w:t>
      </w:r>
      <w:r w:rsidR="004E5AFC" w:rsidRPr="004E5AFC">
        <w:rPr>
          <w:rFonts w:ascii="Arial" w:eastAsia="Times New Roman" w:hAnsi="Arial" w:cs="Arial"/>
          <w:bCs/>
          <w:szCs w:val="20"/>
        </w:rPr>
        <w:t>Thrudermic Transdermal Nanotechnology</w:t>
      </w:r>
    </w:p>
    <w:p w14:paraId="7F9793D0" w14:textId="77777777" w:rsidR="004E5AFC" w:rsidRDefault="004E5AFC" w:rsidP="004E5AFC">
      <w:pPr>
        <w:spacing w:after="0" w:line="240" w:lineRule="auto"/>
        <w:ind w:left="720"/>
        <w:jc w:val="both"/>
        <w:rPr>
          <w:rFonts w:ascii="Arial" w:eastAsia="Times New Roman" w:hAnsi="Arial" w:cs="Arial"/>
          <w:bCs/>
          <w:szCs w:val="20"/>
        </w:rPr>
      </w:pPr>
    </w:p>
    <w:p w14:paraId="571BCC18" w14:textId="66CC4F66" w:rsidR="004E5AFC" w:rsidRDefault="00EC3BF6" w:rsidP="004E5AFC">
      <w:pPr>
        <w:spacing w:after="0" w:line="240" w:lineRule="auto"/>
        <w:ind w:left="720"/>
        <w:jc w:val="both"/>
        <w:rPr>
          <w:rFonts w:ascii="Arial" w:eastAsia="Times New Roman" w:hAnsi="Arial" w:cs="Arial"/>
          <w:bCs/>
          <w:szCs w:val="20"/>
        </w:rPr>
      </w:pPr>
      <w:r w:rsidRPr="004E5AFC">
        <w:rPr>
          <w:rFonts w:ascii="Arial" w:eastAsia="Times New Roman" w:hAnsi="Arial" w:cs="Arial"/>
          <w:bCs/>
          <w:szCs w:val="20"/>
        </w:rPr>
        <w:t xml:space="preserve">On March 2, 2018, the Company entered into an exchange agreement with Thrudermic, LLC (“Thrudermic”) and the members of Thrudermic whereby the Company paid </w:t>
      </w:r>
      <w:r>
        <w:rPr>
          <w:rFonts w:ascii="Arial" w:eastAsia="Times New Roman" w:hAnsi="Arial" w:cs="Arial"/>
          <w:bCs/>
          <w:szCs w:val="20"/>
        </w:rPr>
        <w:t>US</w:t>
      </w:r>
      <w:r w:rsidRPr="004E5AFC">
        <w:rPr>
          <w:rFonts w:ascii="Arial" w:eastAsia="Times New Roman" w:hAnsi="Arial" w:cs="Arial"/>
          <w:bCs/>
          <w:szCs w:val="20"/>
        </w:rPr>
        <w:t xml:space="preserve">$1.00 for the issued and outstanding units of Thrudermic and issued 500,000 </w:t>
      </w:r>
      <w:r w:rsidR="00F07391">
        <w:rPr>
          <w:rFonts w:ascii="Arial" w:eastAsia="Times New Roman" w:hAnsi="Arial" w:cs="Arial"/>
          <w:bCs/>
          <w:szCs w:val="20"/>
        </w:rPr>
        <w:t>common shares</w:t>
      </w:r>
      <w:r w:rsidRPr="004E5AFC">
        <w:rPr>
          <w:rFonts w:ascii="Arial" w:eastAsia="Times New Roman" w:hAnsi="Arial" w:cs="Arial"/>
          <w:bCs/>
          <w:szCs w:val="20"/>
        </w:rPr>
        <w:t xml:space="preserve"> (Note</w:t>
      </w:r>
      <w:r w:rsidR="00D803A5">
        <w:rPr>
          <w:rFonts w:ascii="Arial" w:eastAsia="Times New Roman" w:hAnsi="Arial" w:cs="Arial"/>
          <w:bCs/>
          <w:szCs w:val="20"/>
        </w:rPr>
        <w:t xml:space="preserve"> 11(h</w:t>
      </w:r>
      <w:r w:rsidRPr="004E5AFC">
        <w:rPr>
          <w:rFonts w:ascii="Arial" w:eastAsia="Times New Roman" w:hAnsi="Arial" w:cs="Arial"/>
          <w:bCs/>
          <w:szCs w:val="20"/>
        </w:rPr>
        <w:t xml:space="preserve">)) to the members of Thrudermic for their intellectual property portfolio, including </w:t>
      </w:r>
      <w:r>
        <w:rPr>
          <w:rFonts w:ascii="Arial" w:eastAsia="Times New Roman" w:hAnsi="Arial" w:cs="Arial"/>
          <w:bCs/>
          <w:szCs w:val="20"/>
        </w:rPr>
        <w:t>un</w:t>
      </w:r>
      <w:r w:rsidRPr="004E5AFC">
        <w:rPr>
          <w:rFonts w:ascii="Arial" w:eastAsia="Times New Roman" w:hAnsi="Arial" w:cs="Arial"/>
          <w:bCs/>
          <w:szCs w:val="20"/>
        </w:rPr>
        <w:t>patent</w:t>
      </w:r>
      <w:r>
        <w:rPr>
          <w:rFonts w:ascii="Arial" w:eastAsia="Times New Roman" w:hAnsi="Arial" w:cs="Arial"/>
          <w:bCs/>
          <w:szCs w:val="20"/>
        </w:rPr>
        <w:t>ed technology</w:t>
      </w:r>
      <w:r w:rsidRPr="004E5AFC">
        <w:rPr>
          <w:rFonts w:ascii="Arial" w:eastAsia="Times New Roman" w:hAnsi="Arial" w:cs="Arial"/>
          <w:bCs/>
          <w:szCs w:val="20"/>
        </w:rPr>
        <w:t>, goodwill and know-how in connection with the Thrudermic Transdermal Nanotechnology</w:t>
      </w:r>
      <w:r w:rsidR="004E5AFC" w:rsidRPr="00BA56F7">
        <w:rPr>
          <w:rFonts w:ascii="Arial" w:eastAsia="Times New Roman" w:hAnsi="Arial" w:cs="Arial"/>
          <w:bCs/>
          <w:szCs w:val="20"/>
        </w:rPr>
        <w:t xml:space="preserve">.  </w:t>
      </w:r>
    </w:p>
    <w:p w14:paraId="68D24CC9" w14:textId="77777777" w:rsidR="004E5AFC" w:rsidRDefault="004E5AFC" w:rsidP="004E5AFC">
      <w:pPr>
        <w:spacing w:after="0" w:line="240" w:lineRule="auto"/>
        <w:ind w:left="720"/>
        <w:jc w:val="both"/>
        <w:rPr>
          <w:rFonts w:ascii="Arial" w:eastAsia="Times New Roman" w:hAnsi="Arial" w:cs="Arial"/>
          <w:bCs/>
          <w:szCs w:val="20"/>
        </w:rPr>
      </w:pPr>
    </w:p>
    <w:p w14:paraId="66D8A63D" w14:textId="56D36131" w:rsidR="004E5AFC" w:rsidRDefault="00EC3BF6" w:rsidP="004E5AFC">
      <w:pPr>
        <w:spacing w:after="0" w:line="240" w:lineRule="auto"/>
        <w:ind w:left="720"/>
        <w:jc w:val="both"/>
        <w:rPr>
          <w:rFonts w:ascii="Arial" w:eastAsia="Times New Roman" w:hAnsi="Arial" w:cs="Arial"/>
          <w:bCs/>
          <w:szCs w:val="20"/>
        </w:rPr>
      </w:pPr>
      <w:r w:rsidRPr="00081B98">
        <w:rPr>
          <w:rFonts w:ascii="Arial" w:eastAsia="Times New Roman" w:hAnsi="Arial" w:cs="Arial"/>
          <w:bCs/>
          <w:szCs w:val="20"/>
        </w:rPr>
        <w:t xml:space="preserve">The Company evaluated this acquisition in accordance with </w:t>
      </w:r>
      <w:r>
        <w:rPr>
          <w:rFonts w:ascii="Arial" w:eastAsia="Times New Roman" w:hAnsi="Arial" w:cs="Arial"/>
          <w:bCs/>
          <w:szCs w:val="20"/>
        </w:rPr>
        <w:t>IFRS 3</w:t>
      </w:r>
      <w:r w:rsidRPr="00081B98">
        <w:rPr>
          <w:rFonts w:ascii="Arial" w:eastAsia="Times New Roman" w:hAnsi="Arial" w:cs="Arial"/>
          <w:bCs/>
          <w:szCs w:val="20"/>
        </w:rPr>
        <w:t xml:space="preserve">, Business Combinations to discern whether the assets and operations of </w:t>
      </w:r>
      <w:r>
        <w:rPr>
          <w:rFonts w:ascii="Arial" w:eastAsia="Times New Roman" w:hAnsi="Arial" w:cs="Arial"/>
          <w:bCs/>
          <w:szCs w:val="20"/>
        </w:rPr>
        <w:t>Thrudermic</w:t>
      </w:r>
      <w:r w:rsidRPr="00081B98">
        <w:rPr>
          <w:rFonts w:ascii="Arial" w:eastAsia="Times New Roman" w:hAnsi="Arial" w:cs="Arial"/>
          <w:bCs/>
          <w:szCs w:val="20"/>
        </w:rPr>
        <w:t xml:space="preserve"> met the definition of a business. The Company concluded there were not a sufficient number of key processes obtained to develop the inputs into outputs, nor could such processes be easily obtained by the Company. Accordingly, the Company accounted for this transaction as</w:t>
      </w:r>
      <w:r>
        <w:rPr>
          <w:rFonts w:ascii="Arial" w:eastAsia="Times New Roman" w:hAnsi="Arial" w:cs="Arial"/>
          <w:bCs/>
          <w:szCs w:val="20"/>
        </w:rPr>
        <w:t xml:space="preserve"> an asset</w:t>
      </w:r>
      <w:r w:rsidRPr="00081B98">
        <w:rPr>
          <w:rFonts w:ascii="Arial" w:eastAsia="Times New Roman" w:hAnsi="Arial" w:cs="Arial"/>
          <w:bCs/>
          <w:szCs w:val="20"/>
        </w:rPr>
        <w:t xml:space="preserve"> acquisition at cost of $8</w:t>
      </w:r>
      <w:r>
        <w:rPr>
          <w:rFonts w:ascii="Arial" w:eastAsia="Times New Roman" w:hAnsi="Arial" w:cs="Arial"/>
          <w:bCs/>
          <w:szCs w:val="20"/>
        </w:rPr>
        <w:t xml:space="preserve">30,000 </w:t>
      </w:r>
      <w:r w:rsidR="00D169A3">
        <w:rPr>
          <w:rFonts w:ascii="Arial" w:eastAsia="Times New Roman" w:hAnsi="Arial" w:cs="Arial"/>
          <w:bCs/>
          <w:szCs w:val="20"/>
        </w:rPr>
        <w:t>(Note 7).</w:t>
      </w:r>
    </w:p>
    <w:p w14:paraId="084AD69D" w14:textId="77777777" w:rsidR="00E90180" w:rsidRDefault="00E90180" w:rsidP="004E5AFC">
      <w:pPr>
        <w:spacing w:after="0" w:line="240" w:lineRule="auto"/>
        <w:ind w:left="720"/>
        <w:jc w:val="both"/>
        <w:rPr>
          <w:rFonts w:ascii="Arial" w:eastAsia="Times New Roman" w:hAnsi="Arial" w:cs="Arial"/>
          <w:bCs/>
          <w:szCs w:val="20"/>
        </w:rPr>
      </w:pPr>
    </w:p>
    <w:p w14:paraId="08FA7CCA" w14:textId="77777777" w:rsidR="00FB4135" w:rsidRDefault="00FB4135">
      <w:pPr>
        <w:rPr>
          <w:rFonts w:ascii="Arial" w:hAnsi="Arial" w:cs="Arial"/>
          <w:b/>
          <w:szCs w:val="20"/>
        </w:rPr>
      </w:pPr>
      <w:r>
        <w:rPr>
          <w:rFonts w:ascii="Arial" w:hAnsi="Arial" w:cs="Arial"/>
          <w:b/>
          <w:szCs w:val="20"/>
        </w:rPr>
        <w:br w:type="page"/>
      </w:r>
    </w:p>
    <w:p w14:paraId="4E3C1C83" w14:textId="2E1C266A" w:rsidR="0007122C" w:rsidRPr="0089508D" w:rsidRDefault="0007122C" w:rsidP="0007122C">
      <w:pPr>
        <w:tabs>
          <w:tab w:val="left" w:pos="450"/>
        </w:tabs>
        <w:spacing w:after="0" w:line="240" w:lineRule="auto"/>
        <w:jc w:val="both"/>
        <w:rPr>
          <w:rFonts w:ascii="Arial" w:hAnsi="Arial" w:cs="Arial"/>
          <w:szCs w:val="20"/>
        </w:rPr>
      </w:pPr>
      <w:r w:rsidRPr="00BA56F7">
        <w:rPr>
          <w:rFonts w:ascii="Arial" w:hAnsi="Arial" w:cs="Arial"/>
          <w:b/>
          <w:szCs w:val="20"/>
        </w:rPr>
        <w:lastRenderedPageBreak/>
        <w:t xml:space="preserve">4.    </w:t>
      </w:r>
      <w:r w:rsidRPr="00BA56F7">
        <w:rPr>
          <w:rFonts w:ascii="Arial" w:hAnsi="Arial" w:cs="Arial"/>
          <w:b/>
          <w:szCs w:val="20"/>
        </w:rPr>
        <w:tab/>
        <w:t>Asset Acquisitions</w:t>
      </w:r>
      <w:r>
        <w:rPr>
          <w:rFonts w:ascii="Arial" w:hAnsi="Arial" w:cs="Arial"/>
          <w:b/>
          <w:szCs w:val="20"/>
        </w:rPr>
        <w:t xml:space="preserve"> </w:t>
      </w:r>
      <w:r>
        <w:rPr>
          <w:rFonts w:ascii="Arial" w:hAnsi="Arial" w:cs="Arial"/>
          <w:szCs w:val="20"/>
        </w:rPr>
        <w:t>(continued)</w:t>
      </w:r>
    </w:p>
    <w:p w14:paraId="384F1DEF" w14:textId="77777777" w:rsidR="0007122C" w:rsidRDefault="0007122C" w:rsidP="004E5AFC">
      <w:pPr>
        <w:spacing w:after="0" w:line="240" w:lineRule="auto"/>
        <w:ind w:left="720"/>
        <w:jc w:val="both"/>
        <w:rPr>
          <w:rFonts w:ascii="Arial" w:eastAsia="Times New Roman" w:hAnsi="Arial" w:cs="Arial"/>
          <w:bCs/>
          <w:szCs w:val="20"/>
        </w:rPr>
      </w:pPr>
    </w:p>
    <w:p w14:paraId="44B9AA5B" w14:textId="71DCC841" w:rsidR="00E90180" w:rsidRPr="00BA56F7" w:rsidRDefault="0089508D" w:rsidP="00E90180">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(b</w:t>
      </w:r>
      <w:r w:rsidR="00E90180">
        <w:rPr>
          <w:rFonts w:ascii="Arial" w:eastAsia="Times New Roman" w:hAnsi="Arial" w:cs="Arial"/>
          <w:bCs/>
          <w:szCs w:val="20"/>
        </w:rPr>
        <w:t xml:space="preserve">) </w:t>
      </w:r>
      <w:r w:rsidRPr="00F90149">
        <w:rPr>
          <w:rFonts w:ascii="Arial" w:eastAsia="Times New Roman" w:hAnsi="Arial" w:cs="Arial"/>
          <w:bCs/>
          <w:szCs w:val="20"/>
        </w:rPr>
        <w:t>Ready-to-Infuse Cann</w:t>
      </w:r>
      <w:r>
        <w:rPr>
          <w:rFonts w:ascii="Arial" w:eastAsia="Times New Roman" w:hAnsi="Arial" w:cs="Arial"/>
          <w:bCs/>
          <w:szCs w:val="20"/>
        </w:rPr>
        <w:t>a</w:t>
      </w:r>
      <w:r w:rsidRPr="00F90149">
        <w:rPr>
          <w:rFonts w:ascii="Arial" w:eastAsia="Times New Roman" w:hAnsi="Arial" w:cs="Arial"/>
          <w:bCs/>
          <w:szCs w:val="20"/>
        </w:rPr>
        <w:t>bis Patents</w:t>
      </w:r>
      <w:r>
        <w:rPr>
          <w:rFonts w:ascii="Arial" w:eastAsia="Times New Roman" w:hAnsi="Arial" w:cs="Arial"/>
          <w:bCs/>
          <w:szCs w:val="20"/>
        </w:rPr>
        <w:t xml:space="preserve"> (“RTIC Patents”)</w:t>
      </w:r>
    </w:p>
    <w:p w14:paraId="21C947F7" w14:textId="77777777" w:rsidR="00E90180" w:rsidRDefault="00E90180" w:rsidP="00E90180">
      <w:pPr>
        <w:spacing w:after="0" w:line="240" w:lineRule="auto"/>
        <w:ind w:left="720"/>
        <w:jc w:val="both"/>
        <w:rPr>
          <w:rFonts w:ascii="Arial" w:eastAsia="Times New Roman" w:hAnsi="Arial" w:cs="Arial"/>
          <w:bCs/>
          <w:szCs w:val="20"/>
        </w:rPr>
      </w:pPr>
    </w:p>
    <w:p w14:paraId="5DC1B2F2" w14:textId="73E2FFE7" w:rsidR="0089508D" w:rsidRDefault="0089508D" w:rsidP="0089508D">
      <w:pPr>
        <w:spacing w:after="0" w:line="240" w:lineRule="auto"/>
        <w:ind w:left="720"/>
        <w:jc w:val="both"/>
        <w:rPr>
          <w:rFonts w:ascii="Arial" w:eastAsia="Times New Roman" w:hAnsi="Arial" w:cs="Arial"/>
          <w:bCs/>
          <w:szCs w:val="20"/>
        </w:rPr>
      </w:pPr>
      <w:r w:rsidRPr="00E90180">
        <w:rPr>
          <w:rFonts w:ascii="Arial" w:eastAsia="Times New Roman" w:hAnsi="Arial" w:cs="Arial"/>
          <w:bCs/>
          <w:szCs w:val="20"/>
        </w:rPr>
        <w:t xml:space="preserve">On February 28, 2018, the Company completed the acquisition of Pivot Naturals, LLC (previously ERS Holdings, LLC) (“Pivot Naturals”) pursuant to an exchange agreement dated as of February 10, 2018. As consideration for the purchase, the Company paid </w:t>
      </w:r>
      <w:r>
        <w:rPr>
          <w:rFonts w:ascii="Arial" w:eastAsia="Times New Roman" w:hAnsi="Arial" w:cs="Arial"/>
          <w:bCs/>
          <w:szCs w:val="20"/>
        </w:rPr>
        <w:t>$430,420 (US</w:t>
      </w:r>
      <w:r w:rsidRPr="00E90180">
        <w:rPr>
          <w:rFonts w:ascii="Arial" w:eastAsia="Times New Roman" w:hAnsi="Arial" w:cs="Arial"/>
          <w:bCs/>
          <w:szCs w:val="20"/>
        </w:rPr>
        <w:t>$333,333</w:t>
      </w:r>
      <w:r>
        <w:rPr>
          <w:rFonts w:ascii="Arial" w:eastAsia="Times New Roman" w:hAnsi="Arial" w:cs="Arial"/>
          <w:bCs/>
          <w:szCs w:val="20"/>
        </w:rPr>
        <w:t>)</w:t>
      </w:r>
      <w:r w:rsidRPr="00E90180">
        <w:rPr>
          <w:rFonts w:ascii="Arial" w:eastAsia="Times New Roman" w:hAnsi="Arial" w:cs="Arial"/>
          <w:bCs/>
          <w:szCs w:val="20"/>
        </w:rPr>
        <w:t xml:space="preserve"> in cash on closing, issued 5,000,000 </w:t>
      </w:r>
      <w:r w:rsidR="00F07391">
        <w:rPr>
          <w:rFonts w:ascii="Arial" w:eastAsia="Times New Roman" w:hAnsi="Arial" w:cs="Arial"/>
          <w:bCs/>
          <w:szCs w:val="20"/>
        </w:rPr>
        <w:t>common shares</w:t>
      </w:r>
      <w:r w:rsidR="003F632A">
        <w:rPr>
          <w:rFonts w:ascii="Arial" w:eastAsia="Times New Roman" w:hAnsi="Arial" w:cs="Arial"/>
          <w:bCs/>
          <w:szCs w:val="20"/>
        </w:rPr>
        <w:t xml:space="preserve"> (Note 11(g</w:t>
      </w:r>
      <w:r>
        <w:rPr>
          <w:rFonts w:ascii="Arial" w:eastAsia="Times New Roman" w:hAnsi="Arial" w:cs="Arial"/>
          <w:bCs/>
          <w:szCs w:val="20"/>
        </w:rPr>
        <w:t xml:space="preserve">)) </w:t>
      </w:r>
      <w:r w:rsidRPr="00E90180">
        <w:rPr>
          <w:rFonts w:ascii="Arial" w:eastAsia="Times New Roman" w:hAnsi="Arial" w:cs="Arial"/>
          <w:bCs/>
          <w:szCs w:val="20"/>
        </w:rPr>
        <w:t xml:space="preserve">and will pay an additional </w:t>
      </w:r>
      <w:r>
        <w:rPr>
          <w:rFonts w:ascii="Arial" w:eastAsia="Times New Roman" w:hAnsi="Arial" w:cs="Arial"/>
          <w:bCs/>
          <w:szCs w:val="20"/>
        </w:rPr>
        <w:t>US$</w:t>
      </w:r>
      <w:r w:rsidRPr="00E90180">
        <w:rPr>
          <w:rFonts w:ascii="Arial" w:eastAsia="Times New Roman" w:hAnsi="Arial" w:cs="Arial"/>
          <w:bCs/>
          <w:szCs w:val="20"/>
        </w:rPr>
        <w:t xml:space="preserve">333,333 six (6) and twelve (12) months after closing.  Financial consideration include royalties on future annual net sales. On September 28, 2018, a payment of </w:t>
      </w:r>
      <w:r>
        <w:rPr>
          <w:rFonts w:ascii="Arial" w:eastAsia="Times New Roman" w:hAnsi="Arial" w:cs="Arial"/>
          <w:bCs/>
          <w:szCs w:val="20"/>
        </w:rPr>
        <w:t>$429,370 (US</w:t>
      </w:r>
      <w:r w:rsidRPr="00E90180">
        <w:rPr>
          <w:rFonts w:ascii="Arial" w:eastAsia="Times New Roman" w:hAnsi="Arial" w:cs="Arial"/>
          <w:bCs/>
          <w:szCs w:val="20"/>
        </w:rPr>
        <w:t>$326,666</w:t>
      </w:r>
      <w:r>
        <w:rPr>
          <w:rFonts w:ascii="Arial" w:eastAsia="Times New Roman" w:hAnsi="Arial" w:cs="Arial"/>
          <w:bCs/>
          <w:szCs w:val="20"/>
        </w:rPr>
        <w:t>)</w:t>
      </w:r>
      <w:r w:rsidRPr="00E90180">
        <w:rPr>
          <w:rFonts w:ascii="Arial" w:eastAsia="Times New Roman" w:hAnsi="Arial" w:cs="Arial"/>
          <w:bCs/>
          <w:szCs w:val="20"/>
        </w:rPr>
        <w:t xml:space="preserve">, representing a portion of the payment due six (6) months after closing, was made. </w:t>
      </w:r>
      <w:r w:rsidR="00A81C39" w:rsidRPr="00A81C39">
        <w:rPr>
          <w:rFonts w:ascii="Arial" w:eastAsia="Times New Roman" w:hAnsi="Arial" w:cs="Arial"/>
          <w:bCs/>
          <w:szCs w:val="20"/>
        </w:rPr>
        <w:t>The Company extended the payment date for the payment due twelve (12) months after closing from February 28, 2019 to May 31, 2019.  As consideration for the extension, the Company issued 60,515</w:t>
      </w:r>
      <w:r w:rsidR="00A81C39">
        <w:rPr>
          <w:rFonts w:ascii="Arial" w:eastAsia="Times New Roman" w:hAnsi="Arial" w:cs="Arial"/>
          <w:bCs/>
          <w:szCs w:val="20"/>
        </w:rPr>
        <w:t xml:space="preserve"> </w:t>
      </w:r>
      <w:r w:rsidR="00F07391">
        <w:rPr>
          <w:rFonts w:ascii="Arial" w:eastAsia="Times New Roman" w:hAnsi="Arial" w:cs="Arial"/>
          <w:bCs/>
          <w:szCs w:val="20"/>
        </w:rPr>
        <w:t>common shares</w:t>
      </w:r>
      <w:r w:rsidR="00A81C39">
        <w:rPr>
          <w:rFonts w:ascii="Arial" w:eastAsia="Times New Roman" w:hAnsi="Arial" w:cs="Arial"/>
          <w:bCs/>
          <w:szCs w:val="20"/>
        </w:rPr>
        <w:t xml:space="preserve"> (Note 11</w:t>
      </w:r>
      <w:r w:rsidR="00A81C39" w:rsidRPr="00A81C39">
        <w:rPr>
          <w:rFonts w:ascii="Arial" w:eastAsia="Times New Roman" w:hAnsi="Arial" w:cs="Arial"/>
          <w:bCs/>
          <w:szCs w:val="20"/>
        </w:rPr>
        <w:t xml:space="preserve">(c)) and </w:t>
      </w:r>
      <w:r w:rsidR="00A81C39">
        <w:rPr>
          <w:rFonts w:ascii="Arial" w:eastAsia="Times New Roman" w:hAnsi="Arial" w:cs="Arial"/>
          <w:bCs/>
          <w:szCs w:val="20"/>
        </w:rPr>
        <w:t xml:space="preserve">paid $14,266 (US$10,832) in cash.  </w:t>
      </w:r>
      <w:r w:rsidR="00FC4DD3">
        <w:rPr>
          <w:rFonts w:ascii="Arial" w:eastAsia="Times New Roman" w:hAnsi="Arial" w:cs="Arial"/>
          <w:bCs/>
          <w:szCs w:val="20"/>
        </w:rPr>
        <w:t>On May 17, 2019, all outstanding consideration related to the purchase of Pivot Naturals</w:t>
      </w:r>
      <w:r w:rsidR="00A81C39" w:rsidRPr="00A81C39">
        <w:rPr>
          <w:rFonts w:ascii="Arial" w:eastAsia="Times New Roman" w:hAnsi="Arial" w:cs="Arial"/>
          <w:bCs/>
          <w:szCs w:val="20"/>
        </w:rPr>
        <w:t xml:space="preserve"> was made</w:t>
      </w:r>
      <w:r>
        <w:rPr>
          <w:rFonts w:ascii="Arial" w:eastAsia="Times New Roman" w:hAnsi="Arial" w:cs="Arial"/>
          <w:bCs/>
          <w:szCs w:val="20"/>
        </w:rPr>
        <w:t xml:space="preserve">. </w:t>
      </w:r>
    </w:p>
    <w:p w14:paraId="6AFAD098" w14:textId="77777777" w:rsidR="0089508D" w:rsidRDefault="0089508D" w:rsidP="0089508D">
      <w:pPr>
        <w:spacing w:after="0" w:line="240" w:lineRule="auto"/>
        <w:ind w:left="720"/>
        <w:jc w:val="both"/>
        <w:rPr>
          <w:rFonts w:ascii="Arial" w:eastAsia="Times New Roman" w:hAnsi="Arial" w:cs="Arial"/>
          <w:bCs/>
          <w:szCs w:val="20"/>
        </w:rPr>
      </w:pPr>
    </w:p>
    <w:p w14:paraId="49173392" w14:textId="5D87A844" w:rsidR="00157C2E" w:rsidRDefault="0089508D" w:rsidP="0007122C">
      <w:pPr>
        <w:spacing w:after="0" w:line="240" w:lineRule="auto"/>
        <w:ind w:left="720"/>
        <w:jc w:val="both"/>
        <w:rPr>
          <w:rFonts w:ascii="Arial" w:eastAsia="Times New Roman" w:hAnsi="Arial" w:cs="Arial"/>
          <w:bCs/>
          <w:szCs w:val="20"/>
        </w:rPr>
      </w:pPr>
      <w:r w:rsidRPr="00081B98">
        <w:rPr>
          <w:rFonts w:ascii="Arial" w:eastAsia="Times New Roman" w:hAnsi="Arial" w:cs="Arial"/>
          <w:bCs/>
          <w:szCs w:val="20"/>
        </w:rPr>
        <w:t xml:space="preserve">The Company evaluated this acquisition in accordance with </w:t>
      </w:r>
      <w:r w:rsidR="00A81C39">
        <w:rPr>
          <w:rFonts w:ascii="Arial" w:eastAsia="Times New Roman" w:hAnsi="Arial" w:cs="Arial"/>
          <w:bCs/>
          <w:szCs w:val="20"/>
        </w:rPr>
        <w:t>IFRS 3</w:t>
      </w:r>
      <w:r w:rsidR="00A81C39" w:rsidRPr="00081B98">
        <w:rPr>
          <w:rFonts w:ascii="Arial" w:eastAsia="Times New Roman" w:hAnsi="Arial" w:cs="Arial"/>
          <w:bCs/>
          <w:szCs w:val="20"/>
        </w:rPr>
        <w:t>, Business Combinations</w:t>
      </w:r>
      <w:r w:rsidRPr="00081B98">
        <w:rPr>
          <w:rFonts w:ascii="Arial" w:eastAsia="Times New Roman" w:hAnsi="Arial" w:cs="Arial"/>
          <w:bCs/>
          <w:szCs w:val="20"/>
        </w:rPr>
        <w:t xml:space="preserve"> to discern whether the assets and operations of </w:t>
      </w:r>
      <w:r>
        <w:rPr>
          <w:rFonts w:ascii="Arial" w:eastAsia="Times New Roman" w:hAnsi="Arial" w:cs="Arial"/>
          <w:bCs/>
          <w:szCs w:val="20"/>
        </w:rPr>
        <w:t>Pivot Naturals</w:t>
      </w:r>
      <w:r w:rsidRPr="00081B98">
        <w:rPr>
          <w:rFonts w:ascii="Arial" w:eastAsia="Times New Roman" w:hAnsi="Arial" w:cs="Arial"/>
          <w:bCs/>
          <w:szCs w:val="20"/>
        </w:rPr>
        <w:t xml:space="preserve"> met the definition of a business. The Company concluded there were not a sufficient number of key processes obtained to develop the inputs into outputs, nor could such processes be easily obtained by the Company. Accordingly, the Company accounted for this transaction as </w:t>
      </w:r>
      <w:r>
        <w:rPr>
          <w:rFonts w:ascii="Arial" w:eastAsia="Times New Roman" w:hAnsi="Arial" w:cs="Arial"/>
          <w:bCs/>
          <w:szCs w:val="20"/>
        </w:rPr>
        <w:t xml:space="preserve">an asset </w:t>
      </w:r>
      <w:r w:rsidRPr="00081B98">
        <w:rPr>
          <w:rFonts w:ascii="Arial" w:eastAsia="Times New Roman" w:hAnsi="Arial" w:cs="Arial"/>
          <w:bCs/>
          <w:szCs w:val="20"/>
        </w:rPr>
        <w:t>acquisition</w:t>
      </w:r>
      <w:r>
        <w:rPr>
          <w:rFonts w:ascii="Arial" w:eastAsia="Times New Roman" w:hAnsi="Arial" w:cs="Arial"/>
          <w:bCs/>
          <w:szCs w:val="20"/>
        </w:rPr>
        <w:t>.</w:t>
      </w:r>
      <w:r w:rsidRPr="00BC2A99">
        <w:rPr>
          <w:rFonts w:ascii="Arial" w:eastAsia="Times New Roman" w:hAnsi="Arial" w:cs="Arial"/>
          <w:bCs/>
          <w:szCs w:val="20"/>
        </w:rPr>
        <w:t xml:space="preserve"> </w:t>
      </w:r>
    </w:p>
    <w:p w14:paraId="7A288869" w14:textId="77777777" w:rsidR="00D462FC" w:rsidRDefault="00D462FC" w:rsidP="0089508D">
      <w:pPr>
        <w:spacing w:after="0" w:line="240" w:lineRule="auto"/>
        <w:ind w:left="720"/>
        <w:jc w:val="both"/>
        <w:rPr>
          <w:rFonts w:ascii="Arial" w:eastAsia="Times New Roman" w:hAnsi="Arial" w:cs="Arial"/>
          <w:bCs/>
          <w:szCs w:val="20"/>
        </w:rPr>
      </w:pPr>
    </w:p>
    <w:p w14:paraId="3A17F909" w14:textId="0E61E24D" w:rsidR="00E90180" w:rsidRDefault="0089508D" w:rsidP="0089508D">
      <w:pPr>
        <w:spacing w:after="0" w:line="240" w:lineRule="auto"/>
        <w:ind w:left="720"/>
        <w:jc w:val="both"/>
        <w:rPr>
          <w:rFonts w:ascii="Arial" w:eastAsia="Times New Roman" w:hAnsi="Arial" w:cs="Arial"/>
          <w:bCs/>
          <w:szCs w:val="20"/>
        </w:rPr>
      </w:pPr>
      <w:r w:rsidRPr="006312E7">
        <w:rPr>
          <w:rFonts w:ascii="Arial" w:eastAsia="Times New Roman" w:hAnsi="Arial" w:cs="Arial"/>
          <w:bCs/>
          <w:szCs w:val="20"/>
        </w:rPr>
        <w:t>The consideration transferred, assets acquired and liabilities assumed recognized is as follows:</w:t>
      </w:r>
    </w:p>
    <w:p w14:paraId="4DAF33A0" w14:textId="77777777" w:rsidR="0089508D" w:rsidRDefault="0089508D" w:rsidP="0089508D">
      <w:pPr>
        <w:spacing w:after="0" w:line="240" w:lineRule="auto"/>
        <w:ind w:left="720"/>
        <w:jc w:val="both"/>
        <w:rPr>
          <w:rFonts w:ascii="Arial" w:eastAsia="Times New Roman" w:hAnsi="Arial" w:cs="Arial"/>
          <w:bCs/>
          <w:szCs w:val="20"/>
        </w:rPr>
      </w:pPr>
    </w:p>
    <w:tbl>
      <w:tblPr>
        <w:tblW w:w="5699" w:type="dxa"/>
        <w:tblInd w:w="810" w:type="dxa"/>
        <w:tblLayout w:type="fixed"/>
        <w:tblCellMar>
          <w:left w:w="0" w:type="dxa"/>
          <w:right w:w="0" w:type="dxa"/>
        </w:tblCellMar>
        <w:tblLook w:val="0000" w:firstRow="0" w:lastRow="0" w:firstColumn="0" w:lastColumn="0" w:noHBand="0" w:noVBand="0"/>
      </w:tblPr>
      <w:tblGrid>
        <w:gridCol w:w="4140"/>
        <w:gridCol w:w="1559"/>
      </w:tblGrid>
      <w:tr w:rsidR="0089508D" w:rsidRPr="006312E7" w14:paraId="6BA66D7B" w14:textId="77777777" w:rsidTr="00C74354">
        <w:tc>
          <w:tcPr>
            <w:tcW w:w="4140" w:type="dxa"/>
            <w:tcBorders>
              <w:top w:val="nil"/>
              <w:left w:val="nil"/>
              <w:bottom w:val="single" w:sz="4" w:space="0" w:color="auto"/>
            </w:tcBorders>
            <w:vAlign w:val="bottom"/>
          </w:tcPr>
          <w:p w14:paraId="5428BB3F" w14:textId="77777777" w:rsidR="0089508D" w:rsidRPr="006312E7" w:rsidRDefault="0089508D" w:rsidP="00C74354">
            <w:pPr>
              <w:spacing w:after="0"/>
              <w:rPr>
                <w:rFonts w:ascii="Arial" w:hAnsi="Arial" w:cs="Arial"/>
                <w:szCs w:val="20"/>
              </w:rPr>
            </w:pPr>
            <w:r w:rsidRPr="006312E7">
              <w:rPr>
                <w:rFonts w:ascii="Arial" w:hAnsi="Arial" w:cs="Arial"/>
                <w:b/>
                <w:bCs/>
                <w:szCs w:val="20"/>
              </w:rPr>
              <w:t>Consideration paid:</w:t>
            </w:r>
            <w:r w:rsidRPr="006312E7">
              <w:rPr>
                <w:rFonts w:ascii="Arial" w:hAnsi="Arial" w:cs="Arial"/>
                <w:b/>
                <w:bCs/>
                <w:szCs w:val="20"/>
              </w:rPr>
              <w:tab/>
            </w:r>
          </w:p>
        </w:tc>
        <w:tc>
          <w:tcPr>
            <w:tcW w:w="1559" w:type="dxa"/>
            <w:tcBorders>
              <w:top w:val="nil"/>
              <w:left w:val="nil"/>
              <w:bottom w:val="single" w:sz="4" w:space="0" w:color="auto"/>
              <w:right w:val="nil"/>
            </w:tcBorders>
            <w:vAlign w:val="bottom"/>
          </w:tcPr>
          <w:p w14:paraId="39A43588" w14:textId="77777777" w:rsidR="0089508D" w:rsidRPr="006312E7" w:rsidRDefault="0089508D" w:rsidP="00C74354">
            <w:pPr>
              <w:spacing w:after="0"/>
              <w:jc w:val="center"/>
              <w:rPr>
                <w:rFonts w:ascii="Arial" w:hAnsi="Arial" w:cs="Arial"/>
                <w:szCs w:val="20"/>
              </w:rPr>
            </w:pPr>
            <w:r w:rsidRPr="006312E7">
              <w:rPr>
                <w:rFonts w:ascii="Arial" w:hAnsi="Arial" w:cs="Arial"/>
                <w:szCs w:val="20"/>
              </w:rPr>
              <w:t>$</w:t>
            </w:r>
          </w:p>
        </w:tc>
      </w:tr>
      <w:tr w:rsidR="0089508D" w:rsidRPr="006312E7" w14:paraId="53B508C1" w14:textId="77777777" w:rsidTr="00C74354">
        <w:trPr>
          <w:trHeight w:hRule="exact" w:val="113"/>
        </w:trPr>
        <w:tc>
          <w:tcPr>
            <w:tcW w:w="4140" w:type="dxa"/>
            <w:tcBorders>
              <w:top w:val="single" w:sz="4" w:space="0" w:color="auto"/>
              <w:left w:val="nil"/>
            </w:tcBorders>
            <w:vAlign w:val="bottom"/>
          </w:tcPr>
          <w:p w14:paraId="6AC30809"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571820F4" w14:textId="77777777" w:rsidR="0089508D" w:rsidRPr="006312E7" w:rsidRDefault="0089508D" w:rsidP="00C74354">
            <w:pPr>
              <w:spacing w:after="0"/>
              <w:ind w:right="369"/>
              <w:jc w:val="right"/>
              <w:rPr>
                <w:rFonts w:ascii="Arial" w:hAnsi="Arial" w:cs="Arial"/>
                <w:szCs w:val="20"/>
              </w:rPr>
            </w:pPr>
          </w:p>
        </w:tc>
      </w:tr>
      <w:tr w:rsidR="0089508D" w:rsidRPr="006312E7" w14:paraId="046C5358" w14:textId="77777777" w:rsidTr="00C74354">
        <w:tc>
          <w:tcPr>
            <w:tcW w:w="4140" w:type="dxa"/>
            <w:tcBorders>
              <w:left w:val="nil"/>
            </w:tcBorders>
            <w:vAlign w:val="bottom"/>
          </w:tcPr>
          <w:p w14:paraId="631DC554" w14:textId="77777777" w:rsidR="0089508D" w:rsidRPr="006312E7" w:rsidRDefault="0089508D" w:rsidP="00C74354">
            <w:pPr>
              <w:spacing w:after="0"/>
              <w:rPr>
                <w:rFonts w:ascii="Arial" w:hAnsi="Arial" w:cs="Arial"/>
                <w:szCs w:val="20"/>
              </w:rPr>
            </w:pPr>
            <w:r w:rsidRPr="006312E7">
              <w:rPr>
                <w:rFonts w:ascii="Arial" w:hAnsi="Arial" w:cs="Arial"/>
                <w:szCs w:val="20"/>
              </w:rPr>
              <w:t>Cash paid</w:t>
            </w:r>
          </w:p>
        </w:tc>
        <w:tc>
          <w:tcPr>
            <w:tcW w:w="1559" w:type="dxa"/>
            <w:tcBorders>
              <w:left w:val="nil"/>
              <w:right w:val="nil"/>
            </w:tcBorders>
            <w:vAlign w:val="bottom"/>
          </w:tcPr>
          <w:p w14:paraId="082812F7" w14:textId="77777777" w:rsidR="0089508D" w:rsidRPr="006312E7" w:rsidRDefault="0089508D" w:rsidP="00C74354">
            <w:pPr>
              <w:spacing w:after="0"/>
              <w:ind w:right="173"/>
              <w:jc w:val="right"/>
              <w:rPr>
                <w:rFonts w:ascii="Arial" w:hAnsi="Arial" w:cs="Arial"/>
                <w:szCs w:val="20"/>
              </w:rPr>
            </w:pPr>
            <w:r>
              <w:rPr>
                <w:rFonts w:ascii="Arial" w:hAnsi="Arial" w:cs="Arial"/>
                <w:szCs w:val="20"/>
              </w:rPr>
              <w:t>430,420</w:t>
            </w:r>
          </w:p>
        </w:tc>
      </w:tr>
      <w:tr w:rsidR="0089508D" w:rsidRPr="006312E7" w14:paraId="580EBAB4" w14:textId="77777777" w:rsidTr="00C74354">
        <w:tc>
          <w:tcPr>
            <w:tcW w:w="4140" w:type="dxa"/>
            <w:tcBorders>
              <w:left w:val="nil"/>
            </w:tcBorders>
            <w:vAlign w:val="bottom"/>
          </w:tcPr>
          <w:p w14:paraId="4AC600A1" w14:textId="77777777" w:rsidR="0089508D" w:rsidRPr="006312E7" w:rsidRDefault="0089508D" w:rsidP="00C74354">
            <w:pPr>
              <w:spacing w:after="0"/>
              <w:rPr>
                <w:rFonts w:ascii="Arial" w:hAnsi="Arial" w:cs="Arial"/>
                <w:szCs w:val="20"/>
              </w:rPr>
            </w:pPr>
            <w:r w:rsidRPr="006312E7">
              <w:rPr>
                <w:rFonts w:ascii="Arial" w:hAnsi="Arial" w:cs="Arial"/>
                <w:szCs w:val="20"/>
              </w:rPr>
              <w:t>Cash to be paid</w:t>
            </w:r>
          </w:p>
        </w:tc>
        <w:tc>
          <w:tcPr>
            <w:tcW w:w="1559" w:type="dxa"/>
            <w:tcBorders>
              <w:left w:val="nil"/>
              <w:right w:val="nil"/>
            </w:tcBorders>
            <w:vAlign w:val="bottom"/>
          </w:tcPr>
          <w:p w14:paraId="2912FA08" w14:textId="77777777" w:rsidR="0089508D" w:rsidRPr="006312E7" w:rsidRDefault="0089508D" w:rsidP="00C74354">
            <w:pPr>
              <w:spacing w:after="0"/>
              <w:ind w:right="173"/>
              <w:jc w:val="right"/>
              <w:rPr>
                <w:rFonts w:ascii="Arial" w:hAnsi="Arial" w:cs="Arial"/>
                <w:szCs w:val="20"/>
              </w:rPr>
            </w:pPr>
            <w:r>
              <w:rPr>
                <w:rFonts w:ascii="Arial" w:hAnsi="Arial" w:cs="Arial"/>
                <w:szCs w:val="20"/>
              </w:rPr>
              <w:t>778,662</w:t>
            </w:r>
          </w:p>
        </w:tc>
      </w:tr>
      <w:tr w:rsidR="0089508D" w:rsidRPr="006312E7" w14:paraId="05871BCE" w14:textId="77777777" w:rsidTr="00C74354">
        <w:tc>
          <w:tcPr>
            <w:tcW w:w="4140" w:type="dxa"/>
            <w:tcBorders>
              <w:left w:val="nil"/>
            </w:tcBorders>
            <w:vAlign w:val="bottom"/>
          </w:tcPr>
          <w:p w14:paraId="481D7544" w14:textId="43AA5C3F" w:rsidR="0089508D" w:rsidRPr="006312E7" w:rsidRDefault="0089508D" w:rsidP="00F07391">
            <w:pPr>
              <w:spacing w:after="0"/>
              <w:rPr>
                <w:rFonts w:ascii="Arial" w:hAnsi="Arial" w:cs="Arial"/>
                <w:szCs w:val="20"/>
              </w:rPr>
            </w:pPr>
            <w:r w:rsidRPr="006312E7">
              <w:rPr>
                <w:rFonts w:ascii="Arial" w:hAnsi="Arial" w:cs="Arial"/>
                <w:szCs w:val="20"/>
              </w:rPr>
              <w:t xml:space="preserve">Common </w:t>
            </w:r>
            <w:r w:rsidR="00F07391">
              <w:rPr>
                <w:rFonts w:ascii="Arial" w:hAnsi="Arial" w:cs="Arial"/>
                <w:szCs w:val="20"/>
              </w:rPr>
              <w:t>shares</w:t>
            </w:r>
            <w:r w:rsidRPr="006312E7">
              <w:rPr>
                <w:rFonts w:ascii="Arial" w:hAnsi="Arial" w:cs="Arial"/>
                <w:szCs w:val="20"/>
              </w:rPr>
              <w:t xml:space="preserve"> issued</w:t>
            </w:r>
          </w:p>
        </w:tc>
        <w:tc>
          <w:tcPr>
            <w:tcW w:w="1559" w:type="dxa"/>
            <w:tcBorders>
              <w:left w:val="nil"/>
              <w:right w:val="nil"/>
            </w:tcBorders>
            <w:vAlign w:val="bottom"/>
          </w:tcPr>
          <w:p w14:paraId="2D287E6E" w14:textId="77777777" w:rsidR="0089508D" w:rsidRPr="006312E7" w:rsidRDefault="0089508D" w:rsidP="00C74354">
            <w:pPr>
              <w:spacing w:after="0"/>
              <w:ind w:right="173"/>
              <w:jc w:val="right"/>
              <w:rPr>
                <w:rFonts w:ascii="Arial" w:hAnsi="Arial" w:cs="Arial"/>
                <w:szCs w:val="20"/>
              </w:rPr>
            </w:pPr>
            <w:r>
              <w:rPr>
                <w:rFonts w:ascii="Arial" w:hAnsi="Arial" w:cs="Arial"/>
                <w:szCs w:val="20"/>
              </w:rPr>
              <w:t>6,650,000</w:t>
            </w:r>
          </w:p>
        </w:tc>
      </w:tr>
      <w:tr w:rsidR="0089508D" w:rsidRPr="006312E7" w14:paraId="057FEE9C" w14:textId="77777777" w:rsidTr="00C74354">
        <w:tc>
          <w:tcPr>
            <w:tcW w:w="4140" w:type="dxa"/>
            <w:tcBorders>
              <w:left w:val="nil"/>
            </w:tcBorders>
            <w:vAlign w:val="bottom"/>
          </w:tcPr>
          <w:p w14:paraId="2B425925" w14:textId="77777777" w:rsidR="0089508D" w:rsidRPr="006312E7" w:rsidRDefault="0089508D" w:rsidP="00C74354">
            <w:pPr>
              <w:spacing w:after="0"/>
              <w:rPr>
                <w:rFonts w:ascii="Arial" w:hAnsi="Arial" w:cs="Arial"/>
                <w:szCs w:val="20"/>
              </w:rPr>
            </w:pPr>
            <w:r>
              <w:rPr>
                <w:rFonts w:ascii="Arial" w:hAnsi="Arial" w:cs="Arial"/>
                <w:szCs w:val="20"/>
              </w:rPr>
              <w:t>Transaction costs</w:t>
            </w:r>
          </w:p>
        </w:tc>
        <w:tc>
          <w:tcPr>
            <w:tcW w:w="1559" w:type="dxa"/>
            <w:tcBorders>
              <w:left w:val="nil"/>
              <w:right w:val="nil"/>
            </w:tcBorders>
            <w:vAlign w:val="bottom"/>
          </w:tcPr>
          <w:p w14:paraId="2B62B9D5" w14:textId="77777777" w:rsidR="0089508D" w:rsidRDefault="0089508D" w:rsidP="00C74354">
            <w:pPr>
              <w:spacing w:after="0"/>
              <w:ind w:right="173"/>
              <w:jc w:val="right"/>
              <w:rPr>
                <w:rFonts w:ascii="Arial" w:hAnsi="Arial" w:cs="Arial"/>
                <w:szCs w:val="20"/>
              </w:rPr>
            </w:pPr>
            <w:r>
              <w:rPr>
                <w:rFonts w:ascii="Arial" w:hAnsi="Arial" w:cs="Arial"/>
                <w:szCs w:val="20"/>
              </w:rPr>
              <w:t>154,951</w:t>
            </w:r>
          </w:p>
        </w:tc>
      </w:tr>
      <w:tr w:rsidR="0089508D" w:rsidRPr="006312E7" w14:paraId="4A1C4F44" w14:textId="77777777" w:rsidTr="00C74354">
        <w:trPr>
          <w:trHeight w:hRule="exact" w:val="86"/>
        </w:trPr>
        <w:tc>
          <w:tcPr>
            <w:tcW w:w="4140" w:type="dxa"/>
            <w:tcBorders>
              <w:top w:val="single" w:sz="4" w:space="0" w:color="auto"/>
              <w:left w:val="nil"/>
            </w:tcBorders>
            <w:vAlign w:val="bottom"/>
          </w:tcPr>
          <w:p w14:paraId="17F17C10"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26313DCB" w14:textId="77777777" w:rsidR="0089508D" w:rsidRPr="006312E7" w:rsidRDefault="0089508D" w:rsidP="00C74354">
            <w:pPr>
              <w:spacing w:after="0"/>
              <w:ind w:right="173"/>
              <w:jc w:val="right"/>
              <w:rPr>
                <w:rFonts w:ascii="Arial" w:hAnsi="Arial" w:cs="Arial"/>
                <w:szCs w:val="20"/>
              </w:rPr>
            </w:pPr>
          </w:p>
        </w:tc>
      </w:tr>
      <w:tr w:rsidR="0089508D" w:rsidRPr="006312E7" w14:paraId="4A279FC6" w14:textId="77777777" w:rsidTr="00C74354">
        <w:tc>
          <w:tcPr>
            <w:tcW w:w="4140" w:type="dxa"/>
            <w:tcBorders>
              <w:left w:val="nil"/>
              <w:bottom w:val="single" w:sz="12" w:space="0" w:color="auto"/>
            </w:tcBorders>
            <w:vAlign w:val="bottom"/>
          </w:tcPr>
          <w:p w14:paraId="3B19B839" w14:textId="77777777" w:rsidR="0089508D" w:rsidRPr="006312E7" w:rsidRDefault="0089508D" w:rsidP="00C74354">
            <w:pPr>
              <w:spacing w:after="0"/>
              <w:rPr>
                <w:rFonts w:ascii="Arial" w:hAnsi="Arial" w:cs="Arial"/>
                <w:szCs w:val="20"/>
              </w:rPr>
            </w:pPr>
            <w:r w:rsidRPr="006312E7">
              <w:rPr>
                <w:rFonts w:ascii="Arial" w:hAnsi="Arial" w:cs="Arial"/>
                <w:szCs w:val="20"/>
              </w:rPr>
              <w:t>Total purchase price</w:t>
            </w:r>
          </w:p>
        </w:tc>
        <w:tc>
          <w:tcPr>
            <w:tcW w:w="1559" w:type="dxa"/>
            <w:tcBorders>
              <w:left w:val="nil"/>
              <w:bottom w:val="single" w:sz="12" w:space="0" w:color="auto"/>
              <w:right w:val="nil"/>
            </w:tcBorders>
            <w:vAlign w:val="bottom"/>
          </w:tcPr>
          <w:p w14:paraId="64BD3859" w14:textId="77777777" w:rsidR="0089508D" w:rsidRPr="006312E7" w:rsidRDefault="0089508D" w:rsidP="00C74354">
            <w:pPr>
              <w:spacing w:after="0"/>
              <w:ind w:right="173"/>
              <w:jc w:val="right"/>
              <w:rPr>
                <w:rFonts w:ascii="Arial" w:hAnsi="Arial" w:cs="Arial"/>
                <w:szCs w:val="20"/>
              </w:rPr>
            </w:pPr>
            <w:r>
              <w:rPr>
                <w:rFonts w:ascii="Arial" w:hAnsi="Arial" w:cs="Arial"/>
                <w:szCs w:val="20"/>
              </w:rPr>
              <w:t>8,014,033</w:t>
            </w:r>
          </w:p>
        </w:tc>
      </w:tr>
      <w:tr w:rsidR="0089508D" w:rsidRPr="006312E7" w14:paraId="75CD2FDA" w14:textId="77777777" w:rsidTr="00C74354">
        <w:tc>
          <w:tcPr>
            <w:tcW w:w="4140" w:type="dxa"/>
            <w:tcBorders>
              <w:top w:val="nil"/>
              <w:left w:val="nil"/>
              <w:bottom w:val="single" w:sz="4" w:space="0" w:color="auto"/>
            </w:tcBorders>
            <w:vAlign w:val="bottom"/>
          </w:tcPr>
          <w:p w14:paraId="6D2948EB" w14:textId="77777777" w:rsidR="0089508D" w:rsidRPr="006312E7" w:rsidRDefault="0089508D" w:rsidP="00C74354">
            <w:pPr>
              <w:spacing w:before="120" w:after="0"/>
              <w:rPr>
                <w:rFonts w:ascii="Arial" w:hAnsi="Arial" w:cs="Arial"/>
                <w:b/>
                <w:bCs/>
                <w:szCs w:val="20"/>
              </w:rPr>
            </w:pPr>
          </w:p>
          <w:p w14:paraId="63DF3EFA" w14:textId="77777777" w:rsidR="0089508D" w:rsidRPr="006312E7" w:rsidRDefault="0089508D" w:rsidP="00C74354">
            <w:pPr>
              <w:spacing w:before="120" w:after="0"/>
              <w:rPr>
                <w:rFonts w:ascii="Arial" w:hAnsi="Arial" w:cs="Arial"/>
                <w:szCs w:val="20"/>
              </w:rPr>
            </w:pPr>
            <w:r w:rsidRPr="006312E7">
              <w:rPr>
                <w:rFonts w:ascii="Arial" w:hAnsi="Arial" w:cs="Arial"/>
                <w:b/>
                <w:bCs/>
                <w:szCs w:val="20"/>
              </w:rPr>
              <w:t>Net assets acquired:</w:t>
            </w:r>
            <w:r w:rsidRPr="006312E7">
              <w:rPr>
                <w:rFonts w:ascii="Arial" w:hAnsi="Arial" w:cs="Arial"/>
                <w:b/>
                <w:bCs/>
                <w:szCs w:val="20"/>
              </w:rPr>
              <w:tab/>
            </w:r>
          </w:p>
        </w:tc>
        <w:tc>
          <w:tcPr>
            <w:tcW w:w="1559" w:type="dxa"/>
            <w:tcBorders>
              <w:top w:val="nil"/>
              <w:left w:val="nil"/>
              <w:bottom w:val="single" w:sz="4" w:space="0" w:color="auto"/>
              <w:right w:val="nil"/>
            </w:tcBorders>
            <w:vAlign w:val="bottom"/>
          </w:tcPr>
          <w:p w14:paraId="067FF456" w14:textId="77777777" w:rsidR="0089508D" w:rsidRPr="006312E7" w:rsidRDefault="0089508D" w:rsidP="00C74354">
            <w:pPr>
              <w:spacing w:after="0"/>
              <w:jc w:val="center"/>
              <w:rPr>
                <w:rFonts w:ascii="Arial" w:hAnsi="Arial" w:cs="Arial"/>
                <w:szCs w:val="20"/>
              </w:rPr>
            </w:pPr>
            <w:r w:rsidRPr="006312E7">
              <w:rPr>
                <w:rFonts w:ascii="Arial" w:hAnsi="Arial" w:cs="Arial"/>
                <w:szCs w:val="20"/>
              </w:rPr>
              <w:t>$</w:t>
            </w:r>
          </w:p>
        </w:tc>
      </w:tr>
      <w:tr w:rsidR="0089508D" w:rsidRPr="006312E7" w14:paraId="208093AA" w14:textId="77777777" w:rsidTr="00C74354">
        <w:trPr>
          <w:trHeight w:hRule="exact" w:val="173"/>
        </w:trPr>
        <w:tc>
          <w:tcPr>
            <w:tcW w:w="4140" w:type="dxa"/>
            <w:tcBorders>
              <w:top w:val="single" w:sz="4" w:space="0" w:color="auto"/>
              <w:left w:val="nil"/>
            </w:tcBorders>
            <w:vAlign w:val="bottom"/>
          </w:tcPr>
          <w:p w14:paraId="5BB1A944"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49B78545" w14:textId="77777777" w:rsidR="0089508D" w:rsidRPr="006312E7" w:rsidRDefault="0089508D" w:rsidP="00C74354">
            <w:pPr>
              <w:spacing w:after="0"/>
              <w:ind w:right="369"/>
              <w:jc w:val="right"/>
              <w:rPr>
                <w:rFonts w:ascii="Arial" w:hAnsi="Arial" w:cs="Arial"/>
                <w:szCs w:val="20"/>
              </w:rPr>
            </w:pPr>
          </w:p>
        </w:tc>
      </w:tr>
      <w:tr w:rsidR="0089508D" w:rsidRPr="006312E7" w14:paraId="5E0B4556" w14:textId="77777777" w:rsidTr="00C74354">
        <w:tc>
          <w:tcPr>
            <w:tcW w:w="4140" w:type="dxa"/>
            <w:tcBorders>
              <w:left w:val="nil"/>
            </w:tcBorders>
            <w:vAlign w:val="bottom"/>
          </w:tcPr>
          <w:p w14:paraId="7FADB44D" w14:textId="77777777" w:rsidR="0089508D" w:rsidRPr="006312E7" w:rsidRDefault="0089508D" w:rsidP="00C74354">
            <w:pPr>
              <w:spacing w:after="0"/>
              <w:rPr>
                <w:rFonts w:ascii="Arial" w:hAnsi="Arial" w:cs="Arial"/>
                <w:szCs w:val="20"/>
              </w:rPr>
            </w:pPr>
            <w:r w:rsidRPr="006312E7">
              <w:rPr>
                <w:rFonts w:ascii="Arial" w:hAnsi="Arial" w:cs="Arial"/>
                <w:szCs w:val="20"/>
              </w:rPr>
              <w:t>Cash</w:t>
            </w:r>
          </w:p>
        </w:tc>
        <w:tc>
          <w:tcPr>
            <w:tcW w:w="1559" w:type="dxa"/>
            <w:tcBorders>
              <w:left w:val="nil"/>
              <w:right w:val="nil"/>
            </w:tcBorders>
            <w:vAlign w:val="bottom"/>
          </w:tcPr>
          <w:p w14:paraId="45EADC1E" w14:textId="77777777" w:rsidR="0089508D" w:rsidRPr="006312E7" w:rsidRDefault="0089508D" w:rsidP="00C74354">
            <w:pPr>
              <w:spacing w:after="0"/>
              <w:ind w:right="173"/>
              <w:jc w:val="right"/>
              <w:rPr>
                <w:rFonts w:ascii="Arial" w:hAnsi="Arial" w:cs="Arial"/>
                <w:szCs w:val="20"/>
              </w:rPr>
            </w:pPr>
            <w:r>
              <w:rPr>
                <w:rFonts w:ascii="Arial" w:hAnsi="Arial" w:cs="Arial"/>
                <w:szCs w:val="20"/>
              </w:rPr>
              <w:t>2,779</w:t>
            </w:r>
          </w:p>
        </w:tc>
      </w:tr>
      <w:tr w:rsidR="0089508D" w:rsidRPr="006312E7" w14:paraId="1842BCFE" w14:textId="77777777" w:rsidTr="00C74354">
        <w:tc>
          <w:tcPr>
            <w:tcW w:w="4140" w:type="dxa"/>
            <w:tcBorders>
              <w:left w:val="nil"/>
            </w:tcBorders>
            <w:vAlign w:val="bottom"/>
          </w:tcPr>
          <w:p w14:paraId="716FD74B" w14:textId="77777777" w:rsidR="0089508D" w:rsidRPr="006312E7" w:rsidRDefault="0089508D" w:rsidP="00C74354">
            <w:pPr>
              <w:spacing w:after="0"/>
              <w:rPr>
                <w:rFonts w:ascii="Arial" w:hAnsi="Arial" w:cs="Arial"/>
                <w:szCs w:val="20"/>
              </w:rPr>
            </w:pPr>
            <w:r w:rsidRPr="006312E7">
              <w:rPr>
                <w:rFonts w:ascii="Arial" w:hAnsi="Arial" w:cs="Arial"/>
                <w:szCs w:val="20"/>
              </w:rPr>
              <w:t>Equipment</w:t>
            </w:r>
          </w:p>
        </w:tc>
        <w:tc>
          <w:tcPr>
            <w:tcW w:w="1559" w:type="dxa"/>
            <w:tcBorders>
              <w:left w:val="nil"/>
              <w:right w:val="nil"/>
            </w:tcBorders>
            <w:vAlign w:val="bottom"/>
          </w:tcPr>
          <w:p w14:paraId="6AA35D64" w14:textId="77777777" w:rsidR="0089508D" w:rsidRPr="006312E7" w:rsidRDefault="0089508D" w:rsidP="00C74354">
            <w:pPr>
              <w:spacing w:after="0"/>
              <w:ind w:right="173"/>
              <w:jc w:val="right"/>
              <w:rPr>
                <w:rFonts w:ascii="Arial" w:hAnsi="Arial" w:cs="Arial"/>
                <w:szCs w:val="20"/>
              </w:rPr>
            </w:pPr>
            <w:r>
              <w:rPr>
                <w:rFonts w:ascii="Arial" w:hAnsi="Arial" w:cs="Arial"/>
                <w:szCs w:val="20"/>
              </w:rPr>
              <w:t>5,213</w:t>
            </w:r>
          </w:p>
        </w:tc>
      </w:tr>
      <w:tr w:rsidR="0089508D" w:rsidRPr="006312E7" w14:paraId="30E9A024" w14:textId="77777777" w:rsidTr="00C74354">
        <w:tc>
          <w:tcPr>
            <w:tcW w:w="4140" w:type="dxa"/>
            <w:tcBorders>
              <w:left w:val="nil"/>
            </w:tcBorders>
            <w:vAlign w:val="bottom"/>
          </w:tcPr>
          <w:p w14:paraId="535912D2" w14:textId="77777777" w:rsidR="0089508D" w:rsidRPr="006312E7" w:rsidRDefault="0089508D" w:rsidP="00C74354">
            <w:pPr>
              <w:spacing w:after="0"/>
              <w:rPr>
                <w:rFonts w:ascii="Arial" w:hAnsi="Arial" w:cs="Arial"/>
                <w:szCs w:val="20"/>
              </w:rPr>
            </w:pPr>
            <w:r>
              <w:rPr>
                <w:rFonts w:ascii="Arial" w:hAnsi="Arial" w:cs="Arial"/>
                <w:szCs w:val="20"/>
              </w:rPr>
              <w:t>Ready-to-infuse cannabis (“RTIC”) patents</w:t>
            </w:r>
          </w:p>
        </w:tc>
        <w:tc>
          <w:tcPr>
            <w:tcW w:w="1559" w:type="dxa"/>
            <w:tcBorders>
              <w:left w:val="nil"/>
              <w:right w:val="nil"/>
            </w:tcBorders>
            <w:vAlign w:val="bottom"/>
          </w:tcPr>
          <w:p w14:paraId="1B33E51F" w14:textId="77777777" w:rsidR="0089508D" w:rsidRPr="006312E7" w:rsidRDefault="0089508D" w:rsidP="00C74354">
            <w:pPr>
              <w:spacing w:after="0"/>
              <w:ind w:right="173"/>
              <w:jc w:val="right"/>
              <w:rPr>
                <w:rFonts w:ascii="Arial" w:hAnsi="Arial" w:cs="Arial"/>
                <w:szCs w:val="20"/>
              </w:rPr>
            </w:pPr>
            <w:r>
              <w:rPr>
                <w:rFonts w:ascii="Arial" w:hAnsi="Arial" w:cs="Arial"/>
                <w:szCs w:val="20"/>
              </w:rPr>
              <w:t>8,008,411</w:t>
            </w:r>
          </w:p>
        </w:tc>
      </w:tr>
      <w:tr w:rsidR="0089508D" w:rsidRPr="006312E7" w14:paraId="7B4140EA" w14:textId="77777777" w:rsidTr="00C74354">
        <w:tc>
          <w:tcPr>
            <w:tcW w:w="4140" w:type="dxa"/>
            <w:tcBorders>
              <w:left w:val="nil"/>
            </w:tcBorders>
            <w:vAlign w:val="bottom"/>
          </w:tcPr>
          <w:p w14:paraId="0DB162AB" w14:textId="77777777" w:rsidR="0089508D" w:rsidRPr="006312E7" w:rsidRDefault="0089508D" w:rsidP="00C74354">
            <w:pPr>
              <w:spacing w:after="0"/>
              <w:rPr>
                <w:rFonts w:ascii="Arial" w:hAnsi="Arial" w:cs="Arial"/>
                <w:szCs w:val="20"/>
              </w:rPr>
            </w:pPr>
            <w:r w:rsidRPr="006312E7">
              <w:rPr>
                <w:rFonts w:ascii="Arial" w:hAnsi="Arial" w:cs="Arial"/>
                <w:szCs w:val="20"/>
              </w:rPr>
              <w:t>Accounts payable and accrued liabilities</w:t>
            </w:r>
          </w:p>
        </w:tc>
        <w:tc>
          <w:tcPr>
            <w:tcW w:w="1559" w:type="dxa"/>
            <w:tcBorders>
              <w:left w:val="nil"/>
              <w:right w:val="nil"/>
            </w:tcBorders>
            <w:vAlign w:val="bottom"/>
          </w:tcPr>
          <w:p w14:paraId="6922E893" w14:textId="77777777" w:rsidR="0089508D" w:rsidRPr="006312E7" w:rsidRDefault="0089508D" w:rsidP="00C74354">
            <w:pPr>
              <w:spacing w:after="0"/>
              <w:ind w:right="173"/>
              <w:jc w:val="right"/>
              <w:rPr>
                <w:rFonts w:ascii="Arial" w:hAnsi="Arial" w:cs="Arial"/>
                <w:szCs w:val="20"/>
              </w:rPr>
            </w:pPr>
            <w:r w:rsidRPr="006312E7">
              <w:rPr>
                <w:rFonts w:ascii="Arial" w:hAnsi="Arial" w:cs="Arial"/>
                <w:szCs w:val="20"/>
              </w:rPr>
              <w:t>(</w:t>
            </w:r>
            <w:r>
              <w:rPr>
                <w:rFonts w:ascii="Arial" w:hAnsi="Arial" w:cs="Arial"/>
                <w:szCs w:val="20"/>
              </w:rPr>
              <w:t>2,370</w:t>
            </w:r>
            <w:r w:rsidRPr="006312E7">
              <w:rPr>
                <w:rFonts w:ascii="Arial" w:hAnsi="Arial" w:cs="Arial"/>
                <w:szCs w:val="20"/>
              </w:rPr>
              <w:t>)</w:t>
            </w:r>
          </w:p>
        </w:tc>
      </w:tr>
      <w:tr w:rsidR="0089508D" w:rsidRPr="006312E7" w14:paraId="1EFE39A1" w14:textId="77777777" w:rsidTr="00C74354">
        <w:trPr>
          <w:trHeight w:hRule="exact" w:val="86"/>
        </w:trPr>
        <w:tc>
          <w:tcPr>
            <w:tcW w:w="4140" w:type="dxa"/>
            <w:tcBorders>
              <w:top w:val="single" w:sz="4" w:space="0" w:color="auto"/>
              <w:left w:val="nil"/>
            </w:tcBorders>
            <w:vAlign w:val="bottom"/>
          </w:tcPr>
          <w:p w14:paraId="11645855" w14:textId="77777777" w:rsidR="0089508D" w:rsidRPr="006312E7" w:rsidRDefault="0089508D" w:rsidP="00C74354">
            <w:pPr>
              <w:spacing w:after="0"/>
              <w:rPr>
                <w:rFonts w:ascii="Arial" w:hAnsi="Arial" w:cs="Arial"/>
                <w:szCs w:val="20"/>
              </w:rPr>
            </w:pPr>
          </w:p>
        </w:tc>
        <w:tc>
          <w:tcPr>
            <w:tcW w:w="1559" w:type="dxa"/>
            <w:tcBorders>
              <w:top w:val="single" w:sz="4" w:space="0" w:color="auto"/>
              <w:left w:val="nil"/>
              <w:right w:val="nil"/>
            </w:tcBorders>
            <w:vAlign w:val="bottom"/>
          </w:tcPr>
          <w:p w14:paraId="519D6A27" w14:textId="77777777" w:rsidR="0089508D" w:rsidRPr="006312E7" w:rsidRDefault="0089508D" w:rsidP="00C74354">
            <w:pPr>
              <w:spacing w:after="0"/>
              <w:ind w:right="173"/>
              <w:jc w:val="right"/>
              <w:rPr>
                <w:rFonts w:ascii="Arial" w:hAnsi="Arial" w:cs="Arial"/>
                <w:szCs w:val="20"/>
              </w:rPr>
            </w:pPr>
          </w:p>
        </w:tc>
      </w:tr>
      <w:tr w:rsidR="0089508D" w:rsidRPr="006312E7" w14:paraId="76C74ED8" w14:textId="77777777" w:rsidTr="00C74354">
        <w:tc>
          <w:tcPr>
            <w:tcW w:w="4140" w:type="dxa"/>
            <w:tcBorders>
              <w:left w:val="nil"/>
              <w:bottom w:val="single" w:sz="12" w:space="0" w:color="auto"/>
            </w:tcBorders>
            <w:vAlign w:val="bottom"/>
          </w:tcPr>
          <w:p w14:paraId="19F598B4" w14:textId="77777777" w:rsidR="0089508D" w:rsidRPr="006312E7" w:rsidRDefault="0089508D" w:rsidP="00C74354">
            <w:pPr>
              <w:spacing w:after="0"/>
              <w:rPr>
                <w:rFonts w:ascii="Arial" w:hAnsi="Arial" w:cs="Arial"/>
                <w:szCs w:val="20"/>
              </w:rPr>
            </w:pPr>
            <w:r w:rsidRPr="006312E7">
              <w:rPr>
                <w:rFonts w:ascii="Arial" w:hAnsi="Arial" w:cs="Arial"/>
                <w:szCs w:val="20"/>
              </w:rPr>
              <w:t>Net value of business purchased</w:t>
            </w:r>
          </w:p>
        </w:tc>
        <w:tc>
          <w:tcPr>
            <w:tcW w:w="1559" w:type="dxa"/>
            <w:tcBorders>
              <w:left w:val="nil"/>
              <w:bottom w:val="single" w:sz="12" w:space="0" w:color="auto"/>
              <w:right w:val="nil"/>
            </w:tcBorders>
            <w:vAlign w:val="bottom"/>
          </w:tcPr>
          <w:p w14:paraId="7DEFE23E" w14:textId="77777777" w:rsidR="0089508D" w:rsidRPr="006312E7" w:rsidRDefault="0089508D" w:rsidP="00C74354">
            <w:pPr>
              <w:spacing w:after="0"/>
              <w:ind w:right="173"/>
              <w:jc w:val="right"/>
              <w:rPr>
                <w:rFonts w:ascii="Arial" w:hAnsi="Arial" w:cs="Arial"/>
                <w:szCs w:val="20"/>
              </w:rPr>
            </w:pPr>
            <w:r>
              <w:rPr>
                <w:rFonts w:ascii="Arial" w:hAnsi="Arial" w:cs="Arial"/>
                <w:szCs w:val="20"/>
              </w:rPr>
              <w:t>8,014,033</w:t>
            </w:r>
          </w:p>
        </w:tc>
      </w:tr>
    </w:tbl>
    <w:p w14:paraId="5728AB14" w14:textId="77777777" w:rsidR="0089508D" w:rsidRDefault="0089508D" w:rsidP="0089508D">
      <w:pPr>
        <w:tabs>
          <w:tab w:val="left" w:pos="450"/>
        </w:tabs>
        <w:spacing w:after="0" w:line="240" w:lineRule="auto"/>
        <w:jc w:val="both"/>
        <w:rPr>
          <w:rFonts w:ascii="Arial" w:hAnsi="Arial" w:cs="Arial"/>
          <w:b/>
          <w:szCs w:val="20"/>
        </w:rPr>
      </w:pPr>
    </w:p>
    <w:p w14:paraId="4E380CC9" w14:textId="5C4ED7BD" w:rsidR="0089508D" w:rsidRDefault="0089508D" w:rsidP="0089508D">
      <w:pPr>
        <w:spacing w:after="0" w:line="240" w:lineRule="auto"/>
        <w:ind w:left="810"/>
        <w:jc w:val="both"/>
        <w:rPr>
          <w:rFonts w:ascii="Arial" w:eastAsia="Times New Roman" w:hAnsi="Arial" w:cs="Arial"/>
          <w:bCs/>
          <w:szCs w:val="20"/>
        </w:rPr>
      </w:pPr>
      <w:r>
        <w:rPr>
          <w:rFonts w:ascii="Arial" w:eastAsia="Times New Roman" w:hAnsi="Arial" w:cs="Arial"/>
          <w:bCs/>
          <w:szCs w:val="20"/>
        </w:rPr>
        <w:t>The RTIC p</w:t>
      </w:r>
      <w:r w:rsidRPr="006312E7">
        <w:rPr>
          <w:rFonts w:ascii="Arial" w:eastAsia="Times New Roman" w:hAnsi="Arial" w:cs="Arial"/>
          <w:bCs/>
          <w:szCs w:val="20"/>
        </w:rPr>
        <w:t xml:space="preserve">atents acquired </w:t>
      </w:r>
      <w:r>
        <w:rPr>
          <w:rFonts w:ascii="Arial" w:eastAsia="Times New Roman" w:hAnsi="Arial" w:cs="Arial"/>
          <w:bCs/>
          <w:szCs w:val="20"/>
        </w:rPr>
        <w:t>are</w:t>
      </w:r>
      <w:r w:rsidRPr="006312E7">
        <w:rPr>
          <w:rFonts w:ascii="Arial" w:eastAsia="Times New Roman" w:hAnsi="Arial" w:cs="Arial"/>
          <w:bCs/>
          <w:szCs w:val="20"/>
        </w:rPr>
        <w:t xml:space="preserve"> amortized over an estimated useful life of ten (10) yea</w:t>
      </w:r>
      <w:r>
        <w:rPr>
          <w:rFonts w:ascii="Arial" w:eastAsia="Times New Roman" w:hAnsi="Arial" w:cs="Arial"/>
          <w:bCs/>
          <w:szCs w:val="20"/>
        </w:rPr>
        <w:t>rs.</w:t>
      </w:r>
    </w:p>
    <w:p w14:paraId="05596787" w14:textId="77777777" w:rsidR="002956D7" w:rsidRDefault="002956D7" w:rsidP="0089508D">
      <w:pPr>
        <w:spacing w:after="0" w:line="240" w:lineRule="auto"/>
        <w:ind w:left="810"/>
        <w:jc w:val="both"/>
        <w:rPr>
          <w:rFonts w:ascii="Arial" w:eastAsia="Times New Roman" w:hAnsi="Arial" w:cs="Arial"/>
          <w:bCs/>
          <w:szCs w:val="20"/>
        </w:rPr>
      </w:pPr>
    </w:p>
    <w:p w14:paraId="6657989B" w14:textId="5B2B66DA" w:rsidR="002956D7" w:rsidRDefault="002956D7" w:rsidP="002956D7">
      <w:pPr>
        <w:tabs>
          <w:tab w:val="left" w:pos="450"/>
        </w:tabs>
        <w:spacing w:after="0" w:line="240" w:lineRule="auto"/>
        <w:jc w:val="both"/>
        <w:rPr>
          <w:rFonts w:ascii="Arial" w:hAnsi="Arial" w:cs="Arial"/>
          <w:b/>
          <w:szCs w:val="20"/>
        </w:rPr>
      </w:pPr>
      <w:r>
        <w:rPr>
          <w:rFonts w:ascii="Arial" w:hAnsi="Arial" w:cs="Arial"/>
          <w:b/>
          <w:szCs w:val="20"/>
        </w:rPr>
        <w:t>5</w:t>
      </w:r>
      <w:r w:rsidRPr="00BA56F7">
        <w:rPr>
          <w:rFonts w:ascii="Arial" w:hAnsi="Arial" w:cs="Arial"/>
          <w:b/>
          <w:szCs w:val="20"/>
        </w:rPr>
        <w:t xml:space="preserve">.    </w:t>
      </w:r>
      <w:r w:rsidRPr="00BA56F7">
        <w:rPr>
          <w:rFonts w:ascii="Arial" w:hAnsi="Arial" w:cs="Arial"/>
          <w:b/>
          <w:szCs w:val="20"/>
        </w:rPr>
        <w:tab/>
      </w:r>
      <w:r>
        <w:rPr>
          <w:rFonts w:ascii="Arial" w:hAnsi="Arial" w:cs="Arial"/>
          <w:b/>
          <w:szCs w:val="20"/>
        </w:rPr>
        <w:t>Inventory</w:t>
      </w:r>
    </w:p>
    <w:p w14:paraId="7A030495" w14:textId="77777777" w:rsidR="00E54C87" w:rsidRDefault="00E54C87" w:rsidP="00F15B99">
      <w:pPr>
        <w:spacing w:after="0" w:line="240" w:lineRule="auto"/>
        <w:ind w:left="720"/>
        <w:jc w:val="both"/>
        <w:rPr>
          <w:rFonts w:ascii="Arial" w:eastAsia="Times New Roman" w:hAnsi="Arial" w:cs="Arial"/>
          <w:bCs/>
          <w:szCs w:val="20"/>
        </w:rPr>
      </w:pPr>
    </w:p>
    <w:tbl>
      <w:tblPr>
        <w:tblW w:w="8741" w:type="dxa"/>
        <w:tblInd w:w="450" w:type="dxa"/>
        <w:tblLayout w:type="fixed"/>
        <w:tblCellMar>
          <w:left w:w="0" w:type="dxa"/>
          <w:right w:w="0" w:type="dxa"/>
        </w:tblCellMar>
        <w:tblLook w:val="0000" w:firstRow="0" w:lastRow="0" w:firstColumn="0" w:lastColumn="0" w:noHBand="0" w:noVBand="0"/>
      </w:tblPr>
      <w:tblGrid>
        <w:gridCol w:w="2610"/>
        <w:gridCol w:w="1170"/>
        <w:gridCol w:w="119"/>
        <w:gridCol w:w="1559"/>
        <w:gridCol w:w="23"/>
        <w:gridCol w:w="1701"/>
        <w:gridCol w:w="105"/>
        <w:gridCol w:w="1289"/>
        <w:gridCol w:w="165"/>
      </w:tblGrid>
      <w:tr w:rsidR="002956D7" w:rsidRPr="009858B0" w14:paraId="5E1A83A9" w14:textId="77777777" w:rsidTr="002956D7">
        <w:tc>
          <w:tcPr>
            <w:tcW w:w="3780" w:type="dxa"/>
            <w:gridSpan w:val="2"/>
            <w:tcBorders>
              <w:top w:val="nil"/>
              <w:left w:val="nil"/>
              <w:bottom w:val="single" w:sz="4" w:space="0" w:color="auto"/>
            </w:tcBorders>
            <w:vAlign w:val="bottom"/>
          </w:tcPr>
          <w:p w14:paraId="20E5E199" w14:textId="77777777" w:rsidR="002956D7" w:rsidRPr="009858B0" w:rsidRDefault="002956D7" w:rsidP="00C74354">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2E0C61CE" w14:textId="089EFB75" w:rsidR="002956D7" w:rsidRPr="009858B0" w:rsidRDefault="002956D7" w:rsidP="00C74354">
            <w:pPr>
              <w:spacing w:after="0" w:line="240" w:lineRule="auto"/>
              <w:jc w:val="center"/>
              <w:rPr>
                <w:rFonts w:ascii="Arial" w:hAnsi="Arial" w:cs="Arial"/>
                <w:szCs w:val="20"/>
              </w:rPr>
            </w:pPr>
            <w:r>
              <w:rPr>
                <w:rFonts w:ascii="Arial" w:hAnsi="Arial" w:cs="Arial"/>
                <w:szCs w:val="20"/>
              </w:rPr>
              <w:t>July</w:t>
            </w:r>
            <w:r w:rsidRPr="009858B0">
              <w:rPr>
                <w:rFonts w:ascii="Arial" w:hAnsi="Arial" w:cs="Arial"/>
                <w:szCs w:val="20"/>
              </w:rPr>
              <w:t xml:space="preserve"> 31,</w:t>
            </w:r>
          </w:p>
          <w:p w14:paraId="2C10F0A8"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2019</w:t>
            </w:r>
          </w:p>
          <w:p w14:paraId="20ED2830" w14:textId="77777777" w:rsidR="002956D7" w:rsidRDefault="002956D7" w:rsidP="00C74354">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452B7408"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2F0F3265" w14:textId="5D1199D5" w:rsidR="002956D7" w:rsidRPr="009858B0" w:rsidRDefault="002956D7" w:rsidP="00C74354">
            <w:pPr>
              <w:spacing w:after="0" w:line="240" w:lineRule="auto"/>
              <w:jc w:val="center"/>
              <w:rPr>
                <w:rFonts w:ascii="Arial" w:hAnsi="Arial" w:cs="Arial"/>
                <w:szCs w:val="20"/>
              </w:rPr>
            </w:pPr>
            <w:r>
              <w:rPr>
                <w:rFonts w:ascii="Arial" w:hAnsi="Arial" w:cs="Arial"/>
                <w:szCs w:val="20"/>
              </w:rPr>
              <w:t>2019</w:t>
            </w:r>
          </w:p>
          <w:p w14:paraId="750D1E36" w14:textId="77777777" w:rsidR="002956D7" w:rsidRPr="009858B0" w:rsidRDefault="002956D7" w:rsidP="00C74354">
            <w:pPr>
              <w:spacing w:after="0" w:line="240" w:lineRule="auto"/>
              <w:jc w:val="center"/>
              <w:rPr>
                <w:rFonts w:ascii="Arial" w:hAnsi="Arial" w:cs="Arial"/>
                <w:szCs w:val="20"/>
              </w:rPr>
            </w:pPr>
            <w:r w:rsidRPr="009858B0">
              <w:rPr>
                <w:rFonts w:ascii="Arial" w:hAnsi="Arial" w:cs="Arial"/>
                <w:szCs w:val="20"/>
              </w:rPr>
              <w:t>$</w:t>
            </w:r>
          </w:p>
        </w:tc>
        <w:tc>
          <w:tcPr>
            <w:tcW w:w="1559" w:type="dxa"/>
            <w:gridSpan w:val="3"/>
            <w:tcBorders>
              <w:top w:val="nil"/>
              <w:left w:val="nil"/>
              <w:bottom w:val="single" w:sz="4" w:space="0" w:color="auto"/>
              <w:right w:val="nil"/>
            </w:tcBorders>
            <w:vAlign w:val="bottom"/>
          </w:tcPr>
          <w:p w14:paraId="134CEF70" w14:textId="77777777" w:rsidR="002956D7" w:rsidRPr="009858B0" w:rsidRDefault="002956D7" w:rsidP="00C74354">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098A4BDF" w14:textId="645D624C" w:rsidR="002956D7" w:rsidRPr="009858B0" w:rsidRDefault="002956D7" w:rsidP="00C74354">
            <w:pPr>
              <w:spacing w:after="0" w:line="240" w:lineRule="auto"/>
              <w:jc w:val="center"/>
              <w:rPr>
                <w:rFonts w:ascii="Arial" w:hAnsi="Arial" w:cs="Arial"/>
                <w:szCs w:val="20"/>
              </w:rPr>
            </w:pPr>
            <w:r>
              <w:rPr>
                <w:rFonts w:ascii="Arial" w:hAnsi="Arial" w:cs="Arial"/>
                <w:szCs w:val="20"/>
              </w:rPr>
              <w:t>2018</w:t>
            </w:r>
          </w:p>
          <w:p w14:paraId="198D559F" w14:textId="77777777" w:rsidR="002956D7" w:rsidRPr="009858B0" w:rsidRDefault="002956D7" w:rsidP="00C74354">
            <w:pPr>
              <w:spacing w:after="0" w:line="240" w:lineRule="auto"/>
              <w:jc w:val="center"/>
              <w:rPr>
                <w:rFonts w:ascii="Arial" w:hAnsi="Arial" w:cs="Arial"/>
                <w:szCs w:val="20"/>
              </w:rPr>
            </w:pPr>
            <w:r w:rsidRPr="009858B0">
              <w:rPr>
                <w:rFonts w:ascii="Arial" w:hAnsi="Arial" w:cs="Arial"/>
                <w:szCs w:val="20"/>
              </w:rPr>
              <w:t>$</w:t>
            </w:r>
          </w:p>
        </w:tc>
      </w:tr>
      <w:tr w:rsidR="002956D7" w:rsidRPr="009858B0" w14:paraId="3904E93C" w14:textId="77777777" w:rsidTr="002956D7">
        <w:trPr>
          <w:trHeight w:hRule="exact" w:val="113"/>
        </w:trPr>
        <w:tc>
          <w:tcPr>
            <w:tcW w:w="3780" w:type="dxa"/>
            <w:gridSpan w:val="2"/>
            <w:tcBorders>
              <w:top w:val="single" w:sz="4" w:space="0" w:color="auto"/>
              <w:left w:val="nil"/>
            </w:tcBorders>
            <w:vAlign w:val="bottom"/>
          </w:tcPr>
          <w:p w14:paraId="3A39CE80" w14:textId="77777777" w:rsidR="002956D7" w:rsidRPr="009858B0" w:rsidRDefault="002956D7" w:rsidP="00C74354">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56B3D1C0" w14:textId="77777777" w:rsidR="002956D7" w:rsidRPr="009858B0" w:rsidRDefault="002956D7" w:rsidP="00C74354">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4B829701" w14:textId="77777777" w:rsidR="002956D7" w:rsidRPr="009858B0" w:rsidRDefault="002956D7" w:rsidP="00C74354">
            <w:pPr>
              <w:spacing w:after="0" w:line="240" w:lineRule="auto"/>
              <w:ind w:right="369"/>
              <w:jc w:val="right"/>
              <w:rPr>
                <w:rFonts w:ascii="Arial" w:hAnsi="Arial" w:cs="Arial"/>
                <w:szCs w:val="20"/>
              </w:rPr>
            </w:pPr>
          </w:p>
        </w:tc>
        <w:tc>
          <w:tcPr>
            <w:tcW w:w="1559" w:type="dxa"/>
            <w:gridSpan w:val="3"/>
            <w:tcBorders>
              <w:top w:val="single" w:sz="4" w:space="0" w:color="auto"/>
              <w:left w:val="nil"/>
              <w:right w:val="nil"/>
            </w:tcBorders>
            <w:vAlign w:val="bottom"/>
          </w:tcPr>
          <w:p w14:paraId="6BE7DC8C" w14:textId="77777777" w:rsidR="002956D7" w:rsidRPr="009858B0" w:rsidRDefault="002956D7" w:rsidP="00C74354">
            <w:pPr>
              <w:spacing w:after="0" w:line="240" w:lineRule="auto"/>
              <w:ind w:right="369"/>
              <w:jc w:val="right"/>
              <w:rPr>
                <w:rFonts w:ascii="Arial" w:hAnsi="Arial" w:cs="Arial"/>
                <w:szCs w:val="20"/>
              </w:rPr>
            </w:pPr>
          </w:p>
        </w:tc>
      </w:tr>
      <w:tr w:rsidR="002956D7" w:rsidRPr="009858B0" w14:paraId="746015BB" w14:textId="77777777" w:rsidTr="002956D7">
        <w:tc>
          <w:tcPr>
            <w:tcW w:w="3780" w:type="dxa"/>
            <w:gridSpan w:val="2"/>
            <w:tcBorders>
              <w:left w:val="nil"/>
              <w:bottom w:val="single" w:sz="4" w:space="0" w:color="auto"/>
            </w:tcBorders>
            <w:vAlign w:val="bottom"/>
          </w:tcPr>
          <w:p w14:paraId="63FAC72D" w14:textId="1FECA016" w:rsidR="002956D7" w:rsidRPr="009858B0" w:rsidRDefault="002956D7" w:rsidP="00C74354">
            <w:pPr>
              <w:spacing w:after="0"/>
              <w:rPr>
                <w:rFonts w:ascii="Arial" w:hAnsi="Arial" w:cs="Arial"/>
                <w:szCs w:val="20"/>
              </w:rPr>
            </w:pPr>
            <w:r>
              <w:rPr>
                <w:rFonts w:ascii="Arial" w:hAnsi="Arial" w:cs="Arial"/>
                <w:szCs w:val="20"/>
              </w:rPr>
              <w:t>Work in process</w:t>
            </w:r>
          </w:p>
        </w:tc>
        <w:tc>
          <w:tcPr>
            <w:tcW w:w="1701" w:type="dxa"/>
            <w:gridSpan w:val="3"/>
            <w:tcBorders>
              <w:left w:val="nil"/>
              <w:bottom w:val="single" w:sz="4" w:space="0" w:color="auto"/>
            </w:tcBorders>
            <w:vAlign w:val="bottom"/>
          </w:tcPr>
          <w:p w14:paraId="26B7F8B1" w14:textId="669CD876" w:rsidR="002956D7" w:rsidRPr="009858B0" w:rsidRDefault="009F77A7" w:rsidP="00C74354">
            <w:pPr>
              <w:spacing w:after="0"/>
              <w:ind w:right="173"/>
              <w:jc w:val="right"/>
              <w:rPr>
                <w:rFonts w:ascii="Arial" w:hAnsi="Arial" w:cs="Arial"/>
                <w:szCs w:val="20"/>
              </w:rPr>
            </w:pPr>
            <w:r w:rsidRPr="009F77A7">
              <w:rPr>
                <w:rFonts w:ascii="Arial" w:hAnsi="Arial" w:cs="Arial"/>
                <w:szCs w:val="20"/>
              </w:rPr>
              <w:t>1,441,600</w:t>
            </w:r>
          </w:p>
        </w:tc>
        <w:tc>
          <w:tcPr>
            <w:tcW w:w="1701" w:type="dxa"/>
            <w:tcBorders>
              <w:left w:val="nil"/>
              <w:bottom w:val="single" w:sz="4" w:space="0" w:color="auto"/>
              <w:right w:val="nil"/>
            </w:tcBorders>
            <w:vAlign w:val="bottom"/>
          </w:tcPr>
          <w:p w14:paraId="7ACC74FD" w14:textId="77777777" w:rsidR="002956D7" w:rsidRPr="009858B0" w:rsidRDefault="002956D7" w:rsidP="00C74354">
            <w:pPr>
              <w:spacing w:after="0"/>
              <w:ind w:right="173"/>
              <w:jc w:val="right"/>
              <w:rPr>
                <w:rFonts w:ascii="Arial" w:hAnsi="Arial" w:cs="Arial"/>
                <w:szCs w:val="20"/>
              </w:rPr>
            </w:pPr>
            <w:r w:rsidRPr="009F3026">
              <w:rPr>
                <w:rFonts w:ascii="Arial" w:hAnsi="Arial" w:cs="Arial"/>
              </w:rPr>
              <w:t>–</w:t>
            </w:r>
          </w:p>
        </w:tc>
        <w:tc>
          <w:tcPr>
            <w:tcW w:w="1559" w:type="dxa"/>
            <w:gridSpan w:val="3"/>
            <w:tcBorders>
              <w:left w:val="nil"/>
              <w:bottom w:val="single" w:sz="4" w:space="0" w:color="auto"/>
              <w:right w:val="nil"/>
            </w:tcBorders>
            <w:vAlign w:val="bottom"/>
          </w:tcPr>
          <w:p w14:paraId="10B1142F" w14:textId="77777777" w:rsidR="002956D7" w:rsidRPr="009858B0" w:rsidRDefault="002956D7" w:rsidP="00C74354">
            <w:pPr>
              <w:spacing w:after="0"/>
              <w:ind w:right="173"/>
              <w:jc w:val="right"/>
              <w:rPr>
                <w:rFonts w:ascii="Arial" w:hAnsi="Arial" w:cs="Arial"/>
                <w:szCs w:val="20"/>
              </w:rPr>
            </w:pPr>
            <w:r w:rsidRPr="009858B0">
              <w:rPr>
                <w:rFonts w:ascii="Arial" w:hAnsi="Arial" w:cs="Arial"/>
                <w:szCs w:val="20"/>
              </w:rPr>
              <w:t>–</w:t>
            </w:r>
          </w:p>
        </w:tc>
      </w:tr>
      <w:tr w:rsidR="002956D7" w:rsidRPr="00BA56F7" w14:paraId="5C88AE4B" w14:textId="77777777" w:rsidTr="002956D7">
        <w:trPr>
          <w:gridAfter w:val="1"/>
          <w:wAfter w:w="165" w:type="dxa"/>
          <w:trHeight w:hRule="exact" w:val="86"/>
        </w:trPr>
        <w:tc>
          <w:tcPr>
            <w:tcW w:w="2610" w:type="dxa"/>
            <w:tcBorders>
              <w:left w:val="nil"/>
            </w:tcBorders>
            <w:vAlign w:val="bottom"/>
          </w:tcPr>
          <w:p w14:paraId="252E8BCA" w14:textId="77777777" w:rsidR="002956D7" w:rsidRPr="00BA56F7" w:rsidRDefault="002956D7" w:rsidP="00C74354">
            <w:pPr>
              <w:spacing w:after="0"/>
              <w:rPr>
                <w:rFonts w:ascii="Arial" w:hAnsi="Arial" w:cs="Arial"/>
                <w:szCs w:val="20"/>
              </w:rPr>
            </w:pPr>
          </w:p>
        </w:tc>
        <w:tc>
          <w:tcPr>
            <w:tcW w:w="1289" w:type="dxa"/>
            <w:gridSpan w:val="2"/>
            <w:tcBorders>
              <w:left w:val="nil"/>
            </w:tcBorders>
          </w:tcPr>
          <w:p w14:paraId="05B58ABF" w14:textId="77777777" w:rsidR="002956D7" w:rsidRPr="00BA56F7" w:rsidRDefault="002956D7" w:rsidP="00C74354">
            <w:pPr>
              <w:spacing w:after="0"/>
              <w:ind w:right="173"/>
              <w:jc w:val="right"/>
              <w:rPr>
                <w:rFonts w:ascii="Arial" w:hAnsi="Arial" w:cs="Arial"/>
                <w:szCs w:val="20"/>
              </w:rPr>
            </w:pPr>
          </w:p>
        </w:tc>
        <w:tc>
          <w:tcPr>
            <w:tcW w:w="1559" w:type="dxa"/>
            <w:tcBorders>
              <w:left w:val="nil"/>
              <w:right w:val="nil"/>
            </w:tcBorders>
          </w:tcPr>
          <w:p w14:paraId="20986401" w14:textId="77777777" w:rsidR="002956D7" w:rsidRPr="00BA56F7" w:rsidRDefault="002956D7" w:rsidP="00C74354">
            <w:pPr>
              <w:spacing w:after="0"/>
              <w:ind w:right="173"/>
              <w:jc w:val="right"/>
              <w:rPr>
                <w:rFonts w:ascii="Arial" w:hAnsi="Arial" w:cs="Arial"/>
                <w:szCs w:val="20"/>
              </w:rPr>
            </w:pPr>
          </w:p>
        </w:tc>
        <w:tc>
          <w:tcPr>
            <w:tcW w:w="1829" w:type="dxa"/>
            <w:gridSpan w:val="3"/>
            <w:tcBorders>
              <w:left w:val="nil"/>
            </w:tcBorders>
          </w:tcPr>
          <w:p w14:paraId="1141510F" w14:textId="77777777" w:rsidR="002956D7" w:rsidRPr="00BA56F7" w:rsidRDefault="002956D7" w:rsidP="00C74354">
            <w:pPr>
              <w:spacing w:after="0"/>
              <w:ind w:right="173"/>
              <w:jc w:val="right"/>
              <w:rPr>
                <w:rFonts w:ascii="Arial" w:hAnsi="Arial" w:cs="Arial"/>
                <w:szCs w:val="20"/>
              </w:rPr>
            </w:pPr>
          </w:p>
        </w:tc>
        <w:tc>
          <w:tcPr>
            <w:tcW w:w="1289" w:type="dxa"/>
            <w:tcBorders>
              <w:left w:val="nil"/>
              <w:right w:val="nil"/>
            </w:tcBorders>
            <w:vAlign w:val="bottom"/>
          </w:tcPr>
          <w:p w14:paraId="11CF65FF" w14:textId="77777777" w:rsidR="002956D7" w:rsidRPr="00BA56F7" w:rsidRDefault="002956D7" w:rsidP="00C74354">
            <w:pPr>
              <w:spacing w:after="0"/>
              <w:ind w:right="173"/>
              <w:jc w:val="right"/>
              <w:rPr>
                <w:rFonts w:ascii="Arial" w:hAnsi="Arial" w:cs="Arial"/>
                <w:szCs w:val="20"/>
              </w:rPr>
            </w:pPr>
          </w:p>
        </w:tc>
      </w:tr>
      <w:tr w:rsidR="002956D7" w:rsidRPr="009858B0" w14:paraId="0E283B34" w14:textId="77777777" w:rsidTr="002956D7">
        <w:tc>
          <w:tcPr>
            <w:tcW w:w="3780" w:type="dxa"/>
            <w:gridSpan w:val="2"/>
            <w:tcBorders>
              <w:left w:val="nil"/>
              <w:bottom w:val="single" w:sz="12" w:space="0" w:color="auto"/>
            </w:tcBorders>
            <w:vAlign w:val="bottom"/>
          </w:tcPr>
          <w:p w14:paraId="0293581B" w14:textId="77777777" w:rsidR="002956D7" w:rsidRPr="009858B0" w:rsidRDefault="002956D7" w:rsidP="00C74354">
            <w:pPr>
              <w:spacing w:after="0"/>
              <w:rPr>
                <w:rFonts w:ascii="Arial" w:hAnsi="Arial" w:cs="Arial"/>
                <w:szCs w:val="20"/>
              </w:rPr>
            </w:pPr>
          </w:p>
        </w:tc>
        <w:tc>
          <w:tcPr>
            <w:tcW w:w="1701" w:type="dxa"/>
            <w:gridSpan w:val="3"/>
            <w:tcBorders>
              <w:left w:val="nil"/>
              <w:bottom w:val="single" w:sz="12" w:space="0" w:color="auto"/>
            </w:tcBorders>
            <w:vAlign w:val="bottom"/>
          </w:tcPr>
          <w:p w14:paraId="69A7A3A7" w14:textId="6E4EAB90" w:rsidR="002956D7" w:rsidRPr="009858B0" w:rsidRDefault="009F77A7" w:rsidP="00C74354">
            <w:pPr>
              <w:spacing w:after="0"/>
              <w:ind w:right="173"/>
              <w:jc w:val="right"/>
              <w:rPr>
                <w:rFonts w:ascii="Arial" w:hAnsi="Arial" w:cs="Arial"/>
                <w:szCs w:val="20"/>
              </w:rPr>
            </w:pPr>
            <w:r w:rsidRPr="009F77A7">
              <w:rPr>
                <w:rFonts w:ascii="Arial" w:hAnsi="Arial" w:cs="Arial"/>
                <w:szCs w:val="20"/>
              </w:rPr>
              <w:t>1,441,600</w:t>
            </w:r>
          </w:p>
        </w:tc>
        <w:tc>
          <w:tcPr>
            <w:tcW w:w="1701" w:type="dxa"/>
            <w:tcBorders>
              <w:left w:val="nil"/>
              <w:bottom w:val="single" w:sz="12" w:space="0" w:color="auto"/>
              <w:right w:val="nil"/>
            </w:tcBorders>
            <w:vAlign w:val="bottom"/>
          </w:tcPr>
          <w:p w14:paraId="5F3E1F13" w14:textId="77777777" w:rsidR="002956D7" w:rsidRPr="009858B0" w:rsidRDefault="002956D7" w:rsidP="00C74354">
            <w:pPr>
              <w:spacing w:after="0"/>
              <w:ind w:right="173"/>
              <w:jc w:val="right"/>
              <w:rPr>
                <w:rFonts w:ascii="Arial" w:hAnsi="Arial" w:cs="Arial"/>
                <w:szCs w:val="20"/>
              </w:rPr>
            </w:pPr>
            <w:r w:rsidRPr="009F3026">
              <w:rPr>
                <w:rFonts w:ascii="Arial" w:hAnsi="Arial" w:cs="Arial"/>
              </w:rPr>
              <w:t>–</w:t>
            </w:r>
          </w:p>
        </w:tc>
        <w:tc>
          <w:tcPr>
            <w:tcW w:w="1559" w:type="dxa"/>
            <w:gridSpan w:val="3"/>
            <w:tcBorders>
              <w:left w:val="nil"/>
              <w:bottom w:val="single" w:sz="12" w:space="0" w:color="auto"/>
              <w:right w:val="nil"/>
            </w:tcBorders>
            <w:vAlign w:val="bottom"/>
          </w:tcPr>
          <w:p w14:paraId="6D3B11D6" w14:textId="1D9E80DB" w:rsidR="002956D7" w:rsidRPr="009858B0" w:rsidRDefault="002956D7" w:rsidP="00C74354">
            <w:pPr>
              <w:spacing w:after="0"/>
              <w:ind w:right="173"/>
              <w:jc w:val="right"/>
              <w:rPr>
                <w:rFonts w:ascii="Arial" w:hAnsi="Arial" w:cs="Arial"/>
                <w:szCs w:val="20"/>
              </w:rPr>
            </w:pPr>
            <w:r w:rsidRPr="009858B0">
              <w:rPr>
                <w:rFonts w:ascii="Arial" w:hAnsi="Arial" w:cs="Arial"/>
                <w:szCs w:val="20"/>
              </w:rPr>
              <w:t>–</w:t>
            </w:r>
          </w:p>
        </w:tc>
      </w:tr>
      <w:tr w:rsidR="002956D7" w:rsidRPr="009858B0" w14:paraId="23FBB918" w14:textId="77777777" w:rsidTr="002956D7">
        <w:trPr>
          <w:trHeight w:hRule="exact" w:val="86"/>
        </w:trPr>
        <w:tc>
          <w:tcPr>
            <w:tcW w:w="3780" w:type="dxa"/>
            <w:gridSpan w:val="2"/>
            <w:tcBorders>
              <w:top w:val="single" w:sz="12" w:space="0" w:color="auto"/>
              <w:left w:val="nil"/>
            </w:tcBorders>
            <w:vAlign w:val="bottom"/>
          </w:tcPr>
          <w:p w14:paraId="3873E221" w14:textId="77777777" w:rsidR="002956D7" w:rsidRPr="009858B0" w:rsidRDefault="002956D7" w:rsidP="00C74354">
            <w:pPr>
              <w:spacing w:after="0"/>
              <w:rPr>
                <w:rFonts w:ascii="Arial" w:hAnsi="Arial" w:cs="Arial"/>
                <w:szCs w:val="20"/>
              </w:rPr>
            </w:pPr>
          </w:p>
        </w:tc>
        <w:tc>
          <w:tcPr>
            <w:tcW w:w="1701" w:type="dxa"/>
            <w:gridSpan w:val="3"/>
            <w:tcBorders>
              <w:top w:val="single" w:sz="12" w:space="0" w:color="auto"/>
              <w:left w:val="nil"/>
            </w:tcBorders>
            <w:vAlign w:val="bottom"/>
          </w:tcPr>
          <w:p w14:paraId="50B6D438" w14:textId="77777777" w:rsidR="002956D7" w:rsidRPr="009858B0" w:rsidRDefault="002956D7" w:rsidP="00C74354">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10F84615" w14:textId="77777777" w:rsidR="002956D7" w:rsidRPr="009858B0" w:rsidRDefault="002956D7" w:rsidP="00C74354">
            <w:pPr>
              <w:spacing w:after="0"/>
              <w:ind w:right="173"/>
              <w:jc w:val="right"/>
              <w:rPr>
                <w:rFonts w:ascii="Arial" w:hAnsi="Arial" w:cs="Arial"/>
                <w:szCs w:val="20"/>
              </w:rPr>
            </w:pPr>
          </w:p>
        </w:tc>
        <w:tc>
          <w:tcPr>
            <w:tcW w:w="1559" w:type="dxa"/>
            <w:gridSpan w:val="3"/>
            <w:tcBorders>
              <w:top w:val="single" w:sz="12" w:space="0" w:color="auto"/>
              <w:left w:val="nil"/>
              <w:right w:val="nil"/>
            </w:tcBorders>
            <w:vAlign w:val="bottom"/>
          </w:tcPr>
          <w:p w14:paraId="1FA55006" w14:textId="77777777" w:rsidR="002956D7" w:rsidRPr="009858B0" w:rsidRDefault="002956D7" w:rsidP="00C74354">
            <w:pPr>
              <w:spacing w:after="0"/>
              <w:ind w:right="173"/>
              <w:jc w:val="right"/>
              <w:rPr>
                <w:rFonts w:ascii="Arial" w:hAnsi="Arial" w:cs="Arial"/>
                <w:szCs w:val="20"/>
              </w:rPr>
            </w:pPr>
          </w:p>
        </w:tc>
      </w:tr>
    </w:tbl>
    <w:p w14:paraId="7F52718D" w14:textId="67A2EC3C" w:rsidR="006359BD" w:rsidRDefault="002956D7" w:rsidP="006359BD">
      <w:pPr>
        <w:tabs>
          <w:tab w:val="left" w:pos="450"/>
        </w:tabs>
        <w:spacing w:after="0" w:line="240" w:lineRule="auto"/>
        <w:jc w:val="both"/>
        <w:rPr>
          <w:rFonts w:ascii="Arial" w:hAnsi="Arial" w:cs="Arial"/>
          <w:b/>
          <w:szCs w:val="20"/>
        </w:rPr>
      </w:pPr>
      <w:r>
        <w:rPr>
          <w:rFonts w:ascii="Arial" w:hAnsi="Arial" w:cs="Arial"/>
          <w:b/>
          <w:szCs w:val="20"/>
        </w:rPr>
        <w:lastRenderedPageBreak/>
        <w:t>6</w:t>
      </w:r>
      <w:r w:rsidR="006359BD" w:rsidRPr="00BA56F7">
        <w:rPr>
          <w:rFonts w:ascii="Arial" w:hAnsi="Arial" w:cs="Arial"/>
          <w:b/>
          <w:szCs w:val="20"/>
        </w:rPr>
        <w:t xml:space="preserve">.    </w:t>
      </w:r>
      <w:r w:rsidR="006359BD" w:rsidRPr="00BA56F7">
        <w:rPr>
          <w:rFonts w:ascii="Arial" w:hAnsi="Arial" w:cs="Arial"/>
          <w:b/>
          <w:szCs w:val="20"/>
        </w:rPr>
        <w:tab/>
      </w:r>
      <w:r w:rsidR="006359BD">
        <w:rPr>
          <w:rFonts w:ascii="Arial" w:hAnsi="Arial" w:cs="Arial"/>
          <w:b/>
          <w:szCs w:val="20"/>
        </w:rPr>
        <w:t>Equipment</w:t>
      </w: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6359BD" w:rsidRPr="006359BD" w14:paraId="74DAB661" w14:textId="77777777" w:rsidTr="0007122C">
        <w:tc>
          <w:tcPr>
            <w:tcW w:w="5310" w:type="dxa"/>
            <w:tcBorders>
              <w:top w:val="nil"/>
              <w:left w:val="nil"/>
              <w:bottom w:val="single" w:sz="4" w:space="0" w:color="auto"/>
            </w:tcBorders>
            <w:vAlign w:val="bottom"/>
          </w:tcPr>
          <w:p w14:paraId="5440FF7F" w14:textId="77777777" w:rsidR="006359BD" w:rsidRPr="006359BD" w:rsidRDefault="006359BD" w:rsidP="00C174F9">
            <w:pPr>
              <w:spacing w:after="0"/>
              <w:rPr>
                <w:rFonts w:ascii="Arial" w:hAnsi="Arial" w:cs="Arial"/>
                <w:szCs w:val="20"/>
              </w:rPr>
            </w:pPr>
            <w:r w:rsidRPr="006359BD">
              <w:rPr>
                <w:rFonts w:ascii="Arial" w:hAnsi="Arial" w:cs="Arial"/>
                <w:b/>
                <w:bCs/>
                <w:szCs w:val="20"/>
              </w:rPr>
              <w:t>Cost</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5C969CE0" w14:textId="77777777" w:rsidR="006359BD" w:rsidRPr="006359BD" w:rsidRDefault="006359BD" w:rsidP="00C174F9">
            <w:pPr>
              <w:spacing w:after="0"/>
              <w:jc w:val="center"/>
              <w:rPr>
                <w:rFonts w:ascii="Arial" w:hAnsi="Arial" w:cs="Arial"/>
                <w:szCs w:val="20"/>
              </w:rPr>
            </w:pPr>
          </w:p>
        </w:tc>
        <w:tc>
          <w:tcPr>
            <w:tcW w:w="2041" w:type="dxa"/>
            <w:tcBorders>
              <w:top w:val="nil"/>
              <w:left w:val="nil"/>
              <w:bottom w:val="single" w:sz="4" w:space="0" w:color="auto"/>
              <w:right w:val="nil"/>
            </w:tcBorders>
          </w:tcPr>
          <w:p w14:paraId="2B27152B" w14:textId="77777777" w:rsidR="006359BD" w:rsidRPr="006359BD" w:rsidRDefault="006359BD" w:rsidP="00C174F9">
            <w:pPr>
              <w:spacing w:after="0"/>
              <w:ind w:left="90"/>
              <w:jc w:val="center"/>
              <w:rPr>
                <w:rFonts w:ascii="Arial" w:hAnsi="Arial" w:cs="Arial"/>
                <w:szCs w:val="20"/>
              </w:rPr>
            </w:pPr>
          </w:p>
          <w:p w14:paraId="31B6079B" w14:textId="1A99A0D5" w:rsidR="006359BD" w:rsidRPr="006359BD" w:rsidRDefault="006359BD" w:rsidP="00C174F9">
            <w:pPr>
              <w:spacing w:after="0"/>
              <w:ind w:left="90"/>
              <w:jc w:val="center"/>
              <w:rPr>
                <w:rFonts w:ascii="Arial" w:hAnsi="Arial" w:cs="Arial"/>
                <w:szCs w:val="20"/>
              </w:rPr>
            </w:pPr>
            <w:r w:rsidRPr="005E7A4B">
              <w:rPr>
                <w:rFonts w:ascii="Arial" w:hAnsi="Arial" w:cs="Arial"/>
                <w:szCs w:val="20"/>
              </w:rPr>
              <w:t>Lab</w:t>
            </w:r>
            <w:r w:rsidR="0007122C">
              <w:rPr>
                <w:rFonts w:ascii="Arial" w:hAnsi="Arial" w:cs="Arial"/>
                <w:szCs w:val="20"/>
              </w:rPr>
              <w:t xml:space="preserve"> </w:t>
            </w:r>
            <w:r w:rsidRPr="005E7A4B">
              <w:rPr>
                <w:rFonts w:ascii="Arial" w:hAnsi="Arial" w:cs="Arial"/>
                <w:szCs w:val="20"/>
              </w:rPr>
              <w:t>Equipment</w:t>
            </w:r>
          </w:p>
          <w:p w14:paraId="2F4E95EF" w14:textId="77777777" w:rsidR="006359BD" w:rsidRPr="006359BD" w:rsidRDefault="006359BD" w:rsidP="00C174F9">
            <w:pPr>
              <w:spacing w:after="0"/>
              <w:ind w:left="90"/>
              <w:jc w:val="center"/>
              <w:rPr>
                <w:rFonts w:ascii="Arial" w:hAnsi="Arial" w:cs="Arial"/>
                <w:szCs w:val="20"/>
              </w:rPr>
            </w:pPr>
            <w:r w:rsidRPr="006359BD">
              <w:rPr>
                <w:rFonts w:ascii="Arial" w:hAnsi="Arial" w:cs="Arial"/>
                <w:szCs w:val="20"/>
              </w:rPr>
              <w:t>$</w:t>
            </w:r>
          </w:p>
        </w:tc>
      </w:tr>
      <w:tr w:rsidR="006359BD" w:rsidRPr="006359BD" w14:paraId="062DC05E" w14:textId="77777777" w:rsidTr="0007122C">
        <w:trPr>
          <w:trHeight w:hRule="exact" w:val="113"/>
        </w:trPr>
        <w:tc>
          <w:tcPr>
            <w:tcW w:w="5310" w:type="dxa"/>
            <w:tcBorders>
              <w:top w:val="single" w:sz="4" w:space="0" w:color="auto"/>
              <w:left w:val="nil"/>
            </w:tcBorders>
            <w:vAlign w:val="bottom"/>
          </w:tcPr>
          <w:p w14:paraId="0593AF29"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0DB37E8E" w14:textId="77777777" w:rsidR="006359BD" w:rsidRPr="006359BD" w:rsidRDefault="006359BD" w:rsidP="00C174F9">
            <w:pPr>
              <w:spacing w:after="0"/>
              <w:ind w:right="369"/>
              <w:jc w:val="right"/>
              <w:rPr>
                <w:rFonts w:ascii="Arial" w:hAnsi="Arial" w:cs="Arial"/>
                <w:szCs w:val="20"/>
              </w:rPr>
            </w:pPr>
          </w:p>
        </w:tc>
        <w:tc>
          <w:tcPr>
            <w:tcW w:w="2041" w:type="dxa"/>
            <w:tcBorders>
              <w:top w:val="single" w:sz="4" w:space="0" w:color="auto"/>
              <w:left w:val="nil"/>
              <w:right w:val="nil"/>
            </w:tcBorders>
          </w:tcPr>
          <w:p w14:paraId="4B43E179" w14:textId="77777777" w:rsidR="006359BD" w:rsidRPr="006359BD" w:rsidRDefault="006359BD" w:rsidP="00C174F9">
            <w:pPr>
              <w:spacing w:after="0"/>
              <w:ind w:right="369"/>
              <w:jc w:val="right"/>
              <w:rPr>
                <w:rFonts w:ascii="Arial" w:hAnsi="Arial" w:cs="Arial"/>
                <w:szCs w:val="20"/>
              </w:rPr>
            </w:pPr>
          </w:p>
        </w:tc>
      </w:tr>
      <w:tr w:rsidR="006359BD" w:rsidRPr="006359BD" w14:paraId="20663F6B" w14:textId="77777777" w:rsidTr="0007122C">
        <w:tc>
          <w:tcPr>
            <w:tcW w:w="5310" w:type="dxa"/>
            <w:tcBorders>
              <w:left w:val="nil"/>
            </w:tcBorders>
            <w:vAlign w:val="bottom"/>
          </w:tcPr>
          <w:p w14:paraId="24398EB9" w14:textId="2F6EF699" w:rsidR="006359BD" w:rsidRPr="006359BD" w:rsidRDefault="006359BD" w:rsidP="0089508D">
            <w:pPr>
              <w:spacing w:after="0"/>
              <w:rPr>
                <w:rFonts w:ascii="Arial" w:hAnsi="Arial" w:cs="Arial"/>
                <w:szCs w:val="20"/>
              </w:rPr>
            </w:pPr>
            <w:r w:rsidRPr="006359BD">
              <w:rPr>
                <w:rFonts w:ascii="Arial" w:hAnsi="Arial" w:cs="Arial"/>
                <w:szCs w:val="20"/>
              </w:rPr>
              <w:t xml:space="preserve">Balance, </w:t>
            </w:r>
            <w:r>
              <w:rPr>
                <w:rFonts w:ascii="Arial" w:hAnsi="Arial" w:cs="Arial"/>
                <w:szCs w:val="20"/>
              </w:rPr>
              <w:t xml:space="preserve">February 1, </w:t>
            </w:r>
            <w:r w:rsidRPr="006359BD">
              <w:rPr>
                <w:rFonts w:ascii="Arial" w:hAnsi="Arial" w:cs="Arial"/>
                <w:szCs w:val="20"/>
              </w:rPr>
              <w:t>2018</w:t>
            </w:r>
          </w:p>
        </w:tc>
        <w:tc>
          <w:tcPr>
            <w:tcW w:w="1559" w:type="dxa"/>
            <w:tcBorders>
              <w:left w:val="nil"/>
              <w:right w:val="nil"/>
            </w:tcBorders>
            <w:vAlign w:val="bottom"/>
          </w:tcPr>
          <w:p w14:paraId="4F250801"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4DF73983" w14:textId="77777777" w:rsidR="006359BD" w:rsidRPr="006359BD" w:rsidRDefault="006359BD" w:rsidP="00C174F9">
            <w:pPr>
              <w:spacing w:after="0"/>
              <w:ind w:right="173"/>
              <w:jc w:val="right"/>
              <w:rPr>
                <w:rFonts w:ascii="Arial" w:hAnsi="Arial" w:cs="Arial"/>
                <w:szCs w:val="20"/>
              </w:rPr>
            </w:pPr>
            <w:r w:rsidRPr="006359BD">
              <w:rPr>
                <w:rFonts w:ascii="Arial" w:hAnsi="Arial" w:cs="Arial"/>
                <w:szCs w:val="20"/>
              </w:rPr>
              <w:t>–</w:t>
            </w:r>
          </w:p>
        </w:tc>
      </w:tr>
      <w:tr w:rsidR="006359BD" w:rsidRPr="006359BD" w14:paraId="502FD834" w14:textId="77777777" w:rsidTr="0007122C">
        <w:tc>
          <w:tcPr>
            <w:tcW w:w="5310" w:type="dxa"/>
            <w:tcBorders>
              <w:left w:val="nil"/>
            </w:tcBorders>
            <w:vAlign w:val="bottom"/>
          </w:tcPr>
          <w:p w14:paraId="0D9BA3C5" w14:textId="663118B0" w:rsidR="006359BD" w:rsidRPr="006359BD" w:rsidRDefault="006359BD" w:rsidP="00C174F9">
            <w:pPr>
              <w:spacing w:after="0"/>
              <w:rPr>
                <w:rFonts w:ascii="Arial" w:hAnsi="Arial" w:cs="Arial"/>
                <w:szCs w:val="20"/>
              </w:rPr>
            </w:pPr>
            <w:r w:rsidRPr="006359BD">
              <w:rPr>
                <w:rFonts w:ascii="Arial" w:hAnsi="Arial" w:cs="Arial"/>
                <w:szCs w:val="20"/>
              </w:rPr>
              <w:t xml:space="preserve">Exchange agreement (Note </w:t>
            </w:r>
            <w:r w:rsidR="003F632A">
              <w:rPr>
                <w:rFonts w:ascii="Arial" w:hAnsi="Arial" w:cs="Arial"/>
                <w:szCs w:val="20"/>
              </w:rPr>
              <w:t>4(b)</w:t>
            </w:r>
            <w:r w:rsidRPr="006359BD">
              <w:rPr>
                <w:rFonts w:ascii="Arial" w:hAnsi="Arial" w:cs="Arial"/>
                <w:szCs w:val="20"/>
              </w:rPr>
              <w:t>)</w:t>
            </w:r>
          </w:p>
        </w:tc>
        <w:tc>
          <w:tcPr>
            <w:tcW w:w="1559" w:type="dxa"/>
            <w:tcBorders>
              <w:left w:val="nil"/>
              <w:right w:val="nil"/>
            </w:tcBorders>
            <w:vAlign w:val="bottom"/>
          </w:tcPr>
          <w:p w14:paraId="26E68360"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73A65C4C" w14:textId="68E94116" w:rsidR="006359BD" w:rsidRPr="006359BD" w:rsidRDefault="00EF43E4" w:rsidP="00C174F9">
            <w:pPr>
              <w:spacing w:after="0"/>
              <w:ind w:right="173"/>
              <w:jc w:val="right"/>
              <w:rPr>
                <w:rFonts w:ascii="Arial" w:hAnsi="Arial" w:cs="Arial"/>
                <w:szCs w:val="20"/>
              </w:rPr>
            </w:pPr>
            <w:r>
              <w:rPr>
                <w:rFonts w:ascii="Arial" w:hAnsi="Arial" w:cs="Arial"/>
                <w:szCs w:val="20"/>
              </w:rPr>
              <w:t>5,213</w:t>
            </w:r>
          </w:p>
        </w:tc>
      </w:tr>
      <w:tr w:rsidR="005E7A4B" w:rsidRPr="006359BD" w14:paraId="07ED65DE" w14:textId="77777777" w:rsidTr="0007122C">
        <w:tc>
          <w:tcPr>
            <w:tcW w:w="5310" w:type="dxa"/>
            <w:tcBorders>
              <w:left w:val="nil"/>
            </w:tcBorders>
            <w:vAlign w:val="bottom"/>
          </w:tcPr>
          <w:p w14:paraId="50B32755" w14:textId="3866EDB9" w:rsidR="005E7A4B" w:rsidRPr="006359BD" w:rsidRDefault="005E7A4B" w:rsidP="00C174F9">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03F8CE63" w14:textId="77777777" w:rsidR="005E7A4B" w:rsidRPr="006359BD" w:rsidRDefault="005E7A4B" w:rsidP="00C174F9">
            <w:pPr>
              <w:spacing w:after="0"/>
              <w:ind w:right="173"/>
              <w:jc w:val="right"/>
              <w:rPr>
                <w:rFonts w:ascii="Arial" w:hAnsi="Arial" w:cs="Arial"/>
                <w:szCs w:val="20"/>
              </w:rPr>
            </w:pPr>
          </w:p>
        </w:tc>
        <w:tc>
          <w:tcPr>
            <w:tcW w:w="2041" w:type="dxa"/>
            <w:tcBorders>
              <w:left w:val="nil"/>
              <w:right w:val="nil"/>
            </w:tcBorders>
          </w:tcPr>
          <w:p w14:paraId="7B124BA8" w14:textId="4C5F5AE1" w:rsidR="005E7A4B" w:rsidRDefault="00EF43E4" w:rsidP="00C174F9">
            <w:pPr>
              <w:spacing w:after="0"/>
              <w:ind w:right="173"/>
              <w:jc w:val="right"/>
              <w:rPr>
                <w:rFonts w:ascii="Arial" w:hAnsi="Arial" w:cs="Arial"/>
                <w:szCs w:val="20"/>
              </w:rPr>
            </w:pPr>
            <w:r>
              <w:rPr>
                <w:rFonts w:ascii="Arial" w:hAnsi="Arial" w:cs="Arial"/>
                <w:szCs w:val="20"/>
              </w:rPr>
              <w:t>94</w:t>
            </w:r>
          </w:p>
        </w:tc>
      </w:tr>
      <w:tr w:rsidR="006359BD" w:rsidRPr="006359BD" w14:paraId="78FD1553" w14:textId="77777777" w:rsidTr="0007122C">
        <w:trPr>
          <w:trHeight w:hRule="exact" w:val="86"/>
        </w:trPr>
        <w:tc>
          <w:tcPr>
            <w:tcW w:w="5310" w:type="dxa"/>
            <w:tcBorders>
              <w:top w:val="single" w:sz="4" w:space="0" w:color="auto"/>
              <w:left w:val="nil"/>
            </w:tcBorders>
            <w:vAlign w:val="bottom"/>
          </w:tcPr>
          <w:p w14:paraId="568621D3"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72CC7ACF" w14:textId="77777777" w:rsidR="006359BD" w:rsidRPr="006359BD" w:rsidRDefault="006359BD" w:rsidP="00C174F9">
            <w:pPr>
              <w:spacing w:after="0"/>
              <w:ind w:right="173"/>
              <w:jc w:val="right"/>
              <w:rPr>
                <w:rFonts w:ascii="Arial" w:hAnsi="Arial" w:cs="Arial"/>
                <w:szCs w:val="20"/>
              </w:rPr>
            </w:pPr>
          </w:p>
        </w:tc>
        <w:tc>
          <w:tcPr>
            <w:tcW w:w="2041" w:type="dxa"/>
            <w:tcBorders>
              <w:top w:val="single" w:sz="4" w:space="0" w:color="auto"/>
              <w:left w:val="nil"/>
              <w:right w:val="nil"/>
            </w:tcBorders>
          </w:tcPr>
          <w:p w14:paraId="1FA4311E" w14:textId="77777777" w:rsidR="006359BD" w:rsidRPr="006359BD" w:rsidRDefault="006359BD" w:rsidP="00C174F9">
            <w:pPr>
              <w:spacing w:after="0"/>
              <w:ind w:right="173"/>
              <w:jc w:val="right"/>
              <w:rPr>
                <w:rFonts w:ascii="Arial" w:hAnsi="Arial" w:cs="Arial"/>
                <w:szCs w:val="20"/>
              </w:rPr>
            </w:pPr>
          </w:p>
        </w:tc>
      </w:tr>
      <w:tr w:rsidR="006359BD" w:rsidRPr="006359BD" w14:paraId="7EB5C4AB" w14:textId="77777777" w:rsidTr="0007122C">
        <w:tc>
          <w:tcPr>
            <w:tcW w:w="5310" w:type="dxa"/>
            <w:tcBorders>
              <w:left w:val="nil"/>
            </w:tcBorders>
            <w:vAlign w:val="bottom"/>
          </w:tcPr>
          <w:p w14:paraId="202811A8" w14:textId="588B8920" w:rsidR="006359BD" w:rsidRPr="006359BD" w:rsidRDefault="006359BD" w:rsidP="00D10600">
            <w:pPr>
              <w:spacing w:after="0"/>
              <w:rPr>
                <w:rFonts w:ascii="Arial" w:hAnsi="Arial" w:cs="Arial"/>
                <w:szCs w:val="20"/>
              </w:rPr>
            </w:pPr>
            <w:r w:rsidRPr="006359BD">
              <w:rPr>
                <w:rFonts w:ascii="Arial" w:hAnsi="Arial" w:cs="Arial"/>
                <w:szCs w:val="20"/>
              </w:rPr>
              <w:t xml:space="preserve">Balance, </w:t>
            </w:r>
            <w:r w:rsidR="00D10600">
              <w:rPr>
                <w:rFonts w:ascii="Arial" w:hAnsi="Arial" w:cs="Arial"/>
                <w:szCs w:val="20"/>
              </w:rPr>
              <w:t>January</w:t>
            </w:r>
            <w:r w:rsidRPr="006359BD">
              <w:rPr>
                <w:rFonts w:ascii="Arial" w:hAnsi="Arial" w:cs="Arial"/>
                <w:szCs w:val="20"/>
              </w:rPr>
              <w:t xml:space="preserve"> 31</w:t>
            </w:r>
            <w:r w:rsidR="00D10600">
              <w:rPr>
                <w:rFonts w:ascii="Arial" w:hAnsi="Arial" w:cs="Arial"/>
                <w:szCs w:val="20"/>
              </w:rPr>
              <w:t>, 2019</w:t>
            </w:r>
          </w:p>
        </w:tc>
        <w:tc>
          <w:tcPr>
            <w:tcW w:w="1559" w:type="dxa"/>
            <w:tcBorders>
              <w:left w:val="nil"/>
              <w:right w:val="nil"/>
            </w:tcBorders>
            <w:vAlign w:val="bottom"/>
          </w:tcPr>
          <w:p w14:paraId="3C3A214A"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51FD5514" w14:textId="3A39A5DD" w:rsidR="006359BD" w:rsidRPr="006359BD" w:rsidRDefault="00EF43E4" w:rsidP="00C174F9">
            <w:pPr>
              <w:spacing w:after="0"/>
              <w:ind w:right="173"/>
              <w:jc w:val="right"/>
              <w:rPr>
                <w:rFonts w:ascii="Arial" w:hAnsi="Arial" w:cs="Arial"/>
                <w:szCs w:val="20"/>
              </w:rPr>
            </w:pPr>
            <w:r>
              <w:rPr>
                <w:rFonts w:ascii="Arial" w:hAnsi="Arial" w:cs="Arial"/>
                <w:szCs w:val="20"/>
              </w:rPr>
              <w:t>5,307</w:t>
            </w:r>
          </w:p>
        </w:tc>
      </w:tr>
      <w:tr w:rsidR="0089508D" w:rsidRPr="006359BD" w14:paraId="62EC70B2" w14:textId="77777777" w:rsidTr="0007122C">
        <w:tc>
          <w:tcPr>
            <w:tcW w:w="5310" w:type="dxa"/>
            <w:tcBorders>
              <w:left w:val="nil"/>
            </w:tcBorders>
            <w:vAlign w:val="bottom"/>
          </w:tcPr>
          <w:p w14:paraId="0DA1FD21" w14:textId="5420264A" w:rsidR="0089508D" w:rsidRPr="006359BD" w:rsidRDefault="00EF43E4" w:rsidP="00C74354">
            <w:pPr>
              <w:spacing w:after="0"/>
              <w:rPr>
                <w:rFonts w:ascii="Arial" w:hAnsi="Arial" w:cs="Arial"/>
                <w:szCs w:val="20"/>
              </w:rPr>
            </w:pPr>
            <w:r>
              <w:rPr>
                <w:rFonts w:ascii="Arial" w:hAnsi="Arial" w:cs="Arial"/>
                <w:szCs w:val="20"/>
              </w:rPr>
              <w:t>Write-off</w:t>
            </w:r>
          </w:p>
        </w:tc>
        <w:tc>
          <w:tcPr>
            <w:tcW w:w="1559" w:type="dxa"/>
            <w:tcBorders>
              <w:left w:val="nil"/>
              <w:right w:val="nil"/>
            </w:tcBorders>
            <w:vAlign w:val="bottom"/>
          </w:tcPr>
          <w:p w14:paraId="1A788C25" w14:textId="77777777" w:rsidR="0089508D" w:rsidRPr="006359BD" w:rsidRDefault="0089508D" w:rsidP="00C74354">
            <w:pPr>
              <w:spacing w:after="0"/>
              <w:ind w:right="173"/>
              <w:jc w:val="right"/>
              <w:rPr>
                <w:rFonts w:ascii="Arial" w:hAnsi="Arial" w:cs="Arial"/>
                <w:szCs w:val="20"/>
              </w:rPr>
            </w:pPr>
          </w:p>
        </w:tc>
        <w:tc>
          <w:tcPr>
            <w:tcW w:w="2041" w:type="dxa"/>
            <w:tcBorders>
              <w:left w:val="nil"/>
              <w:right w:val="nil"/>
            </w:tcBorders>
          </w:tcPr>
          <w:p w14:paraId="1DA520EA" w14:textId="654964CD" w:rsidR="0089508D" w:rsidRPr="006359BD" w:rsidRDefault="00EF43E4" w:rsidP="00C74354">
            <w:pPr>
              <w:spacing w:after="0"/>
              <w:ind w:right="173"/>
              <w:jc w:val="right"/>
              <w:rPr>
                <w:rFonts w:ascii="Arial" w:hAnsi="Arial" w:cs="Arial"/>
                <w:szCs w:val="20"/>
              </w:rPr>
            </w:pPr>
            <w:r>
              <w:rPr>
                <w:rFonts w:ascii="Arial" w:hAnsi="Arial" w:cs="Arial"/>
                <w:szCs w:val="20"/>
              </w:rPr>
              <w:t>(5,267)</w:t>
            </w:r>
          </w:p>
        </w:tc>
      </w:tr>
      <w:tr w:rsidR="0089508D" w:rsidRPr="006359BD" w14:paraId="25A95D15" w14:textId="77777777" w:rsidTr="0007122C">
        <w:tc>
          <w:tcPr>
            <w:tcW w:w="5310" w:type="dxa"/>
            <w:tcBorders>
              <w:left w:val="nil"/>
              <w:bottom w:val="single" w:sz="2" w:space="0" w:color="auto"/>
            </w:tcBorders>
            <w:vAlign w:val="bottom"/>
          </w:tcPr>
          <w:p w14:paraId="23AC45A4" w14:textId="77777777" w:rsidR="0089508D" w:rsidRPr="006359BD" w:rsidRDefault="0089508D" w:rsidP="00C74354">
            <w:pPr>
              <w:spacing w:after="0"/>
              <w:rPr>
                <w:rFonts w:ascii="Arial" w:hAnsi="Arial" w:cs="Arial"/>
                <w:szCs w:val="20"/>
              </w:rPr>
            </w:pPr>
            <w:r>
              <w:rPr>
                <w:rFonts w:ascii="Arial" w:hAnsi="Arial" w:cs="Arial"/>
                <w:szCs w:val="20"/>
              </w:rPr>
              <w:t>Effect of foreign exchange rate changes</w:t>
            </w:r>
          </w:p>
        </w:tc>
        <w:tc>
          <w:tcPr>
            <w:tcW w:w="1559" w:type="dxa"/>
            <w:tcBorders>
              <w:left w:val="nil"/>
              <w:bottom w:val="single" w:sz="2" w:space="0" w:color="auto"/>
              <w:right w:val="nil"/>
            </w:tcBorders>
            <w:vAlign w:val="bottom"/>
          </w:tcPr>
          <w:p w14:paraId="22F86A6A" w14:textId="77777777" w:rsidR="0089508D" w:rsidRPr="006359BD" w:rsidRDefault="0089508D" w:rsidP="00C74354">
            <w:pPr>
              <w:spacing w:after="0"/>
              <w:ind w:right="173"/>
              <w:jc w:val="right"/>
              <w:rPr>
                <w:rFonts w:ascii="Arial" w:hAnsi="Arial" w:cs="Arial"/>
                <w:szCs w:val="20"/>
              </w:rPr>
            </w:pPr>
          </w:p>
        </w:tc>
        <w:tc>
          <w:tcPr>
            <w:tcW w:w="2041" w:type="dxa"/>
            <w:tcBorders>
              <w:left w:val="nil"/>
              <w:bottom w:val="single" w:sz="2" w:space="0" w:color="auto"/>
              <w:right w:val="nil"/>
            </w:tcBorders>
          </w:tcPr>
          <w:p w14:paraId="2F172313" w14:textId="62E6760D" w:rsidR="0089508D" w:rsidRDefault="00EF43E4" w:rsidP="00C74354">
            <w:pPr>
              <w:spacing w:after="0"/>
              <w:ind w:right="173"/>
              <w:jc w:val="right"/>
              <w:rPr>
                <w:rFonts w:ascii="Arial" w:hAnsi="Arial" w:cs="Arial"/>
                <w:szCs w:val="20"/>
              </w:rPr>
            </w:pPr>
            <w:r>
              <w:rPr>
                <w:rFonts w:ascii="Arial" w:hAnsi="Arial" w:cs="Arial"/>
                <w:szCs w:val="20"/>
              </w:rPr>
              <w:t>(40)</w:t>
            </w:r>
          </w:p>
        </w:tc>
      </w:tr>
      <w:tr w:rsidR="0089508D" w:rsidRPr="006359BD" w14:paraId="29E5D277" w14:textId="77777777" w:rsidTr="0007122C">
        <w:trPr>
          <w:trHeight w:hRule="exact" w:val="86"/>
        </w:trPr>
        <w:tc>
          <w:tcPr>
            <w:tcW w:w="5310" w:type="dxa"/>
            <w:tcBorders>
              <w:top w:val="single" w:sz="2" w:space="0" w:color="auto"/>
              <w:left w:val="nil"/>
            </w:tcBorders>
            <w:vAlign w:val="bottom"/>
          </w:tcPr>
          <w:p w14:paraId="60E08404" w14:textId="77777777" w:rsidR="0089508D" w:rsidRPr="006359BD" w:rsidRDefault="0089508D" w:rsidP="00C74354">
            <w:pPr>
              <w:spacing w:after="0"/>
              <w:rPr>
                <w:rFonts w:ascii="Arial" w:hAnsi="Arial" w:cs="Arial"/>
                <w:szCs w:val="20"/>
              </w:rPr>
            </w:pPr>
          </w:p>
        </w:tc>
        <w:tc>
          <w:tcPr>
            <w:tcW w:w="1559" w:type="dxa"/>
            <w:tcBorders>
              <w:top w:val="single" w:sz="2" w:space="0" w:color="auto"/>
              <w:left w:val="nil"/>
              <w:right w:val="nil"/>
            </w:tcBorders>
            <w:vAlign w:val="bottom"/>
          </w:tcPr>
          <w:p w14:paraId="203584F7" w14:textId="77777777" w:rsidR="0089508D" w:rsidRPr="006359BD" w:rsidRDefault="0089508D" w:rsidP="00C74354">
            <w:pPr>
              <w:spacing w:after="0"/>
              <w:ind w:right="173"/>
              <w:jc w:val="right"/>
              <w:rPr>
                <w:rFonts w:ascii="Arial" w:hAnsi="Arial" w:cs="Arial"/>
                <w:szCs w:val="20"/>
              </w:rPr>
            </w:pPr>
          </w:p>
        </w:tc>
        <w:tc>
          <w:tcPr>
            <w:tcW w:w="2041" w:type="dxa"/>
            <w:tcBorders>
              <w:top w:val="single" w:sz="2" w:space="0" w:color="auto"/>
              <w:left w:val="nil"/>
              <w:right w:val="nil"/>
            </w:tcBorders>
          </w:tcPr>
          <w:p w14:paraId="403AC6B5" w14:textId="77777777" w:rsidR="0089508D" w:rsidRPr="006359BD" w:rsidRDefault="0089508D" w:rsidP="00C74354">
            <w:pPr>
              <w:spacing w:after="0"/>
              <w:ind w:right="173"/>
              <w:jc w:val="right"/>
              <w:rPr>
                <w:rFonts w:ascii="Arial" w:hAnsi="Arial" w:cs="Arial"/>
                <w:szCs w:val="20"/>
              </w:rPr>
            </w:pPr>
          </w:p>
        </w:tc>
      </w:tr>
      <w:tr w:rsidR="0089508D" w:rsidRPr="006359BD" w14:paraId="3E88E115" w14:textId="77777777" w:rsidTr="0007122C">
        <w:tc>
          <w:tcPr>
            <w:tcW w:w="5310" w:type="dxa"/>
            <w:tcBorders>
              <w:left w:val="nil"/>
              <w:bottom w:val="single" w:sz="12" w:space="0" w:color="auto"/>
            </w:tcBorders>
            <w:vAlign w:val="bottom"/>
          </w:tcPr>
          <w:p w14:paraId="767C36B6" w14:textId="50911136" w:rsidR="0089508D" w:rsidRPr="006359BD" w:rsidRDefault="0089508D" w:rsidP="0089508D">
            <w:pPr>
              <w:spacing w:after="0"/>
              <w:rPr>
                <w:rFonts w:ascii="Arial" w:hAnsi="Arial" w:cs="Arial"/>
                <w:szCs w:val="20"/>
              </w:rPr>
            </w:pPr>
            <w:r w:rsidRPr="006359BD">
              <w:rPr>
                <w:rFonts w:ascii="Arial" w:hAnsi="Arial" w:cs="Arial"/>
                <w:szCs w:val="20"/>
              </w:rPr>
              <w:t xml:space="preserve">Balance, </w:t>
            </w:r>
            <w:r>
              <w:rPr>
                <w:rFonts w:ascii="Arial" w:hAnsi="Arial" w:cs="Arial"/>
                <w:szCs w:val="20"/>
              </w:rPr>
              <w:t>July</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164BE1B3" w14:textId="77777777" w:rsidR="0089508D" w:rsidRPr="006359BD" w:rsidRDefault="0089508D" w:rsidP="00C74354">
            <w:pPr>
              <w:spacing w:after="0"/>
              <w:ind w:right="173"/>
              <w:jc w:val="right"/>
              <w:rPr>
                <w:rFonts w:ascii="Arial" w:hAnsi="Arial" w:cs="Arial"/>
                <w:szCs w:val="20"/>
              </w:rPr>
            </w:pPr>
          </w:p>
        </w:tc>
        <w:tc>
          <w:tcPr>
            <w:tcW w:w="2041" w:type="dxa"/>
            <w:tcBorders>
              <w:left w:val="nil"/>
              <w:bottom w:val="single" w:sz="12" w:space="0" w:color="auto"/>
              <w:right w:val="nil"/>
            </w:tcBorders>
          </w:tcPr>
          <w:p w14:paraId="781E53FC" w14:textId="191F8204" w:rsidR="0089508D" w:rsidRPr="006359BD" w:rsidRDefault="00EF43E4" w:rsidP="00C74354">
            <w:pPr>
              <w:spacing w:after="0"/>
              <w:ind w:right="173"/>
              <w:jc w:val="right"/>
              <w:rPr>
                <w:rFonts w:ascii="Arial" w:hAnsi="Arial" w:cs="Arial"/>
                <w:szCs w:val="20"/>
              </w:rPr>
            </w:pPr>
            <w:r w:rsidRPr="006359BD">
              <w:rPr>
                <w:rFonts w:ascii="Arial" w:hAnsi="Arial" w:cs="Arial"/>
                <w:szCs w:val="20"/>
              </w:rPr>
              <w:t>–</w:t>
            </w:r>
          </w:p>
        </w:tc>
      </w:tr>
    </w:tbl>
    <w:p w14:paraId="64C20C9A" w14:textId="77777777" w:rsidR="002956D7" w:rsidRPr="006359BD" w:rsidRDefault="002956D7" w:rsidP="006359BD">
      <w:pPr>
        <w:tabs>
          <w:tab w:val="left" w:pos="450"/>
        </w:tabs>
        <w:spacing w:before="120" w:after="0" w:line="240" w:lineRule="auto"/>
        <w:jc w:val="both"/>
        <w:rPr>
          <w:rFonts w:ascii="Arial" w:hAnsi="Arial" w:cs="Arial"/>
          <w:b/>
          <w:szCs w:val="20"/>
        </w:rPr>
      </w:pP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6359BD" w:rsidRPr="006359BD" w14:paraId="37DDD208" w14:textId="77777777" w:rsidTr="0007122C">
        <w:tc>
          <w:tcPr>
            <w:tcW w:w="5310" w:type="dxa"/>
            <w:tcBorders>
              <w:top w:val="nil"/>
              <w:left w:val="nil"/>
              <w:bottom w:val="single" w:sz="4" w:space="0" w:color="auto"/>
            </w:tcBorders>
            <w:vAlign w:val="bottom"/>
          </w:tcPr>
          <w:p w14:paraId="1AD6EDBC" w14:textId="77777777" w:rsidR="006359BD" w:rsidRPr="006359BD" w:rsidRDefault="006359BD" w:rsidP="00C174F9">
            <w:pPr>
              <w:spacing w:after="0"/>
              <w:rPr>
                <w:rFonts w:ascii="Arial" w:hAnsi="Arial" w:cs="Arial"/>
                <w:szCs w:val="20"/>
              </w:rPr>
            </w:pPr>
            <w:r w:rsidRPr="006359BD">
              <w:rPr>
                <w:rFonts w:ascii="Arial" w:hAnsi="Arial" w:cs="Arial"/>
                <w:b/>
                <w:bCs/>
                <w:szCs w:val="20"/>
              </w:rPr>
              <w:t>Accumulated Amortization</w:t>
            </w:r>
            <w:r w:rsidRPr="006359BD">
              <w:rPr>
                <w:rFonts w:ascii="Arial" w:hAnsi="Arial" w:cs="Arial"/>
                <w:b/>
                <w:bCs/>
                <w:szCs w:val="20"/>
              </w:rPr>
              <w:tab/>
            </w:r>
          </w:p>
        </w:tc>
        <w:tc>
          <w:tcPr>
            <w:tcW w:w="1559" w:type="dxa"/>
            <w:tcBorders>
              <w:top w:val="nil"/>
              <w:left w:val="nil"/>
              <w:bottom w:val="single" w:sz="4" w:space="0" w:color="auto"/>
              <w:right w:val="nil"/>
            </w:tcBorders>
            <w:vAlign w:val="bottom"/>
          </w:tcPr>
          <w:p w14:paraId="426B0297" w14:textId="77777777" w:rsidR="006359BD" w:rsidRPr="006359BD" w:rsidRDefault="006359BD" w:rsidP="00C174F9">
            <w:pPr>
              <w:spacing w:after="0"/>
              <w:jc w:val="center"/>
              <w:rPr>
                <w:rFonts w:ascii="Arial" w:hAnsi="Arial" w:cs="Arial"/>
                <w:szCs w:val="20"/>
              </w:rPr>
            </w:pPr>
          </w:p>
        </w:tc>
        <w:tc>
          <w:tcPr>
            <w:tcW w:w="2041" w:type="dxa"/>
            <w:tcBorders>
              <w:top w:val="nil"/>
              <w:left w:val="nil"/>
              <w:bottom w:val="single" w:sz="4" w:space="0" w:color="auto"/>
              <w:right w:val="nil"/>
            </w:tcBorders>
          </w:tcPr>
          <w:p w14:paraId="5D3E3E03" w14:textId="77777777" w:rsidR="006359BD" w:rsidRPr="006359BD" w:rsidRDefault="006359BD" w:rsidP="00C174F9">
            <w:pPr>
              <w:spacing w:after="0"/>
              <w:jc w:val="center"/>
              <w:rPr>
                <w:rFonts w:ascii="Arial" w:hAnsi="Arial" w:cs="Arial"/>
                <w:szCs w:val="20"/>
              </w:rPr>
            </w:pPr>
          </w:p>
        </w:tc>
      </w:tr>
      <w:tr w:rsidR="006359BD" w:rsidRPr="006359BD" w14:paraId="6397E076" w14:textId="77777777" w:rsidTr="0007122C">
        <w:trPr>
          <w:trHeight w:hRule="exact" w:val="113"/>
        </w:trPr>
        <w:tc>
          <w:tcPr>
            <w:tcW w:w="5310" w:type="dxa"/>
            <w:tcBorders>
              <w:top w:val="single" w:sz="4" w:space="0" w:color="auto"/>
              <w:left w:val="nil"/>
            </w:tcBorders>
            <w:vAlign w:val="bottom"/>
          </w:tcPr>
          <w:p w14:paraId="53CF47AF"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51FDE90D" w14:textId="77777777" w:rsidR="006359BD" w:rsidRPr="006359BD" w:rsidRDefault="006359BD" w:rsidP="00C174F9">
            <w:pPr>
              <w:spacing w:after="0"/>
              <w:ind w:right="369"/>
              <w:jc w:val="right"/>
              <w:rPr>
                <w:rFonts w:ascii="Arial" w:hAnsi="Arial" w:cs="Arial"/>
                <w:szCs w:val="20"/>
              </w:rPr>
            </w:pPr>
          </w:p>
        </w:tc>
        <w:tc>
          <w:tcPr>
            <w:tcW w:w="2041" w:type="dxa"/>
            <w:tcBorders>
              <w:top w:val="single" w:sz="4" w:space="0" w:color="auto"/>
              <w:left w:val="nil"/>
              <w:right w:val="nil"/>
            </w:tcBorders>
          </w:tcPr>
          <w:p w14:paraId="51812C93" w14:textId="77777777" w:rsidR="006359BD" w:rsidRPr="006359BD" w:rsidRDefault="006359BD" w:rsidP="00C174F9">
            <w:pPr>
              <w:spacing w:after="0"/>
              <w:ind w:right="369"/>
              <w:jc w:val="right"/>
              <w:rPr>
                <w:rFonts w:ascii="Arial" w:hAnsi="Arial" w:cs="Arial"/>
                <w:szCs w:val="20"/>
              </w:rPr>
            </w:pPr>
          </w:p>
        </w:tc>
      </w:tr>
      <w:tr w:rsidR="006359BD" w:rsidRPr="006359BD" w14:paraId="5EC16C40" w14:textId="77777777" w:rsidTr="0007122C">
        <w:tc>
          <w:tcPr>
            <w:tcW w:w="5310" w:type="dxa"/>
            <w:tcBorders>
              <w:left w:val="nil"/>
            </w:tcBorders>
            <w:vAlign w:val="bottom"/>
          </w:tcPr>
          <w:p w14:paraId="548AFFA2" w14:textId="0D60A37B" w:rsidR="006359BD" w:rsidRPr="006359BD" w:rsidRDefault="006359BD" w:rsidP="00EF43E4">
            <w:pPr>
              <w:spacing w:after="0"/>
              <w:rPr>
                <w:rFonts w:ascii="Arial" w:hAnsi="Arial" w:cs="Arial"/>
                <w:szCs w:val="20"/>
              </w:rPr>
            </w:pPr>
            <w:r w:rsidRPr="006359BD">
              <w:rPr>
                <w:rFonts w:ascii="Arial" w:hAnsi="Arial" w:cs="Arial"/>
                <w:szCs w:val="20"/>
              </w:rPr>
              <w:t xml:space="preserve">Balance, </w:t>
            </w:r>
            <w:r>
              <w:rPr>
                <w:rFonts w:ascii="Arial" w:hAnsi="Arial" w:cs="Arial"/>
                <w:szCs w:val="20"/>
              </w:rPr>
              <w:t>February 1, 201</w:t>
            </w:r>
            <w:r w:rsidR="00EF43E4">
              <w:rPr>
                <w:rFonts w:ascii="Arial" w:hAnsi="Arial" w:cs="Arial"/>
                <w:szCs w:val="20"/>
              </w:rPr>
              <w:t>8</w:t>
            </w:r>
            <w:r>
              <w:rPr>
                <w:rFonts w:ascii="Arial" w:hAnsi="Arial" w:cs="Arial"/>
                <w:szCs w:val="20"/>
              </w:rPr>
              <w:t xml:space="preserve"> </w:t>
            </w:r>
          </w:p>
        </w:tc>
        <w:tc>
          <w:tcPr>
            <w:tcW w:w="1559" w:type="dxa"/>
            <w:tcBorders>
              <w:left w:val="nil"/>
              <w:right w:val="nil"/>
            </w:tcBorders>
            <w:vAlign w:val="bottom"/>
          </w:tcPr>
          <w:p w14:paraId="737DD1D9"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3D180D42" w14:textId="77777777" w:rsidR="006359BD" w:rsidRPr="006359BD" w:rsidRDefault="006359BD" w:rsidP="00C174F9">
            <w:pPr>
              <w:spacing w:after="0"/>
              <w:ind w:right="173"/>
              <w:jc w:val="right"/>
              <w:rPr>
                <w:rFonts w:ascii="Arial" w:hAnsi="Arial" w:cs="Arial"/>
                <w:szCs w:val="20"/>
              </w:rPr>
            </w:pPr>
            <w:r w:rsidRPr="006359BD">
              <w:rPr>
                <w:rFonts w:ascii="Arial" w:hAnsi="Arial" w:cs="Arial"/>
                <w:szCs w:val="20"/>
              </w:rPr>
              <w:t>–</w:t>
            </w:r>
          </w:p>
        </w:tc>
      </w:tr>
      <w:tr w:rsidR="00EF43E4" w:rsidRPr="006359BD" w14:paraId="1E26CBFE" w14:textId="77777777" w:rsidTr="0007122C">
        <w:tc>
          <w:tcPr>
            <w:tcW w:w="5310" w:type="dxa"/>
            <w:tcBorders>
              <w:left w:val="nil"/>
            </w:tcBorders>
            <w:vAlign w:val="bottom"/>
          </w:tcPr>
          <w:p w14:paraId="19DAFA7A" w14:textId="6EF4B4C8" w:rsidR="00EF43E4" w:rsidRPr="006359BD" w:rsidRDefault="00EF43E4" w:rsidP="00C74354">
            <w:pPr>
              <w:spacing w:after="0"/>
              <w:rPr>
                <w:rFonts w:ascii="Arial" w:hAnsi="Arial" w:cs="Arial"/>
                <w:szCs w:val="20"/>
              </w:rPr>
            </w:pPr>
            <w:r>
              <w:rPr>
                <w:rFonts w:ascii="Arial" w:hAnsi="Arial" w:cs="Arial"/>
                <w:szCs w:val="20"/>
              </w:rPr>
              <w:t>Depreciation</w:t>
            </w:r>
          </w:p>
        </w:tc>
        <w:tc>
          <w:tcPr>
            <w:tcW w:w="1559" w:type="dxa"/>
            <w:tcBorders>
              <w:left w:val="nil"/>
              <w:right w:val="nil"/>
            </w:tcBorders>
            <w:vAlign w:val="bottom"/>
          </w:tcPr>
          <w:p w14:paraId="00C7D4B2"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0D3750E3" w14:textId="6CA5CF79" w:rsidR="00EF43E4" w:rsidRPr="006359BD" w:rsidRDefault="00EF43E4" w:rsidP="00EF43E4">
            <w:pPr>
              <w:spacing w:after="0"/>
              <w:ind w:right="173"/>
              <w:jc w:val="right"/>
              <w:rPr>
                <w:rFonts w:ascii="Arial" w:hAnsi="Arial" w:cs="Arial"/>
                <w:szCs w:val="20"/>
              </w:rPr>
            </w:pPr>
            <w:r>
              <w:rPr>
                <w:rFonts w:ascii="Arial" w:hAnsi="Arial" w:cs="Arial"/>
                <w:szCs w:val="20"/>
              </w:rPr>
              <w:t>1,135</w:t>
            </w:r>
          </w:p>
        </w:tc>
      </w:tr>
      <w:tr w:rsidR="00EF43E4" w:rsidRPr="006359BD" w14:paraId="07407671" w14:textId="77777777" w:rsidTr="0007122C">
        <w:tc>
          <w:tcPr>
            <w:tcW w:w="5310" w:type="dxa"/>
            <w:tcBorders>
              <w:left w:val="nil"/>
            </w:tcBorders>
            <w:vAlign w:val="bottom"/>
          </w:tcPr>
          <w:p w14:paraId="516C7EBD" w14:textId="77777777" w:rsidR="00EF43E4" w:rsidRPr="006359BD" w:rsidRDefault="00EF43E4" w:rsidP="00C74354">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4A470857"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2217D483" w14:textId="70A293AC" w:rsidR="00EF43E4" w:rsidRPr="006359BD" w:rsidRDefault="00EF43E4" w:rsidP="00EF43E4">
            <w:pPr>
              <w:spacing w:after="0"/>
              <w:ind w:right="173"/>
              <w:jc w:val="right"/>
              <w:rPr>
                <w:rFonts w:ascii="Arial" w:hAnsi="Arial" w:cs="Arial"/>
                <w:szCs w:val="20"/>
              </w:rPr>
            </w:pPr>
            <w:r>
              <w:rPr>
                <w:rFonts w:ascii="Arial" w:hAnsi="Arial" w:cs="Arial"/>
                <w:szCs w:val="20"/>
              </w:rPr>
              <w:t>10</w:t>
            </w:r>
          </w:p>
        </w:tc>
      </w:tr>
      <w:tr w:rsidR="00EF43E4" w:rsidRPr="006359BD" w14:paraId="589CA539" w14:textId="77777777" w:rsidTr="0007122C">
        <w:trPr>
          <w:trHeight w:hRule="exact" w:val="86"/>
        </w:trPr>
        <w:tc>
          <w:tcPr>
            <w:tcW w:w="5310" w:type="dxa"/>
            <w:tcBorders>
              <w:top w:val="single" w:sz="4" w:space="0" w:color="auto"/>
              <w:left w:val="nil"/>
            </w:tcBorders>
            <w:vAlign w:val="bottom"/>
          </w:tcPr>
          <w:p w14:paraId="4F0C8027" w14:textId="77777777" w:rsidR="00EF43E4" w:rsidRPr="006359BD" w:rsidRDefault="00EF43E4" w:rsidP="00C74354">
            <w:pPr>
              <w:spacing w:after="0"/>
              <w:rPr>
                <w:rFonts w:ascii="Arial" w:hAnsi="Arial" w:cs="Arial"/>
                <w:szCs w:val="20"/>
              </w:rPr>
            </w:pPr>
          </w:p>
        </w:tc>
        <w:tc>
          <w:tcPr>
            <w:tcW w:w="1559" w:type="dxa"/>
            <w:tcBorders>
              <w:top w:val="single" w:sz="4" w:space="0" w:color="auto"/>
              <w:left w:val="nil"/>
              <w:right w:val="nil"/>
            </w:tcBorders>
            <w:vAlign w:val="bottom"/>
          </w:tcPr>
          <w:p w14:paraId="2D9D2D5D" w14:textId="77777777" w:rsidR="00EF43E4" w:rsidRPr="006359BD" w:rsidRDefault="00EF43E4" w:rsidP="00C74354">
            <w:pPr>
              <w:spacing w:after="0"/>
              <w:ind w:right="173"/>
              <w:jc w:val="right"/>
              <w:rPr>
                <w:rFonts w:ascii="Arial" w:hAnsi="Arial" w:cs="Arial"/>
                <w:szCs w:val="20"/>
              </w:rPr>
            </w:pPr>
          </w:p>
        </w:tc>
        <w:tc>
          <w:tcPr>
            <w:tcW w:w="2041" w:type="dxa"/>
            <w:tcBorders>
              <w:top w:val="single" w:sz="4" w:space="0" w:color="auto"/>
              <w:left w:val="nil"/>
              <w:right w:val="nil"/>
            </w:tcBorders>
          </w:tcPr>
          <w:p w14:paraId="01E2106C" w14:textId="77777777" w:rsidR="00EF43E4" w:rsidRPr="006359BD" w:rsidRDefault="00EF43E4" w:rsidP="00C74354">
            <w:pPr>
              <w:spacing w:after="0"/>
              <w:ind w:right="173"/>
              <w:jc w:val="right"/>
              <w:rPr>
                <w:rFonts w:ascii="Arial" w:hAnsi="Arial" w:cs="Arial"/>
                <w:szCs w:val="20"/>
              </w:rPr>
            </w:pPr>
          </w:p>
        </w:tc>
      </w:tr>
      <w:tr w:rsidR="00EF43E4" w:rsidRPr="006359BD" w14:paraId="5B42FD5F" w14:textId="77777777" w:rsidTr="0007122C">
        <w:tc>
          <w:tcPr>
            <w:tcW w:w="5310" w:type="dxa"/>
            <w:tcBorders>
              <w:left w:val="nil"/>
            </w:tcBorders>
            <w:vAlign w:val="bottom"/>
          </w:tcPr>
          <w:p w14:paraId="0C7B5913" w14:textId="77777777" w:rsidR="00EF43E4" w:rsidRPr="006359BD" w:rsidRDefault="00EF43E4" w:rsidP="00C74354">
            <w:pPr>
              <w:spacing w:after="0"/>
              <w:rPr>
                <w:rFonts w:ascii="Arial" w:hAnsi="Arial" w:cs="Arial"/>
                <w:szCs w:val="20"/>
              </w:rPr>
            </w:pPr>
            <w:r w:rsidRPr="006359BD">
              <w:rPr>
                <w:rFonts w:ascii="Arial" w:hAnsi="Arial" w:cs="Arial"/>
                <w:szCs w:val="20"/>
              </w:rPr>
              <w:t xml:space="preserve">Balance,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right w:val="nil"/>
            </w:tcBorders>
            <w:vAlign w:val="bottom"/>
          </w:tcPr>
          <w:p w14:paraId="7314DE74" w14:textId="77777777" w:rsidR="00EF43E4" w:rsidRPr="006359BD" w:rsidRDefault="00EF43E4" w:rsidP="00C74354">
            <w:pPr>
              <w:spacing w:after="0"/>
              <w:ind w:right="173"/>
              <w:jc w:val="right"/>
              <w:rPr>
                <w:rFonts w:ascii="Arial" w:hAnsi="Arial" w:cs="Arial"/>
                <w:szCs w:val="20"/>
              </w:rPr>
            </w:pPr>
          </w:p>
        </w:tc>
        <w:tc>
          <w:tcPr>
            <w:tcW w:w="2041" w:type="dxa"/>
            <w:tcBorders>
              <w:left w:val="nil"/>
              <w:right w:val="nil"/>
            </w:tcBorders>
          </w:tcPr>
          <w:p w14:paraId="02A6FCF5" w14:textId="56EFCEA3" w:rsidR="00EF43E4" w:rsidRPr="006359BD" w:rsidRDefault="00EF43E4" w:rsidP="00C74354">
            <w:pPr>
              <w:spacing w:after="0"/>
              <w:ind w:right="173"/>
              <w:jc w:val="right"/>
              <w:rPr>
                <w:rFonts w:ascii="Arial" w:hAnsi="Arial" w:cs="Arial"/>
                <w:szCs w:val="20"/>
              </w:rPr>
            </w:pPr>
            <w:r>
              <w:rPr>
                <w:rFonts w:ascii="Arial" w:hAnsi="Arial" w:cs="Arial"/>
                <w:szCs w:val="20"/>
              </w:rPr>
              <w:t>1,145</w:t>
            </w:r>
          </w:p>
        </w:tc>
      </w:tr>
      <w:tr w:rsidR="006359BD" w:rsidRPr="006359BD" w14:paraId="1C7396B0" w14:textId="77777777" w:rsidTr="0007122C">
        <w:tc>
          <w:tcPr>
            <w:tcW w:w="5310" w:type="dxa"/>
            <w:tcBorders>
              <w:left w:val="nil"/>
            </w:tcBorders>
            <w:vAlign w:val="bottom"/>
          </w:tcPr>
          <w:p w14:paraId="3D62B3D5" w14:textId="4849687F" w:rsidR="006359BD" w:rsidRPr="006359BD" w:rsidRDefault="00EF43E4" w:rsidP="00C174F9">
            <w:pPr>
              <w:spacing w:after="0"/>
              <w:rPr>
                <w:rFonts w:ascii="Arial" w:hAnsi="Arial" w:cs="Arial"/>
                <w:szCs w:val="20"/>
              </w:rPr>
            </w:pPr>
            <w:r>
              <w:rPr>
                <w:rFonts w:ascii="Arial" w:hAnsi="Arial" w:cs="Arial"/>
                <w:szCs w:val="20"/>
              </w:rPr>
              <w:t>Amortization</w:t>
            </w:r>
          </w:p>
        </w:tc>
        <w:tc>
          <w:tcPr>
            <w:tcW w:w="1559" w:type="dxa"/>
            <w:tcBorders>
              <w:left w:val="nil"/>
              <w:right w:val="nil"/>
            </w:tcBorders>
            <w:vAlign w:val="bottom"/>
          </w:tcPr>
          <w:p w14:paraId="0E99D164"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071DC74D" w14:textId="1553D36F" w:rsidR="006359BD" w:rsidRPr="006359BD" w:rsidRDefault="00EF43E4" w:rsidP="005E7A4B">
            <w:pPr>
              <w:spacing w:after="0"/>
              <w:ind w:right="173"/>
              <w:jc w:val="right"/>
              <w:rPr>
                <w:rFonts w:ascii="Arial" w:hAnsi="Arial" w:cs="Arial"/>
                <w:szCs w:val="20"/>
              </w:rPr>
            </w:pPr>
            <w:r>
              <w:rPr>
                <w:rFonts w:ascii="Arial" w:hAnsi="Arial" w:cs="Arial"/>
                <w:szCs w:val="20"/>
              </w:rPr>
              <w:t>317</w:t>
            </w:r>
          </w:p>
        </w:tc>
      </w:tr>
      <w:tr w:rsidR="006359BD" w:rsidRPr="006359BD" w14:paraId="399563C5" w14:textId="77777777" w:rsidTr="0007122C">
        <w:tc>
          <w:tcPr>
            <w:tcW w:w="5310" w:type="dxa"/>
            <w:tcBorders>
              <w:left w:val="nil"/>
            </w:tcBorders>
            <w:vAlign w:val="bottom"/>
          </w:tcPr>
          <w:p w14:paraId="19689CE1" w14:textId="3D42BBB3" w:rsidR="006359BD" w:rsidRPr="006359BD" w:rsidRDefault="00EF43E4" w:rsidP="00C174F9">
            <w:pPr>
              <w:spacing w:after="0"/>
              <w:rPr>
                <w:rFonts w:ascii="Arial" w:hAnsi="Arial" w:cs="Arial"/>
                <w:szCs w:val="20"/>
              </w:rPr>
            </w:pPr>
            <w:r>
              <w:rPr>
                <w:rFonts w:ascii="Arial" w:hAnsi="Arial" w:cs="Arial"/>
                <w:szCs w:val="20"/>
              </w:rPr>
              <w:t>Write-off</w:t>
            </w:r>
          </w:p>
        </w:tc>
        <w:tc>
          <w:tcPr>
            <w:tcW w:w="1559" w:type="dxa"/>
            <w:tcBorders>
              <w:left w:val="nil"/>
              <w:right w:val="nil"/>
            </w:tcBorders>
            <w:vAlign w:val="bottom"/>
          </w:tcPr>
          <w:p w14:paraId="5D572D64" w14:textId="77777777" w:rsidR="006359BD" w:rsidRPr="006359BD" w:rsidRDefault="006359BD" w:rsidP="00C174F9">
            <w:pPr>
              <w:spacing w:after="0"/>
              <w:ind w:right="173"/>
              <w:jc w:val="right"/>
              <w:rPr>
                <w:rFonts w:ascii="Arial" w:hAnsi="Arial" w:cs="Arial"/>
                <w:szCs w:val="20"/>
              </w:rPr>
            </w:pPr>
          </w:p>
        </w:tc>
        <w:tc>
          <w:tcPr>
            <w:tcW w:w="2041" w:type="dxa"/>
            <w:tcBorders>
              <w:left w:val="nil"/>
              <w:right w:val="nil"/>
            </w:tcBorders>
          </w:tcPr>
          <w:p w14:paraId="51CCD1B1" w14:textId="1B77D19F" w:rsidR="006359BD" w:rsidRPr="006359BD" w:rsidRDefault="00EF43E4" w:rsidP="00C174F9">
            <w:pPr>
              <w:spacing w:after="0"/>
              <w:ind w:right="173"/>
              <w:jc w:val="right"/>
              <w:rPr>
                <w:rFonts w:ascii="Arial" w:hAnsi="Arial" w:cs="Arial"/>
                <w:szCs w:val="20"/>
              </w:rPr>
            </w:pPr>
            <w:r>
              <w:rPr>
                <w:rFonts w:ascii="Arial" w:hAnsi="Arial" w:cs="Arial"/>
                <w:szCs w:val="20"/>
              </w:rPr>
              <w:t>(1,366)</w:t>
            </w:r>
          </w:p>
        </w:tc>
      </w:tr>
      <w:tr w:rsidR="005E7A4B" w:rsidRPr="006359BD" w14:paraId="76AB5AFE" w14:textId="77777777" w:rsidTr="0007122C">
        <w:tc>
          <w:tcPr>
            <w:tcW w:w="5310" w:type="dxa"/>
            <w:tcBorders>
              <w:left w:val="nil"/>
            </w:tcBorders>
            <w:vAlign w:val="bottom"/>
          </w:tcPr>
          <w:p w14:paraId="2D2066D8" w14:textId="6113C197" w:rsidR="005E7A4B" w:rsidRPr="006359BD" w:rsidRDefault="005E7A4B" w:rsidP="00C174F9">
            <w:pPr>
              <w:spacing w:after="0"/>
              <w:rPr>
                <w:rFonts w:ascii="Arial" w:hAnsi="Arial" w:cs="Arial"/>
                <w:szCs w:val="20"/>
              </w:rPr>
            </w:pPr>
            <w:r>
              <w:rPr>
                <w:rFonts w:ascii="Arial" w:hAnsi="Arial" w:cs="Arial"/>
                <w:szCs w:val="20"/>
              </w:rPr>
              <w:t>Effect of foreign exchange rate changes</w:t>
            </w:r>
          </w:p>
        </w:tc>
        <w:tc>
          <w:tcPr>
            <w:tcW w:w="1559" w:type="dxa"/>
            <w:tcBorders>
              <w:left w:val="nil"/>
              <w:right w:val="nil"/>
            </w:tcBorders>
            <w:vAlign w:val="bottom"/>
          </w:tcPr>
          <w:p w14:paraId="4F1624AA" w14:textId="77777777" w:rsidR="005E7A4B" w:rsidRPr="006359BD" w:rsidRDefault="005E7A4B" w:rsidP="00C174F9">
            <w:pPr>
              <w:spacing w:after="0"/>
              <w:ind w:right="173"/>
              <w:jc w:val="right"/>
              <w:rPr>
                <w:rFonts w:ascii="Arial" w:hAnsi="Arial" w:cs="Arial"/>
                <w:szCs w:val="20"/>
              </w:rPr>
            </w:pPr>
          </w:p>
        </w:tc>
        <w:tc>
          <w:tcPr>
            <w:tcW w:w="2041" w:type="dxa"/>
            <w:tcBorders>
              <w:left w:val="nil"/>
              <w:right w:val="nil"/>
            </w:tcBorders>
          </w:tcPr>
          <w:p w14:paraId="1F897071" w14:textId="6324F7FD" w:rsidR="005E7A4B" w:rsidRPr="006359BD" w:rsidRDefault="00EF43E4" w:rsidP="00C174F9">
            <w:pPr>
              <w:spacing w:after="0"/>
              <w:ind w:right="173"/>
              <w:jc w:val="right"/>
              <w:rPr>
                <w:rFonts w:ascii="Arial" w:hAnsi="Arial" w:cs="Arial"/>
                <w:szCs w:val="20"/>
              </w:rPr>
            </w:pPr>
            <w:r>
              <w:rPr>
                <w:rFonts w:ascii="Arial" w:hAnsi="Arial" w:cs="Arial"/>
                <w:szCs w:val="20"/>
              </w:rPr>
              <w:t>(96</w:t>
            </w:r>
            <w:r w:rsidR="005E7A4B">
              <w:rPr>
                <w:rFonts w:ascii="Arial" w:hAnsi="Arial" w:cs="Arial"/>
                <w:szCs w:val="20"/>
              </w:rPr>
              <w:t>)</w:t>
            </w:r>
          </w:p>
        </w:tc>
      </w:tr>
      <w:tr w:rsidR="006359BD" w:rsidRPr="006359BD" w14:paraId="4C55BD14" w14:textId="77777777" w:rsidTr="0007122C">
        <w:trPr>
          <w:trHeight w:hRule="exact" w:val="86"/>
        </w:trPr>
        <w:tc>
          <w:tcPr>
            <w:tcW w:w="5310" w:type="dxa"/>
            <w:tcBorders>
              <w:top w:val="single" w:sz="4" w:space="0" w:color="auto"/>
              <w:left w:val="nil"/>
            </w:tcBorders>
            <w:vAlign w:val="bottom"/>
          </w:tcPr>
          <w:p w14:paraId="332148B2" w14:textId="77777777" w:rsidR="006359BD" w:rsidRPr="006359BD" w:rsidRDefault="006359BD" w:rsidP="00C174F9">
            <w:pPr>
              <w:spacing w:after="0"/>
              <w:rPr>
                <w:rFonts w:ascii="Arial" w:hAnsi="Arial" w:cs="Arial"/>
                <w:szCs w:val="20"/>
              </w:rPr>
            </w:pPr>
          </w:p>
        </w:tc>
        <w:tc>
          <w:tcPr>
            <w:tcW w:w="1559" w:type="dxa"/>
            <w:tcBorders>
              <w:top w:val="single" w:sz="4" w:space="0" w:color="auto"/>
              <w:left w:val="nil"/>
              <w:right w:val="nil"/>
            </w:tcBorders>
            <w:vAlign w:val="bottom"/>
          </w:tcPr>
          <w:p w14:paraId="1EEE9D1F" w14:textId="77777777" w:rsidR="006359BD" w:rsidRPr="006359BD" w:rsidRDefault="006359BD" w:rsidP="00C174F9">
            <w:pPr>
              <w:spacing w:after="0"/>
              <w:ind w:right="173"/>
              <w:jc w:val="right"/>
              <w:rPr>
                <w:rFonts w:ascii="Arial" w:hAnsi="Arial" w:cs="Arial"/>
                <w:szCs w:val="20"/>
              </w:rPr>
            </w:pPr>
          </w:p>
        </w:tc>
        <w:tc>
          <w:tcPr>
            <w:tcW w:w="2041" w:type="dxa"/>
            <w:tcBorders>
              <w:top w:val="single" w:sz="4" w:space="0" w:color="auto"/>
              <w:left w:val="nil"/>
              <w:right w:val="nil"/>
            </w:tcBorders>
          </w:tcPr>
          <w:p w14:paraId="1D7FD687" w14:textId="77777777" w:rsidR="006359BD" w:rsidRPr="006359BD" w:rsidRDefault="006359BD" w:rsidP="00C174F9">
            <w:pPr>
              <w:spacing w:after="0"/>
              <w:ind w:right="173"/>
              <w:jc w:val="right"/>
              <w:rPr>
                <w:rFonts w:ascii="Arial" w:hAnsi="Arial" w:cs="Arial"/>
                <w:szCs w:val="20"/>
              </w:rPr>
            </w:pPr>
          </w:p>
        </w:tc>
      </w:tr>
      <w:tr w:rsidR="006359BD" w:rsidRPr="006359BD" w14:paraId="7B0C1A74" w14:textId="77777777" w:rsidTr="0007122C">
        <w:tc>
          <w:tcPr>
            <w:tcW w:w="5310" w:type="dxa"/>
            <w:tcBorders>
              <w:left w:val="nil"/>
              <w:bottom w:val="single" w:sz="12" w:space="0" w:color="auto"/>
            </w:tcBorders>
            <w:vAlign w:val="bottom"/>
          </w:tcPr>
          <w:p w14:paraId="10437F69" w14:textId="7FA9512E" w:rsidR="006359BD" w:rsidRPr="006359BD" w:rsidRDefault="006359BD" w:rsidP="00EF43E4">
            <w:pPr>
              <w:spacing w:after="0"/>
              <w:rPr>
                <w:rFonts w:ascii="Arial" w:hAnsi="Arial" w:cs="Arial"/>
                <w:szCs w:val="20"/>
              </w:rPr>
            </w:pPr>
            <w:r w:rsidRPr="006359BD">
              <w:rPr>
                <w:rFonts w:ascii="Arial" w:hAnsi="Arial" w:cs="Arial"/>
                <w:szCs w:val="20"/>
              </w:rPr>
              <w:t xml:space="preserve">Balance, </w:t>
            </w:r>
            <w:r w:rsidR="00EF43E4">
              <w:rPr>
                <w:rFonts w:ascii="Arial" w:hAnsi="Arial" w:cs="Arial"/>
                <w:szCs w:val="20"/>
              </w:rPr>
              <w:t>July</w:t>
            </w:r>
            <w:r w:rsidR="00D10600" w:rsidRPr="006359BD">
              <w:rPr>
                <w:rFonts w:ascii="Arial" w:hAnsi="Arial" w:cs="Arial"/>
                <w:szCs w:val="20"/>
              </w:rPr>
              <w:t xml:space="preserve"> 31</w:t>
            </w:r>
            <w:r w:rsidR="00D10600">
              <w:rPr>
                <w:rFonts w:ascii="Arial" w:hAnsi="Arial" w:cs="Arial"/>
                <w:szCs w:val="20"/>
              </w:rPr>
              <w:t>, 2019</w:t>
            </w:r>
          </w:p>
        </w:tc>
        <w:tc>
          <w:tcPr>
            <w:tcW w:w="1559" w:type="dxa"/>
            <w:tcBorders>
              <w:left w:val="nil"/>
              <w:bottom w:val="single" w:sz="12" w:space="0" w:color="auto"/>
              <w:right w:val="nil"/>
            </w:tcBorders>
            <w:vAlign w:val="bottom"/>
          </w:tcPr>
          <w:p w14:paraId="087B9C24" w14:textId="77777777" w:rsidR="006359BD" w:rsidRPr="006359BD" w:rsidRDefault="006359BD" w:rsidP="00C174F9">
            <w:pPr>
              <w:spacing w:after="0"/>
              <w:ind w:right="173"/>
              <w:jc w:val="right"/>
              <w:rPr>
                <w:rFonts w:ascii="Arial" w:hAnsi="Arial" w:cs="Arial"/>
                <w:szCs w:val="20"/>
              </w:rPr>
            </w:pPr>
          </w:p>
        </w:tc>
        <w:tc>
          <w:tcPr>
            <w:tcW w:w="2041" w:type="dxa"/>
            <w:tcBorders>
              <w:left w:val="nil"/>
              <w:bottom w:val="single" w:sz="12" w:space="0" w:color="auto"/>
              <w:right w:val="nil"/>
            </w:tcBorders>
          </w:tcPr>
          <w:p w14:paraId="6EA996D3" w14:textId="79CC4BB0" w:rsidR="006359BD" w:rsidRPr="006359BD" w:rsidRDefault="00EF43E4" w:rsidP="00C174F9">
            <w:pPr>
              <w:spacing w:after="0"/>
              <w:ind w:right="173"/>
              <w:jc w:val="right"/>
              <w:rPr>
                <w:rFonts w:ascii="Arial" w:hAnsi="Arial" w:cs="Arial"/>
                <w:szCs w:val="20"/>
              </w:rPr>
            </w:pPr>
            <w:r w:rsidRPr="006359BD">
              <w:rPr>
                <w:rFonts w:ascii="Arial" w:hAnsi="Arial" w:cs="Arial"/>
                <w:szCs w:val="20"/>
              </w:rPr>
              <w:t>–</w:t>
            </w:r>
          </w:p>
        </w:tc>
      </w:tr>
    </w:tbl>
    <w:p w14:paraId="1A5FD372" w14:textId="77777777" w:rsidR="006359BD" w:rsidRPr="006359BD" w:rsidRDefault="006359BD" w:rsidP="006359BD">
      <w:pPr>
        <w:tabs>
          <w:tab w:val="left" w:pos="450"/>
        </w:tabs>
        <w:spacing w:before="120" w:after="0" w:line="240" w:lineRule="auto"/>
        <w:jc w:val="both"/>
        <w:rPr>
          <w:rFonts w:ascii="Arial" w:hAnsi="Arial" w:cs="Arial"/>
          <w:b/>
          <w:szCs w:val="20"/>
        </w:rPr>
      </w:pPr>
    </w:p>
    <w:tbl>
      <w:tblPr>
        <w:tblW w:w="8910" w:type="dxa"/>
        <w:tblInd w:w="450" w:type="dxa"/>
        <w:tblLayout w:type="fixed"/>
        <w:tblCellMar>
          <w:left w:w="0" w:type="dxa"/>
          <w:right w:w="0" w:type="dxa"/>
        </w:tblCellMar>
        <w:tblLook w:val="0000" w:firstRow="0" w:lastRow="0" w:firstColumn="0" w:lastColumn="0" w:noHBand="0" w:noVBand="0"/>
      </w:tblPr>
      <w:tblGrid>
        <w:gridCol w:w="5310"/>
        <w:gridCol w:w="1559"/>
        <w:gridCol w:w="2041"/>
      </w:tblGrid>
      <w:tr w:rsidR="00EF43E4" w:rsidRPr="006359BD" w14:paraId="036016F7" w14:textId="77777777" w:rsidTr="0007122C">
        <w:tc>
          <w:tcPr>
            <w:tcW w:w="5310" w:type="dxa"/>
            <w:tcBorders>
              <w:left w:val="nil"/>
              <w:bottom w:val="single" w:sz="12" w:space="0" w:color="auto"/>
            </w:tcBorders>
            <w:vAlign w:val="bottom"/>
          </w:tcPr>
          <w:p w14:paraId="2FF5459D" w14:textId="5FF32D87" w:rsidR="00EF43E4" w:rsidRPr="006359BD" w:rsidRDefault="00EF43E4" w:rsidP="00EF43E4">
            <w:pPr>
              <w:spacing w:after="0"/>
              <w:rPr>
                <w:rFonts w:ascii="Arial" w:hAnsi="Arial" w:cs="Arial"/>
                <w:szCs w:val="20"/>
              </w:rPr>
            </w:pPr>
            <w:r w:rsidRPr="006359BD">
              <w:rPr>
                <w:rFonts w:ascii="Arial" w:hAnsi="Arial" w:cs="Arial"/>
                <w:szCs w:val="20"/>
              </w:rPr>
              <w:t xml:space="preserve">Net book value, </w:t>
            </w:r>
            <w:r>
              <w:rPr>
                <w:rFonts w:ascii="Arial" w:hAnsi="Arial" w:cs="Arial"/>
                <w:szCs w:val="20"/>
              </w:rPr>
              <w:t>July</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6F7C6356" w14:textId="77777777" w:rsidR="00EF43E4" w:rsidRPr="006359BD" w:rsidRDefault="00EF43E4" w:rsidP="00C74354">
            <w:pPr>
              <w:spacing w:after="0"/>
              <w:ind w:right="173"/>
              <w:jc w:val="right"/>
              <w:rPr>
                <w:rFonts w:ascii="Arial" w:hAnsi="Arial" w:cs="Arial"/>
                <w:szCs w:val="20"/>
              </w:rPr>
            </w:pPr>
          </w:p>
        </w:tc>
        <w:tc>
          <w:tcPr>
            <w:tcW w:w="2041" w:type="dxa"/>
            <w:tcBorders>
              <w:left w:val="nil"/>
              <w:bottom w:val="single" w:sz="12" w:space="0" w:color="auto"/>
              <w:right w:val="nil"/>
            </w:tcBorders>
          </w:tcPr>
          <w:p w14:paraId="11FBC924" w14:textId="4BDD3D85" w:rsidR="00EF43E4" w:rsidRPr="006359BD" w:rsidRDefault="00EF43E4" w:rsidP="00C74354">
            <w:pPr>
              <w:spacing w:after="0"/>
              <w:ind w:right="173"/>
              <w:jc w:val="right"/>
              <w:rPr>
                <w:rFonts w:ascii="Arial" w:hAnsi="Arial" w:cs="Arial"/>
                <w:szCs w:val="20"/>
              </w:rPr>
            </w:pPr>
            <w:r w:rsidRPr="006359BD">
              <w:rPr>
                <w:rFonts w:ascii="Arial" w:hAnsi="Arial" w:cs="Arial"/>
                <w:szCs w:val="20"/>
              </w:rPr>
              <w:t>–</w:t>
            </w:r>
          </w:p>
        </w:tc>
      </w:tr>
      <w:tr w:rsidR="00D2525D" w:rsidRPr="006359BD" w14:paraId="26A29DAC" w14:textId="77777777" w:rsidTr="0007122C">
        <w:tc>
          <w:tcPr>
            <w:tcW w:w="5310" w:type="dxa"/>
            <w:tcBorders>
              <w:left w:val="nil"/>
              <w:bottom w:val="single" w:sz="12" w:space="0" w:color="auto"/>
            </w:tcBorders>
            <w:vAlign w:val="bottom"/>
          </w:tcPr>
          <w:p w14:paraId="4429BCA2" w14:textId="77777777" w:rsidR="00D2525D" w:rsidRPr="006359BD" w:rsidRDefault="00D2525D" w:rsidP="00CD70E7">
            <w:pPr>
              <w:spacing w:after="0"/>
              <w:rPr>
                <w:rFonts w:ascii="Arial" w:hAnsi="Arial" w:cs="Arial"/>
                <w:szCs w:val="20"/>
              </w:rPr>
            </w:pPr>
            <w:r w:rsidRPr="006359BD">
              <w:rPr>
                <w:rFonts w:ascii="Arial" w:hAnsi="Arial" w:cs="Arial"/>
                <w:szCs w:val="20"/>
              </w:rPr>
              <w:t xml:space="preserve">Net book value, </w:t>
            </w:r>
            <w:r>
              <w:rPr>
                <w:rFonts w:ascii="Arial" w:hAnsi="Arial" w:cs="Arial"/>
                <w:szCs w:val="20"/>
              </w:rPr>
              <w:t>January</w:t>
            </w:r>
            <w:r w:rsidRPr="006359BD">
              <w:rPr>
                <w:rFonts w:ascii="Arial" w:hAnsi="Arial" w:cs="Arial"/>
                <w:szCs w:val="20"/>
              </w:rPr>
              <w:t xml:space="preserve"> 31</w:t>
            </w:r>
            <w:r>
              <w:rPr>
                <w:rFonts w:ascii="Arial" w:hAnsi="Arial" w:cs="Arial"/>
                <w:szCs w:val="20"/>
              </w:rPr>
              <w:t>, 2019</w:t>
            </w:r>
          </w:p>
        </w:tc>
        <w:tc>
          <w:tcPr>
            <w:tcW w:w="1559" w:type="dxa"/>
            <w:tcBorders>
              <w:left w:val="nil"/>
              <w:bottom w:val="single" w:sz="12" w:space="0" w:color="auto"/>
              <w:right w:val="nil"/>
            </w:tcBorders>
            <w:vAlign w:val="bottom"/>
          </w:tcPr>
          <w:p w14:paraId="10366547" w14:textId="77777777" w:rsidR="00D2525D" w:rsidRPr="006359BD" w:rsidRDefault="00D2525D" w:rsidP="00CD70E7">
            <w:pPr>
              <w:spacing w:after="0"/>
              <w:ind w:right="173"/>
              <w:jc w:val="right"/>
              <w:rPr>
                <w:rFonts w:ascii="Arial" w:hAnsi="Arial" w:cs="Arial"/>
                <w:szCs w:val="20"/>
              </w:rPr>
            </w:pPr>
          </w:p>
        </w:tc>
        <w:tc>
          <w:tcPr>
            <w:tcW w:w="2041" w:type="dxa"/>
            <w:tcBorders>
              <w:left w:val="nil"/>
              <w:bottom w:val="single" w:sz="12" w:space="0" w:color="auto"/>
              <w:right w:val="nil"/>
            </w:tcBorders>
          </w:tcPr>
          <w:p w14:paraId="11D800C7" w14:textId="77777777" w:rsidR="00D2525D" w:rsidRPr="006359BD" w:rsidRDefault="00D2525D" w:rsidP="00CD70E7">
            <w:pPr>
              <w:spacing w:after="0"/>
              <w:ind w:right="173"/>
              <w:jc w:val="right"/>
              <w:rPr>
                <w:rFonts w:ascii="Arial" w:hAnsi="Arial" w:cs="Arial"/>
                <w:szCs w:val="20"/>
              </w:rPr>
            </w:pPr>
            <w:r>
              <w:rPr>
                <w:rFonts w:ascii="Arial" w:hAnsi="Arial" w:cs="Arial"/>
                <w:szCs w:val="20"/>
              </w:rPr>
              <w:t>4,162</w:t>
            </w:r>
          </w:p>
        </w:tc>
      </w:tr>
      <w:tr w:rsidR="00D10600" w:rsidRPr="006359BD" w14:paraId="75A9DEF6" w14:textId="77777777" w:rsidTr="0007122C">
        <w:tc>
          <w:tcPr>
            <w:tcW w:w="5310" w:type="dxa"/>
            <w:tcBorders>
              <w:left w:val="nil"/>
              <w:bottom w:val="single" w:sz="12" w:space="0" w:color="auto"/>
            </w:tcBorders>
            <w:vAlign w:val="bottom"/>
          </w:tcPr>
          <w:p w14:paraId="693F8744" w14:textId="1F989463" w:rsidR="00D10600" w:rsidRPr="006359BD" w:rsidRDefault="00D10600" w:rsidP="00EF43E4">
            <w:pPr>
              <w:spacing w:after="0"/>
              <w:rPr>
                <w:rFonts w:ascii="Arial" w:hAnsi="Arial" w:cs="Arial"/>
                <w:szCs w:val="20"/>
              </w:rPr>
            </w:pPr>
            <w:r w:rsidRPr="006359BD">
              <w:rPr>
                <w:rFonts w:ascii="Arial" w:hAnsi="Arial" w:cs="Arial"/>
                <w:szCs w:val="20"/>
              </w:rPr>
              <w:t xml:space="preserve">Net book value, </w:t>
            </w:r>
            <w:r w:rsidR="00EF43E4">
              <w:rPr>
                <w:rFonts w:ascii="Arial" w:hAnsi="Arial" w:cs="Arial"/>
                <w:szCs w:val="20"/>
              </w:rPr>
              <w:t>February 1, 2018</w:t>
            </w:r>
          </w:p>
        </w:tc>
        <w:tc>
          <w:tcPr>
            <w:tcW w:w="1559" w:type="dxa"/>
            <w:tcBorders>
              <w:left w:val="nil"/>
              <w:bottom w:val="single" w:sz="12" w:space="0" w:color="auto"/>
              <w:right w:val="nil"/>
            </w:tcBorders>
            <w:vAlign w:val="bottom"/>
          </w:tcPr>
          <w:p w14:paraId="45352726" w14:textId="77777777" w:rsidR="00D10600" w:rsidRPr="006359BD" w:rsidRDefault="00D10600" w:rsidP="00C174F9">
            <w:pPr>
              <w:spacing w:after="0"/>
              <w:ind w:right="173"/>
              <w:jc w:val="right"/>
              <w:rPr>
                <w:rFonts w:ascii="Arial" w:hAnsi="Arial" w:cs="Arial"/>
                <w:szCs w:val="20"/>
              </w:rPr>
            </w:pPr>
          </w:p>
        </w:tc>
        <w:tc>
          <w:tcPr>
            <w:tcW w:w="2041" w:type="dxa"/>
            <w:tcBorders>
              <w:left w:val="nil"/>
              <w:bottom w:val="single" w:sz="12" w:space="0" w:color="auto"/>
              <w:right w:val="nil"/>
            </w:tcBorders>
          </w:tcPr>
          <w:p w14:paraId="61C24A51" w14:textId="59EBC862" w:rsidR="00D10600" w:rsidRPr="006359BD" w:rsidRDefault="00D10600" w:rsidP="00C174F9">
            <w:pPr>
              <w:spacing w:after="0"/>
              <w:ind w:right="173"/>
              <w:jc w:val="right"/>
              <w:rPr>
                <w:rFonts w:ascii="Arial" w:hAnsi="Arial" w:cs="Arial"/>
                <w:szCs w:val="20"/>
              </w:rPr>
            </w:pPr>
            <w:r w:rsidRPr="006359BD">
              <w:rPr>
                <w:rFonts w:ascii="Arial" w:hAnsi="Arial" w:cs="Arial"/>
                <w:szCs w:val="20"/>
              </w:rPr>
              <w:t>–</w:t>
            </w:r>
          </w:p>
        </w:tc>
      </w:tr>
    </w:tbl>
    <w:p w14:paraId="1E30E153" w14:textId="77777777" w:rsidR="006359BD" w:rsidRDefault="006359BD" w:rsidP="006359BD">
      <w:pPr>
        <w:tabs>
          <w:tab w:val="left" w:pos="450"/>
        </w:tabs>
        <w:spacing w:after="0" w:line="240" w:lineRule="auto"/>
        <w:jc w:val="both"/>
        <w:rPr>
          <w:rFonts w:ascii="Arial" w:hAnsi="Arial" w:cs="Arial"/>
          <w:b/>
          <w:szCs w:val="20"/>
        </w:rPr>
      </w:pPr>
    </w:p>
    <w:p w14:paraId="51F24958" w14:textId="04427B82" w:rsidR="002956D7" w:rsidRPr="002956D7" w:rsidRDefault="002956D7" w:rsidP="002956D7">
      <w:pPr>
        <w:tabs>
          <w:tab w:val="left" w:pos="450"/>
        </w:tabs>
        <w:spacing w:after="0" w:line="240" w:lineRule="auto"/>
        <w:ind w:left="450"/>
        <w:jc w:val="both"/>
        <w:rPr>
          <w:rFonts w:ascii="Arial" w:hAnsi="Arial" w:cs="Arial"/>
          <w:szCs w:val="20"/>
        </w:rPr>
      </w:pPr>
      <w:r w:rsidRPr="002956D7">
        <w:rPr>
          <w:rFonts w:ascii="Arial" w:hAnsi="Arial" w:cs="Arial"/>
          <w:szCs w:val="20"/>
        </w:rPr>
        <w:t xml:space="preserve">During the </w:t>
      </w:r>
      <w:r>
        <w:rPr>
          <w:rFonts w:ascii="Arial" w:hAnsi="Arial" w:cs="Arial"/>
          <w:szCs w:val="20"/>
        </w:rPr>
        <w:t>six</w:t>
      </w:r>
      <w:r w:rsidRPr="002956D7">
        <w:rPr>
          <w:rFonts w:ascii="Arial" w:hAnsi="Arial" w:cs="Arial"/>
          <w:szCs w:val="20"/>
        </w:rPr>
        <w:t xml:space="preserve"> months ended </w:t>
      </w:r>
      <w:r>
        <w:rPr>
          <w:rFonts w:ascii="Arial" w:hAnsi="Arial" w:cs="Arial"/>
          <w:szCs w:val="20"/>
        </w:rPr>
        <w:t>July 31</w:t>
      </w:r>
      <w:r w:rsidRPr="002956D7">
        <w:rPr>
          <w:rFonts w:ascii="Arial" w:hAnsi="Arial" w:cs="Arial"/>
          <w:szCs w:val="20"/>
        </w:rPr>
        <w:t>, 2019, the Company wrote-off its lab equipment and recorded a loss on write-off of equipment of $3,901 (2018 - $nil).</w:t>
      </w:r>
    </w:p>
    <w:p w14:paraId="56F4982C" w14:textId="77777777" w:rsidR="002956D7" w:rsidRPr="006359BD" w:rsidRDefault="002956D7" w:rsidP="006359BD">
      <w:pPr>
        <w:tabs>
          <w:tab w:val="left" w:pos="450"/>
        </w:tabs>
        <w:spacing w:after="0" w:line="240" w:lineRule="auto"/>
        <w:jc w:val="both"/>
        <w:rPr>
          <w:rFonts w:ascii="Arial" w:hAnsi="Arial" w:cs="Arial"/>
          <w:b/>
          <w:szCs w:val="20"/>
        </w:rPr>
      </w:pPr>
    </w:p>
    <w:p w14:paraId="45A30324" w14:textId="32AA1DE2" w:rsidR="00BA56F7" w:rsidRPr="00BA56F7" w:rsidRDefault="006359BD" w:rsidP="00F15B99">
      <w:pPr>
        <w:tabs>
          <w:tab w:val="left" w:pos="450"/>
        </w:tabs>
        <w:spacing w:after="0" w:line="240" w:lineRule="auto"/>
        <w:jc w:val="both"/>
        <w:rPr>
          <w:rFonts w:ascii="Arial" w:hAnsi="Arial" w:cs="Arial"/>
          <w:b/>
          <w:szCs w:val="20"/>
        </w:rPr>
      </w:pPr>
      <w:r>
        <w:rPr>
          <w:rFonts w:ascii="Arial" w:hAnsi="Arial" w:cs="Arial"/>
          <w:b/>
          <w:szCs w:val="20"/>
        </w:rPr>
        <w:t>7</w:t>
      </w:r>
      <w:r w:rsidR="00BA56F7" w:rsidRPr="00BA56F7">
        <w:rPr>
          <w:rFonts w:ascii="Arial" w:hAnsi="Arial" w:cs="Arial"/>
          <w:b/>
          <w:szCs w:val="20"/>
        </w:rPr>
        <w:t xml:space="preserve">.    </w:t>
      </w:r>
      <w:r w:rsidR="00BA56F7" w:rsidRPr="00BA56F7">
        <w:rPr>
          <w:rFonts w:ascii="Arial" w:hAnsi="Arial" w:cs="Arial"/>
          <w:b/>
          <w:szCs w:val="20"/>
        </w:rPr>
        <w:tab/>
        <w:t>Intangible Asset</w:t>
      </w:r>
    </w:p>
    <w:tbl>
      <w:tblPr>
        <w:tblW w:w="8846" w:type="dxa"/>
        <w:tblInd w:w="450" w:type="dxa"/>
        <w:tblLayout w:type="fixed"/>
        <w:tblCellMar>
          <w:left w:w="0" w:type="dxa"/>
          <w:right w:w="0" w:type="dxa"/>
        </w:tblCellMar>
        <w:tblLook w:val="0000" w:firstRow="0" w:lastRow="0" w:firstColumn="0" w:lastColumn="0" w:noHBand="0" w:noVBand="0"/>
      </w:tblPr>
      <w:tblGrid>
        <w:gridCol w:w="2610"/>
        <w:gridCol w:w="1559"/>
        <w:gridCol w:w="1559"/>
        <w:gridCol w:w="1559"/>
        <w:gridCol w:w="1559"/>
      </w:tblGrid>
      <w:tr w:rsidR="00EE5527" w:rsidRPr="00BA56F7" w14:paraId="2CF1C546" w14:textId="77777777" w:rsidTr="00CD2111">
        <w:tc>
          <w:tcPr>
            <w:tcW w:w="2610" w:type="dxa"/>
            <w:tcBorders>
              <w:top w:val="nil"/>
              <w:left w:val="nil"/>
              <w:bottom w:val="single" w:sz="4" w:space="0" w:color="auto"/>
            </w:tcBorders>
            <w:vAlign w:val="bottom"/>
          </w:tcPr>
          <w:p w14:paraId="19BC6761" w14:textId="77777777" w:rsidR="00EE5527" w:rsidRPr="00BA56F7" w:rsidRDefault="00EE5527" w:rsidP="00F15B99">
            <w:pPr>
              <w:spacing w:after="0" w:line="240" w:lineRule="auto"/>
              <w:rPr>
                <w:rFonts w:ascii="Arial" w:hAnsi="Arial" w:cs="Arial"/>
                <w:szCs w:val="20"/>
              </w:rPr>
            </w:pPr>
            <w:r w:rsidRPr="00BA56F7">
              <w:rPr>
                <w:rFonts w:ascii="Arial" w:hAnsi="Arial" w:cs="Arial"/>
                <w:b/>
                <w:bCs/>
                <w:szCs w:val="20"/>
              </w:rPr>
              <w:t>Cost</w:t>
            </w:r>
            <w:r w:rsidRPr="00BA56F7">
              <w:rPr>
                <w:rFonts w:ascii="Arial" w:hAnsi="Arial" w:cs="Arial"/>
                <w:b/>
                <w:bCs/>
                <w:szCs w:val="20"/>
              </w:rPr>
              <w:tab/>
            </w:r>
          </w:p>
        </w:tc>
        <w:tc>
          <w:tcPr>
            <w:tcW w:w="1559" w:type="dxa"/>
            <w:tcBorders>
              <w:top w:val="nil"/>
              <w:left w:val="nil"/>
              <w:bottom w:val="single" w:sz="4" w:space="0" w:color="auto"/>
            </w:tcBorders>
          </w:tcPr>
          <w:p w14:paraId="56DD435F" w14:textId="77777777" w:rsidR="00EE5527" w:rsidRDefault="00EE5527" w:rsidP="00EE5527">
            <w:pPr>
              <w:spacing w:after="0" w:line="240" w:lineRule="auto"/>
              <w:ind w:left="90"/>
              <w:jc w:val="center"/>
              <w:rPr>
                <w:rFonts w:ascii="Arial" w:hAnsi="Arial" w:cs="Arial"/>
                <w:szCs w:val="20"/>
              </w:rPr>
            </w:pPr>
          </w:p>
          <w:p w14:paraId="5C2E1E2F" w14:textId="77777777"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BiPhasix</w:t>
            </w:r>
          </w:p>
          <w:p w14:paraId="7048EA61" w14:textId="77777777" w:rsidR="00EE5527" w:rsidRPr="00BA56F7" w:rsidRDefault="00EE5527" w:rsidP="00EE5527">
            <w:pPr>
              <w:spacing w:after="0" w:line="240" w:lineRule="auto"/>
              <w:jc w:val="center"/>
              <w:rPr>
                <w:rFonts w:ascii="Arial" w:hAnsi="Arial" w:cs="Arial"/>
                <w:szCs w:val="20"/>
              </w:rPr>
            </w:pPr>
            <w:r w:rsidRPr="00BA56F7">
              <w:rPr>
                <w:rFonts w:ascii="Arial" w:hAnsi="Arial" w:cs="Arial"/>
                <w:szCs w:val="20"/>
              </w:rPr>
              <w:t>License</w:t>
            </w:r>
          </w:p>
          <w:p w14:paraId="41CC8C24" w14:textId="38548E5D"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right w:val="nil"/>
            </w:tcBorders>
          </w:tcPr>
          <w:p w14:paraId="7D99C124" w14:textId="77777777" w:rsidR="00EE5527" w:rsidRDefault="00EE5527" w:rsidP="00EE5527">
            <w:pPr>
              <w:spacing w:after="0" w:line="240" w:lineRule="auto"/>
              <w:jc w:val="center"/>
              <w:rPr>
                <w:rFonts w:ascii="Arial" w:hAnsi="Arial" w:cs="Arial"/>
                <w:szCs w:val="20"/>
              </w:rPr>
            </w:pPr>
            <w:r>
              <w:rPr>
                <w:rFonts w:ascii="Arial" w:hAnsi="Arial" w:cs="Arial"/>
                <w:szCs w:val="20"/>
              </w:rPr>
              <w:t>Thrudermic</w:t>
            </w:r>
          </w:p>
          <w:p w14:paraId="06375714" w14:textId="0E9388E1" w:rsidR="00EE5527" w:rsidRPr="00BA56F7" w:rsidRDefault="00EE5527" w:rsidP="00EE5527">
            <w:pPr>
              <w:spacing w:after="0" w:line="240" w:lineRule="auto"/>
              <w:jc w:val="center"/>
              <w:rPr>
                <w:rFonts w:ascii="Arial" w:hAnsi="Arial" w:cs="Arial"/>
                <w:szCs w:val="20"/>
              </w:rPr>
            </w:pPr>
            <w:r>
              <w:rPr>
                <w:rFonts w:ascii="Arial" w:hAnsi="Arial" w:cs="Arial"/>
                <w:szCs w:val="20"/>
              </w:rPr>
              <w:t>Non-Patented Technology</w:t>
            </w:r>
          </w:p>
          <w:p w14:paraId="15AC568E" w14:textId="14144880"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tcBorders>
          </w:tcPr>
          <w:p w14:paraId="660E38AB" w14:textId="77777777" w:rsidR="00EE5527" w:rsidRDefault="00EE5527" w:rsidP="00EE5527">
            <w:pPr>
              <w:spacing w:after="0" w:line="240" w:lineRule="auto"/>
              <w:jc w:val="center"/>
              <w:rPr>
                <w:rFonts w:ascii="Arial" w:hAnsi="Arial" w:cs="Arial"/>
                <w:szCs w:val="20"/>
              </w:rPr>
            </w:pPr>
          </w:p>
          <w:p w14:paraId="26ABE8B5" w14:textId="49970EDA" w:rsidR="00EE5527" w:rsidRDefault="00EE5527" w:rsidP="00EE5527">
            <w:pPr>
              <w:spacing w:after="0" w:line="240" w:lineRule="auto"/>
              <w:jc w:val="center"/>
              <w:rPr>
                <w:rFonts w:ascii="Arial" w:hAnsi="Arial" w:cs="Arial"/>
                <w:szCs w:val="20"/>
              </w:rPr>
            </w:pPr>
            <w:r>
              <w:rPr>
                <w:rFonts w:ascii="Arial" w:hAnsi="Arial" w:cs="Arial"/>
                <w:szCs w:val="20"/>
              </w:rPr>
              <w:t>RTIC</w:t>
            </w:r>
          </w:p>
          <w:p w14:paraId="4321B077" w14:textId="7E7B94F3" w:rsidR="00EE5527" w:rsidRPr="00BA56F7" w:rsidRDefault="00EE5527" w:rsidP="00EE5527">
            <w:pPr>
              <w:spacing w:after="0" w:line="240" w:lineRule="auto"/>
              <w:jc w:val="center"/>
              <w:rPr>
                <w:rFonts w:ascii="Arial" w:hAnsi="Arial" w:cs="Arial"/>
                <w:szCs w:val="20"/>
              </w:rPr>
            </w:pPr>
            <w:r>
              <w:rPr>
                <w:rFonts w:ascii="Arial" w:hAnsi="Arial" w:cs="Arial"/>
                <w:szCs w:val="20"/>
              </w:rPr>
              <w:t>Patents</w:t>
            </w:r>
          </w:p>
          <w:p w14:paraId="7A2A1AE9" w14:textId="2C0B421E" w:rsidR="00EE5527" w:rsidRPr="00BA56F7" w:rsidRDefault="00EE5527" w:rsidP="00EE5527">
            <w:pPr>
              <w:spacing w:after="0" w:line="240" w:lineRule="auto"/>
              <w:ind w:left="90"/>
              <w:jc w:val="center"/>
              <w:rPr>
                <w:rFonts w:ascii="Arial" w:hAnsi="Arial" w:cs="Arial"/>
                <w:szCs w:val="20"/>
              </w:rPr>
            </w:pPr>
            <w:r w:rsidRPr="00BA56F7">
              <w:rPr>
                <w:rFonts w:ascii="Arial" w:hAnsi="Arial" w:cs="Arial"/>
                <w:szCs w:val="20"/>
              </w:rPr>
              <w:t>$</w:t>
            </w:r>
          </w:p>
        </w:tc>
        <w:tc>
          <w:tcPr>
            <w:tcW w:w="1559" w:type="dxa"/>
            <w:tcBorders>
              <w:top w:val="nil"/>
              <w:left w:val="nil"/>
              <w:bottom w:val="single" w:sz="4" w:space="0" w:color="auto"/>
              <w:right w:val="nil"/>
            </w:tcBorders>
            <w:vAlign w:val="bottom"/>
          </w:tcPr>
          <w:p w14:paraId="258DE1E9" w14:textId="450274FD" w:rsidR="00EE5527" w:rsidRPr="00BA56F7" w:rsidRDefault="00EE5527" w:rsidP="00EE5527">
            <w:pPr>
              <w:spacing w:after="0" w:line="240" w:lineRule="auto"/>
              <w:jc w:val="center"/>
              <w:rPr>
                <w:rFonts w:ascii="Arial" w:hAnsi="Arial" w:cs="Arial"/>
                <w:szCs w:val="20"/>
              </w:rPr>
            </w:pPr>
            <w:r>
              <w:rPr>
                <w:rFonts w:ascii="Arial" w:hAnsi="Arial" w:cs="Arial"/>
                <w:szCs w:val="20"/>
              </w:rPr>
              <w:t>Total</w:t>
            </w:r>
          </w:p>
          <w:p w14:paraId="4F208095" w14:textId="77777777" w:rsidR="00EE5527" w:rsidRPr="00BA56F7" w:rsidRDefault="00EE5527" w:rsidP="00EE5527">
            <w:pPr>
              <w:spacing w:after="0" w:line="240" w:lineRule="auto"/>
              <w:jc w:val="center"/>
              <w:rPr>
                <w:rFonts w:ascii="Arial" w:hAnsi="Arial" w:cs="Arial"/>
                <w:szCs w:val="20"/>
              </w:rPr>
            </w:pPr>
            <w:r w:rsidRPr="00BA56F7">
              <w:rPr>
                <w:rFonts w:ascii="Arial" w:hAnsi="Arial" w:cs="Arial"/>
                <w:szCs w:val="20"/>
              </w:rPr>
              <w:t>$</w:t>
            </w:r>
          </w:p>
        </w:tc>
      </w:tr>
      <w:tr w:rsidR="00EE5527" w:rsidRPr="00BA56F7" w14:paraId="0BECD082" w14:textId="77777777" w:rsidTr="00CD2111">
        <w:trPr>
          <w:trHeight w:hRule="exact" w:val="113"/>
        </w:trPr>
        <w:tc>
          <w:tcPr>
            <w:tcW w:w="2610" w:type="dxa"/>
            <w:tcBorders>
              <w:top w:val="single" w:sz="4" w:space="0" w:color="auto"/>
              <w:left w:val="nil"/>
            </w:tcBorders>
            <w:vAlign w:val="bottom"/>
          </w:tcPr>
          <w:p w14:paraId="5229CC8B" w14:textId="77777777" w:rsidR="00EE5527" w:rsidRPr="00BA56F7" w:rsidRDefault="00EE5527" w:rsidP="00F15B99">
            <w:pPr>
              <w:spacing w:after="0" w:line="240" w:lineRule="auto"/>
              <w:rPr>
                <w:rFonts w:ascii="Arial" w:hAnsi="Arial" w:cs="Arial"/>
                <w:szCs w:val="20"/>
              </w:rPr>
            </w:pPr>
          </w:p>
        </w:tc>
        <w:tc>
          <w:tcPr>
            <w:tcW w:w="1559" w:type="dxa"/>
            <w:tcBorders>
              <w:top w:val="single" w:sz="4" w:space="0" w:color="auto"/>
              <w:left w:val="nil"/>
            </w:tcBorders>
          </w:tcPr>
          <w:p w14:paraId="4667E1A3" w14:textId="77777777"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right w:val="nil"/>
            </w:tcBorders>
          </w:tcPr>
          <w:p w14:paraId="6B0F7123" w14:textId="5F291718"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tcBorders>
          </w:tcPr>
          <w:p w14:paraId="7B47888B" w14:textId="0F81365E" w:rsidR="00EE5527" w:rsidRPr="00BA56F7" w:rsidRDefault="00EE5527" w:rsidP="00F15B99">
            <w:pPr>
              <w:spacing w:after="0" w:line="240" w:lineRule="auto"/>
              <w:ind w:right="369"/>
              <w:jc w:val="right"/>
              <w:rPr>
                <w:rFonts w:ascii="Arial" w:hAnsi="Arial" w:cs="Arial"/>
                <w:szCs w:val="20"/>
              </w:rPr>
            </w:pPr>
          </w:p>
        </w:tc>
        <w:tc>
          <w:tcPr>
            <w:tcW w:w="1559" w:type="dxa"/>
            <w:tcBorders>
              <w:top w:val="single" w:sz="4" w:space="0" w:color="auto"/>
              <w:left w:val="nil"/>
              <w:right w:val="nil"/>
            </w:tcBorders>
            <w:vAlign w:val="bottom"/>
          </w:tcPr>
          <w:p w14:paraId="2898E097" w14:textId="3C5746E5" w:rsidR="00EE5527" w:rsidRPr="00BA56F7" w:rsidRDefault="00EE5527" w:rsidP="00F15B99">
            <w:pPr>
              <w:spacing w:after="0" w:line="240" w:lineRule="auto"/>
              <w:ind w:right="369"/>
              <w:jc w:val="right"/>
              <w:rPr>
                <w:rFonts w:ascii="Arial" w:hAnsi="Arial" w:cs="Arial"/>
                <w:szCs w:val="20"/>
              </w:rPr>
            </w:pPr>
          </w:p>
        </w:tc>
      </w:tr>
      <w:tr w:rsidR="00EE5527" w:rsidRPr="00BA56F7" w14:paraId="4E2444DD" w14:textId="77777777" w:rsidTr="00CD2111">
        <w:tc>
          <w:tcPr>
            <w:tcW w:w="2610" w:type="dxa"/>
            <w:tcBorders>
              <w:left w:val="nil"/>
            </w:tcBorders>
            <w:vAlign w:val="bottom"/>
          </w:tcPr>
          <w:p w14:paraId="686E587E" w14:textId="1E712F68" w:rsidR="00EE5527" w:rsidRPr="00BA56F7" w:rsidRDefault="00EE5527" w:rsidP="00E5497C">
            <w:pPr>
              <w:spacing w:after="0"/>
              <w:rPr>
                <w:rFonts w:ascii="Arial" w:hAnsi="Arial" w:cs="Arial"/>
                <w:szCs w:val="20"/>
              </w:rPr>
            </w:pPr>
            <w:r w:rsidRPr="00BA56F7">
              <w:rPr>
                <w:rFonts w:ascii="Arial" w:hAnsi="Arial" w:cs="Arial"/>
                <w:szCs w:val="20"/>
              </w:rPr>
              <w:t xml:space="preserve">Balance, </w:t>
            </w:r>
            <w:r w:rsidR="00E5497C">
              <w:rPr>
                <w:rFonts w:ascii="Arial" w:hAnsi="Arial" w:cs="Arial"/>
                <w:szCs w:val="20"/>
              </w:rPr>
              <w:t>February 1, 2018</w:t>
            </w:r>
          </w:p>
        </w:tc>
        <w:tc>
          <w:tcPr>
            <w:tcW w:w="1559" w:type="dxa"/>
            <w:tcBorders>
              <w:left w:val="nil"/>
            </w:tcBorders>
          </w:tcPr>
          <w:p w14:paraId="15016502" w14:textId="22B7917F" w:rsidR="00EE5527" w:rsidRDefault="004F1F64" w:rsidP="00EE5527">
            <w:pPr>
              <w:spacing w:after="0"/>
              <w:ind w:right="173"/>
              <w:jc w:val="right"/>
              <w:rPr>
                <w:rFonts w:ascii="Arial" w:hAnsi="Arial" w:cs="Arial"/>
              </w:rPr>
            </w:pPr>
            <w:r>
              <w:rPr>
                <w:rFonts w:ascii="Arial" w:hAnsi="Arial" w:cs="Arial"/>
              </w:rPr>
              <w:t>319,174</w:t>
            </w:r>
          </w:p>
        </w:tc>
        <w:tc>
          <w:tcPr>
            <w:tcW w:w="1559" w:type="dxa"/>
            <w:tcBorders>
              <w:left w:val="nil"/>
              <w:right w:val="nil"/>
            </w:tcBorders>
          </w:tcPr>
          <w:p w14:paraId="4A09FF65" w14:textId="51274D7F" w:rsidR="00EE5527"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tcBorders>
          </w:tcPr>
          <w:p w14:paraId="19180530" w14:textId="6BD4E47D" w:rsidR="00EE5527"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right w:val="nil"/>
            </w:tcBorders>
            <w:vAlign w:val="bottom"/>
          </w:tcPr>
          <w:p w14:paraId="6C45D5B4" w14:textId="221535A4" w:rsidR="00EE5527" w:rsidRPr="00BA56F7" w:rsidRDefault="004F1F64" w:rsidP="00EE5527">
            <w:pPr>
              <w:spacing w:after="0"/>
              <w:ind w:right="173"/>
              <w:jc w:val="right"/>
              <w:rPr>
                <w:rFonts w:ascii="Arial" w:hAnsi="Arial" w:cs="Arial"/>
                <w:szCs w:val="20"/>
              </w:rPr>
            </w:pPr>
            <w:r>
              <w:rPr>
                <w:rFonts w:ascii="Arial" w:hAnsi="Arial" w:cs="Arial"/>
              </w:rPr>
              <w:t>319,174</w:t>
            </w:r>
          </w:p>
        </w:tc>
      </w:tr>
      <w:tr w:rsidR="00E5497C" w:rsidRPr="00BA56F7" w14:paraId="5B1BCE7E" w14:textId="77777777" w:rsidTr="00CD2111">
        <w:tc>
          <w:tcPr>
            <w:tcW w:w="2610" w:type="dxa"/>
            <w:tcBorders>
              <w:left w:val="nil"/>
            </w:tcBorders>
            <w:vAlign w:val="bottom"/>
          </w:tcPr>
          <w:p w14:paraId="027E0DD7" w14:textId="6DEB87C0" w:rsidR="00E5497C" w:rsidRPr="00BA56F7" w:rsidRDefault="00E5497C" w:rsidP="003F632A">
            <w:pPr>
              <w:spacing w:after="0"/>
              <w:rPr>
                <w:rFonts w:ascii="Arial" w:hAnsi="Arial" w:cs="Arial"/>
                <w:szCs w:val="20"/>
              </w:rPr>
            </w:pPr>
            <w:r>
              <w:rPr>
                <w:rFonts w:ascii="Arial" w:hAnsi="Arial" w:cs="Arial"/>
                <w:szCs w:val="20"/>
              </w:rPr>
              <w:t>Exchange</w:t>
            </w:r>
            <w:r w:rsidRPr="00BA56F7">
              <w:rPr>
                <w:rFonts w:ascii="Arial" w:hAnsi="Arial" w:cs="Arial"/>
                <w:szCs w:val="20"/>
              </w:rPr>
              <w:t xml:space="preserve"> agreement</w:t>
            </w:r>
            <w:r>
              <w:rPr>
                <w:rFonts w:ascii="Arial" w:hAnsi="Arial" w:cs="Arial"/>
                <w:szCs w:val="20"/>
              </w:rPr>
              <w:t xml:space="preserve">s (Notes </w:t>
            </w:r>
            <w:r w:rsidR="003F632A">
              <w:rPr>
                <w:rFonts w:ascii="Arial" w:hAnsi="Arial" w:cs="Arial"/>
                <w:szCs w:val="20"/>
              </w:rPr>
              <w:t xml:space="preserve">4(a) and </w:t>
            </w:r>
            <w:r>
              <w:rPr>
                <w:rFonts w:ascii="Arial" w:hAnsi="Arial" w:cs="Arial"/>
                <w:szCs w:val="20"/>
              </w:rPr>
              <w:t>4(b</w:t>
            </w:r>
            <w:r w:rsidRPr="00BA56F7">
              <w:rPr>
                <w:rFonts w:ascii="Arial" w:hAnsi="Arial" w:cs="Arial"/>
                <w:szCs w:val="20"/>
              </w:rPr>
              <w:t>))</w:t>
            </w:r>
          </w:p>
        </w:tc>
        <w:tc>
          <w:tcPr>
            <w:tcW w:w="1559" w:type="dxa"/>
            <w:tcBorders>
              <w:left w:val="nil"/>
            </w:tcBorders>
          </w:tcPr>
          <w:p w14:paraId="614E8A11" w14:textId="77777777" w:rsidR="00E5497C" w:rsidRDefault="00E5497C" w:rsidP="00E5497C">
            <w:pPr>
              <w:spacing w:after="0"/>
              <w:ind w:right="173"/>
              <w:jc w:val="right"/>
              <w:rPr>
                <w:rFonts w:ascii="Arial" w:hAnsi="Arial" w:cs="Arial"/>
              </w:rPr>
            </w:pPr>
          </w:p>
          <w:p w14:paraId="3FD28E68" w14:textId="1D13955B" w:rsidR="00E5497C" w:rsidRPr="00BA56F7"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6E26560D" w14:textId="77777777" w:rsidR="00E5497C" w:rsidRDefault="00E5497C" w:rsidP="00E5497C">
            <w:pPr>
              <w:spacing w:after="0"/>
              <w:ind w:right="173"/>
              <w:jc w:val="right"/>
              <w:rPr>
                <w:rFonts w:ascii="Arial" w:hAnsi="Arial" w:cs="Arial"/>
              </w:rPr>
            </w:pPr>
          </w:p>
          <w:p w14:paraId="61E69E06" w14:textId="00458F4D" w:rsidR="00E5497C" w:rsidRPr="00BA56F7" w:rsidRDefault="00E5497C" w:rsidP="00E5497C">
            <w:pPr>
              <w:spacing w:after="0"/>
              <w:ind w:right="173"/>
              <w:jc w:val="right"/>
              <w:rPr>
                <w:rFonts w:ascii="Arial" w:hAnsi="Arial" w:cs="Arial"/>
              </w:rPr>
            </w:pPr>
            <w:r>
              <w:rPr>
                <w:rFonts w:ascii="Arial" w:hAnsi="Arial" w:cs="Arial"/>
              </w:rPr>
              <w:t>830,000</w:t>
            </w:r>
          </w:p>
        </w:tc>
        <w:tc>
          <w:tcPr>
            <w:tcW w:w="1559" w:type="dxa"/>
            <w:tcBorders>
              <w:left w:val="nil"/>
            </w:tcBorders>
          </w:tcPr>
          <w:p w14:paraId="42D34761" w14:textId="77777777" w:rsidR="00E5497C" w:rsidRPr="00F3617B" w:rsidRDefault="00E5497C" w:rsidP="00E5497C">
            <w:pPr>
              <w:spacing w:after="0"/>
              <w:ind w:right="173"/>
              <w:jc w:val="right"/>
              <w:rPr>
                <w:rFonts w:ascii="Arial" w:hAnsi="Arial" w:cs="Arial"/>
              </w:rPr>
            </w:pPr>
          </w:p>
          <w:p w14:paraId="1388F8BF" w14:textId="3E661D98" w:rsidR="00E5497C" w:rsidRPr="00BA56F7" w:rsidRDefault="00E5497C" w:rsidP="00E5497C">
            <w:pPr>
              <w:spacing w:after="0"/>
              <w:ind w:right="173"/>
              <w:jc w:val="right"/>
              <w:rPr>
                <w:rFonts w:ascii="Arial" w:hAnsi="Arial" w:cs="Arial"/>
              </w:rPr>
            </w:pPr>
            <w:r>
              <w:rPr>
                <w:rFonts w:ascii="Arial" w:hAnsi="Arial" w:cs="Arial"/>
              </w:rPr>
              <w:t>8,008,411</w:t>
            </w:r>
          </w:p>
        </w:tc>
        <w:tc>
          <w:tcPr>
            <w:tcW w:w="1559" w:type="dxa"/>
            <w:tcBorders>
              <w:left w:val="nil"/>
              <w:right w:val="nil"/>
            </w:tcBorders>
            <w:vAlign w:val="bottom"/>
          </w:tcPr>
          <w:p w14:paraId="38E59898" w14:textId="447C7EA2" w:rsidR="00E5497C" w:rsidRPr="00BA56F7" w:rsidRDefault="00E5497C" w:rsidP="00E5497C">
            <w:pPr>
              <w:spacing w:after="0"/>
              <w:ind w:right="173"/>
              <w:jc w:val="right"/>
              <w:rPr>
                <w:rFonts w:ascii="Arial" w:hAnsi="Arial" w:cs="Arial"/>
                <w:szCs w:val="20"/>
              </w:rPr>
            </w:pPr>
            <w:r>
              <w:rPr>
                <w:rFonts w:ascii="Arial" w:hAnsi="Arial" w:cs="Arial"/>
              </w:rPr>
              <w:t>8,838,411</w:t>
            </w:r>
          </w:p>
        </w:tc>
      </w:tr>
      <w:tr w:rsidR="00E5497C" w:rsidRPr="00BA56F7" w14:paraId="2B3CDF88" w14:textId="77777777" w:rsidTr="00CD2111">
        <w:tc>
          <w:tcPr>
            <w:tcW w:w="2610" w:type="dxa"/>
            <w:tcBorders>
              <w:left w:val="nil"/>
            </w:tcBorders>
            <w:vAlign w:val="bottom"/>
          </w:tcPr>
          <w:p w14:paraId="2FE91F4C" w14:textId="77777777" w:rsidR="00E5497C" w:rsidRPr="00BA56F7" w:rsidRDefault="00E5497C" w:rsidP="00E5497C">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D6277FC" w14:textId="77777777" w:rsidR="00E5497C" w:rsidRDefault="00E5497C" w:rsidP="00E5497C">
            <w:pPr>
              <w:spacing w:after="0"/>
              <w:ind w:right="173"/>
              <w:jc w:val="right"/>
              <w:rPr>
                <w:rFonts w:ascii="Arial" w:hAnsi="Arial" w:cs="Arial"/>
              </w:rPr>
            </w:pPr>
          </w:p>
          <w:p w14:paraId="65A1BC10"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08B89087" w14:textId="77777777" w:rsidR="00E5497C" w:rsidRDefault="00E5497C" w:rsidP="00E5497C">
            <w:pPr>
              <w:spacing w:after="0"/>
              <w:ind w:right="173"/>
              <w:jc w:val="right"/>
              <w:rPr>
                <w:rFonts w:ascii="Arial" w:hAnsi="Arial" w:cs="Arial"/>
              </w:rPr>
            </w:pPr>
          </w:p>
          <w:p w14:paraId="2B8D2EEF"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tcBorders>
          </w:tcPr>
          <w:p w14:paraId="2893C3B8" w14:textId="77777777" w:rsidR="00E5497C" w:rsidRPr="00F3617B" w:rsidRDefault="00E5497C" w:rsidP="00E5497C">
            <w:pPr>
              <w:spacing w:after="0"/>
              <w:ind w:right="173"/>
              <w:jc w:val="right"/>
              <w:rPr>
                <w:rFonts w:ascii="Arial" w:hAnsi="Arial" w:cs="Arial"/>
              </w:rPr>
            </w:pPr>
          </w:p>
          <w:p w14:paraId="73E7CB0A" w14:textId="47C837FE" w:rsidR="00E5497C" w:rsidRDefault="00E5497C" w:rsidP="00E5497C">
            <w:pPr>
              <w:spacing w:after="0"/>
              <w:ind w:right="173"/>
              <w:jc w:val="right"/>
              <w:rPr>
                <w:rFonts w:ascii="Arial" w:hAnsi="Arial" w:cs="Arial"/>
              </w:rPr>
            </w:pPr>
            <w:r>
              <w:rPr>
                <w:rFonts w:ascii="Arial" w:hAnsi="Arial" w:cs="Arial"/>
              </w:rPr>
              <w:t>128,866</w:t>
            </w:r>
          </w:p>
        </w:tc>
        <w:tc>
          <w:tcPr>
            <w:tcW w:w="1559" w:type="dxa"/>
            <w:tcBorders>
              <w:left w:val="nil"/>
              <w:right w:val="nil"/>
            </w:tcBorders>
            <w:vAlign w:val="bottom"/>
          </w:tcPr>
          <w:p w14:paraId="1E653206" w14:textId="43B25D55" w:rsidR="00E5497C" w:rsidRPr="00BA56F7" w:rsidRDefault="00E5497C" w:rsidP="00E5497C">
            <w:pPr>
              <w:spacing w:after="0"/>
              <w:ind w:right="173"/>
              <w:jc w:val="right"/>
              <w:rPr>
                <w:rFonts w:ascii="Arial" w:hAnsi="Arial" w:cs="Arial"/>
                <w:szCs w:val="20"/>
              </w:rPr>
            </w:pPr>
            <w:r>
              <w:rPr>
                <w:rFonts w:ascii="Arial" w:hAnsi="Arial" w:cs="Arial"/>
              </w:rPr>
              <w:t>128,866</w:t>
            </w:r>
          </w:p>
        </w:tc>
      </w:tr>
      <w:tr w:rsidR="002956D7" w:rsidRPr="00BA56F7" w14:paraId="2429DD1D" w14:textId="77777777" w:rsidTr="00CD2111">
        <w:trPr>
          <w:trHeight w:hRule="exact" w:val="86"/>
        </w:trPr>
        <w:tc>
          <w:tcPr>
            <w:tcW w:w="2610" w:type="dxa"/>
            <w:tcBorders>
              <w:top w:val="single" w:sz="4" w:space="0" w:color="auto"/>
              <w:left w:val="nil"/>
            </w:tcBorders>
            <w:vAlign w:val="bottom"/>
          </w:tcPr>
          <w:p w14:paraId="59582598" w14:textId="77777777" w:rsidR="002956D7" w:rsidRPr="00BA56F7" w:rsidRDefault="002956D7" w:rsidP="00C74354">
            <w:pPr>
              <w:spacing w:after="0"/>
              <w:rPr>
                <w:rFonts w:ascii="Arial" w:hAnsi="Arial" w:cs="Arial"/>
                <w:szCs w:val="20"/>
              </w:rPr>
            </w:pPr>
          </w:p>
        </w:tc>
        <w:tc>
          <w:tcPr>
            <w:tcW w:w="1559" w:type="dxa"/>
            <w:tcBorders>
              <w:top w:val="single" w:sz="4" w:space="0" w:color="auto"/>
              <w:left w:val="nil"/>
            </w:tcBorders>
          </w:tcPr>
          <w:p w14:paraId="25A7131C"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right w:val="nil"/>
            </w:tcBorders>
          </w:tcPr>
          <w:p w14:paraId="1594D950"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tcBorders>
          </w:tcPr>
          <w:p w14:paraId="0A619820" w14:textId="77777777" w:rsidR="002956D7" w:rsidRPr="00BA56F7" w:rsidRDefault="002956D7" w:rsidP="00C74354">
            <w:pPr>
              <w:spacing w:after="0"/>
              <w:ind w:right="173"/>
              <w:jc w:val="right"/>
              <w:rPr>
                <w:rFonts w:ascii="Arial" w:hAnsi="Arial" w:cs="Arial"/>
                <w:szCs w:val="20"/>
              </w:rPr>
            </w:pPr>
          </w:p>
        </w:tc>
        <w:tc>
          <w:tcPr>
            <w:tcW w:w="1559" w:type="dxa"/>
            <w:tcBorders>
              <w:top w:val="single" w:sz="4" w:space="0" w:color="auto"/>
              <w:left w:val="nil"/>
              <w:right w:val="nil"/>
            </w:tcBorders>
            <w:vAlign w:val="bottom"/>
          </w:tcPr>
          <w:p w14:paraId="5D15B0BB" w14:textId="77777777" w:rsidR="002956D7" w:rsidRPr="00BA56F7" w:rsidRDefault="002956D7" w:rsidP="00C74354">
            <w:pPr>
              <w:spacing w:after="0"/>
              <w:ind w:right="173"/>
              <w:jc w:val="right"/>
              <w:rPr>
                <w:rFonts w:ascii="Arial" w:hAnsi="Arial" w:cs="Arial"/>
                <w:szCs w:val="20"/>
              </w:rPr>
            </w:pPr>
          </w:p>
        </w:tc>
      </w:tr>
      <w:tr w:rsidR="00E5497C" w:rsidRPr="00BA56F7" w14:paraId="7E511E46" w14:textId="77777777" w:rsidTr="00CD2111">
        <w:tc>
          <w:tcPr>
            <w:tcW w:w="2610" w:type="dxa"/>
            <w:tcBorders>
              <w:left w:val="nil"/>
            </w:tcBorders>
            <w:vAlign w:val="bottom"/>
          </w:tcPr>
          <w:p w14:paraId="75145994" w14:textId="77777777" w:rsidR="00E5497C" w:rsidRPr="00BA56F7" w:rsidRDefault="00E5497C" w:rsidP="00E5497C">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559" w:type="dxa"/>
            <w:tcBorders>
              <w:left w:val="nil"/>
            </w:tcBorders>
          </w:tcPr>
          <w:p w14:paraId="28BD7DE0" w14:textId="77777777" w:rsidR="00E5497C" w:rsidRDefault="00E5497C" w:rsidP="00E5497C">
            <w:pPr>
              <w:spacing w:after="0"/>
              <w:ind w:right="173"/>
              <w:jc w:val="right"/>
              <w:rPr>
                <w:rFonts w:ascii="Arial" w:hAnsi="Arial" w:cs="Arial"/>
              </w:rPr>
            </w:pPr>
            <w:r>
              <w:rPr>
                <w:rFonts w:ascii="Arial" w:hAnsi="Arial" w:cs="Arial"/>
              </w:rPr>
              <w:t>319,174</w:t>
            </w:r>
          </w:p>
        </w:tc>
        <w:tc>
          <w:tcPr>
            <w:tcW w:w="1559" w:type="dxa"/>
            <w:tcBorders>
              <w:left w:val="nil"/>
              <w:right w:val="nil"/>
            </w:tcBorders>
          </w:tcPr>
          <w:p w14:paraId="0892BEA3" w14:textId="3324D37A" w:rsidR="00E5497C" w:rsidRDefault="00E5497C" w:rsidP="00E5497C">
            <w:pPr>
              <w:spacing w:after="0"/>
              <w:ind w:right="173"/>
              <w:jc w:val="right"/>
              <w:rPr>
                <w:rFonts w:ascii="Arial" w:hAnsi="Arial" w:cs="Arial"/>
              </w:rPr>
            </w:pPr>
            <w:r>
              <w:rPr>
                <w:rFonts w:ascii="Arial" w:hAnsi="Arial" w:cs="Arial"/>
              </w:rPr>
              <w:t>830,000</w:t>
            </w:r>
          </w:p>
        </w:tc>
        <w:tc>
          <w:tcPr>
            <w:tcW w:w="1559" w:type="dxa"/>
            <w:tcBorders>
              <w:left w:val="nil"/>
            </w:tcBorders>
          </w:tcPr>
          <w:p w14:paraId="00A838E7" w14:textId="438ED621" w:rsidR="00E5497C" w:rsidRDefault="00E5497C" w:rsidP="00E5497C">
            <w:pPr>
              <w:spacing w:after="0"/>
              <w:ind w:right="173"/>
              <w:jc w:val="right"/>
              <w:rPr>
                <w:rFonts w:ascii="Arial" w:hAnsi="Arial" w:cs="Arial"/>
              </w:rPr>
            </w:pPr>
            <w:r>
              <w:rPr>
                <w:rFonts w:ascii="Arial" w:hAnsi="Arial" w:cs="Arial"/>
              </w:rPr>
              <w:t>8,137,277</w:t>
            </w:r>
          </w:p>
        </w:tc>
        <w:tc>
          <w:tcPr>
            <w:tcW w:w="1559" w:type="dxa"/>
            <w:tcBorders>
              <w:left w:val="nil"/>
              <w:right w:val="nil"/>
            </w:tcBorders>
            <w:vAlign w:val="bottom"/>
          </w:tcPr>
          <w:p w14:paraId="509BA68C" w14:textId="4072FE76" w:rsidR="00E5497C" w:rsidRPr="00BA56F7" w:rsidRDefault="00E5497C" w:rsidP="00E5497C">
            <w:pPr>
              <w:spacing w:after="0"/>
              <w:ind w:right="173"/>
              <w:jc w:val="right"/>
              <w:rPr>
                <w:rFonts w:ascii="Arial" w:hAnsi="Arial" w:cs="Arial"/>
                <w:szCs w:val="20"/>
              </w:rPr>
            </w:pPr>
            <w:r>
              <w:rPr>
                <w:rFonts w:ascii="Arial" w:hAnsi="Arial" w:cs="Arial"/>
              </w:rPr>
              <w:t>9,286,451</w:t>
            </w:r>
          </w:p>
        </w:tc>
      </w:tr>
      <w:tr w:rsidR="00EE5527" w:rsidRPr="00BA56F7" w14:paraId="681200BC" w14:textId="77777777" w:rsidTr="00CD2111">
        <w:tc>
          <w:tcPr>
            <w:tcW w:w="2610" w:type="dxa"/>
            <w:tcBorders>
              <w:left w:val="nil"/>
            </w:tcBorders>
            <w:vAlign w:val="bottom"/>
          </w:tcPr>
          <w:p w14:paraId="54CDAF5C" w14:textId="77777777" w:rsidR="00EE5527" w:rsidRPr="00BA56F7" w:rsidRDefault="00EE5527" w:rsidP="00EE5527">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3557C1C" w14:textId="77777777" w:rsidR="00EE5527" w:rsidRDefault="00EE5527" w:rsidP="00EE5527">
            <w:pPr>
              <w:spacing w:after="0"/>
              <w:ind w:right="173"/>
              <w:jc w:val="right"/>
              <w:rPr>
                <w:rFonts w:ascii="Arial" w:hAnsi="Arial" w:cs="Arial"/>
              </w:rPr>
            </w:pPr>
          </w:p>
          <w:p w14:paraId="2AD31C33" w14:textId="5186EC8D" w:rsidR="004F1F64"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402DC7C5" w14:textId="77777777" w:rsidR="00EE5527" w:rsidRDefault="00EE5527" w:rsidP="00EE5527">
            <w:pPr>
              <w:spacing w:after="0"/>
              <w:ind w:right="173"/>
              <w:jc w:val="right"/>
              <w:rPr>
                <w:rFonts w:ascii="Arial" w:hAnsi="Arial" w:cs="Arial"/>
              </w:rPr>
            </w:pPr>
          </w:p>
          <w:p w14:paraId="7C4FDEF8" w14:textId="3755B5A5" w:rsidR="004F1F64" w:rsidRDefault="004F1F64" w:rsidP="00EE5527">
            <w:pPr>
              <w:spacing w:after="0"/>
              <w:ind w:right="173"/>
              <w:jc w:val="right"/>
              <w:rPr>
                <w:rFonts w:ascii="Arial" w:hAnsi="Arial" w:cs="Arial"/>
              </w:rPr>
            </w:pPr>
            <w:r w:rsidRPr="00BA56F7">
              <w:rPr>
                <w:rFonts w:ascii="Arial" w:hAnsi="Arial" w:cs="Arial"/>
              </w:rPr>
              <w:t>–</w:t>
            </w:r>
          </w:p>
        </w:tc>
        <w:tc>
          <w:tcPr>
            <w:tcW w:w="1559" w:type="dxa"/>
            <w:tcBorders>
              <w:left w:val="nil"/>
            </w:tcBorders>
          </w:tcPr>
          <w:p w14:paraId="5676D8EC" w14:textId="77777777" w:rsidR="00EE5527" w:rsidRDefault="00EE5527" w:rsidP="00EE5527">
            <w:pPr>
              <w:spacing w:after="0"/>
              <w:ind w:right="173"/>
              <w:jc w:val="right"/>
              <w:rPr>
                <w:rFonts w:ascii="Arial" w:hAnsi="Arial" w:cs="Arial"/>
              </w:rPr>
            </w:pPr>
          </w:p>
          <w:p w14:paraId="1ADC9C7E" w14:textId="3F7BA094" w:rsidR="004F1F64" w:rsidRDefault="00CD2111" w:rsidP="00EE5527">
            <w:pPr>
              <w:spacing w:after="0"/>
              <w:ind w:right="173"/>
              <w:jc w:val="right"/>
              <w:rPr>
                <w:rFonts w:ascii="Arial" w:hAnsi="Arial" w:cs="Arial"/>
              </w:rPr>
            </w:pPr>
            <w:r>
              <w:rPr>
                <w:rFonts w:ascii="Arial" w:hAnsi="Arial" w:cs="Arial"/>
              </w:rPr>
              <w:t>2,476</w:t>
            </w:r>
          </w:p>
        </w:tc>
        <w:tc>
          <w:tcPr>
            <w:tcW w:w="1559" w:type="dxa"/>
            <w:tcBorders>
              <w:left w:val="nil"/>
              <w:right w:val="nil"/>
            </w:tcBorders>
            <w:vAlign w:val="bottom"/>
          </w:tcPr>
          <w:p w14:paraId="71CD325D" w14:textId="55679B92" w:rsidR="00EE5527" w:rsidRPr="00BA56F7" w:rsidRDefault="00CD2111" w:rsidP="00EE5527">
            <w:pPr>
              <w:spacing w:after="0"/>
              <w:ind w:right="173"/>
              <w:jc w:val="right"/>
              <w:rPr>
                <w:rFonts w:ascii="Arial" w:hAnsi="Arial" w:cs="Arial"/>
                <w:szCs w:val="20"/>
              </w:rPr>
            </w:pPr>
            <w:r>
              <w:rPr>
                <w:rFonts w:ascii="Arial" w:hAnsi="Arial" w:cs="Arial"/>
                <w:szCs w:val="20"/>
              </w:rPr>
              <w:t>2,476</w:t>
            </w:r>
          </w:p>
        </w:tc>
      </w:tr>
      <w:tr w:rsidR="00EE5527" w:rsidRPr="00BA56F7" w14:paraId="4F73A4FD" w14:textId="77777777" w:rsidTr="00CD2111">
        <w:trPr>
          <w:trHeight w:hRule="exact" w:val="86"/>
        </w:trPr>
        <w:tc>
          <w:tcPr>
            <w:tcW w:w="2610" w:type="dxa"/>
            <w:tcBorders>
              <w:top w:val="single" w:sz="4" w:space="0" w:color="auto"/>
              <w:left w:val="nil"/>
            </w:tcBorders>
            <w:vAlign w:val="bottom"/>
          </w:tcPr>
          <w:p w14:paraId="15B31C51" w14:textId="77777777" w:rsidR="00EE5527" w:rsidRPr="00BA56F7" w:rsidRDefault="00EE5527" w:rsidP="00EE5527">
            <w:pPr>
              <w:spacing w:after="0"/>
              <w:rPr>
                <w:rFonts w:ascii="Arial" w:hAnsi="Arial" w:cs="Arial"/>
                <w:szCs w:val="20"/>
              </w:rPr>
            </w:pPr>
          </w:p>
        </w:tc>
        <w:tc>
          <w:tcPr>
            <w:tcW w:w="1559" w:type="dxa"/>
            <w:tcBorders>
              <w:top w:val="single" w:sz="4" w:space="0" w:color="auto"/>
              <w:left w:val="nil"/>
            </w:tcBorders>
          </w:tcPr>
          <w:p w14:paraId="57F9147F" w14:textId="77777777"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right w:val="nil"/>
            </w:tcBorders>
          </w:tcPr>
          <w:p w14:paraId="1F9F2296" w14:textId="7FED91A3"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tcBorders>
          </w:tcPr>
          <w:p w14:paraId="00F5FB94" w14:textId="1F29BF5D" w:rsidR="00EE5527" w:rsidRPr="00BA56F7" w:rsidRDefault="00EE5527" w:rsidP="00EE5527">
            <w:pPr>
              <w:spacing w:after="0"/>
              <w:ind w:right="173"/>
              <w:jc w:val="right"/>
              <w:rPr>
                <w:rFonts w:ascii="Arial" w:hAnsi="Arial" w:cs="Arial"/>
                <w:szCs w:val="20"/>
              </w:rPr>
            </w:pPr>
          </w:p>
        </w:tc>
        <w:tc>
          <w:tcPr>
            <w:tcW w:w="1559" w:type="dxa"/>
            <w:tcBorders>
              <w:top w:val="single" w:sz="4" w:space="0" w:color="auto"/>
              <w:left w:val="nil"/>
              <w:right w:val="nil"/>
            </w:tcBorders>
            <w:vAlign w:val="bottom"/>
          </w:tcPr>
          <w:p w14:paraId="1352181C" w14:textId="1C6C473F" w:rsidR="00EE5527" w:rsidRPr="00BA56F7" w:rsidRDefault="00EE5527" w:rsidP="00EE5527">
            <w:pPr>
              <w:spacing w:after="0"/>
              <w:ind w:right="173"/>
              <w:jc w:val="right"/>
              <w:rPr>
                <w:rFonts w:ascii="Arial" w:hAnsi="Arial" w:cs="Arial"/>
                <w:szCs w:val="20"/>
              </w:rPr>
            </w:pPr>
          </w:p>
        </w:tc>
      </w:tr>
      <w:tr w:rsidR="00EE5527" w:rsidRPr="00BA56F7" w14:paraId="31A1B3B7" w14:textId="77777777" w:rsidTr="00CD2111">
        <w:tc>
          <w:tcPr>
            <w:tcW w:w="2610" w:type="dxa"/>
            <w:tcBorders>
              <w:left w:val="nil"/>
              <w:bottom w:val="single" w:sz="12" w:space="0" w:color="auto"/>
            </w:tcBorders>
            <w:vAlign w:val="bottom"/>
          </w:tcPr>
          <w:p w14:paraId="228D6E4E" w14:textId="53E68E67" w:rsidR="00EE5527" w:rsidRPr="00BA56F7" w:rsidRDefault="00EE5527" w:rsidP="002956D7">
            <w:pPr>
              <w:spacing w:after="0"/>
              <w:rPr>
                <w:rFonts w:ascii="Arial" w:hAnsi="Arial" w:cs="Arial"/>
                <w:szCs w:val="20"/>
              </w:rPr>
            </w:pPr>
            <w:r w:rsidRPr="00BA56F7">
              <w:rPr>
                <w:rFonts w:ascii="Arial" w:hAnsi="Arial" w:cs="Arial"/>
                <w:szCs w:val="20"/>
              </w:rPr>
              <w:t xml:space="preserve">Balance, </w:t>
            </w:r>
            <w:r w:rsidR="002956D7">
              <w:rPr>
                <w:rFonts w:ascii="Arial" w:hAnsi="Arial" w:cs="Arial"/>
                <w:szCs w:val="20"/>
              </w:rPr>
              <w:t>July</w:t>
            </w:r>
            <w:r w:rsidR="004F1F64">
              <w:rPr>
                <w:rFonts w:ascii="Arial" w:hAnsi="Arial" w:cs="Arial"/>
                <w:szCs w:val="20"/>
              </w:rPr>
              <w:t xml:space="preserve"> 31, 2019</w:t>
            </w:r>
          </w:p>
        </w:tc>
        <w:tc>
          <w:tcPr>
            <w:tcW w:w="1559" w:type="dxa"/>
            <w:tcBorders>
              <w:left w:val="nil"/>
              <w:bottom w:val="single" w:sz="12" w:space="0" w:color="auto"/>
            </w:tcBorders>
          </w:tcPr>
          <w:p w14:paraId="16059C87" w14:textId="17659E50" w:rsidR="00EE5527" w:rsidRDefault="004F1F64" w:rsidP="00EE5527">
            <w:pPr>
              <w:spacing w:after="0"/>
              <w:ind w:right="173"/>
              <w:jc w:val="right"/>
              <w:rPr>
                <w:rFonts w:ascii="Arial" w:hAnsi="Arial" w:cs="Arial"/>
              </w:rPr>
            </w:pPr>
            <w:r>
              <w:rPr>
                <w:rFonts w:ascii="Arial" w:hAnsi="Arial" w:cs="Arial"/>
              </w:rPr>
              <w:t>319,174</w:t>
            </w:r>
          </w:p>
        </w:tc>
        <w:tc>
          <w:tcPr>
            <w:tcW w:w="1559" w:type="dxa"/>
            <w:tcBorders>
              <w:left w:val="nil"/>
              <w:bottom w:val="single" w:sz="12" w:space="0" w:color="auto"/>
              <w:right w:val="nil"/>
            </w:tcBorders>
          </w:tcPr>
          <w:p w14:paraId="60454926" w14:textId="38D39DED" w:rsidR="00EE5527" w:rsidRDefault="002956D7" w:rsidP="00EE5527">
            <w:pPr>
              <w:spacing w:after="0"/>
              <w:ind w:right="173"/>
              <w:jc w:val="right"/>
              <w:rPr>
                <w:rFonts w:ascii="Arial" w:hAnsi="Arial" w:cs="Arial"/>
              </w:rPr>
            </w:pPr>
            <w:r>
              <w:rPr>
                <w:rFonts w:ascii="Arial" w:hAnsi="Arial" w:cs="Arial"/>
              </w:rPr>
              <w:t>830</w:t>
            </w:r>
            <w:r w:rsidR="004F1F64">
              <w:rPr>
                <w:rFonts w:ascii="Arial" w:hAnsi="Arial" w:cs="Arial"/>
              </w:rPr>
              <w:t>,000</w:t>
            </w:r>
          </w:p>
        </w:tc>
        <w:tc>
          <w:tcPr>
            <w:tcW w:w="1559" w:type="dxa"/>
            <w:tcBorders>
              <w:left w:val="nil"/>
              <w:bottom w:val="single" w:sz="12" w:space="0" w:color="auto"/>
            </w:tcBorders>
          </w:tcPr>
          <w:p w14:paraId="46DD9213" w14:textId="26603F42" w:rsidR="00EE5527" w:rsidRDefault="00CD2111" w:rsidP="00EE5527">
            <w:pPr>
              <w:spacing w:after="0"/>
              <w:ind w:right="173"/>
              <w:jc w:val="right"/>
              <w:rPr>
                <w:rFonts w:ascii="Arial" w:hAnsi="Arial" w:cs="Arial"/>
              </w:rPr>
            </w:pPr>
            <w:r>
              <w:rPr>
                <w:rFonts w:ascii="Arial" w:hAnsi="Arial" w:cs="Arial"/>
              </w:rPr>
              <w:t>8,139,753</w:t>
            </w:r>
          </w:p>
        </w:tc>
        <w:tc>
          <w:tcPr>
            <w:tcW w:w="1559" w:type="dxa"/>
            <w:tcBorders>
              <w:left w:val="nil"/>
              <w:bottom w:val="single" w:sz="12" w:space="0" w:color="auto"/>
              <w:right w:val="nil"/>
            </w:tcBorders>
            <w:vAlign w:val="bottom"/>
          </w:tcPr>
          <w:p w14:paraId="26CD6B7F" w14:textId="4F9A29A0" w:rsidR="00EE5527" w:rsidRPr="00BA56F7" w:rsidRDefault="00CD2111" w:rsidP="00EE5527">
            <w:pPr>
              <w:spacing w:after="0"/>
              <w:ind w:right="173"/>
              <w:jc w:val="right"/>
              <w:rPr>
                <w:rFonts w:ascii="Arial" w:hAnsi="Arial" w:cs="Arial"/>
                <w:szCs w:val="20"/>
              </w:rPr>
            </w:pPr>
            <w:r>
              <w:rPr>
                <w:rFonts w:ascii="Arial" w:hAnsi="Arial" w:cs="Arial"/>
                <w:szCs w:val="20"/>
              </w:rPr>
              <w:t>9,288,927</w:t>
            </w:r>
          </w:p>
        </w:tc>
      </w:tr>
    </w:tbl>
    <w:p w14:paraId="23783F63" w14:textId="77777777" w:rsidR="00BA56F7" w:rsidRDefault="00BA56F7" w:rsidP="00F15B99">
      <w:pPr>
        <w:tabs>
          <w:tab w:val="left" w:pos="450"/>
        </w:tabs>
        <w:spacing w:after="0" w:line="240" w:lineRule="auto"/>
        <w:jc w:val="both"/>
        <w:rPr>
          <w:rFonts w:ascii="Arial" w:hAnsi="Arial" w:cs="Arial"/>
          <w:b/>
          <w:szCs w:val="20"/>
        </w:rPr>
      </w:pPr>
    </w:p>
    <w:p w14:paraId="18898A33" w14:textId="5AFD6A18" w:rsidR="0007122C" w:rsidRPr="0007122C" w:rsidRDefault="0007122C" w:rsidP="0007122C">
      <w:pPr>
        <w:tabs>
          <w:tab w:val="left" w:pos="450"/>
        </w:tabs>
        <w:spacing w:after="0" w:line="240" w:lineRule="auto"/>
        <w:jc w:val="both"/>
        <w:rPr>
          <w:rFonts w:ascii="Arial" w:hAnsi="Arial" w:cs="Arial"/>
          <w:szCs w:val="20"/>
        </w:rPr>
      </w:pPr>
      <w:r>
        <w:rPr>
          <w:rFonts w:ascii="Arial" w:hAnsi="Arial" w:cs="Arial"/>
          <w:b/>
          <w:szCs w:val="20"/>
        </w:rPr>
        <w:lastRenderedPageBreak/>
        <w:t>7</w:t>
      </w:r>
      <w:r w:rsidRPr="00BA56F7">
        <w:rPr>
          <w:rFonts w:ascii="Arial" w:hAnsi="Arial" w:cs="Arial"/>
          <w:b/>
          <w:szCs w:val="20"/>
        </w:rPr>
        <w:t xml:space="preserve">.    </w:t>
      </w:r>
      <w:r w:rsidRPr="00BA56F7">
        <w:rPr>
          <w:rFonts w:ascii="Arial" w:hAnsi="Arial" w:cs="Arial"/>
          <w:b/>
          <w:szCs w:val="20"/>
        </w:rPr>
        <w:tab/>
        <w:t>Intangible Asset</w:t>
      </w:r>
      <w:r>
        <w:rPr>
          <w:rFonts w:ascii="Arial" w:hAnsi="Arial" w:cs="Arial"/>
          <w:szCs w:val="20"/>
        </w:rPr>
        <w:t xml:space="preserve"> (continued)</w:t>
      </w:r>
    </w:p>
    <w:p w14:paraId="4722AE67" w14:textId="77777777" w:rsidR="0007122C" w:rsidRDefault="0007122C" w:rsidP="00F15B99">
      <w:pPr>
        <w:tabs>
          <w:tab w:val="left" w:pos="450"/>
        </w:tabs>
        <w:spacing w:after="0" w:line="240" w:lineRule="auto"/>
        <w:jc w:val="both"/>
        <w:rPr>
          <w:rFonts w:ascii="Arial" w:hAnsi="Arial" w:cs="Arial"/>
          <w:b/>
          <w:szCs w:val="20"/>
        </w:rPr>
      </w:pPr>
    </w:p>
    <w:tbl>
      <w:tblPr>
        <w:tblW w:w="8913" w:type="dxa"/>
        <w:tblInd w:w="450" w:type="dxa"/>
        <w:tblLayout w:type="fixed"/>
        <w:tblCellMar>
          <w:left w:w="0" w:type="dxa"/>
          <w:right w:w="0" w:type="dxa"/>
        </w:tblCellMar>
        <w:tblLook w:val="0000" w:firstRow="0" w:lastRow="0" w:firstColumn="0" w:lastColumn="0" w:noHBand="0" w:noVBand="0"/>
      </w:tblPr>
      <w:tblGrid>
        <w:gridCol w:w="2610"/>
        <w:gridCol w:w="1559"/>
        <w:gridCol w:w="1559"/>
        <w:gridCol w:w="1562"/>
        <w:gridCol w:w="90"/>
        <w:gridCol w:w="1440"/>
        <w:gridCol w:w="93"/>
      </w:tblGrid>
      <w:tr w:rsidR="0007122C" w:rsidRPr="00BA56F7" w14:paraId="2646ACFF" w14:textId="77777777" w:rsidTr="00CD2111">
        <w:trPr>
          <w:gridAfter w:val="1"/>
          <w:wAfter w:w="93" w:type="dxa"/>
        </w:trPr>
        <w:tc>
          <w:tcPr>
            <w:tcW w:w="2610" w:type="dxa"/>
            <w:tcBorders>
              <w:left w:val="nil"/>
            </w:tcBorders>
            <w:vAlign w:val="bottom"/>
          </w:tcPr>
          <w:p w14:paraId="69D74514" w14:textId="0936A37A" w:rsidR="0007122C" w:rsidRPr="004F1F64" w:rsidRDefault="0007122C" w:rsidP="0007122C">
            <w:pPr>
              <w:spacing w:after="0"/>
              <w:rPr>
                <w:rFonts w:ascii="Arial" w:hAnsi="Arial" w:cs="Arial"/>
                <w:b/>
                <w:szCs w:val="20"/>
              </w:rPr>
            </w:pPr>
            <w:r>
              <w:rPr>
                <w:rFonts w:ascii="Arial" w:hAnsi="Arial" w:cs="Arial"/>
                <w:b/>
                <w:szCs w:val="20"/>
              </w:rPr>
              <w:t>Accumulated Amortization</w:t>
            </w:r>
          </w:p>
        </w:tc>
        <w:tc>
          <w:tcPr>
            <w:tcW w:w="1559" w:type="dxa"/>
            <w:tcBorders>
              <w:left w:val="nil"/>
            </w:tcBorders>
          </w:tcPr>
          <w:p w14:paraId="138D47D7" w14:textId="77777777" w:rsidR="0007122C" w:rsidRDefault="0007122C" w:rsidP="0007122C">
            <w:pPr>
              <w:spacing w:after="0" w:line="240" w:lineRule="auto"/>
              <w:ind w:left="90"/>
              <w:jc w:val="center"/>
              <w:rPr>
                <w:rFonts w:ascii="Arial" w:hAnsi="Arial" w:cs="Arial"/>
                <w:szCs w:val="20"/>
              </w:rPr>
            </w:pPr>
          </w:p>
          <w:p w14:paraId="2E09CEA2" w14:textId="77777777" w:rsidR="0007122C" w:rsidRPr="00BA56F7" w:rsidRDefault="0007122C" w:rsidP="0007122C">
            <w:pPr>
              <w:spacing w:after="0" w:line="240" w:lineRule="auto"/>
              <w:ind w:left="90"/>
              <w:jc w:val="center"/>
              <w:rPr>
                <w:rFonts w:ascii="Arial" w:hAnsi="Arial" w:cs="Arial"/>
                <w:szCs w:val="20"/>
              </w:rPr>
            </w:pPr>
            <w:r w:rsidRPr="00BA56F7">
              <w:rPr>
                <w:rFonts w:ascii="Arial" w:hAnsi="Arial" w:cs="Arial"/>
                <w:szCs w:val="20"/>
              </w:rPr>
              <w:t>BiPhasix</w:t>
            </w:r>
          </w:p>
          <w:p w14:paraId="4948FA49" w14:textId="77777777" w:rsidR="0007122C" w:rsidRPr="00BA56F7" w:rsidRDefault="0007122C" w:rsidP="0007122C">
            <w:pPr>
              <w:spacing w:after="0" w:line="240" w:lineRule="auto"/>
              <w:jc w:val="center"/>
              <w:rPr>
                <w:rFonts w:ascii="Arial" w:hAnsi="Arial" w:cs="Arial"/>
                <w:szCs w:val="20"/>
              </w:rPr>
            </w:pPr>
            <w:r w:rsidRPr="00BA56F7">
              <w:rPr>
                <w:rFonts w:ascii="Arial" w:hAnsi="Arial" w:cs="Arial"/>
                <w:szCs w:val="20"/>
              </w:rPr>
              <w:t>License</w:t>
            </w:r>
          </w:p>
          <w:p w14:paraId="028200D0" w14:textId="0FB6AFC5" w:rsidR="0007122C" w:rsidRPr="00BA56F7" w:rsidRDefault="0007122C" w:rsidP="0007122C">
            <w:pPr>
              <w:spacing w:after="0"/>
              <w:ind w:right="173"/>
              <w:jc w:val="center"/>
              <w:rPr>
                <w:rFonts w:ascii="Arial" w:hAnsi="Arial" w:cs="Arial"/>
              </w:rPr>
            </w:pPr>
            <w:r w:rsidRPr="00BA56F7">
              <w:rPr>
                <w:rFonts w:ascii="Arial" w:hAnsi="Arial" w:cs="Arial"/>
                <w:szCs w:val="20"/>
              </w:rPr>
              <w:t>$</w:t>
            </w:r>
          </w:p>
        </w:tc>
        <w:tc>
          <w:tcPr>
            <w:tcW w:w="1559" w:type="dxa"/>
            <w:tcBorders>
              <w:left w:val="nil"/>
              <w:right w:val="nil"/>
            </w:tcBorders>
          </w:tcPr>
          <w:p w14:paraId="6E81C599" w14:textId="77777777" w:rsidR="0007122C" w:rsidRDefault="0007122C" w:rsidP="0007122C">
            <w:pPr>
              <w:spacing w:after="0" w:line="240" w:lineRule="auto"/>
              <w:jc w:val="center"/>
              <w:rPr>
                <w:rFonts w:ascii="Arial" w:hAnsi="Arial" w:cs="Arial"/>
                <w:szCs w:val="20"/>
              </w:rPr>
            </w:pPr>
            <w:r>
              <w:rPr>
                <w:rFonts w:ascii="Arial" w:hAnsi="Arial" w:cs="Arial"/>
                <w:szCs w:val="20"/>
              </w:rPr>
              <w:t>Thrudermic</w:t>
            </w:r>
          </w:p>
          <w:p w14:paraId="03865ECB" w14:textId="77777777" w:rsidR="0007122C" w:rsidRPr="00BA56F7" w:rsidRDefault="0007122C" w:rsidP="0007122C">
            <w:pPr>
              <w:spacing w:after="0" w:line="240" w:lineRule="auto"/>
              <w:jc w:val="center"/>
              <w:rPr>
                <w:rFonts w:ascii="Arial" w:hAnsi="Arial" w:cs="Arial"/>
                <w:szCs w:val="20"/>
              </w:rPr>
            </w:pPr>
            <w:r>
              <w:rPr>
                <w:rFonts w:ascii="Arial" w:hAnsi="Arial" w:cs="Arial"/>
                <w:szCs w:val="20"/>
              </w:rPr>
              <w:t>Non-Patented Technology</w:t>
            </w:r>
          </w:p>
          <w:p w14:paraId="5065D84B" w14:textId="54EF4DEA" w:rsidR="0007122C" w:rsidRPr="00BA56F7" w:rsidRDefault="0007122C" w:rsidP="0007122C">
            <w:pPr>
              <w:spacing w:after="0"/>
              <w:ind w:right="173"/>
              <w:jc w:val="center"/>
              <w:rPr>
                <w:rFonts w:ascii="Arial" w:hAnsi="Arial" w:cs="Arial"/>
              </w:rPr>
            </w:pPr>
            <w:r w:rsidRPr="00BA56F7">
              <w:rPr>
                <w:rFonts w:ascii="Arial" w:hAnsi="Arial" w:cs="Arial"/>
                <w:szCs w:val="20"/>
              </w:rPr>
              <w:t>$</w:t>
            </w:r>
          </w:p>
        </w:tc>
        <w:tc>
          <w:tcPr>
            <w:tcW w:w="1562" w:type="dxa"/>
            <w:tcBorders>
              <w:left w:val="nil"/>
            </w:tcBorders>
          </w:tcPr>
          <w:p w14:paraId="7B8CDE60" w14:textId="77777777" w:rsidR="0007122C" w:rsidRDefault="0007122C" w:rsidP="0007122C">
            <w:pPr>
              <w:spacing w:after="0" w:line="240" w:lineRule="auto"/>
              <w:jc w:val="center"/>
              <w:rPr>
                <w:rFonts w:ascii="Arial" w:hAnsi="Arial" w:cs="Arial"/>
                <w:szCs w:val="20"/>
              </w:rPr>
            </w:pPr>
          </w:p>
          <w:p w14:paraId="663BF6F1" w14:textId="77777777" w:rsidR="0007122C" w:rsidRDefault="0007122C" w:rsidP="0007122C">
            <w:pPr>
              <w:spacing w:after="0" w:line="240" w:lineRule="auto"/>
              <w:jc w:val="center"/>
              <w:rPr>
                <w:rFonts w:ascii="Arial" w:hAnsi="Arial" w:cs="Arial"/>
                <w:szCs w:val="20"/>
              </w:rPr>
            </w:pPr>
            <w:r>
              <w:rPr>
                <w:rFonts w:ascii="Arial" w:hAnsi="Arial" w:cs="Arial"/>
                <w:szCs w:val="20"/>
              </w:rPr>
              <w:t>RTIC</w:t>
            </w:r>
          </w:p>
          <w:p w14:paraId="257D7550" w14:textId="77777777" w:rsidR="0007122C" w:rsidRPr="00BA56F7" w:rsidRDefault="0007122C" w:rsidP="0007122C">
            <w:pPr>
              <w:spacing w:after="0" w:line="240" w:lineRule="auto"/>
              <w:jc w:val="center"/>
              <w:rPr>
                <w:rFonts w:ascii="Arial" w:hAnsi="Arial" w:cs="Arial"/>
                <w:szCs w:val="20"/>
              </w:rPr>
            </w:pPr>
            <w:r>
              <w:rPr>
                <w:rFonts w:ascii="Arial" w:hAnsi="Arial" w:cs="Arial"/>
                <w:szCs w:val="20"/>
              </w:rPr>
              <w:t>Patents</w:t>
            </w:r>
          </w:p>
          <w:p w14:paraId="6E279FF2" w14:textId="590A37E8" w:rsidR="0007122C" w:rsidRPr="00BA56F7" w:rsidRDefault="0007122C" w:rsidP="0007122C">
            <w:pPr>
              <w:spacing w:after="0"/>
              <w:ind w:right="173"/>
              <w:jc w:val="center"/>
              <w:rPr>
                <w:rFonts w:ascii="Arial" w:hAnsi="Arial" w:cs="Arial"/>
              </w:rPr>
            </w:pPr>
            <w:r w:rsidRPr="00BA56F7">
              <w:rPr>
                <w:rFonts w:ascii="Arial" w:hAnsi="Arial" w:cs="Arial"/>
                <w:szCs w:val="20"/>
              </w:rPr>
              <w:t>$</w:t>
            </w:r>
          </w:p>
        </w:tc>
        <w:tc>
          <w:tcPr>
            <w:tcW w:w="1530" w:type="dxa"/>
            <w:gridSpan w:val="2"/>
            <w:tcBorders>
              <w:left w:val="nil"/>
              <w:right w:val="nil"/>
            </w:tcBorders>
            <w:vAlign w:val="bottom"/>
          </w:tcPr>
          <w:p w14:paraId="780FA1CF" w14:textId="77777777" w:rsidR="0007122C" w:rsidRPr="00BA56F7" w:rsidRDefault="0007122C" w:rsidP="0007122C">
            <w:pPr>
              <w:spacing w:after="0" w:line="240" w:lineRule="auto"/>
              <w:jc w:val="center"/>
              <w:rPr>
                <w:rFonts w:ascii="Arial" w:hAnsi="Arial" w:cs="Arial"/>
                <w:szCs w:val="20"/>
              </w:rPr>
            </w:pPr>
            <w:r>
              <w:rPr>
                <w:rFonts w:ascii="Arial" w:hAnsi="Arial" w:cs="Arial"/>
                <w:szCs w:val="20"/>
              </w:rPr>
              <w:t>Total</w:t>
            </w:r>
          </w:p>
          <w:p w14:paraId="012FEA93" w14:textId="0ABF7CEF" w:rsidR="0007122C" w:rsidRPr="00BA56F7" w:rsidRDefault="0007122C" w:rsidP="0007122C">
            <w:pPr>
              <w:spacing w:after="0"/>
              <w:ind w:right="173"/>
              <w:jc w:val="center"/>
              <w:rPr>
                <w:rFonts w:ascii="Arial" w:hAnsi="Arial" w:cs="Arial"/>
                <w:szCs w:val="20"/>
              </w:rPr>
            </w:pPr>
            <w:r w:rsidRPr="00BA56F7">
              <w:rPr>
                <w:rFonts w:ascii="Arial" w:hAnsi="Arial" w:cs="Arial"/>
                <w:szCs w:val="20"/>
              </w:rPr>
              <w:t>$</w:t>
            </w:r>
          </w:p>
        </w:tc>
      </w:tr>
      <w:tr w:rsidR="00BA56F7" w:rsidRPr="00BA56F7" w14:paraId="77EB9885" w14:textId="77777777" w:rsidTr="00CD2111">
        <w:trPr>
          <w:trHeight w:hRule="exact" w:val="113"/>
        </w:trPr>
        <w:tc>
          <w:tcPr>
            <w:tcW w:w="7380" w:type="dxa"/>
            <w:gridSpan w:val="5"/>
            <w:tcBorders>
              <w:top w:val="single" w:sz="4" w:space="0" w:color="auto"/>
              <w:left w:val="nil"/>
            </w:tcBorders>
            <w:vAlign w:val="bottom"/>
          </w:tcPr>
          <w:p w14:paraId="2F0AF203" w14:textId="77777777" w:rsidR="00BA56F7" w:rsidRPr="00BA56F7" w:rsidRDefault="00BA56F7" w:rsidP="00F15B99">
            <w:pPr>
              <w:spacing w:after="0" w:line="240" w:lineRule="auto"/>
              <w:rPr>
                <w:rFonts w:ascii="Arial" w:hAnsi="Arial" w:cs="Arial"/>
                <w:szCs w:val="20"/>
              </w:rPr>
            </w:pPr>
          </w:p>
        </w:tc>
        <w:tc>
          <w:tcPr>
            <w:tcW w:w="1533" w:type="dxa"/>
            <w:gridSpan w:val="2"/>
            <w:tcBorders>
              <w:top w:val="single" w:sz="4" w:space="0" w:color="auto"/>
              <w:left w:val="nil"/>
              <w:right w:val="nil"/>
            </w:tcBorders>
            <w:vAlign w:val="bottom"/>
          </w:tcPr>
          <w:p w14:paraId="51F32552" w14:textId="77777777" w:rsidR="00BA56F7" w:rsidRPr="00BA56F7" w:rsidRDefault="00BA56F7" w:rsidP="00F15B99">
            <w:pPr>
              <w:spacing w:after="0" w:line="240" w:lineRule="auto"/>
              <w:ind w:right="369"/>
              <w:jc w:val="right"/>
              <w:rPr>
                <w:rFonts w:ascii="Arial" w:hAnsi="Arial" w:cs="Arial"/>
                <w:szCs w:val="20"/>
              </w:rPr>
            </w:pPr>
          </w:p>
        </w:tc>
      </w:tr>
      <w:tr w:rsidR="004F1F64" w:rsidRPr="00BA56F7" w14:paraId="6A0885A9" w14:textId="77777777" w:rsidTr="00CD2111">
        <w:trPr>
          <w:gridAfter w:val="1"/>
          <w:wAfter w:w="93" w:type="dxa"/>
        </w:trPr>
        <w:tc>
          <w:tcPr>
            <w:tcW w:w="2610" w:type="dxa"/>
            <w:tcBorders>
              <w:left w:val="nil"/>
            </w:tcBorders>
            <w:vAlign w:val="bottom"/>
          </w:tcPr>
          <w:p w14:paraId="157BCE0A" w14:textId="5553DC01" w:rsidR="004F1F64" w:rsidRPr="00BA56F7" w:rsidRDefault="004F1F64" w:rsidP="00E5497C">
            <w:pPr>
              <w:spacing w:after="0"/>
              <w:rPr>
                <w:rFonts w:ascii="Arial" w:hAnsi="Arial" w:cs="Arial"/>
                <w:szCs w:val="20"/>
              </w:rPr>
            </w:pPr>
            <w:r w:rsidRPr="00BA56F7">
              <w:rPr>
                <w:rFonts w:ascii="Arial" w:hAnsi="Arial" w:cs="Arial"/>
                <w:szCs w:val="20"/>
              </w:rPr>
              <w:t xml:space="preserve">Balance, </w:t>
            </w:r>
            <w:r w:rsidR="00E5497C">
              <w:rPr>
                <w:rFonts w:ascii="Arial" w:hAnsi="Arial" w:cs="Arial"/>
                <w:szCs w:val="20"/>
              </w:rPr>
              <w:t>February 1</w:t>
            </w:r>
            <w:r>
              <w:rPr>
                <w:rFonts w:ascii="Arial" w:hAnsi="Arial" w:cs="Arial"/>
                <w:szCs w:val="20"/>
              </w:rPr>
              <w:t>, 2018</w:t>
            </w:r>
          </w:p>
        </w:tc>
        <w:tc>
          <w:tcPr>
            <w:tcW w:w="1559" w:type="dxa"/>
            <w:tcBorders>
              <w:left w:val="nil"/>
            </w:tcBorders>
          </w:tcPr>
          <w:p w14:paraId="499C1DA3" w14:textId="70A99973" w:rsidR="004F1F64" w:rsidRDefault="004F1F64" w:rsidP="00CD70E7">
            <w:pPr>
              <w:spacing w:after="0"/>
              <w:ind w:right="173"/>
              <w:jc w:val="right"/>
              <w:rPr>
                <w:rFonts w:ascii="Arial" w:hAnsi="Arial" w:cs="Arial"/>
              </w:rPr>
            </w:pPr>
            <w:r>
              <w:rPr>
                <w:rFonts w:ascii="Arial" w:hAnsi="Arial" w:cs="Arial"/>
              </w:rPr>
              <w:t>30,825</w:t>
            </w:r>
          </w:p>
        </w:tc>
        <w:tc>
          <w:tcPr>
            <w:tcW w:w="1559" w:type="dxa"/>
            <w:tcBorders>
              <w:left w:val="nil"/>
              <w:right w:val="nil"/>
            </w:tcBorders>
          </w:tcPr>
          <w:p w14:paraId="0529E56A"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62" w:type="dxa"/>
            <w:tcBorders>
              <w:left w:val="nil"/>
            </w:tcBorders>
          </w:tcPr>
          <w:p w14:paraId="3352B5E7"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30" w:type="dxa"/>
            <w:gridSpan w:val="2"/>
            <w:tcBorders>
              <w:left w:val="nil"/>
              <w:right w:val="nil"/>
            </w:tcBorders>
            <w:vAlign w:val="bottom"/>
          </w:tcPr>
          <w:p w14:paraId="071920B5" w14:textId="428430B9" w:rsidR="004F1F64" w:rsidRPr="00BA56F7" w:rsidRDefault="004F1F64" w:rsidP="00CD70E7">
            <w:pPr>
              <w:spacing w:after="0"/>
              <w:ind w:right="173"/>
              <w:jc w:val="right"/>
              <w:rPr>
                <w:rFonts w:ascii="Arial" w:hAnsi="Arial" w:cs="Arial"/>
                <w:szCs w:val="20"/>
              </w:rPr>
            </w:pPr>
            <w:r>
              <w:rPr>
                <w:rFonts w:ascii="Arial" w:hAnsi="Arial" w:cs="Arial"/>
              </w:rPr>
              <w:t>30,825</w:t>
            </w:r>
          </w:p>
        </w:tc>
      </w:tr>
      <w:tr w:rsidR="00E5497C" w:rsidRPr="00BA56F7" w14:paraId="3F40BB91" w14:textId="77777777" w:rsidTr="00CD2111">
        <w:trPr>
          <w:gridAfter w:val="1"/>
          <w:wAfter w:w="93" w:type="dxa"/>
        </w:trPr>
        <w:tc>
          <w:tcPr>
            <w:tcW w:w="2610" w:type="dxa"/>
            <w:tcBorders>
              <w:left w:val="nil"/>
            </w:tcBorders>
            <w:vAlign w:val="bottom"/>
          </w:tcPr>
          <w:p w14:paraId="0402FD9B" w14:textId="77777777" w:rsidR="00E5497C" w:rsidRPr="00BA56F7" w:rsidRDefault="00E5497C" w:rsidP="00E5497C">
            <w:pPr>
              <w:spacing w:after="0"/>
              <w:rPr>
                <w:rFonts w:ascii="Arial" w:hAnsi="Arial" w:cs="Arial"/>
                <w:szCs w:val="20"/>
              </w:rPr>
            </w:pPr>
            <w:r>
              <w:rPr>
                <w:rFonts w:ascii="Arial" w:hAnsi="Arial" w:cs="Arial"/>
                <w:szCs w:val="20"/>
              </w:rPr>
              <w:t>Amortization</w:t>
            </w:r>
          </w:p>
        </w:tc>
        <w:tc>
          <w:tcPr>
            <w:tcW w:w="1559" w:type="dxa"/>
            <w:tcBorders>
              <w:left w:val="nil"/>
            </w:tcBorders>
          </w:tcPr>
          <w:p w14:paraId="01C7DA29" w14:textId="77777777" w:rsidR="00E5497C" w:rsidRPr="00BA56F7" w:rsidRDefault="00E5497C" w:rsidP="00E5497C">
            <w:pPr>
              <w:spacing w:after="0"/>
              <w:ind w:right="173"/>
              <w:jc w:val="right"/>
              <w:rPr>
                <w:rFonts w:ascii="Arial" w:hAnsi="Arial" w:cs="Arial"/>
              </w:rPr>
            </w:pPr>
            <w:r>
              <w:rPr>
                <w:rFonts w:ascii="Arial" w:hAnsi="Arial" w:cs="Arial"/>
              </w:rPr>
              <w:t>79,793</w:t>
            </w:r>
          </w:p>
        </w:tc>
        <w:tc>
          <w:tcPr>
            <w:tcW w:w="1559" w:type="dxa"/>
            <w:tcBorders>
              <w:left w:val="nil"/>
              <w:right w:val="nil"/>
            </w:tcBorders>
          </w:tcPr>
          <w:p w14:paraId="6B0908DF" w14:textId="77777777" w:rsidR="00E5497C" w:rsidRPr="00BA56F7" w:rsidRDefault="00E5497C" w:rsidP="00E5497C">
            <w:pPr>
              <w:spacing w:after="0"/>
              <w:ind w:right="173"/>
              <w:jc w:val="right"/>
              <w:rPr>
                <w:rFonts w:ascii="Arial" w:hAnsi="Arial" w:cs="Arial"/>
              </w:rPr>
            </w:pPr>
            <w:r>
              <w:rPr>
                <w:rFonts w:ascii="Arial" w:hAnsi="Arial" w:cs="Arial"/>
              </w:rPr>
              <w:t>74,325</w:t>
            </w:r>
          </w:p>
        </w:tc>
        <w:tc>
          <w:tcPr>
            <w:tcW w:w="1562" w:type="dxa"/>
            <w:tcBorders>
              <w:left w:val="nil"/>
            </w:tcBorders>
          </w:tcPr>
          <w:p w14:paraId="54A632C6" w14:textId="487954AC" w:rsidR="00E5497C" w:rsidRPr="00BA56F7" w:rsidRDefault="00E5497C" w:rsidP="00E5497C">
            <w:pPr>
              <w:spacing w:after="0"/>
              <w:ind w:right="173"/>
              <w:jc w:val="right"/>
              <w:rPr>
                <w:rFonts w:ascii="Arial" w:hAnsi="Arial" w:cs="Arial"/>
              </w:rPr>
            </w:pPr>
            <w:r>
              <w:rPr>
                <w:rFonts w:ascii="Arial" w:hAnsi="Arial" w:cs="Arial"/>
              </w:rPr>
              <w:t>745,398</w:t>
            </w:r>
          </w:p>
        </w:tc>
        <w:tc>
          <w:tcPr>
            <w:tcW w:w="1530" w:type="dxa"/>
            <w:gridSpan w:val="2"/>
            <w:tcBorders>
              <w:left w:val="nil"/>
              <w:right w:val="nil"/>
            </w:tcBorders>
            <w:vAlign w:val="bottom"/>
          </w:tcPr>
          <w:p w14:paraId="06F6A5BB" w14:textId="587EE8F7" w:rsidR="00E5497C" w:rsidRPr="00BA56F7" w:rsidRDefault="00E5497C" w:rsidP="00E5497C">
            <w:pPr>
              <w:spacing w:after="0"/>
              <w:ind w:right="173"/>
              <w:jc w:val="right"/>
              <w:rPr>
                <w:rFonts w:ascii="Arial" w:hAnsi="Arial" w:cs="Arial"/>
                <w:szCs w:val="20"/>
              </w:rPr>
            </w:pPr>
            <w:r>
              <w:rPr>
                <w:rFonts w:ascii="Arial" w:hAnsi="Arial" w:cs="Arial"/>
              </w:rPr>
              <w:t>899,516</w:t>
            </w:r>
          </w:p>
        </w:tc>
      </w:tr>
      <w:tr w:rsidR="00E5497C" w:rsidRPr="00BA56F7" w14:paraId="0BC0CAD1" w14:textId="77777777" w:rsidTr="00CD2111">
        <w:trPr>
          <w:gridAfter w:val="1"/>
          <w:wAfter w:w="93" w:type="dxa"/>
        </w:trPr>
        <w:tc>
          <w:tcPr>
            <w:tcW w:w="2610" w:type="dxa"/>
            <w:tcBorders>
              <w:left w:val="nil"/>
            </w:tcBorders>
            <w:vAlign w:val="bottom"/>
          </w:tcPr>
          <w:p w14:paraId="31689234" w14:textId="77777777" w:rsidR="00E5497C" w:rsidRPr="00BA56F7" w:rsidRDefault="00E5497C" w:rsidP="00E5497C">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13BD9748" w14:textId="77777777" w:rsidR="00E5497C" w:rsidRDefault="00E5497C" w:rsidP="00E5497C">
            <w:pPr>
              <w:spacing w:after="0"/>
              <w:ind w:right="173"/>
              <w:jc w:val="right"/>
              <w:rPr>
                <w:rFonts w:ascii="Arial" w:hAnsi="Arial" w:cs="Arial"/>
              </w:rPr>
            </w:pPr>
          </w:p>
          <w:p w14:paraId="6B615615"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103054EC" w14:textId="77777777" w:rsidR="00E5497C" w:rsidRDefault="00E5497C" w:rsidP="00E5497C">
            <w:pPr>
              <w:spacing w:after="0"/>
              <w:ind w:right="173"/>
              <w:jc w:val="right"/>
              <w:rPr>
                <w:rFonts w:ascii="Arial" w:hAnsi="Arial" w:cs="Arial"/>
              </w:rPr>
            </w:pPr>
          </w:p>
          <w:p w14:paraId="2936ADCA" w14:textId="77777777" w:rsidR="00E5497C" w:rsidRDefault="00E5497C" w:rsidP="00E5497C">
            <w:pPr>
              <w:spacing w:after="0"/>
              <w:ind w:right="173"/>
              <w:jc w:val="right"/>
              <w:rPr>
                <w:rFonts w:ascii="Arial" w:hAnsi="Arial" w:cs="Arial"/>
              </w:rPr>
            </w:pPr>
            <w:r w:rsidRPr="00BA56F7">
              <w:rPr>
                <w:rFonts w:ascii="Arial" w:hAnsi="Arial" w:cs="Arial"/>
              </w:rPr>
              <w:t>–</w:t>
            </w:r>
          </w:p>
        </w:tc>
        <w:tc>
          <w:tcPr>
            <w:tcW w:w="1562" w:type="dxa"/>
            <w:tcBorders>
              <w:left w:val="nil"/>
            </w:tcBorders>
          </w:tcPr>
          <w:p w14:paraId="27592AF4" w14:textId="77777777" w:rsidR="00E5497C" w:rsidRPr="00F3617B" w:rsidRDefault="00E5497C" w:rsidP="00E5497C">
            <w:pPr>
              <w:spacing w:after="0"/>
              <w:ind w:right="173"/>
              <w:jc w:val="right"/>
              <w:rPr>
                <w:rFonts w:ascii="Arial" w:hAnsi="Arial" w:cs="Arial"/>
              </w:rPr>
            </w:pPr>
          </w:p>
          <w:p w14:paraId="295A3E69" w14:textId="22D1ACA2" w:rsidR="00E5497C" w:rsidRDefault="00E5497C" w:rsidP="00E5497C">
            <w:pPr>
              <w:spacing w:after="0"/>
              <w:ind w:right="173"/>
              <w:jc w:val="right"/>
              <w:rPr>
                <w:rFonts w:ascii="Arial" w:hAnsi="Arial" w:cs="Arial"/>
              </w:rPr>
            </w:pPr>
            <w:r>
              <w:rPr>
                <w:rFonts w:ascii="Arial" w:hAnsi="Arial" w:cs="Arial"/>
              </w:rPr>
              <w:t>6,288</w:t>
            </w:r>
          </w:p>
        </w:tc>
        <w:tc>
          <w:tcPr>
            <w:tcW w:w="1530" w:type="dxa"/>
            <w:gridSpan w:val="2"/>
            <w:tcBorders>
              <w:left w:val="nil"/>
              <w:right w:val="nil"/>
            </w:tcBorders>
            <w:vAlign w:val="bottom"/>
          </w:tcPr>
          <w:p w14:paraId="0619182B" w14:textId="6C1D9C3A" w:rsidR="00E5497C" w:rsidRPr="00BA56F7" w:rsidRDefault="00E5497C" w:rsidP="00E5497C">
            <w:pPr>
              <w:spacing w:after="0"/>
              <w:ind w:right="173"/>
              <w:jc w:val="right"/>
              <w:rPr>
                <w:rFonts w:ascii="Arial" w:hAnsi="Arial" w:cs="Arial"/>
                <w:szCs w:val="20"/>
              </w:rPr>
            </w:pPr>
            <w:r>
              <w:rPr>
                <w:rFonts w:ascii="Arial" w:hAnsi="Arial" w:cs="Arial"/>
              </w:rPr>
              <w:t>6,288</w:t>
            </w:r>
          </w:p>
        </w:tc>
      </w:tr>
      <w:tr w:rsidR="00E5497C" w:rsidRPr="00BA56F7" w14:paraId="02CF25B5" w14:textId="77777777" w:rsidTr="00CD2111">
        <w:trPr>
          <w:gridAfter w:val="1"/>
          <w:wAfter w:w="93" w:type="dxa"/>
          <w:trHeight w:hRule="exact" w:val="78"/>
        </w:trPr>
        <w:tc>
          <w:tcPr>
            <w:tcW w:w="2610" w:type="dxa"/>
            <w:tcBorders>
              <w:top w:val="single" w:sz="4" w:space="0" w:color="auto"/>
              <w:left w:val="nil"/>
            </w:tcBorders>
            <w:vAlign w:val="bottom"/>
          </w:tcPr>
          <w:p w14:paraId="7E31794E" w14:textId="77777777" w:rsidR="00E5497C" w:rsidRPr="00BA56F7" w:rsidRDefault="00E5497C" w:rsidP="00C74354">
            <w:pPr>
              <w:spacing w:after="0"/>
              <w:rPr>
                <w:rFonts w:ascii="Arial" w:hAnsi="Arial" w:cs="Arial"/>
                <w:szCs w:val="20"/>
              </w:rPr>
            </w:pPr>
          </w:p>
        </w:tc>
        <w:tc>
          <w:tcPr>
            <w:tcW w:w="1559" w:type="dxa"/>
            <w:tcBorders>
              <w:top w:val="single" w:sz="4" w:space="0" w:color="auto"/>
              <w:left w:val="nil"/>
            </w:tcBorders>
          </w:tcPr>
          <w:p w14:paraId="4B07AD2E" w14:textId="77777777" w:rsidR="00E5497C" w:rsidRPr="00BA56F7" w:rsidRDefault="00E5497C" w:rsidP="00C74354">
            <w:pPr>
              <w:spacing w:after="0"/>
              <w:ind w:right="173"/>
              <w:jc w:val="right"/>
              <w:rPr>
                <w:rFonts w:ascii="Arial" w:hAnsi="Arial" w:cs="Arial"/>
                <w:szCs w:val="20"/>
              </w:rPr>
            </w:pPr>
          </w:p>
        </w:tc>
        <w:tc>
          <w:tcPr>
            <w:tcW w:w="1559" w:type="dxa"/>
            <w:tcBorders>
              <w:top w:val="single" w:sz="4" w:space="0" w:color="auto"/>
              <w:left w:val="nil"/>
              <w:right w:val="nil"/>
            </w:tcBorders>
          </w:tcPr>
          <w:p w14:paraId="008BA3B1" w14:textId="77777777" w:rsidR="00E5497C" w:rsidRPr="00BA56F7" w:rsidRDefault="00E5497C" w:rsidP="00C74354">
            <w:pPr>
              <w:spacing w:after="0"/>
              <w:ind w:right="173"/>
              <w:jc w:val="right"/>
              <w:rPr>
                <w:rFonts w:ascii="Arial" w:hAnsi="Arial" w:cs="Arial"/>
                <w:szCs w:val="20"/>
              </w:rPr>
            </w:pPr>
          </w:p>
        </w:tc>
        <w:tc>
          <w:tcPr>
            <w:tcW w:w="1562" w:type="dxa"/>
            <w:tcBorders>
              <w:top w:val="single" w:sz="4" w:space="0" w:color="auto"/>
              <w:left w:val="nil"/>
            </w:tcBorders>
          </w:tcPr>
          <w:p w14:paraId="081378F3" w14:textId="77777777" w:rsidR="00E5497C" w:rsidRPr="00BA56F7" w:rsidRDefault="00E5497C" w:rsidP="00C74354">
            <w:pPr>
              <w:spacing w:after="0"/>
              <w:ind w:right="173"/>
              <w:jc w:val="right"/>
              <w:rPr>
                <w:rFonts w:ascii="Arial" w:hAnsi="Arial" w:cs="Arial"/>
                <w:szCs w:val="20"/>
              </w:rPr>
            </w:pPr>
          </w:p>
        </w:tc>
        <w:tc>
          <w:tcPr>
            <w:tcW w:w="1530" w:type="dxa"/>
            <w:gridSpan w:val="2"/>
            <w:tcBorders>
              <w:top w:val="single" w:sz="4" w:space="0" w:color="auto"/>
              <w:left w:val="nil"/>
              <w:right w:val="nil"/>
            </w:tcBorders>
            <w:vAlign w:val="bottom"/>
          </w:tcPr>
          <w:p w14:paraId="6E13A5DE" w14:textId="77777777" w:rsidR="00E5497C" w:rsidRPr="00BA56F7" w:rsidRDefault="00E5497C" w:rsidP="00C74354">
            <w:pPr>
              <w:spacing w:after="0"/>
              <w:ind w:right="173"/>
              <w:jc w:val="right"/>
              <w:rPr>
                <w:rFonts w:ascii="Arial" w:hAnsi="Arial" w:cs="Arial"/>
                <w:szCs w:val="20"/>
              </w:rPr>
            </w:pPr>
          </w:p>
        </w:tc>
      </w:tr>
      <w:tr w:rsidR="00E5497C" w:rsidRPr="00BA56F7" w14:paraId="7CD1F8F3" w14:textId="77777777" w:rsidTr="00CD2111">
        <w:trPr>
          <w:gridAfter w:val="1"/>
          <w:wAfter w:w="93" w:type="dxa"/>
        </w:trPr>
        <w:tc>
          <w:tcPr>
            <w:tcW w:w="2610" w:type="dxa"/>
            <w:tcBorders>
              <w:left w:val="nil"/>
            </w:tcBorders>
            <w:vAlign w:val="bottom"/>
          </w:tcPr>
          <w:p w14:paraId="5FE649C6" w14:textId="77777777" w:rsidR="00E5497C" w:rsidRPr="00BA56F7" w:rsidRDefault="00E5497C" w:rsidP="00E5497C">
            <w:pPr>
              <w:spacing w:after="0"/>
              <w:rPr>
                <w:rFonts w:ascii="Arial" w:hAnsi="Arial" w:cs="Arial"/>
                <w:szCs w:val="20"/>
              </w:rPr>
            </w:pPr>
            <w:r w:rsidRPr="00BA56F7">
              <w:rPr>
                <w:rFonts w:ascii="Arial" w:hAnsi="Arial" w:cs="Arial"/>
                <w:szCs w:val="20"/>
              </w:rPr>
              <w:t xml:space="preserve">Balance, </w:t>
            </w:r>
            <w:r>
              <w:rPr>
                <w:rFonts w:ascii="Arial" w:hAnsi="Arial" w:cs="Arial"/>
                <w:szCs w:val="20"/>
              </w:rPr>
              <w:t>January 31, 2019</w:t>
            </w:r>
          </w:p>
        </w:tc>
        <w:tc>
          <w:tcPr>
            <w:tcW w:w="1559" w:type="dxa"/>
            <w:tcBorders>
              <w:left w:val="nil"/>
            </w:tcBorders>
          </w:tcPr>
          <w:p w14:paraId="20A9138A" w14:textId="77777777" w:rsidR="00E5497C" w:rsidRDefault="00E5497C" w:rsidP="00E5497C">
            <w:pPr>
              <w:spacing w:after="0"/>
              <w:ind w:right="173"/>
              <w:jc w:val="right"/>
              <w:rPr>
                <w:rFonts w:ascii="Arial" w:hAnsi="Arial" w:cs="Arial"/>
              </w:rPr>
            </w:pPr>
            <w:r>
              <w:rPr>
                <w:rFonts w:ascii="Arial" w:hAnsi="Arial" w:cs="Arial"/>
              </w:rPr>
              <w:t>110,618</w:t>
            </w:r>
          </w:p>
        </w:tc>
        <w:tc>
          <w:tcPr>
            <w:tcW w:w="1559" w:type="dxa"/>
            <w:tcBorders>
              <w:left w:val="nil"/>
              <w:right w:val="nil"/>
            </w:tcBorders>
          </w:tcPr>
          <w:p w14:paraId="115F611D" w14:textId="77777777" w:rsidR="00E5497C" w:rsidRDefault="00E5497C" w:rsidP="00E5497C">
            <w:pPr>
              <w:spacing w:after="0"/>
              <w:ind w:right="173"/>
              <w:jc w:val="right"/>
              <w:rPr>
                <w:rFonts w:ascii="Arial" w:hAnsi="Arial" w:cs="Arial"/>
              </w:rPr>
            </w:pPr>
            <w:r>
              <w:rPr>
                <w:rFonts w:ascii="Arial" w:hAnsi="Arial" w:cs="Arial"/>
              </w:rPr>
              <w:t>74,325</w:t>
            </w:r>
          </w:p>
        </w:tc>
        <w:tc>
          <w:tcPr>
            <w:tcW w:w="1562" w:type="dxa"/>
            <w:tcBorders>
              <w:left w:val="nil"/>
            </w:tcBorders>
          </w:tcPr>
          <w:p w14:paraId="131D500F" w14:textId="6939BAB8" w:rsidR="00E5497C" w:rsidRDefault="00E5497C" w:rsidP="00E5497C">
            <w:pPr>
              <w:spacing w:after="0"/>
              <w:ind w:right="173"/>
              <w:jc w:val="right"/>
              <w:rPr>
                <w:rFonts w:ascii="Arial" w:hAnsi="Arial" w:cs="Arial"/>
              </w:rPr>
            </w:pPr>
            <w:r>
              <w:rPr>
                <w:rFonts w:ascii="Arial" w:hAnsi="Arial" w:cs="Arial"/>
              </w:rPr>
              <w:t>751,686</w:t>
            </w:r>
          </w:p>
        </w:tc>
        <w:tc>
          <w:tcPr>
            <w:tcW w:w="1530" w:type="dxa"/>
            <w:gridSpan w:val="2"/>
            <w:tcBorders>
              <w:left w:val="nil"/>
              <w:right w:val="nil"/>
            </w:tcBorders>
            <w:vAlign w:val="bottom"/>
          </w:tcPr>
          <w:p w14:paraId="6694FD9A" w14:textId="7C74C661" w:rsidR="00E5497C" w:rsidRPr="00BA56F7" w:rsidRDefault="00E5497C" w:rsidP="00E5497C">
            <w:pPr>
              <w:spacing w:after="0"/>
              <w:ind w:right="173"/>
              <w:jc w:val="right"/>
              <w:rPr>
                <w:rFonts w:ascii="Arial" w:hAnsi="Arial" w:cs="Arial"/>
                <w:szCs w:val="20"/>
              </w:rPr>
            </w:pPr>
            <w:r>
              <w:rPr>
                <w:rFonts w:ascii="Arial" w:hAnsi="Arial" w:cs="Arial"/>
              </w:rPr>
              <w:t>936,629</w:t>
            </w:r>
          </w:p>
        </w:tc>
      </w:tr>
      <w:tr w:rsidR="004F1F64" w:rsidRPr="00BA56F7" w14:paraId="4687770D" w14:textId="77777777" w:rsidTr="00CD2111">
        <w:trPr>
          <w:gridAfter w:val="1"/>
          <w:wAfter w:w="93" w:type="dxa"/>
        </w:trPr>
        <w:tc>
          <w:tcPr>
            <w:tcW w:w="2610" w:type="dxa"/>
            <w:tcBorders>
              <w:left w:val="nil"/>
            </w:tcBorders>
            <w:vAlign w:val="bottom"/>
          </w:tcPr>
          <w:p w14:paraId="63FC904A" w14:textId="56BC1169" w:rsidR="004F1F64" w:rsidRPr="00BA56F7" w:rsidRDefault="004F1F64" w:rsidP="00CD70E7">
            <w:pPr>
              <w:spacing w:after="0"/>
              <w:rPr>
                <w:rFonts w:ascii="Arial" w:hAnsi="Arial" w:cs="Arial"/>
                <w:szCs w:val="20"/>
              </w:rPr>
            </w:pPr>
            <w:r>
              <w:rPr>
                <w:rFonts w:ascii="Arial" w:hAnsi="Arial" w:cs="Arial"/>
                <w:szCs w:val="20"/>
              </w:rPr>
              <w:t>Amortization</w:t>
            </w:r>
          </w:p>
        </w:tc>
        <w:tc>
          <w:tcPr>
            <w:tcW w:w="1559" w:type="dxa"/>
            <w:tcBorders>
              <w:left w:val="nil"/>
            </w:tcBorders>
          </w:tcPr>
          <w:p w14:paraId="6B53A5A1" w14:textId="69C39323" w:rsidR="004F1F64" w:rsidRPr="00BA56F7" w:rsidRDefault="00CD2111" w:rsidP="00CD70E7">
            <w:pPr>
              <w:spacing w:after="0"/>
              <w:ind w:right="173"/>
              <w:jc w:val="right"/>
              <w:rPr>
                <w:rFonts w:ascii="Arial" w:hAnsi="Arial" w:cs="Arial"/>
              </w:rPr>
            </w:pPr>
            <w:r>
              <w:rPr>
                <w:rFonts w:ascii="Arial" w:hAnsi="Arial" w:cs="Arial"/>
              </w:rPr>
              <w:t>39,569</w:t>
            </w:r>
          </w:p>
        </w:tc>
        <w:tc>
          <w:tcPr>
            <w:tcW w:w="1559" w:type="dxa"/>
            <w:tcBorders>
              <w:left w:val="nil"/>
              <w:right w:val="nil"/>
            </w:tcBorders>
          </w:tcPr>
          <w:p w14:paraId="1B32016E" w14:textId="4825824A" w:rsidR="004F1F64" w:rsidRPr="00BA56F7" w:rsidRDefault="00CD2111" w:rsidP="00CD70E7">
            <w:pPr>
              <w:spacing w:after="0"/>
              <w:ind w:right="173"/>
              <w:jc w:val="right"/>
              <w:rPr>
                <w:rFonts w:ascii="Arial" w:hAnsi="Arial" w:cs="Arial"/>
              </w:rPr>
            </w:pPr>
            <w:r>
              <w:rPr>
                <w:rFonts w:ascii="Arial" w:hAnsi="Arial" w:cs="Arial"/>
              </w:rPr>
              <w:t>41,159</w:t>
            </w:r>
          </w:p>
        </w:tc>
        <w:tc>
          <w:tcPr>
            <w:tcW w:w="1562" w:type="dxa"/>
            <w:tcBorders>
              <w:left w:val="nil"/>
            </w:tcBorders>
          </w:tcPr>
          <w:p w14:paraId="4EA022A1" w14:textId="0DA71476" w:rsidR="004F1F64" w:rsidRPr="00BA56F7" w:rsidRDefault="00CD2111" w:rsidP="00073DC2">
            <w:pPr>
              <w:spacing w:after="0"/>
              <w:ind w:right="173"/>
              <w:jc w:val="right"/>
              <w:rPr>
                <w:rFonts w:ascii="Arial" w:hAnsi="Arial" w:cs="Arial"/>
              </w:rPr>
            </w:pPr>
            <w:r>
              <w:rPr>
                <w:rFonts w:ascii="Arial" w:hAnsi="Arial" w:cs="Arial"/>
              </w:rPr>
              <w:t>408,3</w:t>
            </w:r>
            <w:r w:rsidR="00073DC2">
              <w:rPr>
                <w:rFonts w:ascii="Arial" w:hAnsi="Arial" w:cs="Arial"/>
              </w:rPr>
              <w:t>38</w:t>
            </w:r>
          </w:p>
        </w:tc>
        <w:tc>
          <w:tcPr>
            <w:tcW w:w="1530" w:type="dxa"/>
            <w:gridSpan w:val="2"/>
            <w:tcBorders>
              <w:left w:val="nil"/>
              <w:right w:val="nil"/>
            </w:tcBorders>
            <w:vAlign w:val="bottom"/>
          </w:tcPr>
          <w:p w14:paraId="705D4E08" w14:textId="5EEC1E03" w:rsidR="004F1F64" w:rsidRPr="00BA56F7" w:rsidRDefault="00CD2111" w:rsidP="00073DC2">
            <w:pPr>
              <w:spacing w:after="0"/>
              <w:ind w:right="173"/>
              <w:jc w:val="right"/>
              <w:rPr>
                <w:rFonts w:ascii="Arial" w:hAnsi="Arial" w:cs="Arial"/>
                <w:szCs w:val="20"/>
              </w:rPr>
            </w:pPr>
            <w:r>
              <w:rPr>
                <w:rFonts w:ascii="Arial" w:hAnsi="Arial" w:cs="Arial"/>
              </w:rPr>
              <w:t>489,06</w:t>
            </w:r>
            <w:r w:rsidR="00073DC2">
              <w:rPr>
                <w:rFonts w:ascii="Arial" w:hAnsi="Arial" w:cs="Arial"/>
              </w:rPr>
              <w:t>6</w:t>
            </w:r>
          </w:p>
        </w:tc>
      </w:tr>
      <w:tr w:rsidR="004F1F64" w:rsidRPr="00BA56F7" w14:paraId="7BBA143D" w14:textId="77777777" w:rsidTr="00CD2111">
        <w:trPr>
          <w:gridAfter w:val="1"/>
          <w:wAfter w:w="93" w:type="dxa"/>
        </w:trPr>
        <w:tc>
          <w:tcPr>
            <w:tcW w:w="2610" w:type="dxa"/>
            <w:tcBorders>
              <w:left w:val="nil"/>
            </w:tcBorders>
            <w:vAlign w:val="bottom"/>
          </w:tcPr>
          <w:p w14:paraId="55EF0829" w14:textId="77777777" w:rsidR="004F1F64" w:rsidRPr="00BA56F7" w:rsidRDefault="004F1F64" w:rsidP="00CD70E7">
            <w:pPr>
              <w:spacing w:after="0"/>
              <w:rPr>
                <w:rFonts w:ascii="Arial" w:hAnsi="Arial" w:cs="Arial"/>
                <w:szCs w:val="20"/>
              </w:rPr>
            </w:pPr>
            <w:r>
              <w:rPr>
                <w:rFonts w:ascii="Arial" w:hAnsi="Arial" w:cs="Arial"/>
                <w:szCs w:val="20"/>
              </w:rPr>
              <w:t>Effect of foreign exchange rate changes</w:t>
            </w:r>
          </w:p>
        </w:tc>
        <w:tc>
          <w:tcPr>
            <w:tcW w:w="1559" w:type="dxa"/>
            <w:tcBorders>
              <w:left w:val="nil"/>
            </w:tcBorders>
          </w:tcPr>
          <w:p w14:paraId="4E18EFF3" w14:textId="77777777" w:rsidR="004F1F64" w:rsidRDefault="004F1F64" w:rsidP="00CD70E7">
            <w:pPr>
              <w:spacing w:after="0"/>
              <w:ind w:right="173"/>
              <w:jc w:val="right"/>
              <w:rPr>
                <w:rFonts w:ascii="Arial" w:hAnsi="Arial" w:cs="Arial"/>
              </w:rPr>
            </w:pPr>
          </w:p>
          <w:p w14:paraId="2DBA1C10"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59" w:type="dxa"/>
            <w:tcBorders>
              <w:left w:val="nil"/>
              <w:right w:val="nil"/>
            </w:tcBorders>
          </w:tcPr>
          <w:p w14:paraId="57D36309" w14:textId="77777777" w:rsidR="004F1F64" w:rsidRDefault="004F1F64" w:rsidP="00CD70E7">
            <w:pPr>
              <w:spacing w:after="0"/>
              <w:ind w:right="173"/>
              <w:jc w:val="right"/>
              <w:rPr>
                <w:rFonts w:ascii="Arial" w:hAnsi="Arial" w:cs="Arial"/>
              </w:rPr>
            </w:pPr>
          </w:p>
          <w:p w14:paraId="638B2636" w14:textId="77777777" w:rsidR="004F1F64" w:rsidRDefault="004F1F64" w:rsidP="00CD70E7">
            <w:pPr>
              <w:spacing w:after="0"/>
              <w:ind w:right="173"/>
              <w:jc w:val="right"/>
              <w:rPr>
                <w:rFonts w:ascii="Arial" w:hAnsi="Arial" w:cs="Arial"/>
              </w:rPr>
            </w:pPr>
            <w:r w:rsidRPr="00BA56F7">
              <w:rPr>
                <w:rFonts w:ascii="Arial" w:hAnsi="Arial" w:cs="Arial"/>
              </w:rPr>
              <w:t>–</w:t>
            </w:r>
          </w:p>
        </w:tc>
        <w:tc>
          <w:tcPr>
            <w:tcW w:w="1562" w:type="dxa"/>
            <w:tcBorders>
              <w:left w:val="nil"/>
            </w:tcBorders>
          </w:tcPr>
          <w:p w14:paraId="6C45CC91" w14:textId="77777777" w:rsidR="004F1F64" w:rsidRDefault="004F1F64" w:rsidP="00CD70E7">
            <w:pPr>
              <w:spacing w:after="0"/>
              <w:ind w:right="173"/>
              <w:jc w:val="right"/>
              <w:rPr>
                <w:rFonts w:ascii="Arial" w:hAnsi="Arial" w:cs="Arial"/>
              </w:rPr>
            </w:pPr>
          </w:p>
          <w:p w14:paraId="4CC5C68B" w14:textId="50E98D29" w:rsidR="004F1F64" w:rsidRDefault="00CD2111" w:rsidP="00073DC2">
            <w:pPr>
              <w:spacing w:after="0"/>
              <w:ind w:right="173"/>
              <w:jc w:val="right"/>
              <w:rPr>
                <w:rFonts w:ascii="Arial" w:hAnsi="Arial" w:cs="Arial"/>
              </w:rPr>
            </w:pPr>
            <w:r>
              <w:rPr>
                <w:rFonts w:ascii="Arial" w:hAnsi="Arial" w:cs="Arial"/>
              </w:rPr>
              <w:t>(4,</w:t>
            </w:r>
            <w:r w:rsidR="009F77A7">
              <w:rPr>
                <w:rFonts w:ascii="Arial" w:hAnsi="Arial" w:cs="Arial"/>
              </w:rPr>
              <w:t>4</w:t>
            </w:r>
            <w:r w:rsidR="00073DC2">
              <w:rPr>
                <w:rFonts w:ascii="Arial" w:hAnsi="Arial" w:cs="Arial"/>
              </w:rPr>
              <w:t>68</w:t>
            </w:r>
            <w:r>
              <w:rPr>
                <w:rFonts w:ascii="Arial" w:hAnsi="Arial" w:cs="Arial"/>
              </w:rPr>
              <w:t>)</w:t>
            </w:r>
          </w:p>
        </w:tc>
        <w:tc>
          <w:tcPr>
            <w:tcW w:w="1530" w:type="dxa"/>
            <w:gridSpan w:val="2"/>
            <w:tcBorders>
              <w:left w:val="nil"/>
              <w:right w:val="nil"/>
            </w:tcBorders>
            <w:vAlign w:val="bottom"/>
          </w:tcPr>
          <w:p w14:paraId="5A5EA3AD" w14:textId="278B3B75" w:rsidR="004F1F64" w:rsidRPr="00BA56F7" w:rsidRDefault="00CD2111" w:rsidP="00073DC2">
            <w:pPr>
              <w:spacing w:after="0"/>
              <w:ind w:right="173"/>
              <w:jc w:val="right"/>
              <w:rPr>
                <w:rFonts w:ascii="Arial" w:hAnsi="Arial" w:cs="Arial"/>
                <w:szCs w:val="20"/>
              </w:rPr>
            </w:pPr>
            <w:r>
              <w:rPr>
                <w:rFonts w:ascii="Arial" w:hAnsi="Arial" w:cs="Arial"/>
              </w:rPr>
              <w:t>(</w:t>
            </w:r>
            <w:r w:rsidR="009F77A7">
              <w:rPr>
                <w:rFonts w:ascii="Arial" w:hAnsi="Arial" w:cs="Arial"/>
              </w:rPr>
              <w:t>4,4</w:t>
            </w:r>
            <w:r w:rsidR="00073DC2">
              <w:rPr>
                <w:rFonts w:ascii="Arial" w:hAnsi="Arial" w:cs="Arial"/>
              </w:rPr>
              <w:t>68</w:t>
            </w:r>
            <w:r>
              <w:rPr>
                <w:rFonts w:ascii="Arial" w:hAnsi="Arial" w:cs="Arial"/>
              </w:rPr>
              <w:t>)</w:t>
            </w:r>
          </w:p>
        </w:tc>
      </w:tr>
      <w:tr w:rsidR="004F1F64" w:rsidRPr="00BA56F7" w14:paraId="2992944C" w14:textId="77777777" w:rsidTr="00CD2111">
        <w:trPr>
          <w:gridAfter w:val="1"/>
          <w:wAfter w:w="93" w:type="dxa"/>
          <w:trHeight w:hRule="exact" w:val="78"/>
        </w:trPr>
        <w:tc>
          <w:tcPr>
            <w:tcW w:w="2610" w:type="dxa"/>
            <w:tcBorders>
              <w:top w:val="single" w:sz="4" w:space="0" w:color="auto"/>
              <w:left w:val="nil"/>
            </w:tcBorders>
            <w:vAlign w:val="bottom"/>
          </w:tcPr>
          <w:p w14:paraId="2CA753AF" w14:textId="77777777" w:rsidR="004F1F64" w:rsidRPr="00BA56F7" w:rsidRDefault="004F1F64" w:rsidP="00CD70E7">
            <w:pPr>
              <w:spacing w:after="0"/>
              <w:rPr>
                <w:rFonts w:ascii="Arial" w:hAnsi="Arial" w:cs="Arial"/>
                <w:szCs w:val="20"/>
              </w:rPr>
            </w:pPr>
          </w:p>
        </w:tc>
        <w:tc>
          <w:tcPr>
            <w:tcW w:w="1559" w:type="dxa"/>
            <w:tcBorders>
              <w:top w:val="single" w:sz="4" w:space="0" w:color="auto"/>
              <w:left w:val="nil"/>
            </w:tcBorders>
          </w:tcPr>
          <w:p w14:paraId="2A422D3A" w14:textId="77777777" w:rsidR="004F1F64" w:rsidRPr="00BA56F7" w:rsidRDefault="004F1F64" w:rsidP="00CD70E7">
            <w:pPr>
              <w:spacing w:after="0"/>
              <w:ind w:right="173"/>
              <w:jc w:val="right"/>
              <w:rPr>
                <w:rFonts w:ascii="Arial" w:hAnsi="Arial" w:cs="Arial"/>
                <w:szCs w:val="20"/>
              </w:rPr>
            </w:pPr>
          </w:p>
        </w:tc>
        <w:tc>
          <w:tcPr>
            <w:tcW w:w="1559" w:type="dxa"/>
            <w:tcBorders>
              <w:top w:val="single" w:sz="4" w:space="0" w:color="auto"/>
              <w:left w:val="nil"/>
              <w:right w:val="nil"/>
            </w:tcBorders>
          </w:tcPr>
          <w:p w14:paraId="47CDDCF1" w14:textId="77777777" w:rsidR="004F1F64" w:rsidRPr="00BA56F7" w:rsidRDefault="004F1F64" w:rsidP="00CD70E7">
            <w:pPr>
              <w:spacing w:after="0"/>
              <w:ind w:right="173"/>
              <w:jc w:val="right"/>
              <w:rPr>
                <w:rFonts w:ascii="Arial" w:hAnsi="Arial" w:cs="Arial"/>
                <w:szCs w:val="20"/>
              </w:rPr>
            </w:pPr>
          </w:p>
        </w:tc>
        <w:tc>
          <w:tcPr>
            <w:tcW w:w="1562" w:type="dxa"/>
            <w:tcBorders>
              <w:top w:val="single" w:sz="4" w:space="0" w:color="auto"/>
              <w:left w:val="nil"/>
            </w:tcBorders>
          </w:tcPr>
          <w:p w14:paraId="3FA1DF58" w14:textId="77777777" w:rsidR="004F1F64" w:rsidRPr="00BA56F7" w:rsidRDefault="004F1F64" w:rsidP="00CD70E7">
            <w:pPr>
              <w:spacing w:after="0"/>
              <w:ind w:right="173"/>
              <w:jc w:val="right"/>
              <w:rPr>
                <w:rFonts w:ascii="Arial" w:hAnsi="Arial" w:cs="Arial"/>
                <w:szCs w:val="20"/>
              </w:rPr>
            </w:pPr>
          </w:p>
        </w:tc>
        <w:tc>
          <w:tcPr>
            <w:tcW w:w="1530" w:type="dxa"/>
            <w:gridSpan w:val="2"/>
            <w:tcBorders>
              <w:top w:val="single" w:sz="4" w:space="0" w:color="auto"/>
              <w:left w:val="nil"/>
              <w:right w:val="nil"/>
            </w:tcBorders>
            <w:vAlign w:val="bottom"/>
          </w:tcPr>
          <w:p w14:paraId="40020BFC" w14:textId="77777777" w:rsidR="004F1F64" w:rsidRPr="00BA56F7" w:rsidRDefault="004F1F64" w:rsidP="00CD70E7">
            <w:pPr>
              <w:spacing w:after="0"/>
              <w:ind w:right="173"/>
              <w:jc w:val="right"/>
              <w:rPr>
                <w:rFonts w:ascii="Arial" w:hAnsi="Arial" w:cs="Arial"/>
                <w:szCs w:val="20"/>
              </w:rPr>
            </w:pPr>
          </w:p>
        </w:tc>
      </w:tr>
      <w:tr w:rsidR="004F1F64" w:rsidRPr="00BA56F7" w14:paraId="142EFD70" w14:textId="77777777" w:rsidTr="00CD2111">
        <w:trPr>
          <w:gridAfter w:val="1"/>
          <w:wAfter w:w="93" w:type="dxa"/>
        </w:trPr>
        <w:tc>
          <w:tcPr>
            <w:tcW w:w="2610" w:type="dxa"/>
            <w:tcBorders>
              <w:left w:val="nil"/>
              <w:bottom w:val="single" w:sz="12" w:space="0" w:color="auto"/>
            </w:tcBorders>
            <w:vAlign w:val="bottom"/>
          </w:tcPr>
          <w:p w14:paraId="774FE19A" w14:textId="7F229F0B" w:rsidR="004F1F64" w:rsidRPr="00BA56F7" w:rsidRDefault="004F1F64" w:rsidP="00E5497C">
            <w:pPr>
              <w:spacing w:after="0"/>
              <w:rPr>
                <w:rFonts w:ascii="Arial" w:hAnsi="Arial" w:cs="Arial"/>
                <w:szCs w:val="20"/>
              </w:rPr>
            </w:pPr>
            <w:r w:rsidRPr="00BA56F7">
              <w:rPr>
                <w:rFonts w:ascii="Arial" w:hAnsi="Arial" w:cs="Arial"/>
                <w:szCs w:val="20"/>
              </w:rPr>
              <w:t xml:space="preserve">Balance, </w:t>
            </w:r>
            <w:r w:rsidR="00E5497C">
              <w:rPr>
                <w:rFonts w:ascii="Arial" w:hAnsi="Arial" w:cs="Arial"/>
                <w:szCs w:val="20"/>
              </w:rPr>
              <w:t>July</w:t>
            </w:r>
            <w:r>
              <w:rPr>
                <w:rFonts w:ascii="Arial" w:hAnsi="Arial" w:cs="Arial"/>
                <w:szCs w:val="20"/>
              </w:rPr>
              <w:t xml:space="preserve"> 31, 2019</w:t>
            </w:r>
          </w:p>
        </w:tc>
        <w:tc>
          <w:tcPr>
            <w:tcW w:w="1559" w:type="dxa"/>
            <w:tcBorders>
              <w:left w:val="nil"/>
              <w:bottom w:val="single" w:sz="12" w:space="0" w:color="auto"/>
            </w:tcBorders>
          </w:tcPr>
          <w:p w14:paraId="4E8EC16A" w14:textId="18B5391B" w:rsidR="004F1F64" w:rsidRDefault="00CD2111" w:rsidP="00CD70E7">
            <w:pPr>
              <w:spacing w:after="0"/>
              <w:ind w:right="173"/>
              <w:jc w:val="right"/>
              <w:rPr>
                <w:rFonts w:ascii="Arial" w:hAnsi="Arial" w:cs="Arial"/>
              </w:rPr>
            </w:pPr>
            <w:r>
              <w:rPr>
                <w:rFonts w:ascii="Arial" w:hAnsi="Arial" w:cs="Arial"/>
              </w:rPr>
              <w:t>150,187</w:t>
            </w:r>
          </w:p>
        </w:tc>
        <w:tc>
          <w:tcPr>
            <w:tcW w:w="1559" w:type="dxa"/>
            <w:tcBorders>
              <w:left w:val="nil"/>
              <w:bottom w:val="single" w:sz="12" w:space="0" w:color="auto"/>
              <w:right w:val="nil"/>
            </w:tcBorders>
          </w:tcPr>
          <w:p w14:paraId="559ECBB5" w14:textId="266B6A4A" w:rsidR="004F1F64" w:rsidRDefault="00CD2111" w:rsidP="00CD70E7">
            <w:pPr>
              <w:spacing w:after="0"/>
              <w:ind w:right="173"/>
              <w:jc w:val="right"/>
              <w:rPr>
                <w:rFonts w:ascii="Arial" w:hAnsi="Arial" w:cs="Arial"/>
              </w:rPr>
            </w:pPr>
            <w:r>
              <w:rPr>
                <w:rFonts w:ascii="Arial" w:hAnsi="Arial" w:cs="Arial"/>
              </w:rPr>
              <w:t>115,484</w:t>
            </w:r>
          </w:p>
        </w:tc>
        <w:tc>
          <w:tcPr>
            <w:tcW w:w="1562" w:type="dxa"/>
            <w:tcBorders>
              <w:left w:val="nil"/>
              <w:bottom w:val="single" w:sz="12" w:space="0" w:color="auto"/>
            </w:tcBorders>
          </w:tcPr>
          <w:p w14:paraId="47F9D48B" w14:textId="77ECB541" w:rsidR="004F1F64" w:rsidRDefault="00CD2111" w:rsidP="00073DC2">
            <w:pPr>
              <w:spacing w:after="0"/>
              <w:ind w:right="173"/>
              <w:jc w:val="right"/>
              <w:rPr>
                <w:rFonts w:ascii="Arial" w:hAnsi="Arial" w:cs="Arial"/>
              </w:rPr>
            </w:pPr>
            <w:r>
              <w:rPr>
                <w:rFonts w:ascii="Arial" w:hAnsi="Arial" w:cs="Arial"/>
              </w:rPr>
              <w:t>1,155,</w:t>
            </w:r>
            <w:r w:rsidR="009F77A7">
              <w:rPr>
                <w:rFonts w:ascii="Arial" w:hAnsi="Arial" w:cs="Arial"/>
              </w:rPr>
              <w:t>55</w:t>
            </w:r>
            <w:r w:rsidR="00073DC2">
              <w:rPr>
                <w:rFonts w:ascii="Arial" w:hAnsi="Arial" w:cs="Arial"/>
              </w:rPr>
              <w:t>6</w:t>
            </w:r>
          </w:p>
        </w:tc>
        <w:tc>
          <w:tcPr>
            <w:tcW w:w="1530" w:type="dxa"/>
            <w:gridSpan w:val="2"/>
            <w:tcBorders>
              <w:left w:val="nil"/>
              <w:bottom w:val="single" w:sz="12" w:space="0" w:color="auto"/>
              <w:right w:val="nil"/>
            </w:tcBorders>
            <w:vAlign w:val="bottom"/>
          </w:tcPr>
          <w:p w14:paraId="565BA0A7" w14:textId="7875BDC7" w:rsidR="004F1F64" w:rsidRPr="00BA56F7" w:rsidRDefault="00CD2111" w:rsidP="009F77A7">
            <w:pPr>
              <w:spacing w:after="0"/>
              <w:ind w:right="173"/>
              <w:jc w:val="right"/>
              <w:rPr>
                <w:rFonts w:ascii="Arial" w:hAnsi="Arial" w:cs="Arial"/>
                <w:szCs w:val="20"/>
              </w:rPr>
            </w:pPr>
            <w:r>
              <w:rPr>
                <w:rFonts w:ascii="Arial" w:hAnsi="Arial" w:cs="Arial"/>
              </w:rPr>
              <w:t>1,</w:t>
            </w:r>
            <w:r w:rsidR="009F77A7">
              <w:rPr>
                <w:rFonts w:ascii="Arial" w:hAnsi="Arial" w:cs="Arial"/>
              </w:rPr>
              <w:t>421,227</w:t>
            </w:r>
          </w:p>
        </w:tc>
      </w:tr>
    </w:tbl>
    <w:p w14:paraId="7D523842" w14:textId="77777777" w:rsidR="00BA56F7" w:rsidRPr="00BA56F7" w:rsidRDefault="00BA56F7" w:rsidP="00F15B99">
      <w:pPr>
        <w:tabs>
          <w:tab w:val="left" w:pos="450"/>
        </w:tabs>
        <w:spacing w:after="0" w:line="240" w:lineRule="auto"/>
        <w:jc w:val="both"/>
        <w:rPr>
          <w:rFonts w:ascii="Arial" w:hAnsi="Arial" w:cs="Arial"/>
          <w:b/>
          <w:szCs w:val="20"/>
        </w:rPr>
      </w:pPr>
    </w:p>
    <w:tbl>
      <w:tblPr>
        <w:tblW w:w="8820" w:type="dxa"/>
        <w:tblInd w:w="450" w:type="dxa"/>
        <w:tblLayout w:type="fixed"/>
        <w:tblCellMar>
          <w:left w:w="0" w:type="dxa"/>
          <w:right w:w="0" w:type="dxa"/>
        </w:tblCellMar>
        <w:tblLook w:val="0000" w:firstRow="0" w:lastRow="0" w:firstColumn="0" w:lastColumn="0" w:noHBand="0" w:noVBand="0"/>
      </w:tblPr>
      <w:tblGrid>
        <w:gridCol w:w="2610"/>
        <w:gridCol w:w="1559"/>
        <w:gridCol w:w="1501"/>
        <w:gridCol w:w="1620"/>
        <w:gridCol w:w="1530"/>
      </w:tblGrid>
      <w:tr w:rsidR="00F22515" w:rsidRPr="00BA56F7" w14:paraId="786C570F" w14:textId="77777777" w:rsidTr="00073DC2">
        <w:tc>
          <w:tcPr>
            <w:tcW w:w="2610" w:type="dxa"/>
            <w:tcBorders>
              <w:left w:val="nil"/>
              <w:bottom w:val="single" w:sz="12" w:space="0" w:color="auto"/>
            </w:tcBorders>
            <w:vAlign w:val="bottom"/>
          </w:tcPr>
          <w:p w14:paraId="5C949A0C" w14:textId="77777777" w:rsidR="00F22515" w:rsidRDefault="00F22515" w:rsidP="00C74354">
            <w:pPr>
              <w:spacing w:after="0" w:line="240" w:lineRule="auto"/>
              <w:rPr>
                <w:rFonts w:ascii="Arial" w:hAnsi="Arial" w:cs="Arial"/>
                <w:szCs w:val="20"/>
              </w:rPr>
            </w:pPr>
            <w:r w:rsidRPr="00BA56F7">
              <w:rPr>
                <w:rFonts w:ascii="Arial" w:hAnsi="Arial" w:cs="Arial"/>
                <w:szCs w:val="20"/>
              </w:rPr>
              <w:t xml:space="preserve">Net book value, </w:t>
            </w:r>
          </w:p>
          <w:p w14:paraId="4BE6B040" w14:textId="48026CE9" w:rsidR="00F22515" w:rsidRPr="00BA56F7" w:rsidRDefault="00F22515" w:rsidP="00C74354">
            <w:pPr>
              <w:spacing w:after="0" w:line="240" w:lineRule="auto"/>
              <w:rPr>
                <w:rFonts w:ascii="Arial" w:hAnsi="Arial" w:cs="Arial"/>
                <w:szCs w:val="20"/>
              </w:rPr>
            </w:pPr>
            <w:r>
              <w:rPr>
                <w:rFonts w:ascii="Arial" w:hAnsi="Arial" w:cs="Arial"/>
                <w:szCs w:val="20"/>
              </w:rPr>
              <w:t>July 31, 2019</w:t>
            </w:r>
          </w:p>
        </w:tc>
        <w:tc>
          <w:tcPr>
            <w:tcW w:w="1559" w:type="dxa"/>
            <w:tcBorders>
              <w:left w:val="nil"/>
              <w:bottom w:val="single" w:sz="12" w:space="0" w:color="auto"/>
            </w:tcBorders>
          </w:tcPr>
          <w:p w14:paraId="6C0464AF" w14:textId="77777777" w:rsidR="00F22515" w:rsidRDefault="00F22515" w:rsidP="00C74354">
            <w:pPr>
              <w:spacing w:after="0" w:line="240" w:lineRule="auto"/>
              <w:ind w:right="173"/>
              <w:jc w:val="right"/>
              <w:rPr>
                <w:rFonts w:ascii="Arial" w:hAnsi="Arial" w:cs="Arial"/>
              </w:rPr>
            </w:pPr>
          </w:p>
          <w:p w14:paraId="7F977AD1" w14:textId="7A33D6E1" w:rsidR="00F22515" w:rsidRDefault="00F22515" w:rsidP="00C74354">
            <w:pPr>
              <w:spacing w:after="0" w:line="240" w:lineRule="auto"/>
              <w:ind w:right="173"/>
              <w:jc w:val="right"/>
              <w:rPr>
                <w:rFonts w:ascii="Arial" w:hAnsi="Arial" w:cs="Arial"/>
              </w:rPr>
            </w:pPr>
            <w:r>
              <w:rPr>
                <w:rFonts w:ascii="Arial" w:hAnsi="Arial" w:cs="Arial"/>
              </w:rPr>
              <w:t>168,987</w:t>
            </w:r>
          </w:p>
        </w:tc>
        <w:tc>
          <w:tcPr>
            <w:tcW w:w="1501" w:type="dxa"/>
            <w:tcBorders>
              <w:left w:val="nil"/>
              <w:bottom w:val="single" w:sz="12" w:space="0" w:color="auto"/>
              <w:right w:val="nil"/>
            </w:tcBorders>
          </w:tcPr>
          <w:p w14:paraId="4DED3385" w14:textId="77777777" w:rsidR="00F22515" w:rsidRDefault="00F22515" w:rsidP="00C74354">
            <w:pPr>
              <w:spacing w:after="0" w:line="240" w:lineRule="auto"/>
              <w:ind w:right="173"/>
              <w:jc w:val="right"/>
              <w:rPr>
                <w:rFonts w:ascii="Arial" w:hAnsi="Arial" w:cs="Arial"/>
              </w:rPr>
            </w:pPr>
          </w:p>
          <w:p w14:paraId="1666E29A" w14:textId="30ADC88A" w:rsidR="00F22515" w:rsidRDefault="00F22515" w:rsidP="00C74354">
            <w:pPr>
              <w:spacing w:after="0" w:line="240" w:lineRule="auto"/>
              <w:ind w:right="173"/>
              <w:jc w:val="right"/>
              <w:rPr>
                <w:rFonts w:ascii="Arial" w:hAnsi="Arial" w:cs="Arial"/>
              </w:rPr>
            </w:pPr>
            <w:r>
              <w:rPr>
                <w:rFonts w:ascii="Arial" w:hAnsi="Arial" w:cs="Arial"/>
              </w:rPr>
              <w:t>714,516</w:t>
            </w:r>
          </w:p>
        </w:tc>
        <w:tc>
          <w:tcPr>
            <w:tcW w:w="1620" w:type="dxa"/>
            <w:tcBorders>
              <w:left w:val="nil"/>
              <w:bottom w:val="single" w:sz="12" w:space="0" w:color="auto"/>
            </w:tcBorders>
          </w:tcPr>
          <w:p w14:paraId="1FDE5C45" w14:textId="77777777" w:rsidR="00F22515" w:rsidRDefault="00F22515" w:rsidP="00C74354">
            <w:pPr>
              <w:spacing w:after="0" w:line="240" w:lineRule="auto"/>
              <w:ind w:right="173"/>
              <w:jc w:val="right"/>
              <w:rPr>
                <w:rFonts w:ascii="Arial" w:hAnsi="Arial" w:cs="Arial"/>
              </w:rPr>
            </w:pPr>
          </w:p>
          <w:p w14:paraId="716730F9" w14:textId="3F3E4EBB" w:rsidR="00F22515" w:rsidRDefault="00F22515" w:rsidP="009F77A7">
            <w:pPr>
              <w:spacing w:after="0" w:line="240" w:lineRule="auto"/>
              <w:ind w:right="173"/>
              <w:jc w:val="right"/>
              <w:rPr>
                <w:rFonts w:ascii="Arial" w:hAnsi="Arial" w:cs="Arial"/>
              </w:rPr>
            </w:pPr>
            <w:r>
              <w:rPr>
                <w:rFonts w:ascii="Arial" w:hAnsi="Arial" w:cs="Arial"/>
              </w:rPr>
              <w:t>6,984,</w:t>
            </w:r>
            <w:r w:rsidR="009F77A7">
              <w:rPr>
                <w:rFonts w:ascii="Arial" w:hAnsi="Arial" w:cs="Arial"/>
              </w:rPr>
              <w:t>197</w:t>
            </w:r>
          </w:p>
        </w:tc>
        <w:tc>
          <w:tcPr>
            <w:tcW w:w="1530" w:type="dxa"/>
            <w:tcBorders>
              <w:left w:val="nil"/>
              <w:bottom w:val="single" w:sz="12" w:space="0" w:color="auto"/>
              <w:right w:val="nil"/>
            </w:tcBorders>
            <w:vAlign w:val="bottom"/>
          </w:tcPr>
          <w:p w14:paraId="1ECEA3BD" w14:textId="34C1FEFD" w:rsidR="00F22515" w:rsidRPr="00BA56F7" w:rsidRDefault="00F22515" w:rsidP="009F77A7">
            <w:pPr>
              <w:spacing w:after="0" w:line="240" w:lineRule="auto"/>
              <w:ind w:right="173"/>
              <w:jc w:val="right"/>
              <w:rPr>
                <w:rFonts w:ascii="Arial" w:hAnsi="Arial" w:cs="Arial"/>
                <w:szCs w:val="20"/>
              </w:rPr>
            </w:pPr>
            <w:r>
              <w:rPr>
                <w:rFonts w:ascii="Arial" w:hAnsi="Arial" w:cs="Arial"/>
              </w:rPr>
              <w:t>7,</w:t>
            </w:r>
            <w:r w:rsidR="009F77A7">
              <w:rPr>
                <w:rFonts w:ascii="Arial" w:hAnsi="Arial" w:cs="Arial"/>
              </w:rPr>
              <w:t>867,700</w:t>
            </w:r>
          </w:p>
        </w:tc>
      </w:tr>
      <w:tr w:rsidR="004F1F64" w:rsidRPr="00BA56F7" w14:paraId="2965B7D4" w14:textId="77777777" w:rsidTr="00073DC2">
        <w:tc>
          <w:tcPr>
            <w:tcW w:w="2610" w:type="dxa"/>
            <w:tcBorders>
              <w:left w:val="nil"/>
              <w:bottom w:val="single" w:sz="12" w:space="0" w:color="auto"/>
            </w:tcBorders>
            <w:vAlign w:val="bottom"/>
          </w:tcPr>
          <w:p w14:paraId="62693EC3" w14:textId="77777777" w:rsidR="004F1F64" w:rsidRDefault="004F1F64" w:rsidP="00F15B99">
            <w:pPr>
              <w:spacing w:after="0" w:line="240" w:lineRule="auto"/>
              <w:rPr>
                <w:rFonts w:ascii="Arial" w:hAnsi="Arial" w:cs="Arial"/>
                <w:szCs w:val="20"/>
              </w:rPr>
            </w:pPr>
            <w:r w:rsidRPr="00BA56F7">
              <w:rPr>
                <w:rFonts w:ascii="Arial" w:hAnsi="Arial" w:cs="Arial"/>
                <w:szCs w:val="20"/>
              </w:rPr>
              <w:t xml:space="preserve">Net book value, </w:t>
            </w:r>
          </w:p>
          <w:p w14:paraId="56453609" w14:textId="7A99AC28" w:rsidR="004F1F64" w:rsidRPr="00BA56F7" w:rsidRDefault="004F1F64" w:rsidP="00F15B99">
            <w:pPr>
              <w:spacing w:after="0" w:line="240" w:lineRule="auto"/>
              <w:rPr>
                <w:rFonts w:ascii="Arial" w:hAnsi="Arial" w:cs="Arial"/>
                <w:szCs w:val="20"/>
              </w:rPr>
            </w:pPr>
            <w:r>
              <w:rPr>
                <w:rFonts w:ascii="Arial" w:hAnsi="Arial" w:cs="Arial"/>
                <w:szCs w:val="20"/>
              </w:rPr>
              <w:t>January 31, 2019</w:t>
            </w:r>
          </w:p>
        </w:tc>
        <w:tc>
          <w:tcPr>
            <w:tcW w:w="1559" w:type="dxa"/>
            <w:tcBorders>
              <w:left w:val="nil"/>
              <w:bottom w:val="single" w:sz="12" w:space="0" w:color="auto"/>
            </w:tcBorders>
          </w:tcPr>
          <w:p w14:paraId="1AAD1410" w14:textId="77777777" w:rsidR="004F1F64" w:rsidRDefault="004F1F64" w:rsidP="00F15B99">
            <w:pPr>
              <w:spacing w:after="0" w:line="240" w:lineRule="auto"/>
              <w:ind w:right="173"/>
              <w:jc w:val="right"/>
              <w:rPr>
                <w:rFonts w:ascii="Arial" w:hAnsi="Arial" w:cs="Arial"/>
              </w:rPr>
            </w:pPr>
          </w:p>
          <w:p w14:paraId="28A84E74" w14:textId="7CE77855" w:rsidR="004F1F64" w:rsidRDefault="004F1F64" w:rsidP="00F15B99">
            <w:pPr>
              <w:spacing w:after="0" w:line="240" w:lineRule="auto"/>
              <w:ind w:right="173"/>
              <w:jc w:val="right"/>
              <w:rPr>
                <w:rFonts w:ascii="Arial" w:hAnsi="Arial" w:cs="Arial"/>
              </w:rPr>
            </w:pPr>
            <w:r>
              <w:rPr>
                <w:rFonts w:ascii="Arial" w:hAnsi="Arial" w:cs="Arial"/>
              </w:rPr>
              <w:t>208,556</w:t>
            </w:r>
          </w:p>
        </w:tc>
        <w:tc>
          <w:tcPr>
            <w:tcW w:w="1501" w:type="dxa"/>
            <w:tcBorders>
              <w:left w:val="nil"/>
              <w:bottom w:val="single" w:sz="12" w:space="0" w:color="auto"/>
              <w:right w:val="nil"/>
            </w:tcBorders>
          </w:tcPr>
          <w:p w14:paraId="5D94AA4E" w14:textId="77777777" w:rsidR="004F1F64" w:rsidRDefault="004F1F64" w:rsidP="00F15B99">
            <w:pPr>
              <w:spacing w:after="0" w:line="240" w:lineRule="auto"/>
              <w:ind w:right="173"/>
              <w:jc w:val="right"/>
              <w:rPr>
                <w:rFonts w:ascii="Arial" w:hAnsi="Arial" w:cs="Arial"/>
              </w:rPr>
            </w:pPr>
          </w:p>
          <w:p w14:paraId="1ABF19E5" w14:textId="1DEF679D" w:rsidR="004F1F64" w:rsidRDefault="00F22515" w:rsidP="00F15B99">
            <w:pPr>
              <w:spacing w:after="0" w:line="240" w:lineRule="auto"/>
              <w:ind w:right="173"/>
              <w:jc w:val="right"/>
              <w:rPr>
                <w:rFonts w:ascii="Arial" w:hAnsi="Arial" w:cs="Arial"/>
              </w:rPr>
            </w:pPr>
            <w:r>
              <w:rPr>
                <w:rFonts w:ascii="Arial" w:hAnsi="Arial" w:cs="Arial"/>
              </w:rPr>
              <w:t>755,675</w:t>
            </w:r>
          </w:p>
        </w:tc>
        <w:tc>
          <w:tcPr>
            <w:tcW w:w="1620" w:type="dxa"/>
            <w:tcBorders>
              <w:left w:val="nil"/>
              <w:bottom w:val="single" w:sz="12" w:space="0" w:color="auto"/>
            </w:tcBorders>
          </w:tcPr>
          <w:p w14:paraId="2A16BC1D" w14:textId="77777777" w:rsidR="004F1F64" w:rsidRDefault="004F1F64" w:rsidP="00F15B99">
            <w:pPr>
              <w:spacing w:after="0" w:line="240" w:lineRule="auto"/>
              <w:ind w:right="173"/>
              <w:jc w:val="right"/>
              <w:rPr>
                <w:rFonts w:ascii="Arial" w:hAnsi="Arial" w:cs="Arial"/>
              </w:rPr>
            </w:pPr>
          </w:p>
          <w:p w14:paraId="1B60A5A4" w14:textId="1521696C" w:rsidR="004F1F64" w:rsidRDefault="004F1F64" w:rsidP="00F15B99">
            <w:pPr>
              <w:spacing w:after="0" w:line="240" w:lineRule="auto"/>
              <w:ind w:right="173"/>
              <w:jc w:val="right"/>
              <w:rPr>
                <w:rFonts w:ascii="Arial" w:hAnsi="Arial" w:cs="Arial"/>
              </w:rPr>
            </w:pPr>
            <w:r>
              <w:rPr>
                <w:rFonts w:ascii="Arial" w:hAnsi="Arial" w:cs="Arial"/>
              </w:rPr>
              <w:t>7,385,591</w:t>
            </w:r>
          </w:p>
        </w:tc>
        <w:tc>
          <w:tcPr>
            <w:tcW w:w="1530" w:type="dxa"/>
            <w:tcBorders>
              <w:left w:val="nil"/>
              <w:bottom w:val="single" w:sz="12" w:space="0" w:color="auto"/>
              <w:right w:val="nil"/>
            </w:tcBorders>
            <w:vAlign w:val="bottom"/>
          </w:tcPr>
          <w:p w14:paraId="3836CD10" w14:textId="3C532857" w:rsidR="004F1F64" w:rsidRPr="00BA56F7" w:rsidRDefault="00F22515" w:rsidP="00F15B99">
            <w:pPr>
              <w:spacing w:after="0" w:line="240" w:lineRule="auto"/>
              <w:ind w:right="173"/>
              <w:jc w:val="right"/>
              <w:rPr>
                <w:rFonts w:ascii="Arial" w:hAnsi="Arial" w:cs="Arial"/>
                <w:szCs w:val="20"/>
              </w:rPr>
            </w:pPr>
            <w:r>
              <w:rPr>
                <w:rFonts w:ascii="Arial" w:hAnsi="Arial" w:cs="Arial"/>
              </w:rPr>
              <w:t>8,349,822</w:t>
            </w:r>
          </w:p>
        </w:tc>
      </w:tr>
      <w:tr w:rsidR="004F1F64" w:rsidRPr="00BA56F7" w14:paraId="133A1099" w14:textId="77777777" w:rsidTr="00073DC2">
        <w:tc>
          <w:tcPr>
            <w:tcW w:w="2610" w:type="dxa"/>
            <w:tcBorders>
              <w:left w:val="nil"/>
              <w:bottom w:val="single" w:sz="12" w:space="0" w:color="auto"/>
            </w:tcBorders>
            <w:vAlign w:val="bottom"/>
          </w:tcPr>
          <w:p w14:paraId="746E7B41" w14:textId="77777777" w:rsidR="004F1F64" w:rsidRDefault="004F1F64" w:rsidP="00CD70E7">
            <w:pPr>
              <w:spacing w:after="0" w:line="240" w:lineRule="auto"/>
              <w:rPr>
                <w:rFonts w:ascii="Arial" w:hAnsi="Arial" w:cs="Arial"/>
                <w:szCs w:val="20"/>
              </w:rPr>
            </w:pPr>
            <w:r>
              <w:rPr>
                <w:rFonts w:ascii="Arial" w:hAnsi="Arial" w:cs="Arial"/>
                <w:szCs w:val="20"/>
              </w:rPr>
              <w:t xml:space="preserve">Net book value, </w:t>
            </w:r>
          </w:p>
          <w:p w14:paraId="135E76D4" w14:textId="709142D0" w:rsidR="004F1F64" w:rsidRPr="00BA56F7" w:rsidRDefault="00F22515" w:rsidP="00CD70E7">
            <w:pPr>
              <w:spacing w:after="0" w:line="240" w:lineRule="auto"/>
              <w:rPr>
                <w:rFonts w:ascii="Arial" w:hAnsi="Arial" w:cs="Arial"/>
                <w:szCs w:val="20"/>
              </w:rPr>
            </w:pPr>
            <w:r>
              <w:rPr>
                <w:rFonts w:ascii="Arial" w:hAnsi="Arial" w:cs="Arial"/>
                <w:szCs w:val="20"/>
              </w:rPr>
              <w:t>February 1</w:t>
            </w:r>
            <w:r w:rsidR="004F1F64">
              <w:rPr>
                <w:rFonts w:ascii="Arial" w:hAnsi="Arial" w:cs="Arial"/>
                <w:szCs w:val="20"/>
              </w:rPr>
              <w:t>, 2018</w:t>
            </w:r>
          </w:p>
        </w:tc>
        <w:tc>
          <w:tcPr>
            <w:tcW w:w="1559" w:type="dxa"/>
            <w:tcBorders>
              <w:left w:val="nil"/>
              <w:bottom w:val="single" w:sz="12" w:space="0" w:color="auto"/>
            </w:tcBorders>
          </w:tcPr>
          <w:p w14:paraId="608D1399" w14:textId="77777777" w:rsidR="004F1F64" w:rsidRDefault="004F1F64" w:rsidP="00CD70E7">
            <w:pPr>
              <w:spacing w:after="0" w:line="240" w:lineRule="auto"/>
              <w:ind w:right="173"/>
              <w:jc w:val="right"/>
              <w:rPr>
                <w:rFonts w:ascii="Arial" w:hAnsi="Arial" w:cs="Arial"/>
              </w:rPr>
            </w:pPr>
          </w:p>
          <w:p w14:paraId="4DFC4646" w14:textId="570062DE" w:rsidR="004F1F64" w:rsidRPr="00BA56F7" w:rsidRDefault="004F1F64" w:rsidP="00CD70E7">
            <w:pPr>
              <w:spacing w:after="0" w:line="240" w:lineRule="auto"/>
              <w:ind w:right="173"/>
              <w:jc w:val="right"/>
              <w:rPr>
                <w:rFonts w:ascii="Arial" w:hAnsi="Arial" w:cs="Arial"/>
              </w:rPr>
            </w:pPr>
            <w:r>
              <w:rPr>
                <w:rFonts w:ascii="Arial" w:hAnsi="Arial" w:cs="Arial"/>
              </w:rPr>
              <w:t>288,349</w:t>
            </w:r>
          </w:p>
        </w:tc>
        <w:tc>
          <w:tcPr>
            <w:tcW w:w="1501" w:type="dxa"/>
            <w:tcBorders>
              <w:left w:val="nil"/>
              <w:bottom w:val="single" w:sz="12" w:space="0" w:color="auto"/>
              <w:right w:val="nil"/>
            </w:tcBorders>
          </w:tcPr>
          <w:p w14:paraId="34C4E50E" w14:textId="77777777" w:rsidR="004F1F64" w:rsidRDefault="004F1F64" w:rsidP="00CD70E7">
            <w:pPr>
              <w:spacing w:after="0" w:line="240" w:lineRule="auto"/>
              <w:ind w:right="173"/>
              <w:jc w:val="right"/>
              <w:rPr>
                <w:rFonts w:ascii="Arial" w:hAnsi="Arial" w:cs="Arial"/>
              </w:rPr>
            </w:pPr>
          </w:p>
          <w:p w14:paraId="331BBDBE" w14:textId="009429C6" w:rsidR="004F1F64" w:rsidRPr="00BA56F7" w:rsidRDefault="004F1F64" w:rsidP="00CD70E7">
            <w:pPr>
              <w:spacing w:after="0" w:line="240" w:lineRule="auto"/>
              <w:ind w:right="173"/>
              <w:jc w:val="right"/>
              <w:rPr>
                <w:rFonts w:ascii="Arial" w:hAnsi="Arial" w:cs="Arial"/>
              </w:rPr>
            </w:pPr>
            <w:r w:rsidRPr="00BA56F7">
              <w:rPr>
                <w:rFonts w:ascii="Arial" w:hAnsi="Arial" w:cs="Arial"/>
              </w:rPr>
              <w:t>–</w:t>
            </w:r>
          </w:p>
        </w:tc>
        <w:tc>
          <w:tcPr>
            <w:tcW w:w="1620" w:type="dxa"/>
            <w:tcBorders>
              <w:left w:val="nil"/>
              <w:bottom w:val="single" w:sz="12" w:space="0" w:color="auto"/>
            </w:tcBorders>
          </w:tcPr>
          <w:p w14:paraId="4F1342AE" w14:textId="77777777" w:rsidR="004F1F64" w:rsidRDefault="004F1F64" w:rsidP="00CD70E7">
            <w:pPr>
              <w:spacing w:after="0" w:line="240" w:lineRule="auto"/>
              <w:ind w:right="173"/>
              <w:jc w:val="right"/>
              <w:rPr>
                <w:rFonts w:ascii="Arial" w:hAnsi="Arial" w:cs="Arial"/>
              </w:rPr>
            </w:pPr>
          </w:p>
          <w:p w14:paraId="764606B1" w14:textId="30F1FE6E" w:rsidR="004F1F64" w:rsidRPr="00BA56F7" w:rsidRDefault="004F1F64" w:rsidP="00CD70E7">
            <w:pPr>
              <w:spacing w:after="0" w:line="240" w:lineRule="auto"/>
              <w:ind w:right="173"/>
              <w:jc w:val="right"/>
              <w:rPr>
                <w:rFonts w:ascii="Arial" w:hAnsi="Arial" w:cs="Arial"/>
              </w:rPr>
            </w:pPr>
            <w:r w:rsidRPr="00BA56F7">
              <w:rPr>
                <w:rFonts w:ascii="Arial" w:hAnsi="Arial" w:cs="Arial"/>
              </w:rPr>
              <w:t>–</w:t>
            </w:r>
          </w:p>
        </w:tc>
        <w:tc>
          <w:tcPr>
            <w:tcW w:w="1530" w:type="dxa"/>
            <w:tcBorders>
              <w:left w:val="nil"/>
              <w:bottom w:val="single" w:sz="12" w:space="0" w:color="auto"/>
              <w:right w:val="nil"/>
            </w:tcBorders>
            <w:vAlign w:val="bottom"/>
          </w:tcPr>
          <w:p w14:paraId="2A016986" w14:textId="168A9577" w:rsidR="004F1F64" w:rsidRPr="00BA56F7" w:rsidRDefault="004F1F64" w:rsidP="00CD70E7">
            <w:pPr>
              <w:spacing w:after="0" w:line="240" w:lineRule="auto"/>
              <w:ind w:right="173"/>
              <w:jc w:val="right"/>
              <w:rPr>
                <w:rFonts w:ascii="Arial" w:hAnsi="Arial" w:cs="Arial"/>
                <w:szCs w:val="20"/>
              </w:rPr>
            </w:pPr>
            <w:r>
              <w:rPr>
                <w:rFonts w:ascii="Arial" w:hAnsi="Arial" w:cs="Arial"/>
              </w:rPr>
              <w:t>288,349</w:t>
            </w:r>
          </w:p>
        </w:tc>
      </w:tr>
    </w:tbl>
    <w:p w14:paraId="2121FEFB" w14:textId="77777777" w:rsidR="00790828" w:rsidRPr="00BA56F7" w:rsidRDefault="00790828" w:rsidP="00F15B99">
      <w:pPr>
        <w:spacing w:after="0" w:line="240" w:lineRule="auto"/>
        <w:ind w:left="448" w:hanging="448"/>
        <w:jc w:val="both"/>
        <w:rPr>
          <w:rFonts w:ascii="Arial" w:hAnsi="Arial" w:cs="Arial"/>
          <w:b/>
          <w:bCs/>
          <w:szCs w:val="20"/>
        </w:rPr>
      </w:pPr>
    </w:p>
    <w:p w14:paraId="34894191" w14:textId="4749D617" w:rsidR="006C69B1" w:rsidRPr="00BA56F7" w:rsidRDefault="00190BAA" w:rsidP="00F15B99">
      <w:pPr>
        <w:spacing w:after="0" w:line="240" w:lineRule="auto"/>
        <w:ind w:left="450"/>
        <w:rPr>
          <w:rFonts w:ascii="Arial" w:hAnsi="Arial" w:cs="Arial"/>
          <w:b/>
          <w:szCs w:val="20"/>
        </w:rPr>
      </w:pPr>
      <w:r w:rsidRPr="00190BAA">
        <w:rPr>
          <w:rFonts w:ascii="Arial" w:hAnsi="Arial" w:cs="Arial"/>
          <w:bCs/>
          <w:szCs w:val="20"/>
        </w:rPr>
        <w:t xml:space="preserve">Weighted </w:t>
      </w:r>
      <w:r w:rsidR="006C69B1">
        <w:rPr>
          <w:rFonts w:ascii="Arial" w:hAnsi="Arial" w:cs="Arial"/>
          <w:bCs/>
          <w:szCs w:val="20"/>
        </w:rPr>
        <w:t>average life remaining on intangible asset</w:t>
      </w:r>
      <w:r w:rsidR="005B2329">
        <w:rPr>
          <w:rFonts w:ascii="Arial" w:hAnsi="Arial" w:cs="Arial"/>
          <w:bCs/>
          <w:szCs w:val="20"/>
        </w:rPr>
        <w:t>s</w:t>
      </w:r>
      <w:r w:rsidR="006C69B1">
        <w:rPr>
          <w:rFonts w:ascii="Arial" w:hAnsi="Arial" w:cs="Arial"/>
          <w:bCs/>
          <w:szCs w:val="20"/>
        </w:rPr>
        <w:t xml:space="preserve"> is </w:t>
      </w:r>
      <w:r w:rsidR="00E504AC">
        <w:rPr>
          <w:rFonts w:ascii="Arial" w:hAnsi="Arial" w:cs="Arial"/>
          <w:bCs/>
          <w:szCs w:val="20"/>
        </w:rPr>
        <w:t>8.4</w:t>
      </w:r>
      <w:r w:rsidR="006C69B1">
        <w:rPr>
          <w:rFonts w:ascii="Arial" w:hAnsi="Arial" w:cs="Arial"/>
          <w:bCs/>
          <w:szCs w:val="20"/>
        </w:rPr>
        <w:t xml:space="preserve"> years.  Future amortization for the next </w:t>
      </w:r>
      <w:r w:rsidR="005B2329">
        <w:rPr>
          <w:rFonts w:ascii="Arial" w:hAnsi="Arial" w:cs="Arial"/>
          <w:bCs/>
          <w:szCs w:val="20"/>
        </w:rPr>
        <w:t>five</w:t>
      </w:r>
      <w:r w:rsidR="006C69B1">
        <w:rPr>
          <w:rFonts w:ascii="Arial" w:hAnsi="Arial" w:cs="Arial"/>
          <w:bCs/>
          <w:szCs w:val="20"/>
        </w:rPr>
        <w:t xml:space="preserve"> years is</w:t>
      </w:r>
      <w:r w:rsidR="00517DED">
        <w:rPr>
          <w:rFonts w:ascii="Arial" w:hAnsi="Arial" w:cs="Arial"/>
          <w:bCs/>
          <w:szCs w:val="20"/>
        </w:rPr>
        <w:t xml:space="preserve"> approximately</w:t>
      </w:r>
      <w:r w:rsidR="006C69B1">
        <w:rPr>
          <w:rFonts w:ascii="Arial" w:hAnsi="Arial" w:cs="Arial"/>
          <w:bCs/>
          <w:szCs w:val="20"/>
        </w:rPr>
        <w:t>:</w:t>
      </w:r>
    </w:p>
    <w:tbl>
      <w:tblPr>
        <w:tblW w:w="0" w:type="auto"/>
        <w:tblInd w:w="261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620"/>
        <w:gridCol w:w="1350"/>
      </w:tblGrid>
      <w:tr w:rsidR="00F65E70" w:rsidRPr="00F60034" w14:paraId="48E031D0" w14:textId="77777777" w:rsidTr="00714A27">
        <w:trPr>
          <w:trHeight w:hRule="exact" w:val="396"/>
        </w:trPr>
        <w:tc>
          <w:tcPr>
            <w:tcW w:w="1620" w:type="dxa"/>
            <w:tcBorders>
              <w:top w:val="nil"/>
              <w:left w:val="nil"/>
              <w:right w:val="nil"/>
            </w:tcBorders>
            <w:tcMar>
              <w:left w:w="0" w:type="dxa"/>
              <w:right w:w="0" w:type="dxa"/>
            </w:tcMar>
            <w:vAlign w:val="bottom"/>
          </w:tcPr>
          <w:p w14:paraId="0B707899" w14:textId="77777777" w:rsidR="00F65E70" w:rsidRPr="00F60034" w:rsidRDefault="00F65E70" w:rsidP="00F15B99">
            <w:pPr>
              <w:spacing w:after="0" w:line="240" w:lineRule="auto"/>
              <w:jc w:val="center"/>
              <w:rPr>
                <w:rFonts w:ascii="Arial" w:hAnsi="Arial" w:cs="Arial"/>
                <w:szCs w:val="20"/>
              </w:rPr>
            </w:pPr>
            <w:r w:rsidRPr="00F60034">
              <w:rPr>
                <w:rFonts w:ascii="Arial" w:hAnsi="Arial" w:cs="Arial"/>
                <w:szCs w:val="20"/>
              </w:rPr>
              <w:t>Expiry Date</w:t>
            </w:r>
          </w:p>
        </w:tc>
        <w:tc>
          <w:tcPr>
            <w:tcW w:w="1350" w:type="dxa"/>
            <w:tcBorders>
              <w:top w:val="nil"/>
              <w:left w:val="nil"/>
              <w:right w:val="nil"/>
            </w:tcBorders>
            <w:tcMar>
              <w:left w:w="108" w:type="dxa"/>
              <w:right w:w="108" w:type="dxa"/>
            </w:tcMar>
            <w:vAlign w:val="bottom"/>
          </w:tcPr>
          <w:p w14:paraId="6D0A8D6B" w14:textId="77777777" w:rsidR="00F65E70" w:rsidRPr="00F60034" w:rsidRDefault="00F65E70" w:rsidP="00F15B99">
            <w:pPr>
              <w:spacing w:after="0" w:line="240" w:lineRule="auto"/>
              <w:jc w:val="center"/>
              <w:rPr>
                <w:rFonts w:ascii="Arial" w:hAnsi="Arial" w:cs="Arial"/>
                <w:szCs w:val="20"/>
              </w:rPr>
            </w:pPr>
            <w:r w:rsidRPr="00F60034">
              <w:rPr>
                <w:rFonts w:ascii="Arial" w:hAnsi="Arial" w:cs="Arial"/>
                <w:szCs w:val="20"/>
              </w:rPr>
              <w:t>$</w:t>
            </w:r>
          </w:p>
        </w:tc>
      </w:tr>
      <w:tr w:rsidR="00F65E70" w:rsidRPr="00F60034" w14:paraId="60B335C0" w14:textId="77777777" w:rsidTr="00E44DAE">
        <w:trPr>
          <w:trHeight w:hRule="exact" w:val="115"/>
        </w:trPr>
        <w:tc>
          <w:tcPr>
            <w:tcW w:w="1620" w:type="dxa"/>
            <w:tcBorders>
              <w:top w:val="single" w:sz="4" w:space="0" w:color="auto"/>
              <w:left w:val="nil"/>
              <w:bottom w:val="nil"/>
              <w:right w:val="nil"/>
            </w:tcBorders>
            <w:tcMar>
              <w:left w:w="0" w:type="dxa"/>
              <w:right w:w="0" w:type="dxa"/>
            </w:tcMar>
          </w:tcPr>
          <w:p w14:paraId="5BE3E0C9" w14:textId="77777777" w:rsidR="00F65E70" w:rsidRPr="00F60034" w:rsidRDefault="00F65E70" w:rsidP="00F15B99">
            <w:pPr>
              <w:spacing w:after="0" w:line="240" w:lineRule="auto"/>
              <w:jc w:val="both"/>
              <w:rPr>
                <w:rFonts w:ascii="Arial" w:hAnsi="Arial" w:cs="Arial"/>
                <w:szCs w:val="20"/>
              </w:rPr>
            </w:pPr>
          </w:p>
        </w:tc>
        <w:tc>
          <w:tcPr>
            <w:tcW w:w="1350" w:type="dxa"/>
            <w:tcBorders>
              <w:top w:val="single" w:sz="4" w:space="0" w:color="auto"/>
              <w:left w:val="nil"/>
              <w:bottom w:val="nil"/>
              <w:right w:val="nil"/>
            </w:tcBorders>
            <w:tcMar>
              <w:left w:w="108" w:type="dxa"/>
              <w:right w:w="108" w:type="dxa"/>
            </w:tcMar>
            <w:vAlign w:val="bottom"/>
          </w:tcPr>
          <w:p w14:paraId="50337242" w14:textId="77777777" w:rsidR="00F65E70" w:rsidRPr="00F60034" w:rsidRDefault="00F65E70" w:rsidP="00F15B99">
            <w:pPr>
              <w:spacing w:after="0" w:line="240" w:lineRule="auto"/>
              <w:jc w:val="both"/>
              <w:rPr>
                <w:rFonts w:ascii="Arial" w:hAnsi="Arial" w:cs="Arial"/>
                <w:szCs w:val="20"/>
              </w:rPr>
            </w:pPr>
          </w:p>
        </w:tc>
      </w:tr>
      <w:tr w:rsidR="005B2329" w:rsidRPr="00F60034" w14:paraId="337D9066" w14:textId="77777777" w:rsidTr="00E44DAE">
        <w:tc>
          <w:tcPr>
            <w:tcW w:w="1620" w:type="dxa"/>
            <w:tcBorders>
              <w:top w:val="nil"/>
              <w:left w:val="nil"/>
              <w:bottom w:val="nil"/>
              <w:right w:val="nil"/>
            </w:tcBorders>
            <w:tcMar>
              <w:left w:w="0" w:type="dxa"/>
              <w:right w:w="0" w:type="dxa"/>
            </w:tcMar>
          </w:tcPr>
          <w:p w14:paraId="5621F68B" w14:textId="5F672848"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2020</w:t>
            </w:r>
          </w:p>
        </w:tc>
        <w:tc>
          <w:tcPr>
            <w:tcW w:w="1350" w:type="dxa"/>
            <w:tcBorders>
              <w:top w:val="nil"/>
              <w:left w:val="nil"/>
              <w:bottom w:val="nil"/>
              <w:right w:val="nil"/>
            </w:tcBorders>
            <w:tcMar>
              <w:left w:w="108" w:type="dxa"/>
              <w:right w:w="108" w:type="dxa"/>
            </w:tcMar>
            <w:vAlign w:val="bottom"/>
          </w:tcPr>
          <w:p w14:paraId="6FFC0CA2" w14:textId="225CAA25" w:rsidR="005B2329" w:rsidRPr="00F60034" w:rsidRDefault="006D51E4" w:rsidP="009E6C52">
            <w:pPr>
              <w:spacing w:after="0" w:line="240" w:lineRule="auto"/>
              <w:ind w:right="162"/>
              <w:jc w:val="right"/>
              <w:rPr>
                <w:rFonts w:ascii="Arial" w:hAnsi="Arial" w:cs="Arial"/>
                <w:szCs w:val="20"/>
              </w:rPr>
            </w:pPr>
            <w:r>
              <w:rPr>
                <w:rFonts w:ascii="Arial" w:hAnsi="Arial" w:cs="Arial"/>
                <w:szCs w:val="20"/>
              </w:rPr>
              <w:t>492,</w:t>
            </w:r>
            <w:r w:rsidR="009E6C52">
              <w:rPr>
                <w:rFonts w:ascii="Arial" w:hAnsi="Arial" w:cs="Arial"/>
                <w:szCs w:val="20"/>
              </w:rPr>
              <w:t>400</w:t>
            </w:r>
          </w:p>
        </w:tc>
      </w:tr>
      <w:tr w:rsidR="005B2329" w:rsidRPr="00F60034" w14:paraId="6E769A82" w14:textId="77777777" w:rsidTr="00E44DAE">
        <w:tc>
          <w:tcPr>
            <w:tcW w:w="1620" w:type="dxa"/>
            <w:tcBorders>
              <w:top w:val="nil"/>
              <w:left w:val="nil"/>
              <w:bottom w:val="nil"/>
              <w:right w:val="nil"/>
            </w:tcBorders>
            <w:tcMar>
              <w:left w:w="0" w:type="dxa"/>
              <w:right w:w="0" w:type="dxa"/>
            </w:tcMar>
          </w:tcPr>
          <w:p w14:paraId="6454F1D5" w14:textId="5E509DFF"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2021</w:t>
            </w:r>
          </w:p>
        </w:tc>
        <w:tc>
          <w:tcPr>
            <w:tcW w:w="1350" w:type="dxa"/>
            <w:tcBorders>
              <w:top w:val="nil"/>
              <w:left w:val="nil"/>
              <w:bottom w:val="nil"/>
              <w:right w:val="nil"/>
            </w:tcBorders>
            <w:tcMar>
              <w:left w:w="108" w:type="dxa"/>
              <w:right w:w="108" w:type="dxa"/>
            </w:tcMar>
            <w:vAlign w:val="bottom"/>
          </w:tcPr>
          <w:p w14:paraId="29CE67F3" w14:textId="18A13AFF" w:rsidR="005B2329" w:rsidRPr="00F60034" w:rsidRDefault="006D51E4" w:rsidP="009E6C52">
            <w:pPr>
              <w:spacing w:after="0" w:line="240" w:lineRule="auto"/>
              <w:ind w:right="162"/>
              <w:jc w:val="right"/>
              <w:rPr>
                <w:rFonts w:ascii="Arial" w:hAnsi="Arial" w:cs="Arial"/>
                <w:szCs w:val="20"/>
              </w:rPr>
            </w:pPr>
            <w:r>
              <w:rPr>
                <w:rFonts w:ascii="Arial" w:hAnsi="Arial" w:cs="Arial"/>
                <w:szCs w:val="20"/>
              </w:rPr>
              <w:t>976,</w:t>
            </w:r>
            <w:r w:rsidR="009E6C52">
              <w:rPr>
                <w:rFonts w:ascii="Arial" w:hAnsi="Arial" w:cs="Arial"/>
                <w:szCs w:val="20"/>
              </w:rPr>
              <w:t>800</w:t>
            </w:r>
          </w:p>
        </w:tc>
      </w:tr>
      <w:tr w:rsidR="005B2329" w:rsidRPr="00F60034" w14:paraId="6A10CF4B" w14:textId="77777777" w:rsidTr="00E44DAE">
        <w:tc>
          <w:tcPr>
            <w:tcW w:w="1620" w:type="dxa"/>
            <w:tcBorders>
              <w:top w:val="nil"/>
              <w:left w:val="nil"/>
              <w:bottom w:val="nil"/>
              <w:right w:val="nil"/>
            </w:tcBorders>
            <w:tcMar>
              <w:left w:w="0" w:type="dxa"/>
              <w:right w:w="0" w:type="dxa"/>
            </w:tcMar>
          </w:tcPr>
          <w:p w14:paraId="57126722" w14:textId="46B5DE2E" w:rsidR="005B2329" w:rsidRPr="00F60034" w:rsidRDefault="005B2329" w:rsidP="005B2329">
            <w:pPr>
              <w:tabs>
                <w:tab w:val="left" w:pos="702"/>
              </w:tabs>
              <w:spacing w:after="0" w:line="240" w:lineRule="auto"/>
              <w:ind w:right="-111"/>
              <w:jc w:val="center"/>
              <w:rPr>
                <w:rFonts w:ascii="Arial" w:hAnsi="Arial" w:cs="Arial"/>
                <w:szCs w:val="20"/>
              </w:rPr>
            </w:pPr>
            <w:r>
              <w:rPr>
                <w:rFonts w:ascii="Arial" w:hAnsi="Arial" w:cs="Arial"/>
                <w:szCs w:val="20"/>
              </w:rPr>
              <w:t>2022</w:t>
            </w:r>
          </w:p>
        </w:tc>
        <w:tc>
          <w:tcPr>
            <w:tcW w:w="1350" w:type="dxa"/>
            <w:tcBorders>
              <w:top w:val="nil"/>
              <w:left w:val="nil"/>
              <w:bottom w:val="nil"/>
              <w:right w:val="nil"/>
            </w:tcBorders>
            <w:tcMar>
              <w:left w:w="108" w:type="dxa"/>
              <w:right w:w="108" w:type="dxa"/>
            </w:tcMar>
            <w:vAlign w:val="bottom"/>
          </w:tcPr>
          <w:p w14:paraId="780B7191" w14:textId="71F8C4A3" w:rsidR="005B2329" w:rsidRPr="00F60034" w:rsidRDefault="006D51E4" w:rsidP="009E6C52">
            <w:pPr>
              <w:spacing w:after="0" w:line="240" w:lineRule="auto"/>
              <w:ind w:right="162"/>
              <w:jc w:val="right"/>
              <w:rPr>
                <w:rFonts w:ascii="Arial" w:hAnsi="Arial" w:cs="Arial"/>
                <w:szCs w:val="20"/>
              </w:rPr>
            </w:pPr>
            <w:r>
              <w:rPr>
                <w:rFonts w:ascii="Arial" w:hAnsi="Arial" w:cs="Arial"/>
                <w:szCs w:val="20"/>
              </w:rPr>
              <w:t>945,</w:t>
            </w:r>
            <w:r w:rsidR="009E6C52">
              <w:rPr>
                <w:rFonts w:ascii="Arial" w:hAnsi="Arial" w:cs="Arial"/>
                <w:szCs w:val="20"/>
              </w:rPr>
              <w:t>900</w:t>
            </w:r>
          </w:p>
        </w:tc>
      </w:tr>
      <w:tr w:rsidR="00F65E70" w:rsidRPr="00F60034" w14:paraId="32E12C51" w14:textId="77777777" w:rsidTr="00E44DAE">
        <w:tc>
          <w:tcPr>
            <w:tcW w:w="1620" w:type="dxa"/>
            <w:tcBorders>
              <w:top w:val="nil"/>
              <w:left w:val="nil"/>
              <w:bottom w:val="nil"/>
              <w:right w:val="nil"/>
            </w:tcBorders>
            <w:tcMar>
              <w:left w:w="0" w:type="dxa"/>
              <w:right w:w="0" w:type="dxa"/>
            </w:tcMar>
          </w:tcPr>
          <w:p w14:paraId="7319621B" w14:textId="4B55C558" w:rsidR="00F65E70" w:rsidRPr="00F60034" w:rsidRDefault="00F65E70" w:rsidP="00F15B99">
            <w:pPr>
              <w:tabs>
                <w:tab w:val="left" w:pos="702"/>
              </w:tabs>
              <w:spacing w:after="0" w:line="240" w:lineRule="auto"/>
              <w:ind w:right="-111"/>
              <w:jc w:val="center"/>
              <w:rPr>
                <w:rFonts w:ascii="Arial" w:hAnsi="Arial" w:cs="Arial"/>
                <w:szCs w:val="20"/>
              </w:rPr>
            </w:pPr>
            <w:r>
              <w:rPr>
                <w:rFonts w:ascii="Arial" w:hAnsi="Arial" w:cs="Arial"/>
                <w:szCs w:val="20"/>
              </w:rPr>
              <w:t>2</w:t>
            </w:r>
            <w:r w:rsidR="005B2329">
              <w:rPr>
                <w:rFonts w:ascii="Arial" w:hAnsi="Arial" w:cs="Arial"/>
                <w:szCs w:val="20"/>
              </w:rPr>
              <w:t>023</w:t>
            </w:r>
          </w:p>
        </w:tc>
        <w:tc>
          <w:tcPr>
            <w:tcW w:w="1350" w:type="dxa"/>
            <w:tcBorders>
              <w:top w:val="nil"/>
              <w:left w:val="nil"/>
              <w:bottom w:val="nil"/>
              <w:right w:val="nil"/>
            </w:tcBorders>
            <w:tcMar>
              <w:left w:w="108" w:type="dxa"/>
              <w:right w:w="108" w:type="dxa"/>
            </w:tcMar>
            <w:vAlign w:val="bottom"/>
          </w:tcPr>
          <w:p w14:paraId="2FD5A9D5" w14:textId="721CE92D" w:rsidR="00F65E70" w:rsidRPr="00F60034" w:rsidRDefault="006D51E4" w:rsidP="009E6C52">
            <w:pPr>
              <w:spacing w:after="0" w:line="240" w:lineRule="auto"/>
              <w:ind w:right="162"/>
              <w:jc w:val="right"/>
              <w:rPr>
                <w:rFonts w:ascii="Arial" w:hAnsi="Arial" w:cs="Arial"/>
                <w:szCs w:val="20"/>
              </w:rPr>
            </w:pPr>
            <w:r>
              <w:rPr>
                <w:rFonts w:ascii="Arial" w:hAnsi="Arial" w:cs="Arial"/>
                <w:szCs w:val="20"/>
              </w:rPr>
              <w:t>89</w:t>
            </w:r>
            <w:r w:rsidR="009E6C52">
              <w:rPr>
                <w:rFonts w:ascii="Arial" w:hAnsi="Arial" w:cs="Arial"/>
                <w:szCs w:val="20"/>
              </w:rPr>
              <w:t>7</w:t>
            </w:r>
            <w:r>
              <w:rPr>
                <w:rFonts w:ascii="Arial" w:hAnsi="Arial" w:cs="Arial"/>
                <w:szCs w:val="20"/>
              </w:rPr>
              <w:t>,</w:t>
            </w:r>
            <w:r w:rsidR="009E6C52">
              <w:rPr>
                <w:rFonts w:ascii="Arial" w:hAnsi="Arial" w:cs="Arial"/>
                <w:szCs w:val="20"/>
              </w:rPr>
              <w:t>000</w:t>
            </w:r>
          </w:p>
        </w:tc>
      </w:tr>
      <w:tr w:rsidR="005B2329" w:rsidRPr="00F60034" w14:paraId="366703C9" w14:textId="77777777" w:rsidTr="00E44DAE">
        <w:tc>
          <w:tcPr>
            <w:tcW w:w="1620" w:type="dxa"/>
            <w:tcBorders>
              <w:top w:val="nil"/>
              <w:left w:val="nil"/>
              <w:bottom w:val="nil"/>
              <w:right w:val="nil"/>
            </w:tcBorders>
            <w:tcMar>
              <w:left w:w="0" w:type="dxa"/>
              <w:right w:w="0" w:type="dxa"/>
            </w:tcMar>
          </w:tcPr>
          <w:p w14:paraId="160262BC" w14:textId="34808F45" w:rsidR="005B2329" w:rsidRDefault="005B2329" w:rsidP="00F15B99">
            <w:pPr>
              <w:tabs>
                <w:tab w:val="left" w:pos="702"/>
              </w:tabs>
              <w:spacing w:after="0" w:line="240" w:lineRule="auto"/>
              <w:ind w:right="-111"/>
              <w:jc w:val="center"/>
              <w:rPr>
                <w:rFonts w:ascii="Arial" w:hAnsi="Arial" w:cs="Arial"/>
                <w:szCs w:val="20"/>
              </w:rPr>
            </w:pPr>
            <w:r>
              <w:rPr>
                <w:rFonts w:ascii="Arial" w:hAnsi="Arial" w:cs="Arial"/>
                <w:szCs w:val="20"/>
              </w:rPr>
              <w:t>2024</w:t>
            </w:r>
          </w:p>
        </w:tc>
        <w:tc>
          <w:tcPr>
            <w:tcW w:w="1350" w:type="dxa"/>
            <w:tcBorders>
              <w:top w:val="nil"/>
              <w:left w:val="nil"/>
              <w:bottom w:val="nil"/>
              <w:right w:val="nil"/>
            </w:tcBorders>
            <w:tcMar>
              <w:left w:w="108" w:type="dxa"/>
              <w:right w:w="108" w:type="dxa"/>
            </w:tcMar>
            <w:vAlign w:val="bottom"/>
          </w:tcPr>
          <w:p w14:paraId="749294E5" w14:textId="7877A7FF" w:rsidR="005B2329" w:rsidRDefault="006D51E4" w:rsidP="009E6C52">
            <w:pPr>
              <w:spacing w:after="0" w:line="240" w:lineRule="auto"/>
              <w:ind w:right="162"/>
              <w:jc w:val="right"/>
              <w:rPr>
                <w:rFonts w:ascii="Arial" w:hAnsi="Arial" w:cs="Arial"/>
                <w:szCs w:val="20"/>
              </w:rPr>
            </w:pPr>
            <w:r>
              <w:rPr>
                <w:rFonts w:ascii="Arial" w:hAnsi="Arial" w:cs="Arial"/>
                <w:szCs w:val="20"/>
              </w:rPr>
              <w:t>89</w:t>
            </w:r>
            <w:r w:rsidR="009E6C52">
              <w:rPr>
                <w:rFonts w:ascii="Arial" w:hAnsi="Arial" w:cs="Arial"/>
                <w:szCs w:val="20"/>
              </w:rPr>
              <w:t>7</w:t>
            </w:r>
            <w:r>
              <w:rPr>
                <w:rFonts w:ascii="Arial" w:hAnsi="Arial" w:cs="Arial"/>
                <w:szCs w:val="20"/>
              </w:rPr>
              <w:t>,</w:t>
            </w:r>
            <w:r w:rsidR="009E6C52">
              <w:rPr>
                <w:rFonts w:ascii="Arial" w:hAnsi="Arial" w:cs="Arial"/>
                <w:szCs w:val="20"/>
              </w:rPr>
              <w:t>000</w:t>
            </w:r>
          </w:p>
        </w:tc>
      </w:tr>
    </w:tbl>
    <w:p w14:paraId="303FABA4" w14:textId="2B2FF3EA" w:rsidR="00BA56F7" w:rsidRDefault="00BA56F7" w:rsidP="00F15B99">
      <w:pPr>
        <w:spacing w:after="0" w:line="240" w:lineRule="auto"/>
        <w:ind w:left="450"/>
        <w:rPr>
          <w:rFonts w:ascii="Arial" w:hAnsi="Arial" w:cs="Arial"/>
          <w:bCs/>
          <w:szCs w:val="20"/>
        </w:rPr>
      </w:pPr>
    </w:p>
    <w:p w14:paraId="7AE08E53" w14:textId="77777777" w:rsidR="00E504AC" w:rsidRPr="00BA56F7" w:rsidRDefault="00E504AC" w:rsidP="00E504AC">
      <w:pPr>
        <w:tabs>
          <w:tab w:val="left" w:pos="450"/>
        </w:tabs>
        <w:spacing w:after="0" w:line="240" w:lineRule="auto"/>
        <w:ind w:left="450"/>
        <w:jc w:val="both"/>
        <w:rPr>
          <w:rFonts w:ascii="Arial" w:eastAsia="Times New Roman" w:hAnsi="Arial" w:cs="Arial"/>
          <w:bCs/>
          <w:szCs w:val="20"/>
        </w:rPr>
      </w:pPr>
      <w:r w:rsidRPr="00BA56F7">
        <w:rPr>
          <w:rFonts w:ascii="Arial" w:eastAsia="Times New Roman" w:hAnsi="Arial" w:cs="Arial"/>
          <w:bCs/>
          <w:szCs w:val="20"/>
        </w:rPr>
        <w:t>(a) BiPhasix License</w:t>
      </w:r>
    </w:p>
    <w:p w14:paraId="13C109F4" w14:textId="77777777" w:rsidR="00E504AC" w:rsidRDefault="00E504AC" w:rsidP="00E504AC">
      <w:pPr>
        <w:spacing w:after="0" w:line="240" w:lineRule="auto"/>
        <w:ind w:left="720"/>
        <w:jc w:val="both"/>
        <w:rPr>
          <w:rFonts w:ascii="Arial" w:eastAsia="Times New Roman" w:hAnsi="Arial" w:cs="Arial"/>
          <w:bCs/>
          <w:szCs w:val="20"/>
        </w:rPr>
      </w:pPr>
    </w:p>
    <w:p w14:paraId="6FA79C98" w14:textId="77777777" w:rsidR="00E504AC" w:rsidRDefault="00E504AC" w:rsidP="00E504AC">
      <w:pPr>
        <w:spacing w:after="0" w:line="240" w:lineRule="auto"/>
        <w:ind w:left="720"/>
        <w:jc w:val="both"/>
        <w:rPr>
          <w:rFonts w:ascii="Arial" w:eastAsia="Times New Roman" w:hAnsi="Arial" w:cs="Arial"/>
          <w:bCs/>
          <w:szCs w:val="20"/>
        </w:rPr>
      </w:pPr>
      <w:r w:rsidRPr="00BA56F7">
        <w:rPr>
          <w:rFonts w:ascii="Arial" w:eastAsia="Times New Roman" w:hAnsi="Arial" w:cs="Arial"/>
          <w:bCs/>
          <w:szCs w:val="20"/>
        </w:rPr>
        <w:t>On September 12, 2017, the Company entered into a licensing agreement with Altum Pharmaceuticals Inc. (“Altum”)</w:t>
      </w:r>
      <w:r>
        <w:rPr>
          <w:rFonts w:ascii="Arial" w:eastAsia="Times New Roman" w:hAnsi="Arial" w:cs="Arial"/>
          <w:bCs/>
          <w:szCs w:val="20"/>
        </w:rPr>
        <w:t>, a party related by way of common officer,</w:t>
      </w:r>
      <w:r w:rsidRPr="00BA56F7">
        <w:rPr>
          <w:rFonts w:ascii="Arial" w:eastAsia="Times New Roman" w:hAnsi="Arial" w:cs="Arial"/>
          <w:bCs/>
          <w:szCs w:val="20"/>
        </w:rPr>
        <w:t xml:space="preserve"> whereby the Company acquired worldwide rights to the BiPhasix™ transdermal drug delivery technology for the development and commercialization of Cannabinoids, Cannabidiol and Tetrahydrocannabinol products.  Consideration included:</w:t>
      </w:r>
    </w:p>
    <w:p w14:paraId="32016731" w14:textId="77777777" w:rsidR="00E504AC" w:rsidRDefault="00E504AC" w:rsidP="00F15B99">
      <w:pPr>
        <w:spacing w:after="0" w:line="240" w:lineRule="auto"/>
        <w:ind w:left="450"/>
        <w:rPr>
          <w:rFonts w:ascii="Arial" w:hAnsi="Arial" w:cs="Arial"/>
          <w:bCs/>
          <w:szCs w:val="20"/>
        </w:rPr>
      </w:pPr>
    </w:p>
    <w:p w14:paraId="0EE10C8C" w14:textId="46477CE7" w:rsidR="00E504AC"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2,500,000 </w:t>
      </w:r>
      <w:r w:rsidR="00F07391">
        <w:rPr>
          <w:rFonts w:ascii="Arial" w:eastAsia="Times New Roman" w:hAnsi="Arial" w:cs="Arial"/>
          <w:bCs/>
          <w:szCs w:val="20"/>
        </w:rPr>
        <w:t>common shares</w:t>
      </w:r>
      <w:r w:rsidRPr="00E54C87">
        <w:rPr>
          <w:rFonts w:ascii="Arial" w:eastAsia="Times New Roman" w:hAnsi="Arial" w:cs="Arial"/>
          <w:bCs/>
          <w:szCs w:val="20"/>
        </w:rPr>
        <w:t xml:space="preserve"> on September 12, 2017 valued at $</w:t>
      </w:r>
      <w:r>
        <w:rPr>
          <w:rFonts w:ascii="Arial" w:eastAsia="Times New Roman" w:hAnsi="Arial" w:cs="Arial"/>
          <w:bCs/>
          <w:szCs w:val="20"/>
        </w:rPr>
        <w:t xml:space="preserve">319,174, which was recorded as an intangible asset with a corresponding credit to common </w:t>
      </w:r>
      <w:r w:rsidR="00F07391">
        <w:rPr>
          <w:rFonts w:ascii="Arial" w:eastAsia="Times New Roman" w:hAnsi="Arial" w:cs="Arial"/>
          <w:bCs/>
          <w:szCs w:val="20"/>
        </w:rPr>
        <w:t>shares</w:t>
      </w:r>
      <w:r w:rsidRPr="00E54C87">
        <w:rPr>
          <w:rFonts w:ascii="Arial" w:eastAsia="Times New Roman" w:hAnsi="Arial" w:cs="Arial"/>
          <w:bCs/>
          <w:szCs w:val="20"/>
        </w:rPr>
        <w:t>;</w:t>
      </w:r>
    </w:p>
    <w:p w14:paraId="6AAB217C" w14:textId="77777777" w:rsidR="00E504AC" w:rsidRPr="00E54C87" w:rsidRDefault="00E504AC" w:rsidP="00E504AC">
      <w:pPr>
        <w:pStyle w:val="ListParagraph"/>
        <w:spacing w:after="0" w:line="240" w:lineRule="auto"/>
        <w:ind w:left="1080"/>
        <w:jc w:val="both"/>
        <w:rPr>
          <w:rFonts w:ascii="Arial" w:eastAsia="Times New Roman" w:hAnsi="Arial" w:cs="Arial"/>
          <w:bCs/>
          <w:szCs w:val="20"/>
        </w:rPr>
      </w:pPr>
    </w:p>
    <w:p w14:paraId="42308EF4" w14:textId="0F597DC7"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Issuance of 2,500,000 </w:t>
      </w:r>
      <w:r w:rsidR="00F07391">
        <w:rPr>
          <w:rFonts w:ascii="Arial" w:eastAsia="Times New Roman" w:hAnsi="Arial" w:cs="Arial"/>
          <w:bCs/>
          <w:szCs w:val="20"/>
        </w:rPr>
        <w:t>common shares</w:t>
      </w:r>
      <w:r w:rsidRPr="00E54C87">
        <w:rPr>
          <w:rFonts w:ascii="Arial" w:eastAsia="Times New Roman" w:hAnsi="Arial" w:cs="Arial"/>
          <w:bCs/>
          <w:szCs w:val="20"/>
        </w:rPr>
        <w:t xml:space="preserve"> of </w:t>
      </w:r>
      <w:r w:rsidR="00517DED">
        <w:rPr>
          <w:rFonts w:ascii="Arial" w:eastAsia="Times New Roman" w:hAnsi="Arial" w:cs="Arial"/>
          <w:bCs/>
          <w:szCs w:val="20"/>
        </w:rPr>
        <w:t>the Company</w:t>
      </w:r>
      <w:r w:rsidRPr="00E54C87">
        <w:rPr>
          <w:rFonts w:ascii="Arial" w:eastAsia="Times New Roman" w:hAnsi="Arial" w:cs="Arial"/>
          <w:bCs/>
          <w:szCs w:val="20"/>
        </w:rPr>
        <w:t xml:space="preserve"> upon Health Canada Natural Product Number approval (not yet issued as of the date of this report); </w:t>
      </w:r>
    </w:p>
    <w:p w14:paraId="5BE8F89C" w14:textId="77777777" w:rsidR="00E504AC" w:rsidRDefault="00E504AC" w:rsidP="00E504AC">
      <w:pPr>
        <w:tabs>
          <w:tab w:val="left" w:pos="450"/>
        </w:tabs>
        <w:spacing w:after="0"/>
        <w:rPr>
          <w:rFonts w:ascii="Arial" w:hAnsi="Arial" w:cs="Arial"/>
          <w:szCs w:val="20"/>
        </w:rPr>
      </w:pPr>
    </w:p>
    <w:p w14:paraId="0212C0B7" w14:textId="77777777" w:rsidR="0007122C" w:rsidRDefault="0007122C">
      <w:pPr>
        <w:rPr>
          <w:rFonts w:ascii="Arial" w:hAnsi="Arial" w:cs="Arial"/>
          <w:b/>
          <w:szCs w:val="20"/>
        </w:rPr>
      </w:pPr>
      <w:r>
        <w:rPr>
          <w:rFonts w:ascii="Arial" w:hAnsi="Arial" w:cs="Arial"/>
          <w:b/>
          <w:szCs w:val="20"/>
        </w:rPr>
        <w:br w:type="page"/>
      </w:r>
    </w:p>
    <w:p w14:paraId="647A34BD" w14:textId="3F462C00" w:rsidR="0007122C" w:rsidRPr="0007122C" w:rsidRDefault="0007122C" w:rsidP="0007122C">
      <w:pPr>
        <w:tabs>
          <w:tab w:val="left" w:pos="450"/>
        </w:tabs>
        <w:spacing w:after="0" w:line="240" w:lineRule="auto"/>
        <w:jc w:val="both"/>
        <w:rPr>
          <w:rFonts w:ascii="Arial" w:hAnsi="Arial" w:cs="Arial"/>
          <w:szCs w:val="20"/>
        </w:rPr>
      </w:pPr>
      <w:r>
        <w:rPr>
          <w:rFonts w:ascii="Arial" w:hAnsi="Arial" w:cs="Arial"/>
          <w:b/>
          <w:szCs w:val="20"/>
        </w:rPr>
        <w:lastRenderedPageBreak/>
        <w:t>7</w:t>
      </w:r>
      <w:r w:rsidRPr="00BA56F7">
        <w:rPr>
          <w:rFonts w:ascii="Arial" w:hAnsi="Arial" w:cs="Arial"/>
          <w:b/>
          <w:szCs w:val="20"/>
        </w:rPr>
        <w:t xml:space="preserve">.    </w:t>
      </w:r>
      <w:r w:rsidRPr="00BA56F7">
        <w:rPr>
          <w:rFonts w:ascii="Arial" w:hAnsi="Arial" w:cs="Arial"/>
          <w:b/>
          <w:szCs w:val="20"/>
        </w:rPr>
        <w:tab/>
        <w:t>Intangible Asset</w:t>
      </w:r>
      <w:r>
        <w:rPr>
          <w:rFonts w:ascii="Arial" w:hAnsi="Arial" w:cs="Arial"/>
          <w:szCs w:val="20"/>
        </w:rPr>
        <w:t xml:space="preserve"> (continued)</w:t>
      </w:r>
    </w:p>
    <w:p w14:paraId="05428879" w14:textId="77777777" w:rsidR="0007122C" w:rsidRPr="00F90149" w:rsidRDefault="0007122C" w:rsidP="00E504AC">
      <w:pPr>
        <w:tabs>
          <w:tab w:val="left" w:pos="450"/>
        </w:tabs>
        <w:spacing w:after="0"/>
        <w:rPr>
          <w:rFonts w:ascii="Arial" w:hAnsi="Arial" w:cs="Arial"/>
          <w:szCs w:val="20"/>
        </w:rPr>
      </w:pPr>
    </w:p>
    <w:p w14:paraId="13966DF0" w14:textId="77777777"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Royalties on annual gross sales; and</w:t>
      </w:r>
    </w:p>
    <w:p w14:paraId="0D044DEF" w14:textId="77777777" w:rsidR="00E504AC" w:rsidRPr="00E54C87" w:rsidRDefault="00E504AC" w:rsidP="00E504AC">
      <w:pPr>
        <w:spacing w:after="0" w:line="240" w:lineRule="auto"/>
        <w:jc w:val="both"/>
        <w:rPr>
          <w:rFonts w:ascii="Arial" w:eastAsia="Times New Roman" w:hAnsi="Arial" w:cs="Arial"/>
          <w:bCs/>
          <w:szCs w:val="20"/>
        </w:rPr>
      </w:pPr>
    </w:p>
    <w:p w14:paraId="792E70B5" w14:textId="773AF80F" w:rsidR="00E504AC" w:rsidRPr="00E54C87" w:rsidRDefault="00E504AC" w:rsidP="00E504AC">
      <w:pPr>
        <w:pStyle w:val="ListParagraph"/>
        <w:numPr>
          <w:ilvl w:val="0"/>
          <w:numId w:val="31"/>
        </w:numPr>
        <w:spacing w:after="0" w:line="240" w:lineRule="auto"/>
        <w:jc w:val="both"/>
        <w:rPr>
          <w:rFonts w:ascii="Arial" w:eastAsia="Times New Roman" w:hAnsi="Arial" w:cs="Arial"/>
          <w:bCs/>
          <w:szCs w:val="20"/>
        </w:rPr>
      </w:pPr>
      <w:r w:rsidRPr="00E54C87">
        <w:rPr>
          <w:rFonts w:ascii="Arial" w:eastAsia="Times New Roman" w:hAnsi="Arial" w:cs="Arial"/>
          <w:bCs/>
          <w:szCs w:val="20"/>
        </w:rPr>
        <w:t xml:space="preserve">For pharmaceutical products, milestone payments payable upon first Investigative New Drug Approval, upon positive outcome of Phase II trial in first indication, and upon New Drug Application approval.  As of </w:t>
      </w:r>
      <w:r>
        <w:rPr>
          <w:rFonts w:ascii="Arial" w:eastAsia="Times New Roman" w:hAnsi="Arial" w:cs="Arial"/>
          <w:bCs/>
          <w:szCs w:val="20"/>
        </w:rPr>
        <w:t>July</w:t>
      </w:r>
      <w:r w:rsidRPr="00E54C87">
        <w:rPr>
          <w:rFonts w:ascii="Arial" w:eastAsia="Times New Roman" w:hAnsi="Arial" w:cs="Arial"/>
          <w:bCs/>
          <w:szCs w:val="20"/>
        </w:rPr>
        <w:t xml:space="preserve"> 31, 2019, no milestones have been achieved.</w:t>
      </w:r>
    </w:p>
    <w:p w14:paraId="05A6DA60" w14:textId="77777777" w:rsidR="00E504AC" w:rsidRDefault="00E504AC" w:rsidP="00E504AC">
      <w:pPr>
        <w:tabs>
          <w:tab w:val="left" w:pos="450"/>
        </w:tabs>
        <w:spacing w:after="0" w:line="240" w:lineRule="auto"/>
        <w:ind w:left="450"/>
        <w:jc w:val="both"/>
        <w:rPr>
          <w:rFonts w:ascii="Arial" w:eastAsia="Times New Roman" w:hAnsi="Arial" w:cs="Arial"/>
          <w:bCs/>
          <w:szCs w:val="20"/>
        </w:rPr>
      </w:pPr>
    </w:p>
    <w:p w14:paraId="6D1449D9" w14:textId="77777777" w:rsidR="00E504AC" w:rsidRPr="00BA56F7" w:rsidRDefault="00E504AC" w:rsidP="00E504AC">
      <w:pPr>
        <w:tabs>
          <w:tab w:val="left" w:pos="450"/>
        </w:tabs>
        <w:spacing w:after="0" w:line="240" w:lineRule="auto"/>
        <w:ind w:left="450"/>
        <w:jc w:val="both"/>
        <w:rPr>
          <w:rFonts w:ascii="Arial" w:eastAsia="Times New Roman" w:hAnsi="Arial" w:cs="Arial"/>
          <w:bCs/>
          <w:szCs w:val="20"/>
        </w:rPr>
      </w:pPr>
      <w:r>
        <w:rPr>
          <w:rFonts w:ascii="Arial" w:eastAsia="Times New Roman" w:hAnsi="Arial" w:cs="Arial"/>
          <w:bCs/>
          <w:szCs w:val="20"/>
        </w:rPr>
        <w:t>(b) Solumer Oral Drug Delivery Technology</w:t>
      </w:r>
    </w:p>
    <w:p w14:paraId="3E61F3C8" w14:textId="77777777" w:rsidR="00E504AC" w:rsidRDefault="00E504AC" w:rsidP="00E504AC">
      <w:pPr>
        <w:spacing w:after="0" w:line="240" w:lineRule="auto"/>
        <w:ind w:left="720"/>
        <w:jc w:val="both"/>
        <w:rPr>
          <w:rFonts w:ascii="Arial" w:eastAsia="Times New Roman" w:hAnsi="Arial" w:cs="Arial"/>
          <w:bCs/>
          <w:szCs w:val="20"/>
        </w:rPr>
      </w:pPr>
    </w:p>
    <w:p w14:paraId="4ED21380" w14:textId="1C34D013" w:rsidR="00E504AC" w:rsidRDefault="00E504AC" w:rsidP="00E504AC">
      <w:pPr>
        <w:spacing w:after="0" w:line="240" w:lineRule="auto"/>
        <w:ind w:left="720"/>
        <w:jc w:val="both"/>
        <w:rPr>
          <w:rFonts w:ascii="Arial" w:eastAsia="Times New Roman" w:hAnsi="Arial" w:cs="Arial"/>
          <w:bCs/>
          <w:szCs w:val="20"/>
        </w:rPr>
      </w:pPr>
      <w:r w:rsidRPr="00E504AC">
        <w:rPr>
          <w:rFonts w:ascii="Arial" w:eastAsia="Times New Roman" w:hAnsi="Arial" w:cs="Arial"/>
          <w:bCs/>
          <w:szCs w:val="20"/>
        </w:rPr>
        <w:t xml:space="preserve">On August 7, 2018, the Company entered into a licensing agreement with Formulex Pharma Innovations (formerly Solubest Ltd.) (“Formulex”) whereby the Company will acquire worldwide rights for the use, development and commercialization of Formulex’s Solumer Oral Drug Technology solely for the improved bio-availability, delivery and commercialization of Cannabinoid and Tetrahydrocannabinol-based products for human and animal use. Financial considerations include: 1) Monthly license fee until commercialization date (US$10,000); and 2) Milestone payments upon commercialization (US$150,000) and upon net sales of US$5,000,000 (US$250,000). Other consideration includes royalties on aggregate net sales. In addition, the Company entered into a master formulations services agreement whereby the Company would be Formulex a monthly development fee of US$20,000. During the </w:t>
      </w:r>
      <w:r w:rsidR="003F632A">
        <w:rPr>
          <w:rFonts w:ascii="Arial" w:eastAsia="Times New Roman" w:hAnsi="Arial" w:cs="Arial"/>
          <w:bCs/>
          <w:szCs w:val="20"/>
        </w:rPr>
        <w:t>six</w:t>
      </w:r>
      <w:r w:rsidRPr="00E504AC">
        <w:rPr>
          <w:rFonts w:ascii="Arial" w:eastAsia="Times New Roman" w:hAnsi="Arial" w:cs="Arial"/>
          <w:bCs/>
          <w:szCs w:val="20"/>
        </w:rPr>
        <w:t xml:space="preserve"> months ended </w:t>
      </w:r>
      <w:r w:rsidR="003F632A">
        <w:rPr>
          <w:rFonts w:ascii="Arial" w:eastAsia="Times New Roman" w:hAnsi="Arial" w:cs="Arial"/>
          <w:bCs/>
          <w:szCs w:val="20"/>
        </w:rPr>
        <w:t>July 31</w:t>
      </w:r>
      <w:r w:rsidRPr="00E504AC">
        <w:rPr>
          <w:rFonts w:ascii="Arial" w:eastAsia="Times New Roman" w:hAnsi="Arial" w:cs="Arial"/>
          <w:bCs/>
          <w:szCs w:val="20"/>
        </w:rPr>
        <w:t>, 2019, this master formulations services agreement was terminated</w:t>
      </w:r>
      <w:r>
        <w:rPr>
          <w:rFonts w:ascii="Arial" w:eastAsia="Times New Roman" w:hAnsi="Arial" w:cs="Arial"/>
          <w:bCs/>
          <w:szCs w:val="20"/>
        </w:rPr>
        <w:t>.</w:t>
      </w:r>
      <w:r w:rsidR="00620114">
        <w:rPr>
          <w:rFonts w:ascii="Arial" w:eastAsia="Times New Roman" w:hAnsi="Arial" w:cs="Arial"/>
          <w:bCs/>
          <w:szCs w:val="20"/>
        </w:rPr>
        <w:t xml:space="preserve">  Also, during the six months ended July 31, 2019, Formulex undertook proceedings to terminate the licensing agreement.  The Company is its legal options available.</w:t>
      </w:r>
    </w:p>
    <w:p w14:paraId="2477CF40" w14:textId="77777777" w:rsidR="0007122C" w:rsidRDefault="0007122C" w:rsidP="00E504AC">
      <w:pPr>
        <w:spacing w:after="0" w:line="240" w:lineRule="auto"/>
        <w:ind w:left="720"/>
        <w:jc w:val="both"/>
        <w:rPr>
          <w:rFonts w:ascii="Arial" w:eastAsia="Times New Roman" w:hAnsi="Arial" w:cs="Arial"/>
          <w:bCs/>
          <w:szCs w:val="20"/>
        </w:rPr>
      </w:pPr>
    </w:p>
    <w:p w14:paraId="7F835882" w14:textId="049AA7DA" w:rsidR="00E504AC" w:rsidRDefault="00E504AC" w:rsidP="00E504AC">
      <w:pPr>
        <w:tabs>
          <w:tab w:val="left" w:pos="450"/>
        </w:tabs>
        <w:spacing w:after="0" w:line="240" w:lineRule="auto"/>
        <w:jc w:val="both"/>
        <w:rPr>
          <w:rFonts w:ascii="Arial" w:hAnsi="Arial" w:cs="Arial"/>
          <w:b/>
          <w:bCs/>
          <w:szCs w:val="20"/>
        </w:rPr>
      </w:pPr>
      <w:r w:rsidRPr="0082773C">
        <w:rPr>
          <w:rFonts w:ascii="Arial" w:hAnsi="Arial" w:cs="Arial"/>
          <w:b/>
          <w:bCs/>
          <w:szCs w:val="20"/>
        </w:rPr>
        <w:t>8.</w:t>
      </w:r>
      <w:r w:rsidRPr="0082773C">
        <w:rPr>
          <w:rFonts w:ascii="Arial" w:hAnsi="Arial" w:cs="Arial"/>
          <w:b/>
          <w:bCs/>
          <w:szCs w:val="20"/>
        </w:rPr>
        <w:tab/>
        <w:t>Operating Leases</w:t>
      </w:r>
    </w:p>
    <w:tbl>
      <w:tblPr>
        <w:tblW w:w="8791" w:type="dxa"/>
        <w:tblInd w:w="450" w:type="dxa"/>
        <w:tblLayout w:type="fixed"/>
        <w:tblCellMar>
          <w:left w:w="0" w:type="dxa"/>
          <w:right w:w="0" w:type="dxa"/>
        </w:tblCellMar>
        <w:tblLook w:val="0000" w:firstRow="0" w:lastRow="0" w:firstColumn="0" w:lastColumn="0" w:noHBand="0" w:noVBand="0"/>
      </w:tblPr>
      <w:tblGrid>
        <w:gridCol w:w="5850"/>
        <w:gridCol w:w="1559"/>
        <w:gridCol w:w="1382"/>
      </w:tblGrid>
      <w:tr w:rsidR="00E504AC" w:rsidRPr="00E504AC" w14:paraId="4B96DE07" w14:textId="77777777" w:rsidTr="00C74354">
        <w:tc>
          <w:tcPr>
            <w:tcW w:w="5850" w:type="dxa"/>
            <w:tcBorders>
              <w:top w:val="nil"/>
              <w:left w:val="nil"/>
              <w:bottom w:val="single" w:sz="4" w:space="0" w:color="auto"/>
            </w:tcBorders>
            <w:vAlign w:val="bottom"/>
          </w:tcPr>
          <w:p w14:paraId="551CD4D4" w14:textId="6E011813" w:rsidR="00E504AC" w:rsidRPr="00CF1F57" w:rsidRDefault="00E504AC" w:rsidP="00C74354">
            <w:pPr>
              <w:spacing w:after="0"/>
              <w:rPr>
                <w:rFonts w:ascii="Arial" w:hAnsi="Arial" w:cs="Arial"/>
                <w:b/>
                <w:szCs w:val="20"/>
              </w:rPr>
            </w:pPr>
            <w:r w:rsidRPr="00CF1F57">
              <w:rPr>
                <w:rFonts w:ascii="Arial" w:hAnsi="Arial" w:cs="Arial"/>
                <w:b/>
                <w:bCs/>
                <w:szCs w:val="20"/>
              </w:rPr>
              <w:tab/>
            </w:r>
          </w:p>
        </w:tc>
        <w:tc>
          <w:tcPr>
            <w:tcW w:w="1559" w:type="dxa"/>
            <w:tcBorders>
              <w:top w:val="nil"/>
              <w:left w:val="nil"/>
              <w:bottom w:val="single" w:sz="4" w:space="0" w:color="auto"/>
              <w:right w:val="nil"/>
            </w:tcBorders>
          </w:tcPr>
          <w:p w14:paraId="4E1DA2EE" w14:textId="77777777" w:rsidR="00E504AC" w:rsidRPr="00E504AC" w:rsidRDefault="00E504AC" w:rsidP="00C74354">
            <w:pPr>
              <w:spacing w:after="0"/>
              <w:ind w:left="90"/>
              <w:jc w:val="center"/>
              <w:rPr>
                <w:rFonts w:ascii="Arial" w:hAnsi="Arial" w:cs="Arial"/>
                <w:szCs w:val="20"/>
              </w:rPr>
            </w:pPr>
          </w:p>
          <w:p w14:paraId="05C9D216" w14:textId="4A1F49BD" w:rsidR="00E504AC" w:rsidRPr="00E504AC" w:rsidRDefault="00E504AC" w:rsidP="00C74354">
            <w:pPr>
              <w:spacing w:after="0"/>
              <w:ind w:left="90"/>
              <w:jc w:val="center"/>
              <w:rPr>
                <w:rFonts w:ascii="Arial" w:hAnsi="Arial" w:cs="Arial"/>
                <w:szCs w:val="20"/>
              </w:rPr>
            </w:pPr>
          </w:p>
        </w:tc>
        <w:tc>
          <w:tcPr>
            <w:tcW w:w="1382" w:type="dxa"/>
            <w:tcBorders>
              <w:top w:val="nil"/>
              <w:left w:val="nil"/>
              <w:bottom w:val="single" w:sz="4" w:space="0" w:color="auto"/>
              <w:right w:val="nil"/>
            </w:tcBorders>
          </w:tcPr>
          <w:p w14:paraId="0CBB19D4" w14:textId="77777777" w:rsidR="00CF1F57" w:rsidRPr="00E504AC" w:rsidRDefault="00CF1F57" w:rsidP="00CF1F57">
            <w:pPr>
              <w:spacing w:after="0"/>
              <w:ind w:left="90"/>
              <w:jc w:val="center"/>
              <w:rPr>
                <w:rFonts w:ascii="Arial" w:hAnsi="Arial" w:cs="Arial"/>
                <w:szCs w:val="20"/>
              </w:rPr>
            </w:pPr>
            <w:r w:rsidRPr="00E504AC">
              <w:rPr>
                <w:rFonts w:ascii="Arial" w:hAnsi="Arial" w:cs="Arial"/>
                <w:szCs w:val="20"/>
              </w:rPr>
              <w:t>Right-of-use</w:t>
            </w:r>
          </w:p>
          <w:p w14:paraId="266F1AEF" w14:textId="77777777" w:rsidR="00CF1F57" w:rsidRDefault="00CF1F57" w:rsidP="00CF1F57">
            <w:pPr>
              <w:spacing w:after="0"/>
              <w:ind w:left="90"/>
              <w:jc w:val="center"/>
              <w:rPr>
                <w:rFonts w:ascii="Arial" w:hAnsi="Arial" w:cs="Arial"/>
                <w:szCs w:val="20"/>
              </w:rPr>
            </w:pPr>
            <w:r w:rsidRPr="00E504AC">
              <w:rPr>
                <w:rFonts w:ascii="Arial" w:hAnsi="Arial" w:cs="Arial"/>
                <w:szCs w:val="20"/>
              </w:rPr>
              <w:t>Asset</w:t>
            </w:r>
          </w:p>
          <w:p w14:paraId="332FCB4B" w14:textId="0F68FF85" w:rsidR="00E504AC" w:rsidRPr="00E504AC" w:rsidRDefault="00E504AC" w:rsidP="00CF1F57">
            <w:pPr>
              <w:spacing w:after="0"/>
              <w:ind w:left="90"/>
              <w:jc w:val="center"/>
              <w:rPr>
                <w:rFonts w:ascii="Arial" w:hAnsi="Arial" w:cs="Arial"/>
                <w:szCs w:val="20"/>
              </w:rPr>
            </w:pPr>
            <w:r w:rsidRPr="00E504AC">
              <w:rPr>
                <w:rFonts w:ascii="Arial" w:hAnsi="Arial" w:cs="Arial"/>
                <w:szCs w:val="20"/>
              </w:rPr>
              <w:t>$</w:t>
            </w:r>
          </w:p>
        </w:tc>
      </w:tr>
      <w:tr w:rsidR="00E504AC" w:rsidRPr="00E504AC" w14:paraId="22F7FDA5" w14:textId="77777777" w:rsidTr="00C74354">
        <w:trPr>
          <w:trHeight w:hRule="exact" w:val="113"/>
        </w:trPr>
        <w:tc>
          <w:tcPr>
            <w:tcW w:w="5850" w:type="dxa"/>
            <w:tcBorders>
              <w:left w:val="nil"/>
            </w:tcBorders>
            <w:vAlign w:val="bottom"/>
          </w:tcPr>
          <w:p w14:paraId="75D08DF4" w14:textId="77777777" w:rsidR="00E504AC" w:rsidRPr="00E504AC" w:rsidRDefault="00E504AC" w:rsidP="00C74354">
            <w:pPr>
              <w:spacing w:after="0"/>
              <w:rPr>
                <w:rFonts w:ascii="Arial" w:hAnsi="Arial" w:cs="Arial"/>
                <w:szCs w:val="20"/>
              </w:rPr>
            </w:pPr>
          </w:p>
        </w:tc>
        <w:tc>
          <w:tcPr>
            <w:tcW w:w="1559" w:type="dxa"/>
            <w:tcBorders>
              <w:left w:val="nil"/>
              <w:right w:val="nil"/>
            </w:tcBorders>
          </w:tcPr>
          <w:p w14:paraId="5CE2BA8E" w14:textId="77777777" w:rsidR="00E504AC" w:rsidRPr="00E504AC" w:rsidRDefault="00E504AC" w:rsidP="00C74354">
            <w:pPr>
              <w:spacing w:after="0"/>
              <w:ind w:right="369"/>
              <w:jc w:val="right"/>
              <w:rPr>
                <w:rFonts w:ascii="Arial" w:hAnsi="Arial" w:cs="Arial"/>
                <w:szCs w:val="20"/>
              </w:rPr>
            </w:pPr>
          </w:p>
        </w:tc>
        <w:tc>
          <w:tcPr>
            <w:tcW w:w="1382" w:type="dxa"/>
            <w:tcBorders>
              <w:left w:val="nil"/>
              <w:right w:val="nil"/>
            </w:tcBorders>
          </w:tcPr>
          <w:p w14:paraId="011BCF9A" w14:textId="77777777" w:rsidR="00E504AC" w:rsidRPr="00E504AC" w:rsidRDefault="00E504AC" w:rsidP="00C74354">
            <w:pPr>
              <w:spacing w:after="0"/>
              <w:ind w:right="369"/>
              <w:jc w:val="right"/>
              <w:rPr>
                <w:rFonts w:ascii="Arial" w:hAnsi="Arial" w:cs="Arial"/>
                <w:szCs w:val="20"/>
              </w:rPr>
            </w:pPr>
          </w:p>
        </w:tc>
      </w:tr>
      <w:tr w:rsidR="00E504AC" w:rsidRPr="00E504AC" w14:paraId="5245DFFD" w14:textId="77777777" w:rsidTr="00C74354">
        <w:tc>
          <w:tcPr>
            <w:tcW w:w="5850" w:type="dxa"/>
            <w:tcBorders>
              <w:left w:val="nil"/>
            </w:tcBorders>
            <w:vAlign w:val="bottom"/>
          </w:tcPr>
          <w:p w14:paraId="1ECA6D59" w14:textId="4B39D306" w:rsidR="00E504AC" w:rsidRPr="00E504AC" w:rsidRDefault="00E504AC" w:rsidP="00CF1F57">
            <w:pPr>
              <w:spacing w:after="0"/>
              <w:rPr>
                <w:rFonts w:ascii="Arial" w:hAnsi="Arial" w:cs="Arial"/>
                <w:szCs w:val="20"/>
              </w:rPr>
            </w:pPr>
            <w:r w:rsidRPr="00E504AC">
              <w:rPr>
                <w:rFonts w:ascii="Arial" w:hAnsi="Arial" w:cs="Arial"/>
                <w:szCs w:val="20"/>
              </w:rPr>
              <w:t xml:space="preserve">Balance, </w:t>
            </w:r>
            <w:r>
              <w:rPr>
                <w:rFonts w:ascii="Arial" w:hAnsi="Arial" w:cs="Arial"/>
                <w:szCs w:val="20"/>
              </w:rPr>
              <w:t>February 1, 2018</w:t>
            </w:r>
          </w:p>
        </w:tc>
        <w:tc>
          <w:tcPr>
            <w:tcW w:w="1559" w:type="dxa"/>
            <w:tcBorders>
              <w:left w:val="nil"/>
              <w:right w:val="nil"/>
            </w:tcBorders>
          </w:tcPr>
          <w:p w14:paraId="56D1BC78" w14:textId="2D5CA8E2"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47383494" w14:textId="77777777" w:rsidR="00E504AC" w:rsidRPr="00E504AC" w:rsidRDefault="00E504AC" w:rsidP="00C74354">
            <w:pPr>
              <w:spacing w:after="0"/>
              <w:ind w:right="173"/>
              <w:jc w:val="right"/>
              <w:rPr>
                <w:rFonts w:ascii="Arial" w:hAnsi="Arial" w:cs="Arial"/>
                <w:szCs w:val="20"/>
              </w:rPr>
            </w:pPr>
            <w:r w:rsidRPr="00E504AC">
              <w:rPr>
                <w:rFonts w:ascii="Arial" w:hAnsi="Arial" w:cs="Arial"/>
                <w:szCs w:val="20"/>
              </w:rPr>
              <w:t>–</w:t>
            </w:r>
          </w:p>
        </w:tc>
      </w:tr>
      <w:tr w:rsidR="00E504AC" w:rsidRPr="00E504AC" w14:paraId="32B29F0C" w14:textId="77777777" w:rsidTr="00C74354">
        <w:tc>
          <w:tcPr>
            <w:tcW w:w="5850" w:type="dxa"/>
            <w:tcBorders>
              <w:left w:val="nil"/>
            </w:tcBorders>
            <w:vAlign w:val="bottom"/>
          </w:tcPr>
          <w:p w14:paraId="5DAEDF06" w14:textId="1D8DC2A4" w:rsidR="00E504AC" w:rsidRPr="00E504AC" w:rsidRDefault="00E504AC" w:rsidP="00E504AC">
            <w:pPr>
              <w:spacing w:after="0"/>
              <w:rPr>
                <w:rFonts w:ascii="Arial" w:hAnsi="Arial" w:cs="Arial"/>
                <w:szCs w:val="20"/>
              </w:rPr>
            </w:pPr>
            <w:r w:rsidRPr="00E504AC">
              <w:rPr>
                <w:rFonts w:ascii="Arial" w:hAnsi="Arial" w:cs="Arial"/>
                <w:szCs w:val="20"/>
              </w:rPr>
              <w:t xml:space="preserve">Adoption of </w:t>
            </w:r>
            <w:r>
              <w:rPr>
                <w:rFonts w:ascii="Arial" w:hAnsi="Arial" w:cs="Arial"/>
                <w:szCs w:val="20"/>
              </w:rPr>
              <w:t>IFRS 16</w:t>
            </w:r>
            <w:r w:rsidRPr="00E504AC">
              <w:rPr>
                <w:rFonts w:ascii="Arial" w:hAnsi="Arial" w:cs="Arial"/>
                <w:szCs w:val="20"/>
              </w:rPr>
              <w:t xml:space="preserve"> (Note 3</w:t>
            </w:r>
            <w:r w:rsidR="00FB4135">
              <w:rPr>
                <w:rFonts w:ascii="Arial" w:hAnsi="Arial" w:cs="Arial"/>
                <w:szCs w:val="20"/>
              </w:rPr>
              <w:t>(c)</w:t>
            </w:r>
            <w:r w:rsidRPr="00E504AC">
              <w:rPr>
                <w:rFonts w:ascii="Arial" w:hAnsi="Arial" w:cs="Arial"/>
                <w:szCs w:val="20"/>
              </w:rPr>
              <w:t>)</w:t>
            </w:r>
          </w:p>
        </w:tc>
        <w:tc>
          <w:tcPr>
            <w:tcW w:w="1559" w:type="dxa"/>
            <w:tcBorders>
              <w:left w:val="nil"/>
              <w:right w:val="nil"/>
            </w:tcBorders>
          </w:tcPr>
          <w:p w14:paraId="18AEDB86" w14:textId="56C7BC0B"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07285E34" w14:textId="3C139CB5" w:rsidR="00E504AC" w:rsidRPr="00E504AC" w:rsidRDefault="00E504AC" w:rsidP="00CF1F57">
            <w:pPr>
              <w:spacing w:after="0"/>
              <w:ind w:right="173"/>
              <w:jc w:val="right"/>
              <w:rPr>
                <w:rFonts w:ascii="Arial" w:hAnsi="Arial" w:cs="Arial"/>
                <w:szCs w:val="20"/>
              </w:rPr>
            </w:pPr>
            <w:r w:rsidRPr="00E504AC">
              <w:rPr>
                <w:rFonts w:ascii="Arial" w:hAnsi="Arial" w:cs="Arial"/>
                <w:szCs w:val="20"/>
              </w:rPr>
              <w:t>1,</w:t>
            </w:r>
            <w:r w:rsidR="00CF1F57">
              <w:rPr>
                <w:rFonts w:ascii="Arial" w:hAnsi="Arial" w:cs="Arial"/>
                <w:szCs w:val="20"/>
              </w:rPr>
              <w:t>367,287</w:t>
            </w:r>
          </w:p>
        </w:tc>
      </w:tr>
      <w:tr w:rsidR="00E504AC" w:rsidRPr="00E504AC" w14:paraId="1872963E" w14:textId="77777777" w:rsidTr="00C74354">
        <w:tc>
          <w:tcPr>
            <w:tcW w:w="5850" w:type="dxa"/>
            <w:tcBorders>
              <w:left w:val="nil"/>
            </w:tcBorders>
            <w:vAlign w:val="bottom"/>
          </w:tcPr>
          <w:p w14:paraId="098C6502" w14:textId="77777777" w:rsidR="00E504AC" w:rsidRPr="00E504AC" w:rsidRDefault="00E504AC" w:rsidP="00C74354">
            <w:pPr>
              <w:spacing w:after="0"/>
              <w:rPr>
                <w:rFonts w:ascii="Arial" w:hAnsi="Arial" w:cs="Arial"/>
                <w:szCs w:val="20"/>
              </w:rPr>
            </w:pPr>
            <w:r w:rsidRPr="00E504AC">
              <w:rPr>
                <w:rFonts w:ascii="Arial" w:hAnsi="Arial" w:cs="Arial"/>
                <w:szCs w:val="20"/>
              </w:rPr>
              <w:t>Lease expense</w:t>
            </w:r>
          </w:p>
        </w:tc>
        <w:tc>
          <w:tcPr>
            <w:tcW w:w="1559" w:type="dxa"/>
            <w:tcBorders>
              <w:left w:val="nil"/>
              <w:right w:val="nil"/>
            </w:tcBorders>
          </w:tcPr>
          <w:p w14:paraId="6A0BA270" w14:textId="4785D8F3" w:rsidR="00E504AC" w:rsidRPr="00E504AC" w:rsidRDefault="00E504AC" w:rsidP="000B086F">
            <w:pPr>
              <w:spacing w:after="0"/>
              <w:ind w:right="173"/>
              <w:jc w:val="right"/>
              <w:rPr>
                <w:rFonts w:ascii="Arial" w:hAnsi="Arial" w:cs="Arial"/>
                <w:szCs w:val="20"/>
              </w:rPr>
            </w:pPr>
          </w:p>
        </w:tc>
        <w:tc>
          <w:tcPr>
            <w:tcW w:w="1382" w:type="dxa"/>
            <w:tcBorders>
              <w:left w:val="nil"/>
              <w:right w:val="nil"/>
            </w:tcBorders>
          </w:tcPr>
          <w:p w14:paraId="5B63A30A" w14:textId="3FDFC23F" w:rsidR="00E504AC" w:rsidRPr="00E504AC" w:rsidRDefault="00CF1F57" w:rsidP="00C74354">
            <w:pPr>
              <w:spacing w:after="0"/>
              <w:ind w:right="173"/>
              <w:jc w:val="right"/>
              <w:rPr>
                <w:rFonts w:ascii="Arial" w:hAnsi="Arial" w:cs="Arial"/>
                <w:szCs w:val="20"/>
              </w:rPr>
            </w:pPr>
            <w:r>
              <w:rPr>
                <w:rFonts w:ascii="Arial" w:hAnsi="Arial" w:cs="Arial"/>
                <w:szCs w:val="20"/>
              </w:rPr>
              <w:t>(242,234)</w:t>
            </w:r>
          </w:p>
        </w:tc>
      </w:tr>
      <w:tr w:rsidR="00E504AC" w:rsidRPr="00E504AC" w14:paraId="0B4057F2" w14:textId="77777777" w:rsidTr="00C74354">
        <w:tc>
          <w:tcPr>
            <w:tcW w:w="5850" w:type="dxa"/>
            <w:tcBorders>
              <w:left w:val="nil"/>
            </w:tcBorders>
            <w:vAlign w:val="bottom"/>
          </w:tcPr>
          <w:p w14:paraId="2C75FBA8" w14:textId="77777777" w:rsidR="00E504AC" w:rsidRPr="00E504AC" w:rsidRDefault="00E504AC" w:rsidP="00C74354">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454426CF" w14:textId="74E0ABC7"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6291B7AD" w14:textId="1193ECA0" w:rsidR="00E504AC" w:rsidRPr="00E504AC" w:rsidRDefault="00E26400" w:rsidP="00C74354">
            <w:pPr>
              <w:spacing w:after="0"/>
              <w:ind w:right="173"/>
              <w:jc w:val="right"/>
              <w:rPr>
                <w:rFonts w:ascii="Arial" w:hAnsi="Arial" w:cs="Arial"/>
                <w:szCs w:val="20"/>
              </w:rPr>
            </w:pPr>
            <w:r>
              <w:rPr>
                <w:rFonts w:ascii="Arial" w:hAnsi="Arial" w:cs="Arial"/>
                <w:szCs w:val="20"/>
              </w:rPr>
              <w:t>(2,878</w:t>
            </w:r>
            <w:r w:rsidR="00CF1F57">
              <w:rPr>
                <w:rFonts w:ascii="Arial" w:hAnsi="Arial" w:cs="Arial"/>
                <w:szCs w:val="20"/>
              </w:rPr>
              <w:t>)</w:t>
            </w:r>
          </w:p>
        </w:tc>
      </w:tr>
      <w:tr w:rsidR="00E504AC" w:rsidRPr="00E504AC" w14:paraId="68D19C0D" w14:textId="77777777" w:rsidTr="00C74354">
        <w:trPr>
          <w:trHeight w:hRule="exact" w:val="86"/>
        </w:trPr>
        <w:tc>
          <w:tcPr>
            <w:tcW w:w="5850" w:type="dxa"/>
            <w:tcBorders>
              <w:top w:val="single" w:sz="4" w:space="0" w:color="auto"/>
              <w:left w:val="nil"/>
            </w:tcBorders>
            <w:vAlign w:val="bottom"/>
          </w:tcPr>
          <w:p w14:paraId="3E7A8833"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tcPr>
          <w:p w14:paraId="7DC7E996" w14:textId="77777777" w:rsidR="00E504AC" w:rsidRPr="00E504AC" w:rsidRDefault="00E504AC" w:rsidP="00C74354">
            <w:pPr>
              <w:spacing w:after="0"/>
              <w:ind w:right="173"/>
              <w:jc w:val="right"/>
              <w:rPr>
                <w:rFonts w:ascii="Arial" w:hAnsi="Arial" w:cs="Arial"/>
                <w:szCs w:val="20"/>
              </w:rPr>
            </w:pPr>
          </w:p>
        </w:tc>
        <w:tc>
          <w:tcPr>
            <w:tcW w:w="1382" w:type="dxa"/>
            <w:tcBorders>
              <w:top w:val="single" w:sz="4" w:space="0" w:color="auto"/>
              <w:left w:val="nil"/>
              <w:right w:val="nil"/>
            </w:tcBorders>
          </w:tcPr>
          <w:p w14:paraId="79591042" w14:textId="77777777" w:rsidR="00E504AC" w:rsidRPr="00E504AC" w:rsidRDefault="00E504AC" w:rsidP="00C74354">
            <w:pPr>
              <w:spacing w:after="0"/>
              <w:ind w:right="173"/>
              <w:jc w:val="right"/>
              <w:rPr>
                <w:rFonts w:ascii="Arial" w:hAnsi="Arial" w:cs="Arial"/>
                <w:szCs w:val="20"/>
              </w:rPr>
            </w:pPr>
          </w:p>
        </w:tc>
      </w:tr>
      <w:tr w:rsidR="00E504AC" w:rsidRPr="00E504AC" w14:paraId="2CC455A4" w14:textId="77777777" w:rsidTr="00C74354">
        <w:tc>
          <w:tcPr>
            <w:tcW w:w="5850" w:type="dxa"/>
            <w:tcBorders>
              <w:left w:val="nil"/>
            </w:tcBorders>
            <w:vAlign w:val="bottom"/>
          </w:tcPr>
          <w:p w14:paraId="4C5C841A" w14:textId="1E6E9AD8" w:rsidR="00E504AC" w:rsidRPr="00E504AC" w:rsidRDefault="00CF1F57" w:rsidP="00C74354">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444AA12" w14:textId="6A2AF8C3" w:rsidR="00E504AC" w:rsidRPr="00E504AC" w:rsidRDefault="00E504AC" w:rsidP="00C74354">
            <w:pPr>
              <w:spacing w:after="0"/>
              <w:ind w:right="173"/>
              <w:jc w:val="right"/>
              <w:rPr>
                <w:rFonts w:ascii="Arial" w:hAnsi="Arial" w:cs="Arial"/>
                <w:szCs w:val="20"/>
              </w:rPr>
            </w:pPr>
          </w:p>
        </w:tc>
        <w:tc>
          <w:tcPr>
            <w:tcW w:w="1382" w:type="dxa"/>
            <w:tcBorders>
              <w:left w:val="nil"/>
              <w:right w:val="nil"/>
            </w:tcBorders>
          </w:tcPr>
          <w:p w14:paraId="293D391A" w14:textId="49883EAC" w:rsidR="00E504AC" w:rsidRPr="00E504AC" w:rsidRDefault="00E504AC" w:rsidP="00CF1F57">
            <w:pPr>
              <w:spacing w:after="0"/>
              <w:ind w:right="173"/>
              <w:jc w:val="right"/>
              <w:rPr>
                <w:rFonts w:ascii="Arial" w:hAnsi="Arial" w:cs="Arial"/>
                <w:szCs w:val="20"/>
              </w:rPr>
            </w:pPr>
            <w:r w:rsidRPr="00E504AC">
              <w:rPr>
                <w:rFonts w:ascii="Arial" w:hAnsi="Arial" w:cs="Arial"/>
                <w:szCs w:val="20"/>
              </w:rPr>
              <w:t>1,</w:t>
            </w:r>
            <w:r w:rsidR="00CF1F57">
              <w:rPr>
                <w:rFonts w:ascii="Arial" w:hAnsi="Arial" w:cs="Arial"/>
                <w:szCs w:val="20"/>
              </w:rPr>
              <w:t>122,175</w:t>
            </w:r>
          </w:p>
        </w:tc>
      </w:tr>
      <w:tr w:rsidR="00CF1F57" w:rsidRPr="00E504AC" w14:paraId="1BEE5A7A" w14:textId="77777777" w:rsidTr="00DB7415">
        <w:tc>
          <w:tcPr>
            <w:tcW w:w="5850" w:type="dxa"/>
            <w:tcBorders>
              <w:left w:val="nil"/>
            </w:tcBorders>
            <w:vAlign w:val="bottom"/>
          </w:tcPr>
          <w:p w14:paraId="1CA65330" w14:textId="77777777" w:rsidR="00CF1F57" w:rsidRPr="00E504AC" w:rsidRDefault="00CF1F57" w:rsidP="00DB7415">
            <w:pPr>
              <w:spacing w:after="0"/>
              <w:rPr>
                <w:rFonts w:ascii="Arial" w:hAnsi="Arial" w:cs="Arial"/>
                <w:szCs w:val="20"/>
              </w:rPr>
            </w:pPr>
            <w:r w:rsidRPr="00E504AC">
              <w:rPr>
                <w:rFonts w:ascii="Arial" w:hAnsi="Arial" w:cs="Arial"/>
                <w:szCs w:val="20"/>
              </w:rPr>
              <w:t>Lease expense</w:t>
            </w:r>
          </w:p>
        </w:tc>
        <w:tc>
          <w:tcPr>
            <w:tcW w:w="1559" w:type="dxa"/>
            <w:tcBorders>
              <w:left w:val="nil"/>
              <w:right w:val="nil"/>
            </w:tcBorders>
          </w:tcPr>
          <w:p w14:paraId="33D20B51" w14:textId="0D963A44"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1C08E2B7" w14:textId="16F2AB7F" w:rsidR="00CF1F57" w:rsidRPr="00E504AC" w:rsidRDefault="00CF1F57" w:rsidP="00DB7415">
            <w:pPr>
              <w:spacing w:after="0"/>
              <w:ind w:right="173"/>
              <w:jc w:val="right"/>
              <w:rPr>
                <w:rFonts w:ascii="Arial" w:hAnsi="Arial" w:cs="Arial"/>
                <w:szCs w:val="20"/>
              </w:rPr>
            </w:pPr>
            <w:r>
              <w:rPr>
                <w:rFonts w:ascii="Arial" w:hAnsi="Arial" w:cs="Arial"/>
                <w:szCs w:val="20"/>
              </w:rPr>
              <w:t>(209,557)</w:t>
            </w:r>
          </w:p>
        </w:tc>
      </w:tr>
      <w:tr w:rsidR="00CF1F57" w:rsidRPr="00E504AC" w14:paraId="34F050DD" w14:textId="77777777" w:rsidTr="00DB7415">
        <w:tc>
          <w:tcPr>
            <w:tcW w:w="5850" w:type="dxa"/>
            <w:tcBorders>
              <w:left w:val="nil"/>
            </w:tcBorders>
            <w:vAlign w:val="bottom"/>
          </w:tcPr>
          <w:p w14:paraId="2211C58D"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1ED473CA" w14:textId="57460BFB"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576ABD63" w14:textId="5770E15A" w:rsidR="00CF1F57" w:rsidRPr="00E504AC" w:rsidRDefault="0082773C" w:rsidP="00DB7415">
            <w:pPr>
              <w:spacing w:after="0"/>
              <w:ind w:right="173"/>
              <w:jc w:val="right"/>
              <w:rPr>
                <w:rFonts w:ascii="Arial" w:hAnsi="Arial" w:cs="Arial"/>
                <w:szCs w:val="20"/>
              </w:rPr>
            </w:pPr>
            <w:r>
              <w:rPr>
                <w:rFonts w:ascii="Arial" w:hAnsi="Arial" w:cs="Arial"/>
                <w:szCs w:val="20"/>
              </w:rPr>
              <w:t>1,358</w:t>
            </w:r>
          </w:p>
        </w:tc>
      </w:tr>
      <w:tr w:rsidR="00CF1F57" w:rsidRPr="00E504AC" w14:paraId="54EAD7D0" w14:textId="77777777" w:rsidTr="00CF1F57">
        <w:trPr>
          <w:trHeight w:hRule="exact" w:val="86"/>
        </w:trPr>
        <w:tc>
          <w:tcPr>
            <w:tcW w:w="5850" w:type="dxa"/>
            <w:tcBorders>
              <w:top w:val="single" w:sz="4" w:space="0" w:color="auto"/>
              <w:left w:val="nil"/>
            </w:tcBorders>
            <w:vAlign w:val="bottom"/>
          </w:tcPr>
          <w:p w14:paraId="452AC1A7"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1453EE86"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72F24FC3" w14:textId="77777777" w:rsidR="00CF1F57" w:rsidRPr="00E504AC" w:rsidRDefault="00CF1F57" w:rsidP="00DB7415">
            <w:pPr>
              <w:spacing w:after="0"/>
              <w:ind w:right="173"/>
              <w:jc w:val="right"/>
              <w:rPr>
                <w:rFonts w:ascii="Arial" w:hAnsi="Arial" w:cs="Arial"/>
                <w:szCs w:val="20"/>
              </w:rPr>
            </w:pPr>
          </w:p>
        </w:tc>
      </w:tr>
      <w:tr w:rsidR="00E504AC" w:rsidRPr="00E504AC" w14:paraId="12248059" w14:textId="77777777" w:rsidTr="00CF1F57">
        <w:tc>
          <w:tcPr>
            <w:tcW w:w="5850" w:type="dxa"/>
            <w:tcBorders>
              <w:left w:val="nil"/>
              <w:bottom w:val="single" w:sz="12" w:space="0" w:color="auto"/>
            </w:tcBorders>
            <w:vAlign w:val="bottom"/>
          </w:tcPr>
          <w:p w14:paraId="7F50702C" w14:textId="4793D60D" w:rsidR="00E504AC" w:rsidRPr="00E504AC" w:rsidRDefault="00CF1F57" w:rsidP="00CF1F57">
            <w:pPr>
              <w:spacing w:after="0"/>
              <w:rPr>
                <w:rFonts w:ascii="Arial" w:hAnsi="Arial" w:cs="Arial"/>
                <w:szCs w:val="20"/>
              </w:rPr>
            </w:pPr>
            <w:r>
              <w:rPr>
                <w:rFonts w:ascii="Arial" w:hAnsi="Arial" w:cs="Arial"/>
                <w:szCs w:val="20"/>
              </w:rPr>
              <w:t>Balance, July 31, 2019</w:t>
            </w:r>
          </w:p>
        </w:tc>
        <w:tc>
          <w:tcPr>
            <w:tcW w:w="1559" w:type="dxa"/>
            <w:tcBorders>
              <w:left w:val="nil"/>
              <w:bottom w:val="single" w:sz="12" w:space="0" w:color="auto"/>
              <w:right w:val="nil"/>
            </w:tcBorders>
          </w:tcPr>
          <w:p w14:paraId="4BEC3F62" w14:textId="35468EC0" w:rsidR="00E504AC" w:rsidRPr="00E504AC" w:rsidRDefault="00E504AC" w:rsidP="00CF1F57">
            <w:pPr>
              <w:spacing w:after="0"/>
              <w:ind w:right="173"/>
              <w:jc w:val="right"/>
              <w:rPr>
                <w:rFonts w:ascii="Arial" w:hAnsi="Arial" w:cs="Arial"/>
                <w:szCs w:val="20"/>
              </w:rPr>
            </w:pPr>
          </w:p>
        </w:tc>
        <w:tc>
          <w:tcPr>
            <w:tcW w:w="1382" w:type="dxa"/>
            <w:tcBorders>
              <w:left w:val="nil"/>
              <w:bottom w:val="single" w:sz="12" w:space="0" w:color="auto"/>
              <w:right w:val="nil"/>
            </w:tcBorders>
          </w:tcPr>
          <w:p w14:paraId="41486A58" w14:textId="70B8423A" w:rsidR="00E504AC" w:rsidRPr="00E504AC" w:rsidRDefault="00CF1F57" w:rsidP="00CF1F57">
            <w:pPr>
              <w:spacing w:after="0"/>
              <w:ind w:right="173"/>
              <w:jc w:val="right"/>
              <w:rPr>
                <w:rFonts w:ascii="Arial" w:hAnsi="Arial" w:cs="Arial"/>
                <w:szCs w:val="20"/>
              </w:rPr>
            </w:pPr>
            <w:r>
              <w:rPr>
                <w:rFonts w:ascii="Arial" w:hAnsi="Arial" w:cs="Arial"/>
                <w:szCs w:val="20"/>
              </w:rPr>
              <w:t>913,976</w:t>
            </w:r>
          </w:p>
        </w:tc>
      </w:tr>
    </w:tbl>
    <w:p w14:paraId="25559634" w14:textId="77777777" w:rsidR="00E504AC" w:rsidRDefault="00E504AC" w:rsidP="00E504AC">
      <w:pPr>
        <w:tabs>
          <w:tab w:val="left" w:pos="450"/>
        </w:tabs>
        <w:spacing w:after="0"/>
        <w:ind w:left="446"/>
        <w:jc w:val="both"/>
        <w:rPr>
          <w:rFonts w:ascii="Arial" w:hAnsi="Arial" w:cs="Arial"/>
          <w:szCs w:val="20"/>
        </w:rPr>
      </w:pPr>
    </w:p>
    <w:p w14:paraId="64406C05" w14:textId="77777777" w:rsidR="0082773C" w:rsidRDefault="0082773C">
      <w:pPr>
        <w:rPr>
          <w:rFonts w:ascii="Arial" w:hAnsi="Arial" w:cs="Arial"/>
          <w:b/>
          <w:bCs/>
          <w:szCs w:val="20"/>
        </w:rPr>
      </w:pPr>
      <w:r>
        <w:rPr>
          <w:rFonts w:ascii="Arial" w:hAnsi="Arial" w:cs="Arial"/>
          <w:b/>
          <w:bCs/>
          <w:szCs w:val="20"/>
        </w:rPr>
        <w:br w:type="page"/>
      </w:r>
    </w:p>
    <w:p w14:paraId="79C4BA8A" w14:textId="276EE47E" w:rsidR="0082773C" w:rsidRPr="0082773C" w:rsidRDefault="0082773C" w:rsidP="0082773C">
      <w:pPr>
        <w:tabs>
          <w:tab w:val="left" w:pos="450"/>
        </w:tabs>
        <w:spacing w:after="0" w:line="240" w:lineRule="auto"/>
        <w:jc w:val="both"/>
        <w:rPr>
          <w:rFonts w:ascii="Arial" w:hAnsi="Arial" w:cs="Arial"/>
          <w:bCs/>
          <w:szCs w:val="20"/>
        </w:rPr>
      </w:pPr>
      <w:r w:rsidRPr="0082773C">
        <w:rPr>
          <w:rFonts w:ascii="Arial" w:hAnsi="Arial" w:cs="Arial"/>
          <w:b/>
          <w:bCs/>
          <w:szCs w:val="20"/>
        </w:rPr>
        <w:lastRenderedPageBreak/>
        <w:t>8.</w:t>
      </w:r>
      <w:r w:rsidRPr="0082773C">
        <w:rPr>
          <w:rFonts w:ascii="Arial" w:hAnsi="Arial" w:cs="Arial"/>
          <w:b/>
          <w:bCs/>
          <w:szCs w:val="20"/>
        </w:rPr>
        <w:tab/>
        <w:t xml:space="preserve">Operating Leases </w:t>
      </w:r>
      <w:r w:rsidRPr="0082773C">
        <w:rPr>
          <w:rFonts w:ascii="Arial" w:hAnsi="Arial" w:cs="Arial"/>
          <w:bCs/>
          <w:szCs w:val="20"/>
        </w:rPr>
        <w:t>(continued)</w:t>
      </w:r>
    </w:p>
    <w:p w14:paraId="3FF6CA89" w14:textId="77777777" w:rsidR="0082773C" w:rsidRDefault="0082773C" w:rsidP="00E504AC">
      <w:pPr>
        <w:tabs>
          <w:tab w:val="left" w:pos="450"/>
        </w:tabs>
        <w:spacing w:after="0"/>
        <w:ind w:left="446"/>
        <w:jc w:val="both"/>
        <w:rPr>
          <w:rFonts w:ascii="Arial" w:hAnsi="Arial" w:cs="Arial"/>
          <w:szCs w:val="20"/>
        </w:rPr>
      </w:pPr>
    </w:p>
    <w:tbl>
      <w:tblPr>
        <w:tblW w:w="8823" w:type="dxa"/>
        <w:tblInd w:w="450" w:type="dxa"/>
        <w:tblLayout w:type="fixed"/>
        <w:tblCellMar>
          <w:left w:w="0" w:type="dxa"/>
          <w:right w:w="0" w:type="dxa"/>
        </w:tblCellMar>
        <w:tblLook w:val="0000" w:firstRow="0" w:lastRow="0" w:firstColumn="0" w:lastColumn="0" w:noHBand="0" w:noVBand="0"/>
      </w:tblPr>
      <w:tblGrid>
        <w:gridCol w:w="4500"/>
        <w:gridCol w:w="1559"/>
        <w:gridCol w:w="1382"/>
        <w:gridCol w:w="1382"/>
      </w:tblGrid>
      <w:tr w:rsidR="00CF1F57" w:rsidRPr="00E504AC" w14:paraId="57A03A05" w14:textId="3FE7C462" w:rsidTr="00CF1F57">
        <w:tc>
          <w:tcPr>
            <w:tcW w:w="4500" w:type="dxa"/>
            <w:tcBorders>
              <w:top w:val="nil"/>
              <w:left w:val="nil"/>
              <w:bottom w:val="single" w:sz="4" w:space="0" w:color="auto"/>
            </w:tcBorders>
            <w:vAlign w:val="bottom"/>
          </w:tcPr>
          <w:p w14:paraId="3EC5A556" w14:textId="77777777" w:rsidR="00CF1F57" w:rsidRPr="00E504AC" w:rsidRDefault="00CF1F57" w:rsidP="00DB7415">
            <w:pPr>
              <w:spacing w:after="0"/>
              <w:rPr>
                <w:rFonts w:ascii="Arial" w:hAnsi="Arial" w:cs="Arial"/>
                <w:szCs w:val="20"/>
              </w:rPr>
            </w:pPr>
            <w:r w:rsidRPr="00E504AC">
              <w:rPr>
                <w:rFonts w:ascii="Arial" w:hAnsi="Arial" w:cs="Arial"/>
                <w:b/>
                <w:bCs/>
                <w:szCs w:val="20"/>
              </w:rPr>
              <w:tab/>
            </w:r>
          </w:p>
        </w:tc>
        <w:tc>
          <w:tcPr>
            <w:tcW w:w="1559" w:type="dxa"/>
            <w:tcBorders>
              <w:top w:val="nil"/>
              <w:left w:val="nil"/>
              <w:bottom w:val="single" w:sz="4" w:space="0" w:color="auto"/>
              <w:right w:val="nil"/>
            </w:tcBorders>
          </w:tcPr>
          <w:p w14:paraId="58D03C63" w14:textId="07F3B636" w:rsidR="00CF1F57" w:rsidRDefault="00CF1F57" w:rsidP="00DB7415">
            <w:pPr>
              <w:spacing w:after="0"/>
              <w:ind w:left="90"/>
              <w:jc w:val="center"/>
              <w:rPr>
                <w:rFonts w:ascii="Arial" w:hAnsi="Arial" w:cs="Arial"/>
                <w:szCs w:val="20"/>
              </w:rPr>
            </w:pPr>
            <w:r>
              <w:rPr>
                <w:rFonts w:ascii="Arial" w:hAnsi="Arial" w:cs="Arial"/>
                <w:szCs w:val="20"/>
              </w:rPr>
              <w:t>Lease</w:t>
            </w:r>
          </w:p>
          <w:p w14:paraId="2BA1DB75" w14:textId="14F8843E" w:rsidR="00CF1F57" w:rsidRPr="00E504AC" w:rsidRDefault="00CF1F57" w:rsidP="00DB7415">
            <w:pPr>
              <w:spacing w:after="0"/>
              <w:ind w:left="90"/>
              <w:jc w:val="center"/>
              <w:rPr>
                <w:rFonts w:ascii="Arial" w:hAnsi="Arial" w:cs="Arial"/>
                <w:szCs w:val="20"/>
              </w:rPr>
            </w:pPr>
            <w:r>
              <w:rPr>
                <w:rFonts w:ascii="Arial" w:hAnsi="Arial" w:cs="Arial"/>
                <w:szCs w:val="20"/>
              </w:rPr>
              <w:t>Liability</w:t>
            </w:r>
          </w:p>
          <w:p w14:paraId="47A993B5"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A6442ED" w14:textId="77777777" w:rsidR="00CF1F57" w:rsidRDefault="00CF1F57" w:rsidP="00CF1F57">
            <w:pPr>
              <w:spacing w:after="0"/>
              <w:ind w:left="90"/>
              <w:jc w:val="center"/>
              <w:rPr>
                <w:rFonts w:ascii="Arial" w:hAnsi="Arial" w:cs="Arial"/>
                <w:szCs w:val="20"/>
              </w:rPr>
            </w:pPr>
          </w:p>
          <w:p w14:paraId="3809FFAF" w14:textId="45B135A8" w:rsidR="00CF1F57" w:rsidRPr="00E504AC" w:rsidRDefault="00CF1F57" w:rsidP="00CF1F57">
            <w:pPr>
              <w:spacing w:after="0"/>
              <w:ind w:left="90"/>
              <w:jc w:val="center"/>
              <w:rPr>
                <w:rFonts w:ascii="Arial" w:hAnsi="Arial" w:cs="Arial"/>
                <w:szCs w:val="20"/>
              </w:rPr>
            </w:pPr>
            <w:r>
              <w:rPr>
                <w:rFonts w:ascii="Arial" w:hAnsi="Arial" w:cs="Arial"/>
                <w:szCs w:val="20"/>
              </w:rPr>
              <w:t>Current</w:t>
            </w:r>
          </w:p>
          <w:p w14:paraId="45AEA296" w14:textId="77777777" w:rsidR="00CF1F57" w:rsidRPr="00E504AC" w:rsidRDefault="00CF1F57" w:rsidP="00DB7415">
            <w:pPr>
              <w:spacing w:after="0"/>
              <w:ind w:left="90"/>
              <w:jc w:val="center"/>
              <w:rPr>
                <w:rFonts w:ascii="Arial" w:hAnsi="Arial" w:cs="Arial"/>
                <w:szCs w:val="20"/>
              </w:rPr>
            </w:pPr>
            <w:r w:rsidRPr="00E504AC">
              <w:rPr>
                <w:rFonts w:ascii="Arial" w:hAnsi="Arial" w:cs="Arial"/>
                <w:szCs w:val="20"/>
              </w:rPr>
              <w:t>$</w:t>
            </w:r>
          </w:p>
        </w:tc>
        <w:tc>
          <w:tcPr>
            <w:tcW w:w="1382" w:type="dxa"/>
            <w:tcBorders>
              <w:top w:val="nil"/>
              <w:left w:val="nil"/>
              <w:bottom w:val="single" w:sz="4" w:space="0" w:color="auto"/>
              <w:right w:val="nil"/>
            </w:tcBorders>
          </w:tcPr>
          <w:p w14:paraId="33685038" w14:textId="77777777" w:rsidR="00CF1F57" w:rsidRDefault="00CF1F57" w:rsidP="00DB7415">
            <w:pPr>
              <w:spacing w:after="0"/>
              <w:ind w:left="90"/>
              <w:jc w:val="center"/>
              <w:rPr>
                <w:rFonts w:ascii="Arial" w:hAnsi="Arial" w:cs="Arial"/>
                <w:szCs w:val="20"/>
              </w:rPr>
            </w:pPr>
          </w:p>
          <w:p w14:paraId="5F2F02A1" w14:textId="77777777" w:rsidR="00CF1F57" w:rsidRDefault="00CF1F57" w:rsidP="00DB7415">
            <w:pPr>
              <w:spacing w:after="0"/>
              <w:ind w:left="90"/>
              <w:jc w:val="center"/>
              <w:rPr>
                <w:rFonts w:ascii="Arial" w:hAnsi="Arial" w:cs="Arial"/>
                <w:szCs w:val="20"/>
              </w:rPr>
            </w:pPr>
            <w:r>
              <w:rPr>
                <w:rFonts w:ascii="Arial" w:hAnsi="Arial" w:cs="Arial"/>
                <w:szCs w:val="20"/>
              </w:rPr>
              <w:t>Long-term</w:t>
            </w:r>
          </w:p>
          <w:p w14:paraId="3965B367" w14:textId="62CD4EC6" w:rsidR="00CF1F57" w:rsidRPr="00E504AC" w:rsidRDefault="00CF1F57" w:rsidP="00DB7415">
            <w:pPr>
              <w:spacing w:after="0"/>
              <w:ind w:left="90"/>
              <w:jc w:val="center"/>
              <w:rPr>
                <w:rFonts w:ascii="Arial" w:hAnsi="Arial" w:cs="Arial"/>
                <w:szCs w:val="20"/>
              </w:rPr>
            </w:pPr>
            <w:r>
              <w:rPr>
                <w:rFonts w:ascii="Arial" w:hAnsi="Arial" w:cs="Arial"/>
                <w:szCs w:val="20"/>
              </w:rPr>
              <w:t>$</w:t>
            </w:r>
          </w:p>
        </w:tc>
      </w:tr>
      <w:tr w:rsidR="00CF1F57" w:rsidRPr="00E504AC" w14:paraId="13E192A9" w14:textId="0DA03B0E" w:rsidTr="00CF1F57">
        <w:trPr>
          <w:trHeight w:hRule="exact" w:val="113"/>
        </w:trPr>
        <w:tc>
          <w:tcPr>
            <w:tcW w:w="4500" w:type="dxa"/>
            <w:tcBorders>
              <w:left w:val="nil"/>
            </w:tcBorders>
            <w:vAlign w:val="bottom"/>
          </w:tcPr>
          <w:p w14:paraId="38DEB060" w14:textId="2984B2D5" w:rsidR="00CF1F57" w:rsidRPr="00E504AC" w:rsidRDefault="00CF1F57" w:rsidP="00DB7415">
            <w:pPr>
              <w:spacing w:after="0"/>
              <w:rPr>
                <w:rFonts w:ascii="Arial" w:hAnsi="Arial" w:cs="Arial"/>
                <w:szCs w:val="20"/>
              </w:rPr>
            </w:pPr>
          </w:p>
        </w:tc>
        <w:tc>
          <w:tcPr>
            <w:tcW w:w="1559" w:type="dxa"/>
            <w:tcBorders>
              <w:left w:val="nil"/>
              <w:right w:val="nil"/>
            </w:tcBorders>
          </w:tcPr>
          <w:p w14:paraId="5221358E"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F106AE4" w14:textId="77777777" w:rsidR="00CF1F57" w:rsidRPr="00E504AC" w:rsidRDefault="00CF1F57" w:rsidP="00DB7415">
            <w:pPr>
              <w:spacing w:after="0"/>
              <w:ind w:right="369"/>
              <w:jc w:val="right"/>
              <w:rPr>
                <w:rFonts w:ascii="Arial" w:hAnsi="Arial" w:cs="Arial"/>
                <w:szCs w:val="20"/>
              </w:rPr>
            </w:pPr>
          </w:p>
        </w:tc>
        <w:tc>
          <w:tcPr>
            <w:tcW w:w="1382" w:type="dxa"/>
            <w:tcBorders>
              <w:left w:val="nil"/>
              <w:right w:val="nil"/>
            </w:tcBorders>
          </w:tcPr>
          <w:p w14:paraId="57064A3F" w14:textId="77777777" w:rsidR="00CF1F57" w:rsidRPr="00E504AC" w:rsidRDefault="00CF1F57" w:rsidP="00DB7415">
            <w:pPr>
              <w:spacing w:after="0"/>
              <w:ind w:right="369"/>
              <w:jc w:val="right"/>
              <w:rPr>
                <w:rFonts w:ascii="Arial" w:hAnsi="Arial" w:cs="Arial"/>
                <w:szCs w:val="20"/>
              </w:rPr>
            </w:pPr>
          </w:p>
        </w:tc>
      </w:tr>
      <w:tr w:rsidR="00CF1F57" w:rsidRPr="00E504AC" w14:paraId="7008A857" w14:textId="275B3BA3" w:rsidTr="00CF1F57">
        <w:tc>
          <w:tcPr>
            <w:tcW w:w="4500" w:type="dxa"/>
            <w:tcBorders>
              <w:left w:val="nil"/>
            </w:tcBorders>
            <w:vAlign w:val="bottom"/>
          </w:tcPr>
          <w:p w14:paraId="4FC40B1A" w14:textId="67D192FE" w:rsidR="00CF1F57" w:rsidRPr="00E504AC" w:rsidRDefault="00CF1F57" w:rsidP="00CF1F57">
            <w:pPr>
              <w:spacing w:after="0"/>
              <w:rPr>
                <w:rFonts w:ascii="Arial" w:hAnsi="Arial" w:cs="Arial"/>
                <w:szCs w:val="20"/>
              </w:rPr>
            </w:pPr>
            <w:r w:rsidRPr="00E504AC">
              <w:rPr>
                <w:rFonts w:ascii="Arial" w:hAnsi="Arial" w:cs="Arial"/>
                <w:szCs w:val="20"/>
              </w:rPr>
              <w:t xml:space="preserve">Balance, </w:t>
            </w:r>
            <w:r>
              <w:rPr>
                <w:rFonts w:ascii="Arial" w:hAnsi="Arial" w:cs="Arial"/>
                <w:szCs w:val="20"/>
              </w:rPr>
              <w:t>February 1, 2018</w:t>
            </w:r>
          </w:p>
        </w:tc>
        <w:tc>
          <w:tcPr>
            <w:tcW w:w="1559" w:type="dxa"/>
            <w:tcBorders>
              <w:left w:val="nil"/>
              <w:right w:val="nil"/>
            </w:tcBorders>
          </w:tcPr>
          <w:p w14:paraId="2EEAB6A5" w14:textId="77777777" w:rsidR="00CF1F57" w:rsidRPr="00E504AC" w:rsidRDefault="00CF1F57" w:rsidP="00DB7415">
            <w:pPr>
              <w:spacing w:after="0"/>
              <w:ind w:right="173"/>
              <w:jc w:val="right"/>
              <w:rPr>
                <w:rFonts w:ascii="Arial" w:hAnsi="Arial" w:cs="Arial"/>
                <w:szCs w:val="20"/>
              </w:rPr>
            </w:pPr>
            <w:r w:rsidRPr="00E504AC">
              <w:rPr>
                <w:rFonts w:ascii="Arial" w:hAnsi="Arial" w:cs="Arial"/>
                <w:szCs w:val="20"/>
              </w:rPr>
              <w:t>–</w:t>
            </w:r>
          </w:p>
        </w:tc>
        <w:tc>
          <w:tcPr>
            <w:tcW w:w="1382" w:type="dxa"/>
            <w:tcBorders>
              <w:left w:val="nil"/>
              <w:right w:val="nil"/>
            </w:tcBorders>
          </w:tcPr>
          <w:p w14:paraId="7D6D9561" w14:textId="7953E10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20BB381" w14:textId="77777777" w:rsidR="00CF1F57" w:rsidRPr="00E504AC" w:rsidRDefault="00CF1F57" w:rsidP="00DB7415">
            <w:pPr>
              <w:spacing w:after="0"/>
              <w:ind w:right="173"/>
              <w:jc w:val="right"/>
              <w:rPr>
                <w:rFonts w:ascii="Arial" w:hAnsi="Arial" w:cs="Arial"/>
                <w:szCs w:val="20"/>
              </w:rPr>
            </w:pPr>
          </w:p>
        </w:tc>
      </w:tr>
      <w:tr w:rsidR="00CF1F57" w:rsidRPr="00E504AC" w14:paraId="6A9617B7" w14:textId="45F24D28" w:rsidTr="00CF1F57">
        <w:tc>
          <w:tcPr>
            <w:tcW w:w="4500" w:type="dxa"/>
            <w:tcBorders>
              <w:left w:val="nil"/>
            </w:tcBorders>
            <w:vAlign w:val="bottom"/>
          </w:tcPr>
          <w:p w14:paraId="172F066C" w14:textId="2FF158E4" w:rsidR="00CF1F57" w:rsidRPr="00E504AC" w:rsidRDefault="00CF1F57" w:rsidP="00DB7415">
            <w:pPr>
              <w:spacing w:after="0"/>
              <w:rPr>
                <w:rFonts w:ascii="Arial" w:hAnsi="Arial" w:cs="Arial"/>
                <w:szCs w:val="20"/>
              </w:rPr>
            </w:pPr>
            <w:r w:rsidRPr="00E504AC">
              <w:rPr>
                <w:rFonts w:ascii="Arial" w:hAnsi="Arial" w:cs="Arial"/>
                <w:szCs w:val="20"/>
              </w:rPr>
              <w:t xml:space="preserve">Adoption of </w:t>
            </w:r>
            <w:r>
              <w:rPr>
                <w:rFonts w:ascii="Arial" w:hAnsi="Arial" w:cs="Arial"/>
                <w:szCs w:val="20"/>
              </w:rPr>
              <w:t>IFRS 16</w:t>
            </w:r>
            <w:r w:rsidRPr="00E504AC">
              <w:rPr>
                <w:rFonts w:ascii="Arial" w:hAnsi="Arial" w:cs="Arial"/>
                <w:szCs w:val="20"/>
              </w:rPr>
              <w:t xml:space="preserve"> (Note 3</w:t>
            </w:r>
            <w:r w:rsidR="00FB4135">
              <w:rPr>
                <w:rFonts w:ascii="Arial" w:hAnsi="Arial" w:cs="Arial"/>
                <w:szCs w:val="20"/>
              </w:rPr>
              <w:t>(c)</w:t>
            </w:r>
            <w:r w:rsidRPr="00E504AC">
              <w:rPr>
                <w:rFonts w:ascii="Arial" w:hAnsi="Arial" w:cs="Arial"/>
                <w:szCs w:val="20"/>
              </w:rPr>
              <w:t>)</w:t>
            </w:r>
          </w:p>
        </w:tc>
        <w:tc>
          <w:tcPr>
            <w:tcW w:w="1559" w:type="dxa"/>
            <w:tcBorders>
              <w:left w:val="nil"/>
              <w:right w:val="nil"/>
            </w:tcBorders>
          </w:tcPr>
          <w:p w14:paraId="0216179C" w14:textId="04BAE2CC" w:rsidR="00CF1F57" w:rsidRPr="00E504AC" w:rsidRDefault="00CF1F57" w:rsidP="00DB7415">
            <w:pPr>
              <w:spacing w:after="0"/>
              <w:ind w:right="173"/>
              <w:jc w:val="right"/>
              <w:rPr>
                <w:rFonts w:ascii="Arial" w:hAnsi="Arial" w:cs="Arial"/>
                <w:szCs w:val="20"/>
              </w:rPr>
            </w:pPr>
            <w:r>
              <w:rPr>
                <w:rFonts w:ascii="Arial" w:hAnsi="Arial" w:cs="Arial"/>
                <w:szCs w:val="20"/>
              </w:rPr>
              <w:t>1,367,287</w:t>
            </w:r>
          </w:p>
        </w:tc>
        <w:tc>
          <w:tcPr>
            <w:tcW w:w="1382" w:type="dxa"/>
            <w:tcBorders>
              <w:left w:val="nil"/>
              <w:right w:val="nil"/>
            </w:tcBorders>
          </w:tcPr>
          <w:p w14:paraId="24945BE5" w14:textId="21EC1D30"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B86C395" w14:textId="77777777" w:rsidR="00CF1F57" w:rsidRPr="00E504AC" w:rsidRDefault="00CF1F57" w:rsidP="00DB7415">
            <w:pPr>
              <w:spacing w:after="0"/>
              <w:ind w:right="173"/>
              <w:jc w:val="right"/>
              <w:rPr>
                <w:rFonts w:ascii="Arial" w:hAnsi="Arial" w:cs="Arial"/>
                <w:szCs w:val="20"/>
              </w:rPr>
            </w:pPr>
          </w:p>
        </w:tc>
      </w:tr>
      <w:tr w:rsidR="00CF1F57" w:rsidRPr="00E504AC" w14:paraId="49DD4371" w14:textId="39DAA4F7" w:rsidTr="00CF1F57">
        <w:tc>
          <w:tcPr>
            <w:tcW w:w="4500" w:type="dxa"/>
            <w:tcBorders>
              <w:left w:val="nil"/>
            </w:tcBorders>
            <w:vAlign w:val="bottom"/>
          </w:tcPr>
          <w:p w14:paraId="426C218B" w14:textId="77777777" w:rsidR="00CF1F57" w:rsidRPr="00E504AC" w:rsidRDefault="00CF1F57" w:rsidP="00DB7415">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494FA890" w14:textId="645F43E8" w:rsidR="00CF1F57" w:rsidRPr="00E504AC" w:rsidRDefault="00CF1F57" w:rsidP="00DB7415">
            <w:pPr>
              <w:spacing w:after="0"/>
              <w:ind w:right="173"/>
              <w:jc w:val="right"/>
              <w:rPr>
                <w:rFonts w:ascii="Arial" w:hAnsi="Arial" w:cs="Arial"/>
                <w:szCs w:val="20"/>
              </w:rPr>
            </w:pPr>
            <w:r>
              <w:rPr>
                <w:rFonts w:ascii="Arial" w:hAnsi="Arial" w:cs="Arial"/>
                <w:szCs w:val="20"/>
              </w:rPr>
              <w:t>122,921</w:t>
            </w:r>
          </w:p>
        </w:tc>
        <w:tc>
          <w:tcPr>
            <w:tcW w:w="1382" w:type="dxa"/>
            <w:tcBorders>
              <w:left w:val="nil"/>
              <w:right w:val="nil"/>
            </w:tcBorders>
          </w:tcPr>
          <w:p w14:paraId="100278B4" w14:textId="7EBF5CA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13F75E04" w14:textId="77777777" w:rsidR="00CF1F57" w:rsidRDefault="00CF1F57" w:rsidP="00DB7415">
            <w:pPr>
              <w:spacing w:after="0"/>
              <w:ind w:right="173"/>
              <w:jc w:val="right"/>
              <w:rPr>
                <w:rFonts w:ascii="Arial" w:hAnsi="Arial" w:cs="Arial"/>
                <w:szCs w:val="20"/>
              </w:rPr>
            </w:pPr>
          </w:p>
        </w:tc>
      </w:tr>
      <w:tr w:rsidR="00CF1F57" w:rsidRPr="00E504AC" w14:paraId="517EDDEE" w14:textId="13DE8178" w:rsidTr="00CF1F57">
        <w:tc>
          <w:tcPr>
            <w:tcW w:w="4500" w:type="dxa"/>
            <w:tcBorders>
              <w:left w:val="nil"/>
            </w:tcBorders>
            <w:vAlign w:val="bottom"/>
          </w:tcPr>
          <w:p w14:paraId="48712CC7" w14:textId="77777777" w:rsidR="00CF1F57" w:rsidRPr="00E504AC" w:rsidRDefault="00CF1F57" w:rsidP="00DB7415">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38CFA942" w14:textId="6F0DE419" w:rsidR="00CF1F57" w:rsidRPr="00E504AC" w:rsidRDefault="00CF1F57" w:rsidP="00DB7415">
            <w:pPr>
              <w:spacing w:after="0"/>
              <w:ind w:right="173"/>
              <w:jc w:val="right"/>
              <w:rPr>
                <w:rFonts w:ascii="Arial" w:hAnsi="Arial" w:cs="Arial"/>
                <w:szCs w:val="20"/>
              </w:rPr>
            </w:pPr>
            <w:r>
              <w:rPr>
                <w:rFonts w:ascii="Arial" w:hAnsi="Arial" w:cs="Arial"/>
                <w:szCs w:val="20"/>
              </w:rPr>
              <w:t>(304,375)</w:t>
            </w:r>
          </w:p>
        </w:tc>
        <w:tc>
          <w:tcPr>
            <w:tcW w:w="1382" w:type="dxa"/>
            <w:tcBorders>
              <w:left w:val="nil"/>
              <w:right w:val="nil"/>
            </w:tcBorders>
          </w:tcPr>
          <w:p w14:paraId="119D1016" w14:textId="0E51E183"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5A198D0B" w14:textId="77777777" w:rsidR="00CF1F57" w:rsidRPr="00E504AC" w:rsidRDefault="00CF1F57" w:rsidP="00DB7415">
            <w:pPr>
              <w:spacing w:after="0"/>
              <w:ind w:right="173"/>
              <w:jc w:val="right"/>
              <w:rPr>
                <w:rFonts w:ascii="Arial" w:hAnsi="Arial" w:cs="Arial"/>
                <w:szCs w:val="20"/>
              </w:rPr>
            </w:pPr>
          </w:p>
        </w:tc>
      </w:tr>
      <w:tr w:rsidR="00CF1F57" w:rsidRPr="00E504AC" w14:paraId="189755E3" w14:textId="2144BE88" w:rsidTr="00CF1F57">
        <w:tc>
          <w:tcPr>
            <w:tcW w:w="4500" w:type="dxa"/>
            <w:tcBorders>
              <w:left w:val="nil"/>
            </w:tcBorders>
            <w:vAlign w:val="bottom"/>
          </w:tcPr>
          <w:p w14:paraId="0B14C74F"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372EDEFE" w14:textId="00512170" w:rsidR="00CF1F57" w:rsidRPr="00E504AC" w:rsidRDefault="00CF1F57" w:rsidP="00E26400">
            <w:pPr>
              <w:spacing w:after="0"/>
              <w:ind w:right="173"/>
              <w:jc w:val="right"/>
              <w:rPr>
                <w:rFonts w:ascii="Arial" w:hAnsi="Arial" w:cs="Arial"/>
                <w:szCs w:val="20"/>
              </w:rPr>
            </w:pPr>
            <w:r>
              <w:rPr>
                <w:rFonts w:ascii="Arial" w:hAnsi="Arial" w:cs="Arial"/>
                <w:szCs w:val="20"/>
              </w:rPr>
              <w:t>(2,53</w:t>
            </w:r>
            <w:r w:rsidR="00E26400">
              <w:rPr>
                <w:rFonts w:ascii="Arial" w:hAnsi="Arial" w:cs="Arial"/>
                <w:szCs w:val="20"/>
              </w:rPr>
              <w:t>6</w:t>
            </w:r>
            <w:r>
              <w:rPr>
                <w:rFonts w:ascii="Arial" w:hAnsi="Arial" w:cs="Arial"/>
                <w:szCs w:val="20"/>
              </w:rPr>
              <w:t>)</w:t>
            </w:r>
          </w:p>
        </w:tc>
        <w:tc>
          <w:tcPr>
            <w:tcW w:w="1382" w:type="dxa"/>
            <w:tcBorders>
              <w:left w:val="nil"/>
              <w:right w:val="nil"/>
            </w:tcBorders>
          </w:tcPr>
          <w:p w14:paraId="1C2D8015" w14:textId="764521A6"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654E3195" w14:textId="77777777" w:rsidR="00CF1F57" w:rsidRDefault="00CF1F57" w:rsidP="00DB7415">
            <w:pPr>
              <w:spacing w:after="0"/>
              <w:ind w:right="173"/>
              <w:jc w:val="right"/>
              <w:rPr>
                <w:rFonts w:ascii="Arial" w:hAnsi="Arial" w:cs="Arial"/>
                <w:szCs w:val="20"/>
              </w:rPr>
            </w:pPr>
          </w:p>
        </w:tc>
      </w:tr>
      <w:tr w:rsidR="00CF1F57" w:rsidRPr="00E504AC" w14:paraId="3499C957" w14:textId="03D11A97" w:rsidTr="00CF1F57">
        <w:trPr>
          <w:trHeight w:hRule="exact" w:val="86"/>
        </w:trPr>
        <w:tc>
          <w:tcPr>
            <w:tcW w:w="4500" w:type="dxa"/>
            <w:tcBorders>
              <w:top w:val="single" w:sz="4" w:space="0" w:color="auto"/>
              <w:left w:val="nil"/>
            </w:tcBorders>
            <w:vAlign w:val="bottom"/>
          </w:tcPr>
          <w:p w14:paraId="00C6980C"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5DC3A8C6"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362E9869"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07F5D732" w14:textId="77777777" w:rsidR="00CF1F57" w:rsidRPr="00E504AC" w:rsidRDefault="00CF1F57" w:rsidP="00DB7415">
            <w:pPr>
              <w:spacing w:after="0"/>
              <w:ind w:right="173"/>
              <w:jc w:val="right"/>
              <w:rPr>
                <w:rFonts w:ascii="Arial" w:hAnsi="Arial" w:cs="Arial"/>
                <w:szCs w:val="20"/>
              </w:rPr>
            </w:pPr>
          </w:p>
        </w:tc>
      </w:tr>
      <w:tr w:rsidR="00CF1F57" w:rsidRPr="00E504AC" w14:paraId="3651B48E" w14:textId="7D4D3F73" w:rsidTr="00CF1F57">
        <w:tc>
          <w:tcPr>
            <w:tcW w:w="4500" w:type="dxa"/>
            <w:tcBorders>
              <w:left w:val="nil"/>
            </w:tcBorders>
            <w:vAlign w:val="bottom"/>
          </w:tcPr>
          <w:p w14:paraId="0ACDD63E" w14:textId="2CE2CF68" w:rsidR="00CF1F57" w:rsidRPr="00E504AC" w:rsidRDefault="00CF1F57" w:rsidP="00DB7415">
            <w:pPr>
              <w:spacing w:after="0"/>
              <w:rPr>
                <w:rFonts w:ascii="Arial" w:hAnsi="Arial" w:cs="Arial"/>
                <w:szCs w:val="20"/>
              </w:rPr>
            </w:pPr>
            <w:r>
              <w:rPr>
                <w:rFonts w:ascii="Arial" w:hAnsi="Arial" w:cs="Arial"/>
                <w:szCs w:val="20"/>
              </w:rPr>
              <w:t>Balance, January 31, 2019</w:t>
            </w:r>
          </w:p>
        </w:tc>
        <w:tc>
          <w:tcPr>
            <w:tcW w:w="1559" w:type="dxa"/>
            <w:tcBorders>
              <w:left w:val="nil"/>
              <w:right w:val="nil"/>
            </w:tcBorders>
          </w:tcPr>
          <w:p w14:paraId="15A0AE84" w14:textId="6C4694DC" w:rsidR="00CF1F57" w:rsidRPr="00E504AC" w:rsidRDefault="00CF1F57" w:rsidP="00DB7415">
            <w:pPr>
              <w:spacing w:after="0"/>
              <w:ind w:right="173"/>
              <w:jc w:val="right"/>
              <w:rPr>
                <w:rFonts w:ascii="Arial" w:hAnsi="Arial" w:cs="Arial"/>
                <w:szCs w:val="20"/>
              </w:rPr>
            </w:pPr>
            <w:r>
              <w:rPr>
                <w:rFonts w:ascii="Arial" w:hAnsi="Arial" w:cs="Arial"/>
                <w:szCs w:val="20"/>
              </w:rPr>
              <w:t>1,183,297</w:t>
            </w:r>
          </w:p>
        </w:tc>
        <w:tc>
          <w:tcPr>
            <w:tcW w:w="1382" w:type="dxa"/>
            <w:tcBorders>
              <w:left w:val="nil"/>
              <w:right w:val="nil"/>
            </w:tcBorders>
          </w:tcPr>
          <w:p w14:paraId="5053B4F3" w14:textId="06C2BB9D" w:rsidR="00CF1F57" w:rsidRPr="00E504AC" w:rsidRDefault="00CF1F57" w:rsidP="00DB7415">
            <w:pPr>
              <w:spacing w:after="0"/>
              <w:ind w:right="173"/>
              <w:jc w:val="right"/>
              <w:rPr>
                <w:rFonts w:ascii="Arial" w:hAnsi="Arial" w:cs="Arial"/>
                <w:szCs w:val="20"/>
              </w:rPr>
            </w:pPr>
            <w:r>
              <w:rPr>
                <w:rFonts w:ascii="Arial" w:hAnsi="Arial" w:cs="Arial"/>
                <w:szCs w:val="20"/>
              </w:rPr>
              <w:t>(304,304)</w:t>
            </w:r>
          </w:p>
        </w:tc>
        <w:tc>
          <w:tcPr>
            <w:tcW w:w="1382" w:type="dxa"/>
            <w:tcBorders>
              <w:left w:val="nil"/>
              <w:right w:val="nil"/>
            </w:tcBorders>
          </w:tcPr>
          <w:p w14:paraId="17881804" w14:textId="77A41BB9" w:rsidR="00CF1F57" w:rsidRPr="00E504AC" w:rsidRDefault="00CF1F57" w:rsidP="00DB7415">
            <w:pPr>
              <w:spacing w:after="0"/>
              <w:ind w:right="173"/>
              <w:jc w:val="right"/>
              <w:rPr>
                <w:rFonts w:ascii="Arial" w:hAnsi="Arial" w:cs="Arial"/>
                <w:szCs w:val="20"/>
              </w:rPr>
            </w:pPr>
            <w:r>
              <w:rPr>
                <w:rFonts w:ascii="Arial" w:hAnsi="Arial" w:cs="Arial"/>
                <w:szCs w:val="20"/>
              </w:rPr>
              <w:t>878,993</w:t>
            </w:r>
          </w:p>
        </w:tc>
      </w:tr>
      <w:tr w:rsidR="00CF1F57" w:rsidRPr="00E504AC" w14:paraId="48A4BDBD" w14:textId="77777777" w:rsidTr="00DB7415">
        <w:tc>
          <w:tcPr>
            <w:tcW w:w="4500" w:type="dxa"/>
            <w:tcBorders>
              <w:left w:val="nil"/>
            </w:tcBorders>
            <w:vAlign w:val="bottom"/>
          </w:tcPr>
          <w:p w14:paraId="3CA58E89" w14:textId="77777777" w:rsidR="00CF1F57" w:rsidRPr="00E504AC" w:rsidRDefault="00CF1F57" w:rsidP="00DB7415">
            <w:pPr>
              <w:spacing w:after="0"/>
              <w:rPr>
                <w:rFonts w:ascii="Arial" w:hAnsi="Arial" w:cs="Arial"/>
                <w:szCs w:val="20"/>
              </w:rPr>
            </w:pPr>
            <w:r w:rsidRPr="00E504AC">
              <w:rPr>
                <w:rFonts w:ascii="Arial" w:hAnsi="Arial" w:cs="Arial"/>
                <w:szCs w:val="20"/>
              </w:rPr>
              <w:t>Lease liability expense</w:t>
            </w:r>
          </w:p>
        </w:tc>
        <w:tc>
          <w:tcPr>
            <w:tcW w:w="1559" w:type="dxa"/>
            <w:tcBorders>
              <w:left w:val="nil"/>
              <w:right w:val="nil"/>
            </w:tcBorders>
          </w:tcPr>
          <w:p w14:paraId="3659E46E" w14:textId="1B57B9E1" w:rsidR="00CF1F57" w:rsidRPr="00E504AC" w:rsidRDefault="00CF1F57" w:rsidP="00E26400">
            <w:pPr>
              <w:spacing w:after="0"/>
              <w:ind w:right="173"/>
              <w:jc w:val="right"/>
              <w:rPr>
                <w:rFonts w:ascii="Arial" w:hAnsi="Arial" w:cs="Arial"/>
                <w:szCs w:val="20"/>
              </w:rPr>
            </w:pPr>
            <w:r>
              <w:rPr>
                <w:rFonts w:ascii="Arial" w:hAnsi="Arial" w:cs="Arial"/>
                <w:szCs w:val="20"/>
              </w:rPr>
              <w:t>93,09</w:t>
            </w:r>
            <w:r w:rsidR="00E26400">
              <w:rPr>
                <w:rFonts w:ascii="Arial" w:hAnsi="Arial" w:cs="Arial"/>
                <w:szCs w:val="20"/>
              </w:rPr>
              <w:t>4</w:t>
            </w:r>
          </w:p>
        </w:tc>
        <w:tc>
          <w:tcPr>
            <w:tcW w:w="1382" w:type="dxa"/>
            <w:tcBorders>
              <w:left w:val="nil"/>
              <w:right w:val="nil"/>
            </w:tcBorders>
          </w:tcPr>
          <w:p w14:paraId="319D0E74"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71403E59" w14:textId="77777777" w:rsidR="00CF1F57" w:rsidRDefault="00CF1F57" w:rsidP="00DB7415">
            <w:pPr>
              <w:spacing w:after="0"/>
              <w:ind w:right="173"/>
              <w:jc w:val="right"/>
              <w:rPr>
                <w:rFonts w:ascii="Arial" w:hAnsi="Arial" w:cs="Arial"/>
                <w:szCs w:val="20"/>
              </w:rPr>
            </w:pPr>
          </w:p>
        </w:tc>
      </w:tr>
      <w:tr w:rsidR="00CF1F57" w:rsidRPr="00E504AC" w14:paraId="7E6E2538" w14:textId="77777777" w:rsidTr="00DB7415">
        <w:tc>
          <w:tcPr>
            <w:tcW w:w="4500" w:type="dxa"/>
            <w:tcBorders>
              <w:left w:val="nil"/>
            </w:tcBorders>
            <w:vAlign w:val="bottom"/>
          </w:tcPr>
          <w:p w14:paraId="730FDA97" w14:textId="77777777" w:rsidR="00CF1F57" w:rsidRPr="00E504AC" w:rsidRDefault="00CF1F57" w:rsidP="00DB7415">
            <w:pPr>
              <w:spacing w:after="0"/>
              <w:rPr>
                <w:rFonts w:ascii="Arial" w:hAnsi="Arial" w:cs="Arial"/>
                <w:szCs w:val="20"/>
              </w:rPr>
            </w:pPr>
            <w:r w:rsidRPr="00E504AC">
              <w:rPr>
                <w:rFonts w:ascii="Arial" w:hAnsi="Arial" w:cs="Arial"/>
                <w:szCs w:val="20"/>
              </w:rPr>
              <w:t>Lease payments</w:t>
            </w:r>
          </w:p>
        </w:tc>
        <w:tc>
          <w:tcPr>
            <w:tcW w:w="1559" w:type="dxa"/>
            <w:tcBorders>
              <w:left w:val="nil"/>
              <w:right w:val="nil"/>
            </w:tcBorders>
          </w:tcPr>
          <w:p w14:paraId="4241D861" w14:textId="7606DF18" w:rsidR="00CF1F57" w:rsidRPr="00E504AC" w:rsidRDefault="0082773C" w:rsidP="00DB7415">
            <w:pPr>
              <w:spacing w:after="0"/>
              <w:ind w:right="173"/>
              <w:jc w:val="right"/>
              <w:rPr>
                <w:rFonts w:ascii="Arial" w:hAnsi="Arial" w:cs="Arial"/>
                <w:szCs w:val="20"/>
              </w:rPr>
            </w:pPr>
            <w:r>
              <w:rPr>
                <w:rFonts w:ascii="Arial" w:hAnsi="Arial" w:cs="Arial"/>
                <w:szCs w:val="20"/>
              </w:rPr>
              <w:t>(274,837)</w:t>
            </w:r>
          </w:p>
        </w:tc>
        <w:tc>
          <w:tcPr>
            <w:tcW w:w="1382" w:type="dxa"/>
            <w:tcBorders>
              <w:left w:val="nil"/>
              <w:right w:val="nil"/>
            </w:tcBorders>
          </w:tcPr>
          <w:p w14:paraId="7316CF16"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4D1374A1" w14:textId="77777777" w:rsidR="00CF1F57" w:rsidRPr="00E504AC" w:rsidRDefault="00CF1F57" w:rsidP="00DB7415">
            <w:pPr>
              <w:spacing w:after="0"/>
              <w:ind w:right="173"/>
              <w:jc w:val="right"/>
              <w:rPr>
                <w:rFonts w:ascii="Arial" w:hAnsi="Arial" w:cs="Arial"/>
                <w:szCs w:val="20"/>
              </w:rPr>
            </w:pPr>
          </w:p>
        </w:tc>
      </w:tr>
      <w:tr w:rsidR="00CF1F57" w:rsidRPr="00E504AC" w14:paraId="440464A5" w14:textId="77777777" w:rsidTr="00DB7415">
        <w:tc>
          <w:tcPr>
            <w:tcW w:w="4500" w:type="dxa"/>
            <w:tcBorders>
              <w:left w:val="nil"/>
            </w:tcBorders>
            <w:vAlign w:val="bottom"/>
          </w:tcPr>
          <w:p w14:paraId="6296C24A" w14:textId="77777777" w:rsidR="00CF1F57" w:rsidRPr="00E504AC" w:rsidRDefault="00CF1F57" w:rsidP="00DB7415">
            <w:pPr>
              <w:spacing w:after="0"/>
              <w:rPr>
                <w:rFonts w:ascii="Arial" w:hAnsi="Arial" w:cs="Arial"/>
                <w:szCs w:val="20"/>
              </w:rPr>
            </w:pPr>
            <w:r w:rsidRPr="00E504AC">
              <w:rPr>
                <w:rFonts w:ascii="Arial" w:hAnsi="Arial" w:cs="Arial"/>
                <w:szCs w:val="20"/>
              </w:rPr>
              <w:t>Effect of foreign exchange rate changes</w:t>
            </w:r>
          </w:p>
        </w:tc>
        <w:tc>
          <w:tcPr>
            <w:tcW w:w="1559" w:type="dxa"/>
            <w:tcBorders>
              <w:left w:val="nil"/>
              <w:right w:val="nil"/>
            </w:tcBorders>
          </w:tcPr>
          <w:p w14:paraId="4CA86EEB" w14:textId="237C964E" w:rsidR="00CF1F57" w:rsidRPr="00E504AC" w:rsidRDefault="0082773C" w:rsidP="00E26400">
            <w:pPr>
              <w:spacing w:after="0"/>
              <w:ind w:right="173"/>
              <w:jc w:val="right"/>
              <w:rPr>
                <w:rFonts w:ascii="Arial" w:hAnsi="Arial" w:cs="Arial"/>
                <w:szCs w:val="20"/>
              </w:rPr>
            </w:pPr>
            <w:r>
              <w:rPr>
                <w:rFonts w:ascii="Arial" w:hAnsi="Arial" w:cs="Arial"/>
                <w:szCs w:val="20"/>
              </w:rPr>
              <w:t>1,04</w:t>
            </w:r>
            <w:r w:rsidR="00E26400">
              <w:rPr>
                <w:rFonts w:ascii="Arial" w:hAnsi="Arial" w:cs="Arial"/>
                <w:szCs w:val="20"/>
              </w:rPr>
              <w:t>5</w:t>
            </w:r>
          </w:p>
        </w:tc>
        <w:tc>
          <w:tcPr>
            <w:tcW w:w="1382" w:type="dxa"/>
            <w:tcBorders>
              <w:left w:val="nil"/>
              <w:right w:val="nil"/>
            </w:tcBorders>
          </w:tcPr>
          <w:p w14:paraId="74B405A2" w14:textId="77777777" w:rsidR="00CF1F57" w:rsidRPr="00E504AC" w:rsidRDefault="00CF1F57" w:rsidP="00DB7415">
            <w:pPr>
              <w:spacing w:after="0"/>
              <w:ind w:right="173"/>
              <w:jc w:val="right"/>
              <w:rPr>
                <w:rFonts w:ascii="Arial" w:hAnsi="Arial" w:cs="Arial"/>
                <w:szCs w:val="20"/>
              </w:rPr>
            </w:pPr>
          </w:p>
        </w:tc>
        <w:tc>
          <w:tcPr>
            <w:tcW w:w="1382" w:type="dxa"/>
            <w:tcBorders>
              <w:left w:val="nil"/>
              <w:right w:val="nil"/>
            </w:tcBorders>
          </w:tcPr>
          <w:p w14:paraId="39491701" w14:textId="77777777" w:rsidR="00CF1F57" w:rsidRDefault="00CF1F57" w:rsidP="00DB7415">
            <w:pPr>
              <w:spacing w:after="0"/>
              <w:ind w:right="173"/>
              <w:jc w:val="right"/>
              <w:rPr>
                <w:rFonts w:ascii="Arial" w:hAnsi="Arial" w:cs="Arial"/>
                <w:szCs w:val="20"/>
              </w:rPr>
            </w:pPr>
          </w:p>
        </w:tc>
      </w:tr>
      <w:tr w:rsidR="00CF1F57" w:rsidRPr="00E504AC" w14:paraId="3349D2DE" w14:textId="77777777" w:rsidTr="00CF1F57">
        <w:trPr>
          <w:trHeight w:hRule="exact" w:val="86"/>
        </w:trPr>
        <w:tc>
          <w:tcPr>
            <w:tcW w:w="4500" w:type="dxa"/>
            <w:tcBorders>
              <w:top w:val="single" w:sz="4" w:space="0" w:color="auto"/>
              <w:left w:val="nil"/>
            </w:tcBorders>
            <w:vAlign w:val="bottom"/>
          </w:tcPr>
          <w:p w14:paraId="75A187AB" w14:textId="77777777" w:rsidR="00CF1F57" w:rsidRPr="00E504AC" w:rsidRDefault="00CF1F57" w:rsidP="00DB7415">
            <w:pPr>
              <w:spacing w:after="0"/>
              <w:rPr>
                <w:rFonts w:ascii="Arial" w:hAnsi="Arial" w:cs="Arial"/>
                <w:szCs w:val="20"/>
              </w:rPr>
            </w:pPr>
          </w:p>
        </w:tc>
        <w:tc>
          <w:tcPr>
            <w:tcW w:w="1559" w:type="dxa"/>
            <w:tcBorders>
              <w:top w:val="single" w:sz="4" w:space="0" w:color="auto"/>
              <w:left w:val="nil"/>
              <w:right w:val="nil"/>
            </w:tcBorders>
          </w:tcPr>
          <w:p w14:paraId="50DEAA20"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093162F9" w14:textId="77777777" w:rsidR="00CF1F57" w:rsidRPr="00E504AC" w:rsidRDefault="00CF1F57" w:rsidP="00DB7415">
            <w:pPr>
              <w:spacing w:after="0"/>
              <w:ind w:right="173"/>
              <w:jc w:val="right"/>
              <w:rPr>
                <w:rFonts w:ascii="Arial" w:hAnsi="Arial" w:cs="Arial"/>
                <w:szCs w:val="20"/>
              </w:rPr>
            </w:pPr>
          </w:p>
        </w:tc>
        <w:tc>
          <w:tcPr>
            <w:tcW w:w="1382" w:type="dxa"/>
            <w:tcBorders>
              <w:top w:val="single" w:sz="4" w:space="0" w:color="auto"/>
              <w:left w:val="nil"/>
              <w:right w:val="nil"/>
            </w:tcBorders>
          </w:tcPr>
          <w:p w14:paraId="46AE99A9" w14:textId="77777777" w:rsidR="00CF1F57" w:rsidRPr="00E504AC" w:rsidRDefault="00CF1F57" w:rsidP="00DB7415">
            <w:pPr>
              <w:spacing w:after="0"/>
              <w:ind w:right="173"/>
              <w:jc w:val="right"/>
              <w:rPr>
                <w:rFonts w:ascii="Arial" w:hAnsi="Arial" w:cs="Arial"/>
                <w:szCs w:val="20"/>
              </w:rPr>
            </w:pPr>
          </w:p>
        </w:tc>
      </w:tr>
      <w:tr w:rsidR="00CF1F57" w:rsidRPr="00E504AC" w14:paraId="29C28CF0" w14:textId="1ABE9F6E" w:rsidTr="00CF1F57">
        <w:tc>
          <w:tcPr>
            <w:tcW w:w="4500" w:type="dxa"/>
            <w:tcBorders>
              <w:left w:val="nil"/>
              <w:bottom w:val="single" w:sz="12" w:space="0" w:color="auto"/>
            </w:tcBorders>
            <w:vAlign w:val="bottom"/>
          </w:tcPr>
          <w:p w14:paraId="61646D23" w14:textId="4A51EC3F" w:rsidR="00CF1F57" w:rsidRPr="00E504AC" w:rsidRDefault="00CF1F57" w:rsidP="00DB7415">
            <w:pPr>
              <w:spacing w:after="0"/>
              <w:rPr>
                <w:rFonts w:ascii="Arial" w:hAnsi="Arial" w:cs="Arial"/>
                <w:szCs w:val="20"/>
              </w:rPr>
            </w:pPr>
            <w:r>
              <w:rPr>
                <w:rFonts w:ascii="Arial" w:hAnsi="Arial" w:cs="Arial"/>
                <w:szCs w:val="20"/>
              </w:rPr>
              <w:t>Balance, July 31, 2019</w:t>
            </w:r>
          </w:p>
        </w:tc>
        <w:tc>
          <w:tcPr>
            <w:tcW w:w="1559" w:type="dxa"/>
            <w:tcBorders>
              <w:left w:val="nil"/>
              <w:bottom w:val="single" w:sz="12" w:space="0" w:color="auto"/>
              <w:right w:val="nil"/>
            </w:tcBorders>
          </w:tcPr>
          <w:p w14:paraId="64BBBD05" w14:textId="4A9925C3" w:rsidR="00CF1F57" w:rsidRPr="00E504AC" w:rsidRDefault="0082773C" w:rsidP="0082773C">
            <w:pPr>
              <w:spacing w:after="0"/>
              <w:ind w:right="173"/>
              <w:jc w:val="right"/>
              <w:rPr>
                <w:rFonts w:ascii="Arial" w:hAnsi="Arial" w:cs="Arial"/>
                <w:szCs w:val="20"/>
              </w:rPr>
            </w:pPr>
            <w:r>
              <w:rPr>
                <w:rFonts w:ascii="Arial" w:hAnsi="Arial" w:cs="Arial"/>
                <w:szCs w:val="20"/>
              </w:rPr>
              <w:t>1,002,599</w:t>
            </w:r>
          </w:p>
        </w:tc>
        <w:tc>
          <w:tcPr>
            <w:tcW w:w="1382" w:type="dxa"/>
            <w:tcBorders>
              <w:left w:val="nil"/>
              <w:bottom w:val="single" w:sz="12" w:space="0" w:color="auto"/>
              <w:right w:val="nil"/>
            </w:tcBorders>
          </w:tcPr>
          <w:p w14:paraId="114F497A" w14:textId="7920DDA8" w:rsidR="00CF1F57" w:rsidRPr="00E504AC" w:rsidRDefault="0082773C" w:rsidP="00DB7415">
            <w:pPr>
              <w:spacing w:after="0"/>
              <w:ind w:right="173"/>
              <w:jc w:val="right"/>
              <w:rPr>
                <w:rFonts w:ascii="Arial" w:hAnsi="Arial" w:cs="Arial"/>
                <w:szCs w:val="20"/>
              </w:rPr>
            </w:pPr>
            <w:r>
              <w:rPr>
                <w:rFonts w:ascii="Arial" w:hAnsi="Arial" w:cs="Arial"/>
                <w:szCs w:val="20"/>
              </w:rPr>
              <w:t>(190,196)</w:t>
            </w:r>
          </w:p>
        </w:tc>
        <w:tc>
          <w:tcPr>
            <w:tcW w:w="1382" w:type="dxa"/>
            <w:tcBorders>
              <w:left w:val="nil"/>
              <w:bottom w:val="single" w:sz="12" w:space="0" w:color="auto"/>
              <w:right w:val="nil"/>
            </w:tcBorders>
          </w:tcPr>
          <w:p w14:paraId="1DF6F9B5" w14:textId="612329CA" w:rsidR="00CF1F57" w:rsidRDefault="0082773C" w:rsidP="00DB7415">
            <w:pPr>
              <w:spacing w:after="0"/>
              <w:ind w:right="173"/>
              <w:jc w:val="right"/>
              <w:rPr>
                <w:rFonts w:ascii="Arial" w:hAnsi="Arial" w:cs="Arial"/>
                <w:szCs w:val="20"/>
              </w:rPr>
            </w:pPr>
            <w:r>
              <w:rPr>
                <w:rFonts w:ascii="Arial" w:hAnsi="Arial" w:cs="Arial"/>
                <w:szCs w:val="20"/>
              </w:rPr>
              <w:t>812,403</w:t>
            </w:r>
          </w:p>
        </w:tc>
      </w:tr>
    </w:tbl>
    <w:p w14:paraId="27A58ED5" w14:textId="77777777" w:rsidR="00CF1F57" w:rsidRDefault="00CF1F57" w:rsidP="00CF1F57">
      <w:pPr>
        <w:tabs>
          <w:tab w:val="left" w:pos="450"/>
        </w:tabs>
        <w:spacing w:after="0"/>
        <w:ind w:left="446"/>
        <w:jc w:val="both"/>
        <w:rPr>
          <w:rFonts w:ascii="Arial" w:hAnsi="Arial" w:cs="Arial"/>
          <w:szCs w:val="20"/>
        </w:rPr>
      </w:pPr>
    </w:p>
    <w:p w14:paraId="1D5C89A9" w14:textId="6592D73D" w:rsidR="00E504AC" w:rsidRDefault="00E504AC" w:rsidP="00E504AC">
      <w:pPr>
        <w:tabs>
          <w:tab w:val="left" w:pos="450"/>
        </w:tabs>
        <w:spacing w:after="0"/>
        <w:ind w:left="446"/>
        <w:jc w:val="both"/>
        <w:rPr>
          <w:rFonts w:ascii="Arial" w:hAnsi="Arial" w:cs="Arial"/>
          <w:szCs w:val="20"/>
        </w:rPr>
      </w:pPr>
      <w:r w:rsidRPr="00E504AC">
        <w:rPr>
          <w:rFonts w:ascii="Arial" w:hAnsi="Arial" w:cs="Arial"/>
          <w:szCs w:val="20"/>
        </w:rPr>
        <w:t xml:space="preserve">The Company is a lessee in two leases that have expiry dates ranging between </w:t>
      </w:r>
      <w:r w:rsidR="00E24776">
        <w:rPr>
          <w:rFonts w:ascii="Arial" w:hAnsi="Arial" w:cs="Arial"/>
          <w:szCs w:val="20"/>
        </w:rPr>
        <w:t>21 months</w:t>
      </w:r>
      <w:r w:rsidRPr="00E504AC">
        <w:rPr>
          <w:rFonts w:ascii="Arial" w:hAnsi="Arial" w:cs="Arial"/>
          <w:szCs w:val="20"/>
        </w:rPr>
        <w:t xml:space="preserve"> and </w:t>
      </w:r>
      <w:r w:rsidR="00E24776">
        <w:rPr>
          <w:rFonts w:ascii="Arial" w:hAnsi="Arial" w:cs="Arial"/>
          <w:szCs w:val="20"/>
        </w:rPr>
        <w:t>four (4</w:t>
      </w:r>
      <w:r w:rsidRPr="00E504AC">
        <w:rPr>
          <w:rFonts w:ascii="Arial" w:hAnsi="Arial" w:cs="Arial"/>
          <w:szCs w:val="20"/>
        </w:rPr>
        <w:t xml:space="preserve">) years.  The table below summarizes the remaining expected lease payments under operating leases as of </w:t>
      </w:r>
      <w:r>
        <w:rPr>
          <w:rFonts w:ascii="Arial" w:hAnsi="Arial" w:cs="Arial"/>
          <w:szCs w:val="20"/>
        </w:rPr>
        <w:t>July 31</w:t>
      </w:r>
      <w:r w:rsidRPr="00E504AC">
        <w:rPr>
          <w:rFonts w:ascii="Arial" w:hAnsi="Arial" w:cs="Arial"/>
          <w:szCs w:val="20"/>
        </w:rPr>
        <w:t>, 2019.</w:t>
      </w:r>
    </w:p>
    <w:p w14:paraId="0C2C9061" w14:textId="77777777" w:rsidR="00E504AC" w:rsidRPr="00E504AC" w:rsidRDefault="00E504AC" w:rsidP="00E504AC">
      <w:pPr>
        <w:tabs>
          <w:tab w:val="left" w:pos="450"/>
        </w:tabs>
        <w:spacing w:after="0"/>
        <w:ind w:left="446"/>
        <w:jc w:val="both"/>
        <w:rPr>
          <w:rFonts w:ascii="Arial" w:hAnsi="Arial" w:cs="Arial"/>
          <w:szCs w:val="20"/>
        </w:rPr>
      </w:pPr>
    </w:p>
    <w:tbl>
      <w:tblPr>
        <w:tblW w:w="5699" w:type="dxa"/>
        <w:tblInd w:w="1080" w:type="dxa"/>
        <w:tblLayout w:type="fixed"/>
        <w:tblCellMar>
          <w:left w:w="0" w:type="dxa"/>
          <w:right w:w="0" w:type="dxa"/>
        </w:tblCellMar>
        <w:tblLook w:val="0000" w:firstRow="0" w:lastRow="0" w:firstColumn="0" w:lastColumn="0" w:noHBand="0" w:noVBand="0"/>
      </w:tblPr>
      <w:tblGrid>
        <w:gridCol w:w="4140"/>
        <w:gridCol w:w="1559"/>
      </w:tblGrid>
      <w:tr w:rsidR="00E504AC" w:rsidRPr="00E504AC" w14:paraId="77AA043D" w14:textId="77777777" w:rsidTr="00C74354">
        <w:tc>
          <w:tcPr>
            <w:tcW w:w="4140" w:type="dxa"/>
            <w:tcBorders>
              <w:top w:val="nil"/>
              <w:left w:val="nil"/>
              <w:bottom w:val="single" w:sz="4" w:space="0" w:color="auto"/>
            </w:tcBorders>
            <w:vAlign w:val="bottom"/>
          </w:tcPr>
          <w:p w14:paraId="0219DC22" w14:textId="77777777" w:rsidR="00E504AC" w:rsidRPr="00E504AC" w:rsidRDefault="00E504AC" w:rsidP="00E504AC">
            <w:pPr>
              <w:spacing w:after="0"/>
              <w:rPr>
                <w:rFonts w:ascii="Arial" w:hAnsi="Arial" w:cs="Arial"/>
                <w:szCs w:val="20"/>
              </w:rPr>
            </w:pPr>
            <w:r w:rsidRPr="00E504AC">
              <w:rPr>
                <w:rFonts w:ascii="Arial" w:hAnsi="Arial" w:cs="Arial"/>
                <w:b/>
                <w:bCs/>
                <w:szCs w:val="20"/>
              </w:rPr>
              <w:t>Fiscal Years</w:t>
            </w:r>
          </w:p>
        </w:tc>
        <w:tc>
          <w:tcPr>
            <w:tcW w:w="1559" w:type="dxa"/>
            <w:tcBorders>
              <w:top w:val="nil"/>
              <w:left w:val="nil"/>
              <w:bottom w:val="single" w:sz="4" w:space="0" w:color="auto"/>
              <w:right w:val="nil"/>
            </w:tcBorders>
            <w:vAlign w:val="bottom"/>
          </w:tcPr>
          <w:p w14:paraId="351EBF9F" w14:textId="77777777" w:rsidR="00E504AC" w:rsidRPr="00E504AC" w:rsidRDefault="00E504AC" w:rsidP="00C74354">
            <w:pPr>
              <w:spacing w:after="0"/>
              <w:jc w:val="center"/>
              <w:rPr>
                <w:rFonts w:ascii="Arial" w:hAnsi="Arial" w:cs="Arial"/>
                <w:szCs w:val="20"/>
              </w:rPr>
            </w:pPr>
            <w:r w:rsidRPr="00E504AC">
              <w:rPr>
                <w:rFonts w:ascii="Arial" w:hAnsi="Arial" w:cs="Arial"/>
                <w:szCs w:val="20"/>
              </w:rPr>
              <w:t>$</w:t>
            </w:r>
          </w:p>
        </w:tc>
      </w:tr>
      <w:tr w:rsidR="00E504AC" w:rsidRPr="00E504AC" w14:paraId="0EA72997" w14:textId="77777777" w:rsidTr="00C74354">
        <w:trPr>
          <w:trHeight w:hRule="exact" w:val="113"/>
        </w:trPr>
        <w:tc>
          <w:tcPr>
            <w:tcW w:w="4140" w:type="dxa"/>
            <w:tcBorders>
              <w:top w:val="single" w:sz="4" w:space="0" w:color="auto"/>
              <w:left w:val="nil"/>
            </w:tcBorders>
            <w:vAlign w:val="bottom"/>
          </w:tcPr>
          <w:p w14:paraId="507181F5"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vAlign w:val="bottom"/>
          </w:tcPr>
          <w:p w14:paraId="2D938020" w14:textId="77777777" w:rsidR="00E504AC" w:rsidRPr="00E504AC" w:rsidRDefault="00E504AC" w:rsidP="00C74354">
            <w:pPr>
              <w:spacing w:after="0"/>
              <w:ind w:right="369"/>
              <w:jc w:val="right"/>
              <w:rPr>
                <w:rFonts w:ascii="Arial" w:hAnsi="Arial" w:cs="Arial"/>
                <w:szCs w:val="20"/>
              </w:rPr>
            </w:pPr>
          </w:p>
        </w:tc>
      </w:tr>
      <w:tr w:rsidR="00E504AC" w:rsidRPr="00E504AC" w14:paraId="5F302A13" w14:textId="77777777" w:rsidTr="00C74354">
        <w:tc>
          <w:tcPr>
            <w:tcW w:w="4140" w:type="dxa"/>
            <w:tcBorders>
              <w:left w:val="nil"/>
            </w:tcBorders>
            <w:vAlign w:val="bottom"/>
          </w:tcPr>
          <w:p w14:paraId="3DF330CA" w14:textId="77777777" w:rsidR="00E504AC" w:rsidRPr="00E504AC" w:rsidRDefault="00E504AC" w:rsidP="00C74354">
            <w:pPr>
              <w:spacing w:after="0"/>
              <w:rPr>
                <w:rFonts w:ascii="Arial" w:hAnsi="Arial" w:cs="Arial"/>
                <w:szCs w:val="20"/>
              </w:rPr>
            </w:pPr>
            <w:r w:rsidRPr="00E504AC">
              <w:rPr>
                <w:rFonts w:ascii="Arial" w:hAnsi="Arial" w:cs="Arial"/>
                <w:szCs w:val="20"/>
              </w:rPr>
              <w:t>2020</w:t>
            </w:r>
          </w:p>
        </w:tc>
        <w:tc>
          <w:tcPr>
            <w:tcW w:w="1559" w:type="dxa"/>
            <w:tcBorders>
              <w:left w:val="nil"/>
              <w:right w:val="nil"/>
            </w:tcBorders>
          </w:tcPr>
          <w:p w14:paraId="35A3924B" w14:textId="229C9C83" w:rsidR="00E504AC" w:rsidRPr="00E504AC" w:rsidRDefault="006743C8" w:rsidP="00C74354">
            <w:pPr>
              <w:spacing w:after="0"/>
              <w:ind w:right="173"/>
              <w:jc w:val="right"/>
              <w:rPr>
                <w:rFonts w:ascii="Arial" w:hAnsi="Arial" w:cs="Arial"/>
                <w:szCs w:val="20"/>
              </w:rPr>
            </w:pPr>
            <w:r>
              <w:rPr>
                <w:rFonts w:ascii="Arial" w:hAnsi="Arial" w:cs="Arial"/>
                <w:szCs w:val="20"/>
              </w:rPr>
              <w:t>265,260</w:t>
            </w:r>
          </w:p>
        </w:tc>
      </w:tr>
      <w:tr w:rsidR="00E504AC" w:rsidRPr="00E504AC" w14:paraId="24DEA95D" w14:textId="77777777" w:rsidTr="00C74354">
        <w:tc>
          <w:tcPr>
            <w:tcW w:w="4140" w:type="dxa"/>
            <w:tcBorders>
              <w:left w:val="nil"/>
            </w:tcBorders>
            <w:vAlign w:val="bottom"/>
          </w:tcPr>
          <w:p w14:paraId="55CB0B25" w14:textId="77777777" w:rsidR="00E504AC" w:rsidRPr="00E504AC" w:rsidRDefault="00E504AC" w:rsidP="00C74354">
            <w:pPr>
              <w:spacing w:after="0"/>
              <w:rPr>
                <w:rFonts w:ascii="Arial" w:hAnsi="Arial" w:cs="Arial"/>
                <w:szCs w:val="20"/>
              </w:rPr>
            </w:pPr>
            <w:r w:rsidRPr="00E504AC">
              <w:rPr>
                <w:rFonts w:ascii="Arial" w:hAnsi="Arial" w:cs="Arial"/>
                <w:szCs w:val="20"/>
              </w:rPr>
              <w:t>2021</w:t>
            </w:r>
          </w:p>
        </w:tc>
        <w:tc>
          <w:tcPr>
            <w:tcW w:w="1559" w:type="dxa"/>
            <w:tcBorders>
              <w:left w:val="nil"/>
              <w:right w:val="nil"/>
            </w:tcBorders>
          </w:tcPr>
          <w:p w14:paraId="69776806" w14:textId="0D425204" w:rsidR="00E504AC" w:rsidRPr="00E504AC" w:rsidRDefault="006743C8" w:rsidP="00C74354">
            <w:pPr>
              <w:spacing w:after="0"/>
              <w:ind w:right="173"/>
              <w:jc w:val="right"/>
              <w:rPr>
                <w:rFonts w:ascii="Arial" w:hAnsi="Arial" w:cs="Arial"/>
                <w:szCs w:val="20"/>
              </w:rPr>
            </w:pPr>
            <w:r>
              <w:rPr>
                <w:rFonts w:ascii="Arial" w:hAnsi="Arial" w:cs="Arial"/>
                <w:szCs w:val="20"/>
              </w:rPr>
              <w:t>333,434</w:t>
            </w:r>
          </w:p>
        </w:tc>
      </w:tr>
      <w:tr w:rsidR="00E504AC" w:rsidRPr="00E504AC" w14:paraId="7C9035ED" w14:textId="77777777" w:rsidTr="00C74354">
        <w:tc>
          <w:tcPr>
            <w:tcW w:w="4140" w:type="dxa"/>
            <w:tcBorders>
              <w:left w:val="nil"/>
            </w:tcBorders>
            <w:vAlign w:val="bottom"/>
          </w:tcPr>
          <w:p w14:paraId="0D141FF1" w14:textId="77777777" w:rsidR="00E504AC" w:rsidRPr="00E504AC" w:rsidRDefault="00E504AC" w:rsidP="00C74354">
            <w:pPr>
              <w:spacing w:after="0"/>
              <w:rPr>
                <w:rFonts w:ascii="Arial" w:hAnsi="Arial" w:cs="Arial"/>
                <w:szCs w:val="20"/>
              </w:rPr>
            </w:pPr>
            <w:r w:rsidRPr="00E504AC">
              <w:rPr>
                <w:rFonts w:ascii="Arial" w:hAnsi="Arial" w:cs="Arial"/>
                <w:szCs w:val="20"/>
              </w:rPr>
              <w:t>2022</w:t>
            </w:r>
          </w:p>
        </w:tc>
        <w:tc>
          <w:tcPr>
            <w:tcW w:w="1559" w:type="dxa"/>
            <w:tcBorders>
              <w:left w:val="nil"/>
              <w:right w:val="nil"/>
            </w:tcBorders>
          </w:tcPr>
          <w:p w14:paraId="581A1B25" w14:textId="659A485E" w:rsidR="00E504AC" w:rsidRPr="00E504AC" w:rsidRDefault="006743C8" w:rsidP="00C74354">
            <w:pPr>
              <w:spacing w:after="0"/>
              <w:ind w:right="173"/>
              <w:jc w:val="right"/>
              <w:rPr>
                <w:rFonts w:ascii="Arial" w:hAnsi="Arial" w:cs="Arial"/>
                <w:szCs w:val="20"/>
              </w:rPr>
            </w:pPr>
            <w:r>
              <w:rPr>
                <w:rFonts w:ascii="Arial" w:hAnsi="Arial" w:cs="Arial"/>
                <w:szCs w:val="20"/>
              </w:rPr>
              <w:t>274,203</w:t>
            </w:r>
          </w:p>
        </w:tc>
      </w:tr>
      <w:tr w:rsidR="00E504AC" w:rsidRPr="00E504AC" w14:paraId="2DBD6578" w14:textId="77777777" w:rsidTr="00C74354">
        <w:tc>
          <w:tcPr>
            <w:tcW w:w="4140" w:type="dxa"/>
            <w:tcBorders>
              <w:left w:val="nil"/>
            </w:tcBorders>
            <w:vAlign w:val="bottom"/>
          </w:tcPr>
          <w:p w14:paraId="4371BCFC" w14:textId="77777777" w:rsidR="00E504AC" w:rsidRPr="00E504AC" w:rsidRDefault="00E504AC" w:rsidP="00C74354">
            <w:pPr>
              <w:spacing w:after="0"/>
              <w:rPr>
                <w:rFonts w:ascii="Arial" w:hAnsi="Arial" w:cs="Arial"/>
                <w:szCs w:val="20"/>
              </w:rPr>
            </w:pPr>
            <w:r w:rsidRPr="00E504AC">
              <w:rPr>
                <w:rFonts w:ascii="Arial" w:hAnsi="Arial" w:cs="Arial"/>
                <w:szCs w:val="20"/>
              </w:rPr>
              <w:t>2023</w:t>
            </w:r>
          </w:p>
        </w:tc>
        <w:tc>
          <w:tcPr>
            <w:tcW w:w="1559" w:type="dxa"/>
            <w:tcBorders>
              <w:left w:val="nil"/>
              <w:right w:val="nil"/>
            </w:tcBorders>
          </w:tcPr>
          <w:p w14:paraId="7D6BDAFF" w14:textId="04DA8F81" w:rsidR="00E504AC" w:rsidRPr="00E504AC" w:rsidRDefault="006743C8" w:rsidP="00C74354">
            <w:pPr>
              <w:spacing w:after="0"/>
              <w:ind w:right="173"/>
              <w:jc w:val="right"/>
              <w:rPr>
                <w:rFonts w:ascii="Arial" w:hAnsi="Arial" w:cs="Arial"/>
                <w:szCs w:val="20"/>
              </w:rPr>
            </w:pPr>
            <w:r>
              <w:rPr>
                <w:rFonts w:ascii="Arial" w:hAnsi="Arial" w:cs="Arial"/>
                <w:szCs w:val="20"/>
              </w:rPr>
              <w:t>282,426</w:t>
            </w:r>
          </w:p>
        </w:tc>
      </w:tr>
      <w:tr w:rsidR="00E504AC" w:rsidRPr="00E504AC" w14:paraId="7A1FFA74" w14:textId="77777777" w:rsidTr="00C74354">
        <w:tc>
          <w:tcPr>
            <w:tcW w:w="4140" w:type="dxa"/>
            <w:tcBorders>
              <w:left w:val="nil"/>
            </w:tcBorders>
            <w:vAlign w:val="bottom"/>
          </w:tcPr>
          <w:p w14:paraId="55EA77BF" w14:textId="77777777" w:rsidR="00E504AC" w:rsidRPr="00E504AC" w:rsidRDefault="00E504AC" w:rsidP="00C74354">
            <w:pPr>
              <w:spacing w:after="0"/>
              <w:rPr>
                <w:rFonts w:ascii="Arial" w:hAnsi="Arial" w:cs="Arial"/>
                <w:szCs w:val="20"/>
              </w:rPr>
            </w:pPr>
            <w:r w:rsidRPr="00E504AC">
              <w:rPr>
                <w:rFonts w:ascii="Arial" w:hAnsi="Arial" w:cs="Arial"/>
                <w:szCs w:val="20"/>
              </w:rPr>
              <w:t>Thereafter</w:t>
            </w:r>
          </w:p>
        </w:tc>
        <w:tc>
          <w:tcPr>
            <w:tcW w:w="1559" w:type="dxa"/>
            <w:tcBorders>
              <w:left w:val="nil"/>
              <w:right w:val="nil"/>
            </w:tcBorders>
          </w:tcPr>
          <w:p w14:paraId="1F00BB59" w14:textId="686DA87B" w:rsidR="00E504AC" w:rsidRPr="00E504AC" w:rsidRDefault="006743C8" w:rsidP="00C74354">
            <w:pPr>
              <w:spacing w:after="0"/>
              <w:ind w:right="173"/>
              <w:jc w:val="right"/>
              <w:rPr>
                <w:rFonts w:ascii="Arial" w:hAnsi="Arial" w:cs="Arial"/>
                <w:szCs w:val="20"/>
              </w:rPr>
            </w:pPr>
            <w:r>
              <w:rPr>
                <w:rFonts w:ascii="Arial" w:hAnsi="Arial" w:cs="Arial"/>
                <w:szCs w:val="20"/>
              </w:rPr>
              <w:t>119,121</w:t>
            </w:r>
          </w:p>
        </w:tc>
      </w:tr>
      <w:tr w:rsidR="00E504AC" w:rsidRPr="00E504AC" w14:paraId="425AB41B" w14:textId="77777777" w:rsidTr="00C74354">
        <w:tc>
          <w:tcPr>
            <w:tcW w:w="4140" w:type="dxa"/>
            <w:tcBorders>
              <w:left w:val="nil"/>
            </w:tcBorders>
            <w:vAlign w:val="bottom"/>
          </w:tcPr>
          <w:p w14:paraId="37D82C07" w14:textId="77777777" w:rsidR="00E504AC" w:rsidRPr="00E504AC" w:rsidRDefault="00E504AC" w:rsidP="00C74354">
            <w:pPr>
              <w:spacing w:after="0"/>
              <w:rPr>
                <w:rFonts w:ascii="Arial" w:hAnsi="Arial" w:cs="Arial"/>
                <w:szCs w:val="20"/>
              </w:rPr>
            </w:pPr>
            <w:r w:rsidRPr="00E504AC">
              <w:rPr>
                <w:rFonts w:ascii="Arial" w:hAnsi="Arial" w:cs="Arial"/>
                <w:szCs w:val="20"/>
              </w:rPr>
              <w:t xml:space="preserve">Less: imputed interest </w:t>
            </w:r>
          </w:p>
        </w:tc>
        <w:tc>
          <w:tcPr>
            <w:tcW w:w="1559" w:type="dxa"/>
            <w:tcBorders>
              <w:left w:val="nil"/>
              <w:right w:val="nil"/>
            </w:tcBorders>
          </w:tcPr>
          <w:p w14:paraId="7B1DD3FE" w14:textId="58A7BC6A" w:rsidR="00E504AC" w:rsidRPr="00E504AC" w:rsidRDefault="00E504AC" w:rsidP="00E26400">
            <w:pPr>
              <w:spacing w:after="0"/>
              <w:ind w:right="173"/>
              <w:jc w:val="right"/>
              <w:rPr>
                <w:rFonts w:ascii="Arial" w:hAnsi="Arial" w:cs="Arial"/>
                <w:szCs w:val="20"/>
              </w:rPr>
            </w:pPr>
            <w:r w:rsidRPr="00E504AC">
              <w:rPr>
                <w:rFonts w:ascii="Arial" w:hAnsi="Arial" w:cs="Arial"/>
                <w:szCs w:val="20"/>
              </w:rPr>
              <w:t>(</w:t>
            </w:r>
            <w:r w:rsidR="006743C8">
              <w:rPr>
                <w:rFonts w:ascii="Arial" w:hAnsi="Arial" w:cs="Arial"/>
                <w:szCs w:val="20"/>
              </w:rPr>
              <w:t>271,84</w:t>
            </w:r>
            <w:r w:rsidR="00E26400">
              <w:rPr>
                <w:rFonts w:ascii="Arial" w:hAnsi="Arial" w:cs="Arial"/>
                <w:szCs w:val="20"/>
              </w:rPr>
              <w:t>5</w:t>
            </w:r>
            <w:r w:rsidRPr="00E504AC">
              <w:rPr>
                <w:rFonts w:ascii="Arial" w:hAnsi="Arial" w:cs="Arial"/>
                <w:szCs w:val="20"/>
              </w:rPr>
              <w:t>)</w:t>
            </w:r>
          </w:p>
        </w:tc>
      </w:tr>
      <w:tr w:rsidR="00E504AC" w:rsidRPr="00E504AC" w14:paraId="3AFADBA4" w14:textId="77777777" w:rsidTr="00C74354">
        <w:trPr>
          <w:trHeight w:hRule="exact" w:val="86"/>
        </w:trPr>
        <w:tc>
          <w:tcPr>
            <w:tcW w:w="4140" w:type="dxa"/>
            <w:tcBorders>
              <w:top w:val="single" w:sz="4" w:space="0" w:color="auto"/>
              <w:left w:val="nil"/>
            </w:tcBorders>
            <w:vAlign w:val="bottom"/>
          </w:tcPr>
          <w:p w14:paraId="2CBC3AF7"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tcPr>
          <w:p w14:paraId="4C2ED053" w14:textId="77777777" w:rsidR="00E504AC" w:rsidRPr="00E504AC" w:rsidRDefault="00E504AC" w:rsidP="00C74354">
            <w:pPr>
              <w:spacing w:after="0"/>
              <w:ind w:right="173"/>
              <w:jc w:val="right"/>
              <w:rPr>
                <w:rFonts w:ascii="Arial" w:hAnsi="Arial" w:cs="Arial"/>
                <w:szCs w:val="20"/>
              </w:rPr>
            </w:pPr>
          </w:p>
        </w:tc>
      </w:tr>
      <w:tr w:rsidR="00E504AC" w:rsidRPr="00E504AC" w14:paraId="544AD205" w14:textId="77777777" w:rsidTr="00C74354">
        <w:tc>
          <w:tcPr>
            <w:tcW w:w="4140" w:type="dxa"/>
            <w:tcBorders>
              <w:left w:val="nil"/>
              <w:bottom w:val="single" w:sz="12" w:space="0" w:color="auto"/>
            </w:tcBorders>
            <w:vAlign w:val="bottom"/>
          </w:tcPr>
          <w:p w14:paraId="44C8F41A" w14:textId="77777777" w:rsidR="00E504AC" w:rsidRPr="00E504AC" w:rsidRDefault="00E504AC" w:rsidP="00C74354">
            <w:pPr>
              <w:spacing w:after="0"/>
              <w:rPr>
                <w:rFonts w:ascii="Arial" w:hAnsi="Arial" w:cs="Arial"/>
                <w:szCs w:val="20"/>
              </w:rPr>
            </w:pPr>
            <w:r w:rsidRPr="00E504AC">
              <w:rPr>
                <w:rFonts w:ascii="Arial" w:hAnsi="Arial" w:cs="Arial"/>
                <w:szCs w:val="20"/>
              </w:rPr>
              <w:t>Present value of operating lease liabilities</w:t>
            </w:r>
          </w:p>
        </w:tc>
        <w:tc>
          <w:tcPr>
            <w:tcW w:w="1559" w:type="dxa"/>
            <w:tcBorders>
              <w:left w:val="nil"/>
              <w:bottom w:val="single" w:sz="12" w:space="0" w:color="auto"/>
              <w:right w:val="nil"/>
            </w:tcBorders>
          </w:tcPr>
          <w:p w14:paraId="6C4954E5" w14:textId="416CBC63" w:rsidR="00E504AC" w:rsidRPr="00E504AC" w:rsidRDefault="00E504AC" w:rsidP="006743C8">
            <w:pPr>
              <w:spacing w:after="0"/>
              <w:ind w:right="173"/>
              <w:jc w:val="right"/>
              <w:rPr>
                <w:rFonts w:ascii="Arial" w:hAnsi="Arial" w:cs="Arial"/>
                <w:szCs w:val="20"/>
              </w:rPr>
            </w:pPr>
            <w:r w:rsidRPr="00E504AC">
              <w:rPr>
                <w:rFonts w:ascii="Arial" w:hAnsi="Arial" w:cs="Arial"/>
                <w:szCs w:val="20"/>
              </w:rPr>
              <w:t>1,</w:t>
            </w:r>
            <w:r w:rsidR="006743C8">
              <w:rPr>
                <w:rFonts w:ascii="Arial" w:hAnsi="Arial" w:cs="Arial"/>
                <w:szCs w:val="20"/>
              </w:rPr>
              <w:t>002,599</w:t>
            </w:r>
          </w:p>
        </w:tc>
      </w:tr>
      <w:tr w:rsidR="00E504AC" w:rsidRPr="00E504AC" w14:paraId="58BC093A" w14:textId="77777777" w:rsidTr="00C74354">
        <w:trPr>
          <w:trHeight w:hRule="exact" w:val="113"/>
        </w:trPr>
        <w:tc>
          <w:tcPr>
            <w:tcW w:w="4140" w:type="dxa"/>
            <w:tcBorders>
              <w:top w:val="single" w:sz="4" w:space="0" w:color="auto"/>
              <w:left w:val="nil"/>
            </w:tcBorders>
            <w:vAlign w:val="bottom"/>
          </w:tcPr>
          <w:p w14:paraId="5567FB55" w14:textId="77777777" w:rsidR="00E504AC" w:rsidRPr="00E504AC" w:rsidRDefault="00E504AC" w:rsidP="00C74354">
            <w:pPr>
              <w:spacing w:after="0"/>
              <w:rPr>
                <w:rFonts w:ascii="Arial" w:hAnsi="Arial" w:cs="Arial"/>
                <w:szCs w:val="20"/>
              </w:rPr>
            </w:pPr>
          </w:p>
        </w:tc>
        <w:tc>
          <w:tcPr>
            <w:tcW w:w="1559" w:type="dxa"/>
            <w:tcBorders>
              <w:top w:val="single" w:sz="4" w:space="0" w:color="auto"/>
              <w:left w:val="nil"/>
              <w:right w:val="nil"/>
            </w:tcBorders>
            <w:vAlign w:val="bottom"/>
          </w:tcPr>
          <w:p w14:paraId="1121CCD7" w14:textId="77777777" w:rsidR="00E504AC" w:rsidRPr="00E504AC" w:rsidRDefault="00E504AC" w:rsidP="00C74354">
            <w:pPr>
              <w:spacing w:after="0"/>
              <w:ind w:right="369"/>
              <w:jc w:val="right"/>
              <w:rPr>
                <w:rFonts w:ascii="Arial" w:hAnsi="Arial" w:cs="Arial"/>
                <w:szCs w:val="20"/>
              </w:rPr>
            </w:pPr>
          </w:p>
        </w:tc>
      </w:tr>
    </w:tbl>
    <w:p w14:paraId="1AB55881" w14:textId="77777777" w:rsidR="00E504AC" w:rsidRPr="00E504AC" w:rsidRDefault="00E504AC" w:rsidP="00E504AC">
      <w:pPr>
        <w:tabs>
          <w:tab w:val="left" w:pos="450"/>
        </w:tabs>
        <w:spacing w:after="0" w:line="240" w:lineRule="auto"/>
        <w:jc w:val="both"/>
        <w:rPr>
          <w:rFonts w:ascii="Arial" w:hAnsi="Arial" w:cs="Arial"/>
          <w:b/>
          <w:bCs/>
          <w:szCs w:val="20"/>
        </w:rPr>
      </w:pPr>
    </w:p>
    <w:p w14:paraId="15A87EDC" w14:textId="4311C4B0" w:rsidR="00790828" w:rsidRPr="00F60034" w:rsidRDefault="00E504AC"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Cs w:val="20"/>
        </w:rPr>
      </w:pPr>
      <w:r w:rsidRPr="00235786">
        <w:rPr>
          <w:rFonts w:ascii="Arial" w:hAnsi="Arial" w:cs="Arial"/>
          <w:b/>
          <w:bCs/>
          <w:szCs w:val="20"/>
        </w:rPr>
        <w:t>9</w:t>
      </w:r>
      <w:r w:rsidR="00790828" w:rsidRPr="00235786">
        <w:rPr>
          <w:rFonts w:ascii="Arial" w:hAnsi="Arial" w:cs="Arial"/>
          <w:b/>
          <w:bCs/>
          <w:szCs w:val="20"/>
        </w:rPr>
        <w:t>.</w:t>
      </w:r>
      <w:r w:rsidR="00790828" w:rsidRPr="00235786">
        <w:rPr>
          <w:rFonts w:ascii="Arial" w:hAnsi="Arial" w:cs="Arial"/>
          <w:b/>
          <w:bCs/>
          <w:szCs w:val="20"/>
        </w:rPr>
        <w:tab/>
      </w:r>
      <w:r w:rsidR="004B1F41" w:rsidRPr="00235786">
        <w:rPr>
          <w:rFonts w:ascii="Arial" w:hAnsi="Arial" w:cs="Arial"/>
          <w:b/>
          <w:bCs/>
          <w:szCs w:val="20"/>
        </w:rPr>
        <w:t>Convertible Debenture</w:t>
      </w:r>
    </w:p>
    <w:p w14:paraId="5886357C" w14:textId="77777777" w:rsidR="005B2329" w:rsidRDefault="005B2329" w:rsidP="00F15B99">
      <w:pPr>
        <w:pStyle w:val="BodyTextIndent"/>
        <w:spacing w:after="0" w:line="240" w:lineRule="auto"/>
        <w:ind w:left="450"/>
        <w:jc w:val="both"/>
        <w:rPr>
          <w:rFonts w:ascii="Arial" w:hAnsi="Arial" w:cs="Arial"/>
          <w:bCs/>
          <w:szCs w:val="20"/>
        </w:rPr>
      </w:pPr>
    </w:p>
    <w:tbl>
      <w:tblPr>
        <w:tblW w:w="9011" w:type="dxa"/>
        <w:tblInd w:w="450" w:type="dxa"/>
        <w:tblLayout w:type="fixed"/>
        <w:tblCellMar>
          <w:left w:w="0" w:type="dxa"/>
          <w:right w:w="0" w:type="dxa"/>
        </w:tblCellMar>
        <w:tblLook w:val="0000" w:firstRow="0" w:lastRow="0" w:firstColumn="0" w:lastColumn="0" w:noHBand="0" w:noVBand="0"/>
      </w:tblPr>
      <w:tblGrid>
        <w:gridCol w:w="2610"/>
        <w:gridCol w:w="1440"/>
        <w:gridCol w:w="119"/>
        <w:gridCol w:w="1559"/>
        <w:gridCol w:w="23"/>
        <w:gridCol w:w="1701"/>
        <w:gridCol w:w="105"/>
        <w:gridCol w:w="1289"/>
        <w:gridCol w:w="165"/>
      </w:tblGrid>
      <w:tr w:rsidR="000E4AC4" w:rsidRPr="009858B0" w14:paraId="58920F49" w14:textId="77777777" w:rsidTr="000E4AC4">
        <w:tc>
          <w:tcPr>
            <w:tcW w:w="4050" w:type="dxa"/>
            <w:gridSpan w:val="2"/>
            <w:tcBorders>
              <w:top w:val="nil"/>
              <w:left w:val="nil"/>
              <w:bottom w:val="single" w:sz="4" w:space="0" w:color="auto"/>
            </w:tcBorders>
            <w:vAlign w:val="bottom"/>
          </w:tcPr>
          <w:p w14:paraId="0F562BD5" w14:textId="77777777" w:rsidR="000E4AC4" w:rsidRPr="009858B0" w:rsidRDefault="000E4AC4" w:rsidP="00CD70E7">
            <w:pPr>
              <w:spacing w:after="0" w:line="240" w:lineRule="auto"/>
              <w:rPr>
                <w:rFonts w:ascii="Arial" w:hAnsi="Arial" w:cs="Arial"/>
                <w:szCs w:val="20"/>
              </w:rPr>
            </w:pPr>
            <w:r w:rsidRPr="009858B0">
              <w:rPr>
                <w:rFonts w:ascii="Arial" w:hAnsi="Arial" w:cs="Arial"/>
                <w:b/>
                <w:bCs/>
                <w:szCs w:val="20"/>
              </w:rPr>
              <w:tab/>
            </w:r>
          </w:p>
        </w:tc>
        <w:tc>
          <w:tcPr>
            <w:tcW w:w="1701" w:type="dxa"/>
            <w:gridSpan w:val="3"/>
            <w:tcBorders>
              <w:top w:val="nil"/>
              <w:left w:val="nil"/>
              <w:bottom w:val="single" w:sz="4" w:space="0" w:color="auto"/>
            </w:tcBorders>
            <w:vAlign w:val="bottom"/>
          </w:tcPr>
          <w:p w14:paraId="77DC30E4" w14:textId="631BCFB2" w:rsidR="000E4AC4" w:rsidRPr="009858B0" w:rsidRDefault="00E504AC" w:rsidP="00CD70E7">
            <w:pPr>
              <w:spacing w:after="0" w:line="240" w:lineRule="auto"/>
              <w:jc w:val="center"/>
              <w:rPr>
                <w:rFonts w:ascii="Arial" w:hAnsi="Arial" w:cs="Arial"/>
                <w:szCs w:val="20"/>
              </w:rPr>
            </w:pPr>
            <w:r>
              <w:rPr>
                <w:rFonts w:ascii="Arial" w:hAnsi="Arial" w:cs="Arial"/>
                <w:szCs w:val="20"/>
              </w:rPr>
              <w:t>July</w:t>
            </w:r>
            <w:r w:rsidR="000E4AC4" w:rsidRPr="009858B0">
              <w:rPr>
                <w:rFonts w:ascii="Arial" w:hAnsi="Arial" w:cs="Arial"/>
                <w:szCs w:val="20"/>
              </w:rPr>
              <w:t xml:space="preserve"> 31,</w:t>
            </w:r>
          </w:p>
          <w:p w14:paraId="554C829A"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2019</w:t>
            </w:r>
          </w:p>
          <w:p w14:paraId="733B3DCF" w14:textId="77777777" w:rsidR="000E4AC4" w:rsidRDefault="000E4AC4" w:rsidP="00CD70E7">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42BF35AB"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3C7ACA8C" w14:textId="25221799" w:rsidR="000E4AC4" w:rsidRPr="009858B0" w:rsidRDefault="00E504AC" w:rsidP="00CD70E7">
            <w:pPr>
              <w:spacing w:after="0" w:line="240" w:lineRule="auto"/>
              <w:jc w:val="center"/>
              <w:rPr>
                <w:rFonts w:ascii="Arial" w:hAnsi="Arial" w:cs="Arial"/>
                <w:szCs w:val="20"/>
              </w:rPr>
            </w:pPr>
            <w:r>
              <w:rPr>
                <w:rFonts w:ascii="Arial" w:hAnsi="Arial" w:cs="Arial"/>
                <w:szCs w:val="20"/>
              </w:rPr>
              <w:t>2019</w:t>
            </w:r>
          </w:p>
          <w:p w14:paraId="4DB92624" w14:textId="77777777" w:rsidR="000E4AC4" w:rsidRPr="009858B0" w:rsidRDefault="000E4AC4" w:rsidP="00CD70E7">
            <w:pPr>
              <w:spacing w:after="0" w:line="240" w:lineRule="auto"/>
              <w:jc w:val="center"/>
              <w:rPr>
                <w:rFonts w:ascii="Arial" w:hAnsi="Arial" w:cs="Arial"/>
                <w:szCs w:val="20"/>
              </w:rPr>
            </w:pPr>
            <w:r w:rsidRPr="009858B0">
              <w:rPr>
                <w:rFonts w:ascii="Arial" w:hAnsi="Arial" w:cs="Arial"/>
                <w:szCs w:val="20"/>
              </w:rPr>
              <w:t>$</w:t>
            </w:r>
          </w:p>
        </w:tc>
        <w:tc>
          <w:tcPr>
            <w:tcW w:w="1559" w:type="dxa"/>
            <w:gridSpan w:val="3"/>
            <w:tcBorders>
              <w:top w:val="nil"/>
              <w:left w:val="nil"/>
              <w:bottom w:val="single" w:sz="4" w:space="0" w:color="auto"/>
              <w:right w:val="nil"/>
            </w:tcBorders>
            <w:vAlign w:val="bottom"/>
          </w:tcPr>
          <w:p w14:paraId="52F8FF48" w14:textId="77777777" w:rsidR="000E4AC4" w:rsidRPr="009858B0" w:rsidRDefault="000E4AC4" w:rsidP="00CD70E7">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35663C95" w14:textId="26D2FB3A" w:rsidR="000E4AC4" w:rsidRPr="009858B0" w:rsidRDefault="00E504AC" w:rsidP="00CD70E7">
            <w:pPr>
              <w:spacing w:after="0" w:line="240" w:lineRule="auto"/>
              <w:jc w:val="center"/>
              <w:rPr>
                <w:rFonts w:ascii="Arial" w:hAnsi="Arial" w:cs="Arial"/>
                <w:szCs w:val="20"/>
              </w:rPr>
            </w:pPr>
            <w:r>
              <w:rPr>
                <w:rFonts w:ascii="Arial" w:hAnsi="Arial" w:cs="Arial"/>
                <w:szCs w:val="20"/>
              </w:rPr>
              <w:t>2018</w:t>
            </w:r>
          </w:p>
          <w:p w14:paraId="2E2EE849" w14:textId="77777777" w:rsidR="000E4AC4" w:rsidRPr="009858B0" w:rsidRDefault="000E4AC4" w:rsidP="00CD70E7">
            <w:pPr>
              <w:spacing w:after="0" w:line="240" w:lineRule="auto"/>
              <w:jc w:val="center"/>
              <w:rPr>
                <w:rFonts w:ascii="Arial" w:hAnsi="Arial" w:cs="Arial"/>
                <w:szCs w:val="20"/>
              </w:rPr>
            </w:pPr>
            <w:r w:rsidRPr="009858B0">
              <w:rPr>
                <w:rFonts w:ascii="Arial" w:hAnsi="Arial" w:cs="Arial"/>
                <w:szCs w:val="20"/>
              </w:rPr>
              <w:t>$</w:t>
            </w:r>
          </w:p>
        </w:tc>
      </w:tr>
      <w:tr w:rsidR="000E4AC4" w:rsidRPr="009858B0" w14:paraId="6039CD03" w14:textId="77777777" w:rsidTr="000E4AC4">
        <w:trPr>
          <w:trHeight w:hRule="exact" w:val="113"/>
        </w:trPr>
        <w:tc>
          <w:tcPr>
            <w:tcW w:w="4050" w:type="dxa"/>
            <w:gridSpan w:val="2"/>
            <w:tcBorders>
              <w:top w:val="single" w:sz="4" w:space="0" w:color="auto"/>
              <w:left w:val="nil"/>
            </w:tcBorders>
            <w:vAlign w:val="bottom"/>
          </w:tcPr>
          <w:p w14:paraId="76614A65" w14:textId="77777777" w:rsidR="000E4AC4" w:rsidRPr="009858B0" w:rsidRDefault="000E4AC4" w:rsidP="00CD70E7">
            <w:pPr>
              <w:spacing w:after="0" w:line="240" w:lineRule="auto"/>
              <w:rPr>
                <w:rFonts w:ascii="Arial" w:hAnsi="Arial" w:cs="Arial"/>
                <w:szCs w:val="20"/>
              </w:rPr>
            </w:pPr>
          </w:p>
        </w:tc>
        <w:tc>
          <w:tcPr>
            <w:tcW w:w="1701" w:type="dxa"/>
            <w:gridSpan w:val="3"/>
            <w:tcBorders>
              <w:top w:val="single" w:sz="4" w:space="0" w:color="auto"/>
              <w:left w:val="nil"/>
            </w:tcBorders>
            <w:vAlign w:val="bottom"/>
          </w:tcPr>
          <w:p w14:paraId="0D6FED98" w14:textId="77777777" w:rsidR="000E4AC4" w:rsidRPr="009858B0" w:rsidRDefault="000E4AC4" w:rsidP="00CD70E7">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19FA9F16" w14:textId="77777777" w:rsidR="000E4AC4" w:rsidRPr="009858B0" w:rsidRDefault="000E4AC4" w:rsidP="00CD70E7">
            <w:pPr>
              <w:spacing w:after="0" w:line="240" w:lineRule="auto"/>
              <w:ind w:right="369"/>
              <w:jc w:val="right"/>
              <w:rPr>
                <w:rFonts w:ascii="Arial" w:hAnsi="Arial" w:cs="Arial"/>
                <w:szCs w:val="20"/>
              </w:rPr>
            </w:pPr>
          </w:p>
        </w:tc>
        <w:tc>
          <w:tcPr>
            <w:tcW w:w="1559" w:type="dxa"/>
            <w:gridSpan w:val="3"/>
            <w:tcBorders>
              <w:top w:val="single" w:sz="4" w:space="0" w:color="auto"/>
              <w:left w:val="nil"/>
              <w:right w:val="nil"/>
            </w:tcBorders>
            <w:vAlign w:val="bottom"/>
          </w:tcPr>
          <w:p w14:paraId="3EB5D1AE" w14:textId="77777777" w:rsidR="000E4AC4" w:rsidRPr="009858B0" w:rsidRDefault="000E4AC4" w:rsidP="00CD70E7">
            <w:pPr>
              <w:spacing w:after="0" w:line="240" w:lineRule="auto"/>
              <w:ind w:right="369"/>
              <w:jc w:val="right"/>
              <w:rPr>
                <w:rFonts w:ascii="Arial" w:hAnsi="Arial" w:cs="Arial"/>
                <w:szCs w:val="20"/>
              </w:rPr>
            </w:pPr>
          </w:p>
        </w:tc>
      </w:tr>
      <w:tr w:rsidR="000E4AC4" w:rsidRPr="009858B0" w14:paraId="2DBA4D50" w14:textId="77777777" w:rsidTr="000E4AC4">
        <w:tc>
          <w:tcPr>
            <w:tcW w:w="4050" w:type="dxa"/>
            <w:gridSpan w:val="2"/>
            <w:tcBorders>
              <w:left w:val="nil"/>
              <w:bottom w:val="single" w:sz="4" w:space="0" w:color="auto"/>
            </w:tcBorders>
            <w:vAlign w:val="bottom"/>
          </w:tcPr>
          <w:p w14:paraId="09FFA814" w14:textId="1E377BE5" w:rsidR="000E4AC4" w:rsidRPr="009858B0" w:rsidRDefault="000E4AC4" w:rsidP="00E26400">
            <w:pPr>
              <w:spacing w:after="0"/>
              <w:rPr>
                <w:rFonts w:ascii="Arial" w:hAnsi="Arial" w:cs="Arial"/>
                <w:szCs w:val="20"/>
              </w:rPr>
            </w:pPr>
            <w:r>
              <w:rPr>
                <w:rFonts w:ascii="Arial" w:hAnsi="Arial" w:cs="Arial"/>
                <w:szCs w:val="20"/>
              </w:rPr>
              <w:t>Marc</w:t>
            </w:r>
            <w:r w:rsidR="00E26400">
              <w:rPr>
                <w:rFonts w:ascii="Arial" w:hAnsi="Arial" w:cs="Arial"/>
                <w:szCs w:val="20"/>
              </w:rPr>
              <w:t xml:space="preserve">h 2, 2018 note </w:t>
            </w:r>
          </w:p>
        </w:tc>
        <w:tc>
          <w:tcPr>
            <w:tcW w:w="1701" w:type="dxa"/>
            <w:gridSpan w:val="3"/>
            <w:tcBorders>
              <w:left w:val="nil"/>
              <w:bottom w:val="single" w:sz="4" w:space="0" w:color="auto"/>
            </w:tcBorders>
            <w:vAlign w:val="bottom"/>
          </w:tcPr>
          <w:p w14:paraId="2FDFCB01" w14:textId="271365F7"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c>
          <w:tcPr>
            <w:tcW w:w="1701" w:type="dxa"/>
            <w:tcBorders>
              <w:left w:val="nil"/>
              <w:bottom w:val="single" w:sz="4" w:space="0" w:color="auto"/>
              <w:right w:val="nil"/>
            </w:tcBorders>
            <w:vAlign w:val="bottom"/>
          </w:tcPr>
          <w:p w14:paraId="377BA0A2" w14:textId="7C67C6C1" w:rsidR="000E4AC4" w:rsidRPr="009858B0" w:rsidRDefault="003B5BAA" w:rsidP="000E4AC4">
            <w:pPr>
              <w:spacing w:after="0"/>
              <w:ind w:right="173"/>
              <w:jc w:val="right"/>
              <w:rPr>
                <w:rFonts w:ascii="Arial" w:hAnsi="Arial" w:cs="Arial"/>
                <w:szCs w:val="20"/>
              </w:rPr>
            </w:pPr>
            <w:r w:rsidRPr="003B5BAA">
              <w:rPr>
                <w:rFonts w:ascii="Arial" w:hAnsi="Arial" w:cs="Arial"/>
              </w:rPr>
              <w:t>3,476,690</w:t>
            </w:r>
          </w:p>
        </w:tc>
        <w:tc>
          <w:tcPr>
            <w:tcW w:w="1559" w:type="dxa"/>
            <w:gridSpan w:val="3"/>
            <w:tcBorders>
              <w:left w:val="nil"/>
              <w:bottom w:val="single" w:sz="4" w:space="0" w:color="auto"/>
              <w:right w:val="nil"/>
            </w:tcBorders>
            <w:vAlign w:val="bottom"/>
          </w:tcPr>
          <w:p w14:paraId="1CCE3454" w14:textId="77777777" w:rsidR="000E4AC4" w:rsidRPr="009858B0" w:rsidRDefault="000E4AC4" w:rsidP="000E4AC4">
            <w:pPr>
              <w:spacing w:after="0"/>
              <w:ind w:right="173"/>
              <w:jc w:val="right"/>
              <w:rPr>
                <w:rFonts w:ascii="Arial" w:hAnsi="Arial" w:cs="Arial"/>
                <w:szCs w:val="20"/>
              </w:rPr>
            </w:pPr>
            <w:r w:rsidRPr="009858B0">
              <w:rPr>
                <w:rFonts w:ascii="Arial" w:hAnsi="Arial" w:cs="Arial"/>
                <w:szCs w:val="20"/>
              </w:rPr>
              <w:t>–</w:t>
            </w:r>
          </w:p>
        </w:tc>
      </w:tr>
      <w:tr w:rsidR="000E4AC4" w:rsidRPr="00BA56F7" w14:paraId="2564B7C6" w14:textId="77777777" w:rsidTr="000E4AC4">
        <w:trPr>
          <w:gridAfter w:val="1"/>
          <w:wAfter w:w="165" w:type="dxa"/>
          <w:trHeight w:hRule="exact" w:val="86"/>
        </w:trPr>
        <w:tc>
          <w:tcPr>
            <w:tcW w:w="2610" w:type="dxa"/>
            <w:tcBorders>
              <w:left w:val="nil"/>
            </w:tcBorders>
            <w:vAlign w:val="bottom"/>
          </w:tcPr>
          <w:p w14:paraId="095B70B2" w14:textId="77777777" w:rsidR="000E4AC4" w:rsidRPr="00BA56F7" w:rsidRDefault="000E4AC4" w:rsidP="00CD70E7">
            <w:pPr>
              <w:spacing w:after="0"/>
              <w:rPr>
                <w:rFonts w:ascii="Arial" w:hAnsi="Arial" w:cs="Arial"/>
                <w:szCs w:val="20"/>
              </w:rPr>
            </w:pPr>
          </w:p>
        </w:tc>
        <w:tc>
          <w:tcPr>
            <w:tcW w:w="1559" w:type="dxa"/>
            <w:gridSpan w:val="2"/>
            <w:tcBorders>
              <w:left w:val="nil"/>
            </w:tcBorders>
          </w:tcPr>
          <w:p w14:paraId="13FF1D7B" w14:textId="77777777" w:rsidR="000E4AC4" w:rsidRPr="00BA56F7" w:rsidRDefault="000E4AC4" w:rsidP="00CD70E7">
            <w:pPr>
              <w:spacing w:after="0"/>
              <w:ind w:right="173"/>
              <w:jc w:val="right"/>
              <w:rPr>
                <w:rFonts w:ascii="Arial" w:hAnsi="Arial" w:cs="Arial"/>
                <w:szCs w:val="20"/>
              </w:rPr>
            </w:pPr>
          </w:p>
        </w:tc>
        <w:tc>
          <w:tcPr>
            <w:tcW w:w="1559" w:type="dxa"/>
            <w:tcBorders>
              <w:left w:val="nil"/>
              <w:right w:val="nil"/>
            </w:tcBorders>
          </w:tcPr>
          <w:p w14:paraId="3D1AAFBB" w14:textId="77777777" w:rsidR="000E4AC4" w:rsidRPr="00BA56F7" w:rsidRDefault="000E4AC4" w:rsidP="00CD70E7">
            <w:pPr>
              <w:spacing w:after="0"/>
              <w:ind w:right="173"/>
              <w:jc w:val="right"/>
              <w:rPr>
                <w:rFonts w:ascii="Arial" w:hAnsi="Arial" w:cs="Arial"/>
                <w:szCs w:val="20"/>
              </w:rPr>
            </w:pPr>
          </w:p>
        </w:tc>
        <w:tc>
          <w:tcPr>
            <w:tcW w:w="1829" w:type="dxa"/>
            <w:gridSpan w:val="3"/>
            <w:tcBorders>
              <w:left w:val="nil"/>
            </w:tcBorders>
          </w:tcPr>
          <w:p w14:paraId="43D46DAD" w14:textId="77777777" w:rsidR="000E4AC4" w:rsidRPr="00BA56F7" w:rsidRDefault="000E4AC4" w:rsidP="00CD70E7">
            <w:pPr>
              <w:spacing w:after="0"/>
              <w:ind w:right="173"/>
              <w:jc w:val="right"/>
              <w:rPr>
                <w:rFonts w:ascii="Arial" w:hAnsi="Arial" w:cs="Arial"/>
                <w:szCs w:val="20"/>
              </w:rPr>
            </w:pPr>
          </w:p>
        </w:tc>
        <w:tc>
          <w:tcPr>
            <w:tcW w:w="1289" w:type="dxa"/>
            <w:tcBorders>
              <w:left w:val="nil"/>
              <w:right w:val="nil"/>
            </w:tcBorders>
            <w:vAlign w:val="bottom"/>
          </w:tcPr>
          <w:p w14:paraId="47807065" w14:textId="77777777" w:rsidR="000E4AC4" w:rsidRPr="00BA56F7" w:rsidRDefault="000E4AC4" w:rsidP="00CD70E7">
            <w:pPr>
              <w:spacing w:after="0"/>
              <w:ind w:right="173"/>
              <w:jc w:val="right"/>
              <w:rPr>
                <w:rFonts w:ascii="Arial" w:hAnsi="Arial" w:cs="Arial"/>
                <w:szCs w:val="20"/>
              </w:rPr>
            </w:pPr>
          </w:p>
        </w:tc>
      </w:tr>
      <w:tr w:rsidR="000E4AC4" w:rsidRPr="009858B0" w14:paraId="3B60E552" w14:textId="77777777" w:rsidTr="000E4AC4">
        <w:tc>
          <w:tcPr>
            <w:tcW w:w="4050" w:type="dxa"/>
            <w:gridSpan w:val="2"/>
            <w:tcBorders>
              <w:left w:val="nil"/>
              <w:bottom w:val="single" w:sz="12" w:space="0" w:color="auto"/>
            </w:tcBorders>
            <w:vAlign w:val="bottom"/>
          </w:tcPr>
          <w:p w14:paraId="247ACCE6" w14:textId="4214384A" w:rsidR="000E4AC4" w:rsidRPr="009858B0" w:rsidRDefault="000E4AC4" w:rsidP="000E4AC4">
            <w:pPr>
              <w:spacing w:after="0"/>
              <w:rPr>
                <w:rFonts w:ascii="Arial" w:hAnsi="Arial" w:cs="Arial"/>
                <w:szCs w:val="20"/>
              </w:rPr>
            </w:pPr>
          </w:p>
        </w:tc>
        <w:tc>
          <w:tcPr>
            <w:tcW w:w="1701" w:type="dxa"/>
            <w:gridSpan w:val="3"/>
            <w:tcBorders>
              <w:left w:val="nil"/>
              <w:bottom w:val="single" w:sz="12" w:space="0" w:color="auto"/>
            </w:tcBorders>
            <w:vAlign w:val="bottom"/>
          </w:tcPr>
          <w:p w14:paraId="1613611C" w14:textId="3A165409"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c>
          <w:tcPr>
            <w:tcW w:w="1701" w:type="dxa"/>
            <w:tcBorders>
              <w:left w:val="nil"/>
              <w:bottom w:val="single" w:sz="12" w:space="0" w:color="auto"/>
              <w:right w:val="nil"/>
            </w:tcBorders>
            <w:vAlign w:val="bottom"/>
          </w:tcPr>
          <w:p w14:paraId="00812294" w14:textId="2A88CFAF" w:rsidR="000E4AC4" w:rsidRPr="009858B0" w:rsidRDefault="003B5BAA" w:rsidP="000E4AC4">
            <w:pPr>
              <w:spacing w:after="0"/>
              <w:ind w:right="173"/>
              <w:jc w:val="right"/>
              <w:rPr>
                <w:rFonts w:ascii="Arial" w:hAnsi="Arial" w:cs="Arial"/>
                <w:szCs w:val="20"/>
              </w:rPr>
            </w:pPr>
            <w:r w:rsidRPr="003B5BAA">
              <w:rPr>
                <w:rFonts w:ascii="Arial" w:hAnsi="Arial" w:cs="Arial"/>
              </w:rPr>
              <w:t>3,476,690</w:t>
            </w:r>
          </w:p>
        </w:tc>
        <w:tc>
          <w:tcPr>
            <w:tcW w:w="1559" w:type="dxa"/>
            <w:gridSpan w:val="3"/>
            <w:tcBorders>
              <w:left w:val="nil"/>
              <w:bottom w:val="single" w:sz="12" w:space="0" w:color="auto"/>
              <w:right w:val="nil"/>
            </w:tcBorders>
            <w:vAlign w:val="bottom"/>
          </w:tcPr>
          <w:p w14:paraId="75182C1A" w14:textId="7B0267CC" w:rsidR="000E4AC4" w:rsidRPr="009858B0" w:rsidRDefault="006743C8" w:rsidP="000E4AC4">
            <w:pPr>
              <w:spacing w:after="0"/>
              <w:ind w:right="173"/>
              <w:jc w:val="right"/>
              <w:rPr>
                <w:rFonts w:ascii="Arial" w:hAnsi="Arial" w:cs="Arial"/>
                <w:szCs w:val="20"/>
              </w:rPr>
            </w:pPr>
            <w:r w:rsidRPr="009858B0">
              <w:rPr>
                <w:rFonts w:ascii="Arial" w:hAnsi="Arial" w:cs="Arial"/>
                <w:szCs w:val="20"/>
              </w:rPr>
              <w:t>–</w:t>
            </w:r>
          </w:p>
        </w:tc>
      </w:tr>
      <w:tr w:rsidR="000E4AC4" w:rsidRPr="009858B0" w14:paraId="58EB2113" w14:textId="77777777" w:rsidTr="000E4AC4">
        <w:trPr>
          <w:trHeight w:hRule="exact" w:val="86"/>
        </w:trPr>
        <w:tc>
          <w:tcPr>
            <w:tcW w:w="4050" w:type="dxa"/>
            <w:gridSpan w:val="2"/>
            <w:tcBorders>
              <w:top w:val="single" w:sz="12" w:space="0" w:color="auto"/>
              <w:left w:val="nil"/>
            </w:tcBorders>
            <w:vAlign w:val="bottom"/>
          </w:tcPr>
          <w:p w14:paraId="0F4A542F" w14:textId="77777777" w:rsidR="000E4AC4" w:rsidRPr="009858B0" w:rsidRDefault="000E4AC4" w:rsidP="000E4AC4">
            <w:pPr>
              <w:spacing w:after="0"/>
              <w:rPr>
                <w:rFonts w:ascii="Arial" w:hAnsi="Arial" w:cs="Arial"/>
                <w:szCs w:val="20"/>
              </w:rPr>
            </w:pPr>
          </w:p>
        </w:tc>
        <w:tc>
          <w:tcPr>
            <w:tcW w:w="1701" w:type="dxa"/>
            <w:gridSpan w:val="3"/>
            <w:tcBorders>
              <w:top w:val="single" w:sz="12" w:space="0" w:color="auto"/>
              <w:left w:val="nil"/>
            </w:tcBorders>
            <w:vAlign w:val="bottom"/>
          </w:tcPr>
          <w:p w14:paraId="318C36F0" w14:textId="77777777" w:rsidR="000E4AC4" w:rsidRPr="009858B0" w:rsidRDefault="000E4AC4" w:rsidP="000E4AC4">
            <w:pPr>
              <w:spacing w:after="0"/>
              <w:ind w:right="173"/>
              <w:jc w:val="right"/>
              <w:rPr>
                <w:rFonts w:ascii="Arial" w:hAnsi="Arial" w:cs="Arial"/>
                <w:szCs w:val="20"/>
              </w:rPr>
            </w:pPr>
          </w:p>
        </w:tc>
        <w:tc>
          <w:tcPr>
            <w:tcW w:w="1701" w:type="dxa"/>
            <w:tcBorders>
              <w:top w:val="single" w:sz="12" w:space="0" w:color="auto"/>
              <w:left w:val="nil"/>
              <w:right w:val="nil"/>
            </w:tcBorders>
            <w:vAlign w:val="bottom"/>
          </w:tcPr>
          <w:p w14:paraId="6B2460F0" w14:textId="77777777" w:rsidR="000E4AC4" w:rsidRPr="009858B0" w:rsidRDefault="000E4AC4" w:rsidP="000E4AC4">
            <w:pPr>
              <w:spacing w:after="0"/>
              <w:ind w:right="173"/>
              <w:jc w:val="right"/>
              <w:rPr>
                <w:rFonts w:ascii="Arial" w:hAnsi="Arial" w:cs="Arial"/>
                <w:szCs w:val="20"/>
              </w:rPr>
            </w:pPr>
          </w:p>
        </w:tc>
        <w:tc>
          <w:tcPr>
            <w:tcW w:w="1559" w:type="dxa"/>
            <w:gridSpan w:val="3"/>
            <w:tcBorders>
              <w:top w:val="single" w:sz="12" w:space="0" w:color="auto"/>
              <w:left w:val="nil"/>
              <w:right w:val="nil"/>
            </w:tcBorders>
            <w:vAlign w:val="bottom"/>
          </w:tcPr>
          <w:p w14:paraId="6DA7C987" w14:textId="77777777" w:rsidR="000E4AC4" w:rsidRPr="009858B0" w:rsidRDefault="000E4AC4" w:rsidP="000E4AC4">
            <w:pPr>
              <w:spacing w:after="0"/>
              <w:ind w:right="173"/>
              <w:jc w:val="right"/>
              <w:rPr>
                <w:rFonts w:ascii="Arial" w:hAnsi="Arial" w:cs="Arial"/>
                <w:szCs w:val="20"/>
              </w:rPr>
            </w:pPr>
          </w:p>
        </w:tc>
      </w:tr>
    </w:tbl>
    <w:p w14:paraId="46951F04" w14:textId="77777777" w:rsidR="000E4AC4" w:rsidRDefault="000E4AC4" w:rsidP="00F15B99">
      <w:pPr>
        <w:pStyle w:val="BodyTextIndent"/>
        <w:spacing w:after="0" w:line="240" w:lineRule="auto"/>
        <w:ind w:left="450"/>
        <w:jc w:val="both"/>
        <w:rPr>
          <w:rFonts w:ascii="Arial" w:hAnsi="Arial" w:cs="Arial"/>
          <w:bCs/>
          <w:szCs w:val="20"/>
        </w:rPr>
      </w:pPr>
    </w:p>
    <w:p w14:paraId="1340786F" w14:textId="69A1BF42" w:rsidR="001A3B5B" w:rsidRPr="00EC59D2" w:rsidRDefault="00EC59D2" w:rsidP="00EC59D2">
      <w:pPr>
        <w:spacing w:after="0" w:line="240" w:lineRule="auto"/>
        <w:ind w:left="450"/>
        <w:jc w:val="both"/>
        <w:rPr>
          <w:rFonts w:ascii="Arial" w:hAnsi="Arial" w:cs="Arial"/>
          <w:bCs/>
          <w:szCs w:val="20"/>
          <w:lang w:val="en-CA"/>
        </w:rPr>
      </w:pPr>
      <w:r w:rsidRPr="00EC59D2">
        <w:rPr>
          <w:rFonts w:ascii="Arial" w:hAnsi="Arial" w:cs="Arial"/>
          <w:bCs/>
          <w:szCs w:val="20"/>
          <w:lang w:val="en-CA"/>
        </w:rPr>
        <w:t>On March 2, 2018, the Company issued convertible debentures with two non-related parties totaling $5,000,000. The debentures are secured under a General Security Agreement, bear interest at 10% per annum payable quarterly and mature on March 2, 2019. The notes are convertible into common shares at a conversion price equal to $1.74 per common share. The Company issued 172,413 share purchase warrants with an exercise price of $1.74 and three year expiry as finder’s fee for the convertible debentures. The effective interes</w:t>
      </w:r>
      <w:r w:rsidR="00E26400">
        <w:rPr>
          <w:rFonts w:ascii="Arial" w:hAnsi="Arial" w:cs="Arial"/>
          <w:bCs/>
          <w:szCs w:val="20"/>
          <w:lang w:val="en-CA"/>
        </w:rPr>
        <w:t>t rate has been determined as 29</w:t>
      </w:r>
      <w:r w:rsidRPr="00EC59D2">
        <w:rPr>
          <w:rFonts w:ascii="Arial" w:hAnsi="Arial" w:cs="Arial"/>
          <w:bCs/>
          <w:szCs w:val="20"/>
          <w:lang w:val="en-CA"/>
        </w:rPr>
        <w:t>% per annum after deducting all the loan discounts</w:t>
      </w:r>
      <w:r w:rsidR="001A3B5B" w:rsidRPr="00EC59D2">
        <w:rPr>
          <w:rFonts w:ascii="Arial" w:hAnsi="Arial" w:cs="Arial"/>
          <w:bCs/>
          <w:szCs w:val="20"/>
          <w:lang w:val="en-CA"/>
        </w:rPr>
        <w:t>.</w:t>
      </w:r>
    </w:p>
    <w:p w14:paraId="1804A02D" w14:textId="77777777" w:rsidR="001A3B5B" w:rsidRDefault="001A3B5B" w:rsidP="001A3B5B">
      <w:pPr>
        <w:pStyle w:val="ListParagraph"/>
        <w:spacing w:after="0" w:line="240" w:lineRule="auto"/>
        <w:ind w:left="810"/>
        <w:jc w:val="both"/>
        <w:rPr>
          <w:rFonts w:ascii="Arial" w:hAnsi="Arial" w:cs="Arial"/>
          <w:bCs/>
          <w:szCs w:val="20"/>
          <w:lang w:val="en-CA"/>
        </w:rPr>
      </w:pPr>
    </w:p>
    <w:p w14:paraId="68ED152F" w14:textId="242CC34E" w:rsidR="001D529F" w:rsidRPr="005B2329" w:rsidRDefault="00EC59D2" w:rsidP="001D529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Pr>
          <w:rFonts w:ascii="Arial" w:hAnsi="Arial" w:cs="Arial"/>
          <w:b/>
          <w:bCs/>
          <w:szCs w:val="20"/>
        </w:rPr>
        <w:lastRenderedPageBreak/>
        <w:t>9</w:t>
      </w:r>
      <w:r w:rsidR="001D529F" w:rsidRPr="00F60034">
        <w:rPr>
          <w:rFonts w:ascii="Arial" w:hAnsi="Arial" w:cs="Arial"/>
          <w:b/>
          <w:bCs/>
          <w:szCs w:val="20"/>
        </w:rPr>
        <w:t>.</w:t>
      </w:r>
      <w:r w:rsidR="001D529F" w:rsidRPr="00F60034">
        <w:rPr>
          <w:rFonts w:ascii="Arial" w:hAnsi="Arial" w:cs="Arial"/>
          <w:b/>
          <w:bCs/>
          <w:szCs w:val="20"/>
        </w:rPr>
        <w:tab/>
      </w:r>
      <w:r w:rsidR="001D529F">
        <w:rPr>
          <w:rFonts w:ascii="Arial" w:hAnsi="Arial" w:cs="Arial"/>
          <w:b/>
          <w:bCs/>
          <w:szCs w:val="20"/>
        </w:rPr>
        <w:t xml:space="preserve">Convertible Debenture </w:t>
      </w:r>
      <w:r w:rsidR="001D529F">
        <w:rPr>
          <w:rFonts w:ascii="Arial" w:hAnsi="Arial" w:cs="Arial"/>
          <w:bCs/>
          <w:szCs w:val="20"/>
        </w:rPr>
        <w:t>(continued)</w:t>
      </w:r>
    </w:p>
    <w:p w14:paraId="1F0DA12E" w14:textId="77777777" w:rsidR="001D529F" w:rsidRDefault="001D529F" w:rsidP="001A3B5B">
      <w:pPr>
        <w:pStyle w:val="ListParagraph"/>
        <w:spacing w:after="0" w:line="240" w:lineRule="auto"/>
        <w:ind w:left="810"/>
        <w:jc w:val="both"/>
        <w:rPr>
          <w:rFonts w:ascii="Arial" w:hAnsi="Arial" w:cs="Arial"/>
          <w:bCs/>
          <w:szCs w:val="20"/>
          <w:lang w:val="en-CA"/>
        </w:rPr>
      </w:pPr>
    </w:p>
    <w:p w14:paraId="7D0B778F" w14:textId="41954B06" w:rsidR="001A3B5B" w:rsidRDefault="00EC59D2" w:rsidP="00EC59D2">
      <w:pPr>
        <w:pStyle w:val="ListParagraph"/>
        <w:spacing w:after="0" w:line="240" w:lineRule="auto"/>
        <w:ind w:left="450"/>
        <w:jc w:val="both"/>
        <w:rPr>
          <w:rFonts w:ascii="Arial" w:hAnsi="Arial" w:cs="Arial"/>
          <w:bCs/>
          <w:szCs w:val="20"/>
          <w:lang w:val="en-CA"/>
        </w:rPr>
      </w:pPr>
      <w:r w:rsidRPr="00EC59D2">
        <w:rPr>
          <w:rFonts w:ascii="Arial" w:hAnsi="Arial" w:cs="Arial"/>
          <w:bCs/>
          <w:szCs w:val="20"/>
          <w:lang w:val="en-CA"/>
        </w:rPr>
        <w:t xml:space="preserve">On October 22, 2018, $1,500,000 of the convertible debentures were settled through the issuance of 3,750,000 units of the Company with each unit consisting of one common </w:t>
      </w:r>
      <w:r w:rsidR="00F07391">
        <w:rPr>
          <w:rFonts w:ascii="Arial" w:hAnsi="Arial" w:cs="Arial"/>
          <w:bCs/>
          <w:szCs w:val="20"/>
          <w:lang w:val="en-CA"/>
        </w:rPr>
        <w:t>share</w:t>
      </w:r>
      <w:r w:rsidRPr="00EC59D2">
        <w:rPr>
          <w:rFonts w:ascii="Arial" w:hAnsi="Arial" w:cs="Arial"/>
          <w:bCs/>
          <w:szCs w:val="20"/>
          <w:lang w:val="en-CA"/>
        </w:rPr>
        <w:t xml:space="preserve"> and one share purchase warrant with an exercise price of $0.60 and three year expiry. The shares issued were valued at $0.43 per share and warrants issued were valued at $0.26 per warrant for total value of $2,600,856. The fair value of warrants were calculated using volatility of 110%, interest-free rate of 2.30%, nil expected dividend yield and expected life of 3 years. The Company considered the settlement to be an extinguishment of the $1,500,000 of the convertible debentures</w:t>
      </w:r>
      <w:r w:rsidR="001A3B5B" w:rsidRPr="001A3B5B">
        <w:rPr>
          <w:rFonts w:ascii="Arial" w:hAnsi="Arial" w:cs="Arial"/>
          <w:bCs/>
          <w:szCs w:val="20"/>
          <w:lang w:val="en-CA"/>
        </w:rPr>
        <w:t>.</w:t>
      </w:r>
    </w:p>
    <w:p w14:paraId="525F46DD" w14:textId="77777777" w:rsidR="001A3B5B" w:rsidRDefault="001A3B5B" w:rsidP="00EC59D2">
      <w:pPr>
        <w:pStyle w:val="ListParagraph"/>
        <w:spacing w:after="0" w:line="240" w:lineRule="auto"/>
        <w:ind w:left="450"/>
        <w:jc w:val="both"/>
        <w:rPr>
          <w:rFonts w:ascii="Arial" w:hAnsi="Arial" w:cs="Arial"/>
          <w:bCs/>
          <w:szCs w:val="20"/>
          <w:lang w:val="en-CA"/>
        </w:rPr>
      </w:pPr>
    </w:p>
    <w:p w14:paraId="2C2E6BD2" w14:textId="77A733F0" w:rsidR="001A3B5B" w:rsidRDefault="00EC59D2" w:rsidP="00EC59D2">
      <w:pPr>
        <w:pStyle w:val="ListParagraph"/>
        <w:spacing w:after="0" w:line="240" w:lineRule="auto"/>
        <w:ind w:left="450"/>
        <w:jc w:val="both"/>
        <w:rPr>
          <w:rFonts w:ascii="Arial" w:hAnsi="Arial" w:cs="Arial"/>
          <w:bCs/>
          <w:szCs w:val="20"/>
          <w:lang w:val="en-CA"/>
        </w:rPr>
      </w:pPr>
      <w:r w:rsidRPr="00EC59D2">
        <w:rPr>
          <w:rFonts w:ascii="Arial" w:hAnsi="Arial" w:cs="Arial"/>
          <w:bCs/>
          <w:szCs w:val="20"/>
          <w:lang w:val="en-CA"/>
        </w:rPr>
        <w:t xml:space="preserve">On October 22, 2018, the Company modified the conversion price on the remainder of the convertible debentures, totaling $3,500,000, to $0.42 per common share. The Company </w:t>
      </w:r>
      <w:r w:rsidR="00CB346C">
        <w:rPr>
          <w:rFonts w:ascii="Arial" w:hAnsi="Arial" w:cs="Arial"/>
          <w:bCs/>
          <w:szCs w:val="20"/>
          <w:lang w:val="en-CA"/>
        </w:rPr>
        <w:t>did not consider</w:t>
      </w:r>
      <w:r w:rsidRPr="00EC59D2">
        <w:rPr>
          <w:rFonts w:ascii="Arial" w:hAnsi="Arial" w:cs="Arial"/>
          <w:bCs/>
          <w:szCs w:val="20"/>
          <w:lang w:val="en-CA"/>
        </w:rPr>
        <w:t xml:space="preserve"> the modification to be an extinguishment of the $3,500,000 of the convertible debentures.</w:t>
      </w:r>
    </w:p>
    <w:p w14:paraId="38FD143F" w14:textId="77777777" w:rsidR="001A3B5B" w:rsidRDefault="001A3B5B" w:rsidP="00EC59D2">
      <w:pPr>
        <w:pStyle w:val="ListParagraph"/>
        <w:spacing w:after="0" w:line="240" w:lineRule="auto"/>
        <w:ind w:left="450"/>
        <w:jc w:val="both"/>
        <w:rPr>
          <w:rFonts w:ascii="Arial" w:hAnsi="Arial" w:cs="Arial"/>
          <w:bCs/>
          <w:szCs w:val="20"/>
          <w:lang w:val="en-CA"/>
        </w:rPr>
      </w:pPr>
    </w:p>
    <w:p w14:paraId="4223D959" w14:textId="2C6FE2D7" w:rsidR="001A3B5B" w:rsidRDefault="001741C2" w:rsidP="00EC59D2">
      <w:pPr>
        <w:pStyle w:val="ListParagraph"/>
        <w:spacing w:after="0" w:line="240" w:lineRule="auto"/>
        <w:ind w:left="450"/>
        <w:jc w:val="both"/>
        <w:rPr>
          <w:rFonts w:ascii="Arial" w:hAnsi="Arial" w:cs="Arial"/>
          <w:bCs/>
          <w:szCs w:val="20"/>
          <w:lang w:val="en-CA"/>
        </w:rPr>
      </w:pPr>
      <w:r w:rsidRPr="001741C2">
        <w:rPr>
          <w:rFonts w:ascii="Arial" w:hAnsi="Arial" w:cs="Arial"/>
          <w:bCs/>
          <w:szCs w:val="20"/>
          <w:lang w:val="en-CA"/>
        </w:rPr>
        <w:t>On March 2, 2019, the Company repaid $750,000 of the convertible debentures and extended the maturity of the remainder of the convertible debentures to June 2, 2019 for an extension fee of $250,000. The Company considered the extension to be a modification of the convertible debentures. The effective interest rate for the remaining terms of the convertible debe</w:t>
      </w:r>
      <w:r w:rsidR="00CB346C">
        <w:rPr>
          <w:rFonts w:ascii="Arial" w:hAnsi="Arial" w:cs="Arial"/>
          <w:bCs/>
          <w:szCs w:val="20"/>
          <w:lang w:val="en-CA"/>
        </w:rPr>
        <w:t>ntures has been determined as 38</w:t>
      </w:r>
      <w:r w:rsidRPr="001741C2">
        <w:rPr>
          <w:rFonts w:ascii="Arial" w:hAnsi="Arial" w:cs="Arial"/>
          <w:bCs/>
          <w:szCs w:val="20"/>
          <w:lang w:val="en-CA"/>
        </w:rPr>
        <w:t>% per annum</w:t>
      </w:r>
      <w:r w:rsidR="001A3B5B" w:rsidRPr="001A3B5B">
        <w:rPr>
          <w:rFonts w:ascii="Arial" w:hAnsi="Arial" w:cs="Arial"/>
          <w:bCs/>
          <w:szCs w:val="20"/>
          <w:lang w:val="en-CA"/>
        </w:rPr>
        <w:t>.</w:t>
      </w:r>
    </w:p>
    <w:p w14:paraId="3BDB97D7" w14:textId="77777777" w:rsidR="00FC7923" w:rsidRDefault="00FC7923" w:rsidP="00EC59D2">
      <w:pPr>
        <w:pStyle w:val="ListParagraph"/>
        <w:spacing w:after="0" w:line="240" w:lineRule="auto"/>
        <w:ind w:left="450"/>
        <w:jc w:val="both"/>
        <w:rPr>
          <w:rFonts w:ascii="Arial" w:hAnsi="Arial" w:cs="Arial"/>
          <w:bCs/>
          <w:szCs w:val="20"/>
          <w:lang w:val="en-CA"/>
        </w:rPr>
      </w:pPr>
    </w:p>
    <w:p w14:paraId="5B142267" w14:textId="429B7FAB" w:rsidR="001741C2" w:rsidRPr="001741C2" w:rsidRDefault="00FC7923" w:rsidP="001741C2">
      <w:pPr>
        <w:pStyle w:val="ListParagraph"/>
        <w:spacing w:after="0" w:line="240" w:lineRule="auto"/>
        <w:ind w:left="450"/>
        <w:jc w:val="both"/>
        <w:rPr>
          <w:rFonts w:ascii="Arial" w:hAnsi="Arial" w:cs="Arial"/>
          <w:bCs/>
          <w:szCs w:val="20"/>
          <w:lang w:val="en-CA"/>
        </w:rPr>
      </w:pPr>
      <w:r>
        <w:rPr>
          <w:rFonts w:ascii="Arial" w:hAnsi="Arial" w:cs="Arial"/>
          <w:szCs w:val="20"/>
        </w:rPr>
        <w:t xml:space="preserve">On May 16, 2019, the Company issued 595,238 common shares pursuant to the conversion of $250,000 of the Company convertible debentures (Note 11(f)).  On the same date, the Company repaid the remaining principal amount of the convertible debentures of </w:t>
      </w:r>
      <w:r w:rsidR="00991E5D">
        <w:rPr>
          <w:rFonts w:ascii="Arial" w:hAnsi="Arial" w:cs="Arial"/>
          <w:szCs w:val="20"/>
        </w:rPr>
        <w:t>$2,</w:t>
      </w:r>
      <w:r w:rsidR="00CB346C">
        <w:rPr>
          <w:rFonts w:ascii="Arial" w:hAnsi="Arial" w:cs="Arial"/>
          <w:szCs w:val="20"/>
        </w:rPr>
        <w:t>500</w:t>
      </w:r>
      <w:r w:rsidR="00991E5D">
        <w:rPr>
          <w:rFonts w:ascii="Arial" w:hAnsi="Arial" w:cs="Arial"/>
          <w:szCs w:val="20"/>
        </w:rPr>
        <w:t xml:space="preserve">,000.  </w:t>
      </w:r>
      <w:r w:rsidR="00CB346C" w:rsidRPr="00CB346C">
        <w:rPr>
          <w:rFonts w:ascii="Arial" w:hAnsi="Arial" w:cs="Arial"/>
          <w:bCs/>
          <w:szCs w:val="20"/>
          <w:lang w:val="en-CA"/>
        </w:rPr>
        <w:t xml:space="preserve">Amortization of discount on convertible debentures </w:t>
      </w:r>
      <w:r w:rsidR="001741C2" w:rsidRPr="001741C2">
        <w:rPr>
          <w:rFonts w:ascii="Arial" w:hAnsi="Arial" w:cs="Arial"/>
          <w:bCs/>
          <w:szCs w:val="20"/>
          <w:lang w:val="en-CA"/>
        </w:rPr>
        <w:t>for the</w:t>
      </w:r>
      <w:r w:rsidR="00D23D47">
        <w:rPr>
          <w:rFonts w:ascii="Arial" w:hAnsi="Arial" w:cs="Arial"/>
          <w:bCs/>
          <w:szCs w:val="20"/>
          <w:lang w:val="en-CA"/>
        </w:rPr>
        <w:t xml:space="preserve"> three and</w:t>
      </w:r>
      <w:r w:rsidR="001741C2" w:rsidRPr="001741C2">
        <w:rPr>
          <w:rFonts w:ascii="Arial" w:hAnsi="Arial" w:cs="Arial"/>
          <w:bCs/>
          <w:szCs w:val="20"/>
          <w:lang w:val="en-CA"/>
        </w:rPr>
        <w:t xml:space="preserve"> </w:t>
      </w:r>
      <w:r w:rsidR="001741C2">
        <w:rPr>
          <w:rFonts w:ascii="Arial" w:hAnsi="Arial" w:cs="Arial"/>
          <w:bCs/>
          <w:szCs w:val="20"/>
          <w:lang w:val="en-CA"/>
        </w:rPr>
        <w:t>six</w:t>
      </w:r>
      <w:r w:rsidR="001741C2" w:rsidRPr="001741C2">
        <w:rPr>
          <w:rFonts w:ascii="Arial" w:hAnsi="Arial" w:cs="Arial"/>
          <w:bCs/>
          <w:szCs w:val="20"/>
          <w:lang w:val="en-CA"/>
        </w:rPr>
        <w:t xml:space="preserve"> months ended </w:t>
      </w:r>
      <w:r w:rsidR="001741C2">
        <w:rPr>
          <w:rFonts w:ascii="Arial" w:hAnsi="Arial" w:cs="Arial"/>
          <w:bCs/>
          <w:szCs w:val="20"/>
          <w:lang w:val="en-CA"/>
        </w:rPr>
        <w:t>July 31</w:t>
      </w:r>
      <w:r w:rsidR="001741C2" w:rsidRPr="001741C2">
        <w:rPr>
          <w:rFonts w:ascii="Arial" w:hAnsi="Arial" w:cs="Arial"/>
          <w:bCs/>
          <w:szCs w:val="20"/>
          <w:lang w:val="en-CA"/>
        </w:rPr>
        <w:t>, 2019 was $</w:t>
      </w:r>
      <w:r w:rsidR="00CB346C">
        <w:rPr>
          <w:rFonts w:ascii="Arial" w:hAnsi="Arial" w:cs="Arial"/>
          <w:bCs/>
          <w:szCs w:val="20"/>
          <w:lang w:val="en-CA"/>
        </w:rPr>
        <w:t>92,435</w:t>
      </w:r>
      <w:r w:rsidR="00D23D47">
        <w:rPr>
          <w:rFonts w:ascii="Arial" w:hAnsi="Arial" w:cs="Arial"/>
          <w:bCs/>
          <w:szCs w:val="20"/>
          <w:lang w:val="en-CA"/>
        </w:rPr>
        <w:t xml:space="preserve"> and $</w:t>
      </w:r>
      <w:r w:rsidR="00CB346C">
        <w:rPr>
          <w:rFonts w:ascii="Arial" w:hAnsi="Arial" w:cs="Arial"/>
          <w:bCs/>
          <w:szCs w:val="20"/>
          <w:lang w:val="en-CA"/>
        </w:rPr>
        <w:t>250,000</w:t>
      </w:r>
      <w:r w:rsidR="00D23D47">
        <w:rPr>
          <w:rFonts w:ascii="Arial" w:hAnsi="Arial" w:cs="Arial"/>
          <w:bCs/>
          <w:szCs w:val="20"/>
          <w:lang w:val="en-CA"/>
        </w:rPr>
        <w:t>, respectively</w:t>
      </w:r>
      <w:r w:rsidR="004934F9">
        <w:rPr>
          <w:rFonts w:ascii="Arial" w:hAnsi="Arial" w:cs="Arial"/>
          <w:bCs/>
          <w:szCs w:val="20"/>
          <w:lang w:val="en-CA"/>
        </w:rPr>
        <w:t>.</w:t>
      </w:r>
      <w:r w:rsidR="001741C2">
        <w:rPr>
          <w:rFonts w:ascii="Arial" w:hAnsi="Arial" w:cs="Arial"/>
          <w:bCs/>
          <w:szCs w:val="20"/>
          <w:lang w:val="en-CA"/>
        </w:rPr>
        <w:t xml:space="preserve">  </w:t>
      </w:r>
    </w:p>
    <w:p w14:paraId="2E78B923" w14:textId="77777777" w:rsidR="001741C2" w:rsidRPr="001741C2" w:rsidRDefault="001741C2" w:rsidP="001741C2">
      <w:pPr>
        <w:pStyle w:val="ListParagraph"/>
        <w:spacing w:after="0" w:line="240" w:lineRule="auto"/>
        <w:ind w:left="450"/>
        <w:jc w:val="both"/>
        <w:rPr>
          <w:rFonts w:ascii="Arial" w:hAnsi="Arial" w:cs="Arial"/>
          <w:bCs/>
          <w:szCs w:val="20"/>
          <w:lang w:val="en-CA"/>
        </w:rPr>
      </w:pPr>
      <w:r w:rsidRPr="001741C2">
        <w:rPr>
          <w:rFonts w:ascii="Arial" w:hAnsi="Arial" w:cs="Arial"/>
          <w:bCs/>
          <w:szCs w:val="20"/>
          <w:lang w:val="en-CA"/>
        </w:rPr>
        <w:t xml:space="preserve"> </w:t>
      </w:r>
    </w:p>
    <w:p w14:paraId="704EF9A9" w14:textId="49C01E9F" w:rsidR="009858B0" w:rsidRPr="009858B0" w:rsidRDefault="00E65D25" w:rsidP="00F15B99">
      <w:pPr>
        <w:tabs>
          <w:tab w:val="left" w:pos="450"/>
        </w:tabs>
        <w:spacing w:after="0" w:line="240" w:lineRule="auto"/>
        <w:rPr>
          <w:rFonts w:ascii="Arial" w:hAnsi="Arial" w:cs="Arial"/>
          <w:b/>
          <w:szCs w:val="20"/>
        </w:rPr>
      </w:pPr>
      <w:r>
        <w:rPr>
          <w:rFonts w:ascii="Arial" w:hAnsi="Arial" w:cs="Arial"/>
          <w:b/>
          <w:szCs w:val="20"/>
        </w:rPr>
        <w:t>10</w:t>
      </w:r>
      <w:r w:rsidR="009858B0" w:rsidRPr="00E65D25">
        <w:rPr>
          <w:rFonts w:ascii="Arial" w:hAnsi="Arial" w:cs="Arial"/>
          <w:b/>
          <w:szCs w:val="20"/>
        </w:rPr>
        <w:t>.</w:t>
      </w:r>
      <w:r w:rsidR="009858B0" w:rsidRPr="00E65D25">
        <w:rPr>
          <w:rFonts w:ascii="Arial" w:hAnsi="Arial" w:cs="Arial"/>
          <w:b/>
          <w:szCs w:val="20"/>
        </w:rPr>
        <w:tab/>
        <w:t>Promissory Note</w:t>
      </w:r>
    </w:p>
    <w:tbl>
      <w:tblPr>
        <w:tblW w:w="9011" w:type="dxa"/>
        <w:tblInd w:w="450" w:type="dxa"/>
        <w:tblLayout w:type="fixed"/>
        <w:tblCellMar>
          <w:left w:w="0" w:type="dxa"/>
          <w:right w:w="0" w:type="dxa"/>
        </w:tblCellMar>
        <w:tblLook w:val="0000" w:firstRow="0" w:lastRow="0" w:firstColumn="0" w:lastColumn="0" w:noHBand="0" w:noVBand="0"/>
      </w:tblPr>
      <w:tblGrid>
        <w:gridCol w:w="4050"/>
        <w:gridCol w:w="1701"/>
        <w:gridCol w:w="1701"/>
        <w:gridCol w:w="1559"/>
      </w:tblGrid>
      <w:tr w:rsidR="00385FE5" w:rsidRPr="009858B0" w14:paraId="2A26CF3D" w14:textId="77777777" w:rsidTr="00385FE5">
        <w:tc>
          <w:tcPr>
            <w:tcW w:w="4050" w:type="dxa"/>
            <w:tcBorders>
              <w:top w:val="nil"/>
              <w:left w:val="nil"/>
              <w:bottom w:val="single" w:sz="4" w:space="0" w:color="auto"/>
            </w:tcBorders>
            <w:vAlign w:val="bottom"/>
          </w:tcPr>
          <w:p w14:paraId="20CCCD18" w14:textId="77777777" w:rsidR="00385FE5" w:rsidRPr="009858B0" w:rsidRDefault="00385FE5" w:rsidP="00385FE5">
            <w:pPr>
              <w:spacing w:after="0" w:line="240" w:lineRule="auto"/>
              <w:rPr>
                <w:rFonts w:ascii="Arial" w:hAnsi="Arial" w:cs="Arial"/>
                <w:szCs w:val="20"/>
              </w:rPr>
            </w:pPr>
            <w:r w:rsidRPr="009858B0">
              <w:rPr>
                <w:rFonts w:ascii="Arial" w:hAnsi="Arial" w:cs="Arial"/>
                <w:b/>
                <w:bCs/>
                <w:szCs w:val="20"/>
              </w:rPr>
              <w:tab/>
            </w:r>
          </w:p>
        </w:tc>
        <w:tc>
          <w:tcPr>
            <w:tcW w:w="1701" w:type="dxa"/>
            <w:tcBorders>
              <w:top w:val="nil"/>
              <w:left w:val="nil"/>
              <w:bottom w:val="single" w:sz="4" w:space="0" w:color="auto"/>
            </w:tcBorders>
            <w:vAlign w:val="bottom"/>
          </w:tcPr>
          <w:p w14:paraId="271B3E6F" w14:textId="5358D966" w:rsidR="00385FE5" w:rsidRPr="009858B0" w:rsidRDefault="006C2D6B" w:rsidP="00385FE5">
            <w:pPr>
              <w:spacing w:after="0" w:line="240" w:lineRule="auto"/>
              <w:jc w:val="center"/>
              <w:rPr>
                <w:rFonts w:ascii="Arial" w:hAnsi="Arial" w:cs="Arial"/>
                <w:szCs w:val="20"/>
              </w:rPr>
            </w:pPr>
            <w:r>
              <w:rPr>
                <w:rFonts w:ascii="Arial" w:hAnsi="Arial" w:cs="Arial"/>
                <w:szCs w:val="20"/>
              </w:rPr>
              <w:t>July</w:t>
            </w:r>
            <w:r w:rsidR="00385FE5" w:rsidRPr="009858B0">
              <w:rPr>
                <w:rFonts w:ascii="Arial" w:hAnsi="Arial" w:cs="Arial"/>
                <w:szCs w:val="20"/>
              </w:rPr>
              <w:t xml:space="preserve"> 31,</w:t>
            </w:r>
          </w:p>
          <w:p w14:paraId="5B36FAD2" w14:textId="4A8901B7" w:rsidR="00385FE5" w:rsidRPr="009858B0" w:rsidRDefault="00385FE5" w:rsidP="00385FE5">
            <w:pPr>
              <w:spacing w:after="0" w:line="240" w:lineRule="auto"/>
              <w:jc w:val="center"/>
              <w:rPr>
                <w:rFonts w:ascii="Arial" w:hAnsi="Arial" w:cs="Arial"/>
                <w:szCs w:val="20"/>
              </w:rPr>
            </w:pPr>
            <w:r>
              <w:rPr>
                <w:rFonts w:ascii="Arial" w:hAnsi="Arial" w:cs="Arial"/>
                <w:szCs w:val="20"/>
              </w:rPr>
              <w:t>2019</w:t>
            </w:r>
          </w:p>
          <w:p w14:paraId="69532D40" w14:textId="6741239A" w:rsidR="00385FE5" w:rsidRDefault="00385FE5" w:rsidP="00385FE5">
            <w:pPr>
              <w:spacing w:after="0" w:line="240" w:lineRule="auto"/>
              <w:jc w:val="center"/>
              <w:rPr>
                <w:rFonts w:ascii="Arial" w:hAnsi="Arial" w:cs="Arial"/>
                <w:szCs w:val="20"/>
              </w:rPr>
            </w:pPr>
            <w:r w:rsidRPr="009858B0">
              <w:rPr>
                <w:rFonts w:ascii="Arial" w:hAnsi="Arial" w:cs="Arial"/>
                <w:szCs w:val="20"/>
              </w:rPr>
              <w:t>$</w:t>
            </w:r>
          </w:p>
        </w:tc>
        <w:tc>
          <w:tcPr>
            <w:tcW w:w="1701" w:type="dxa"/>
            <w:tcBorders>
              <w:top w:val="nil"/>
              <w:left w:val="nil"/>
              <w:bottom w:val="single" w:sz="4" w:space="0" w:color="auto"/>
              <w:right w:val="nil"/>
            </w:tcBorders>
            <w:vAlign w:val="bottom"/>
          </w:tcPr>
          <w:p w14:paraId="6BE4DF91" w14:textId="27830B3F" w:rsidR="00385FE5" w:rsidRPr="009858B0" w:rsidRDefault="00385FE5" w:rsidP="00385FE5">
            <w:pPr>
              <w:spacing w:after="0" w:line="240" w:lineRule="auto"/>
              <w:jc w:val="center"/>
              <w:rPr>
                <w:rFonts w:ascii="Arial" w:hAnsi="Arial" w:cs="Arial"/>
                <w:szCs w:val="20"/>
              </w:rPr>
            </w:pPr>
            <w:r>
              <w:rPr>
                <w:rFonts w:ascii="Arial" w:hAnsi="Arial" w:cs="Arial"/>
                <w:szCs w:val="20"/>
              </w:rPr>
              <w:t>January</w:t>
            </w:r>
            <w:r w:rsidRPr="009858B0">
              <w:rPr>
                <w:rFonts w:ascii="Arial" w:hAnsi="Arial" w:cs="Arial"/>
                <w:szCs w:val="20"/>
              </w:rPr>
              <w:t xml:space="preserve"> 31,</w:t>
            </w:r>
          </w:p>
          <w:p w14:paraId="4661B350" w14:textId="4856DF90" w:rsidR="00385FE5" w:rsidRPr="009858B0" w:rsidRDefault="006C2D6B" w:rsidP="00385FE5">
            <w:pPr>
              <w:spacing w:after="0" w:line="240" w:lineRule="auto"/>
              <w:jc w:val="center"/>
              <w:rPr>
                <w:rFonts w:ascii="Arial" w:hAnsi="Arial" w:cs="Arial"/>
                <w:szCs w:val="20"/>
              </w:rPr>
            </w:pPr>
            <w:r>
              <w:rPr>
                <w:rFonts w:ascii="Arial" w:hAnsi="Arial" w:cs="Arial"/>
                <w:szCs w:val="20"/>
              </w:rPr>
              <w:t>2019</w:t>
            </w:r>
          </w:p>
          <w:p w14:paraId="2D28E4CC" w14:textId="77777777" w:rsidR="00385FE5" w:rsidRPr="009858B0" w:rsidRDefault="00385FE5" w:rsidP="00385FE5">
            <w:pPr>
              <w:spacing w:after="0" w:line="240" w:lineRule="auto"/>
              <w:jc w:val="center"/>
              <w:rPr>
                <w:rFonts w:ascii="Arial" w:hAnsi="Arial" w:cs="Arial"/>
                <w:szCs w:val="20"/>
              </w:rPr>
            </w:pPr>
            <w:r w:rsidRPr="009858B0">
              <w:rPr>
                <w:rFonts w:ascii="Arial" w:hAnsi="Arial" w:cs="Arial"/>
                <w:szCs w:val="20"/>
              </w:rPr>
              <w:t>$</w:t>
            </w:r>
          </w:p>
        </w:tc>
        <w:tc>
          <w:tcPr>
            <w:tcW w:w="1559" w:type="dxa"/>
            <w:tcBorders>
              <w:top w:val="nil"/>
              <w:left w:val="nil"/>
              <w:bottom w:val="single" w:sz="4" w:space="0" w:color="auto"/>
              <w:right w:val="nil"/>
            </w:tcBorders>
            <w:vAlign w:val="bottom"/>
          </w:tcPr>
          <w:p w14:paraId="14DE2CB2" w14:textId="29EB7C15" w:rsidR="00385FE5" w:rsidRPr="009858B0" w:rsidRDefault="00385FE5" w:rsidP="00385FE5">
            <w:pPr>
              <w:spacing w:after="0" w:line="240" w:lineRule="auto"/>
              <w:jc w:val="center"/>
              <w:rPr>
                <w:rFonts w:ascii="Arial" w:hAnsi="Arial" w:cs="Arial"/>
                <w:szCs w:val="20"/>
              </w:rPr>
            </w:pPr>
            <w:r>
              <w:rPr>
                <w:rFonts w:ascii="Arial" w:hAnsi="Arial" w:cs="Arial"/>
                <w:szCs w:val="20"/>
              </w:rPr>
              <w:t>February 1</w:t>
            </w:r>
            <w:r w:rsidRPr="009858B0">
              <w:rPr>
                <w:rFonts w:ascii="Arial" w:hAnsi="Arial" w:cs="Arial"/>
                <w:szCs w:val="20"/>
              </w:rPr>
              <w:t>,</w:t>
            </w:r>
          </w:p>
          <w:p w14:paraId="2A656030" w14:textId="21389B40" w:rsidR="00385FE5" w:rsidRPr="009858B0" w:rsidRDefault="0018207D" w:rsidP="00385FE5">
            <w:pPr>
              <w:spacing w:after="0" w:line="240" w:lineRule="auto"/>
              <w:jc w:val="center"/>
              <w:rPr>
                <w:rFonts w:ascii="Arial" w:hAnsi="Arial" w:cs="Arial"/>
                <w:szCs w:val="20"/>
              </w:rPr>
            </w:pPr>
            <w:r>
              <w:rPr>
                <w:rFonts w:ascii="Arial" w:hAnsi="Arial" w:cs="Arial"/>
                <w:szCs w:val="20"/>
              </w:rPr>
              <w:t>2018</w:t>
            </w:r>
          </w:p>
          <w:p w14:paraId="0E27DBC5" w14:textId="77777777" w:rsidR="00385FE5" w:rsidRPr="009858B0" w:rsidRDefault="00385FE5" w:rsidP="00385FE5">
            <w:pPr>
              <w:spacing w:after="0" w:line="240" w:lineRule="auto"/>
              <w:jc w:val="center"/>
              <w:rPr>
                <w:rFonts w:ascii="Arial" w:hAnsi="Arial" w:cs="Arial"/>
                <w:szCs w:val="20"/>
              </w:rPr>
            </w:pPr>
            <w:r w:rsidRPr="009858B0">
              <w:rPr>
                <w:rFonts w:ascii="Arial" w:hAnsi="Arial" w:cs="Arial"/>
                <w:szCs w:val="20"/>
              </w:rPr>
              <w:t>$</w:t>
            </w:r>
          </w:p>
        </w:tc>
      </w:tr>
      <w:tr w:rsidR="00385FE5" w:rsidRPr="009858B0" w14:paraId="2FAAD01A" w14:textId="77777777" w:rsidTr="00385FE5">
        <w:trPr>
          <w:trHeight w:hRule="exact" w:val="113"/>
        </w:trPr>
        <w:tc>
          <w:tcPr>
            <w:tcW w:w="4050" w:type="dxa"/>
            <w:tcBorders>
              <w:top w:val="single" w:sz="4" w:space="0" w:color="auto"/>
              <w:left w:val="nil"/>
            </w:tcBorders>
            <w:vAlign w:val="bottom"/>
          </w:tcPr>
          <w:p w14:paraId="2DE91341" w14:textId="77777777" w:rsidR="00385FE5" w:rsidRPr="009858B0" w:rsidRDefault="00385FE5" w:rsidP="00385FE5">
            <w:pPr>
              <w:spacing w:after="0" w:line="240" w:lineRule="auto"/>
              <w:rPr>
                <w:rFonts w:ascii="Arial" w:hAnsi="Arial" w:cs="Arial"/>
                <w:szCs w:val="20"/>
              </w:rPr>
            </w:pPr>
          </w:p>
        </w:tc>
        <w:tc>
          <w:tcPr>
            <w:tcW w:w="1701" w:type="dxa"/>
            <w:tcBorders>
              <w:top w:val="single" w:sz="4" w:space="0" w:color="auto"/>
              <w:left w:val="nil"/>
            </w:tcBorders>
            <w:vAlign w:val="bottom"/>
          </w:tcPr>
          <w:p w14:paraId="78E89375" w14:textId="77777777" w:rsidR="00385FE5" w:rsidRPr="009858B0" w:rsidRDefault="00385FE5" w:rsidP="00385FE5">
            <w:pPr>
              <w:spacing w:after="0" w:line="240" w:lineRule="auto"/>
              <w:ind w:right="369"/>
              <w:jc w:val="right"/>
              <w:rPr>
                <w:rFonts w:ascii="Arial" w:hAnsi="Arial" w:cs="Arial"/>
                <w:szCs w:val="20"/>
              </w:rPr>
            </w:pPr>
          </w:p>
        </w:tc>
        <w:tc>
          <w:tcPr>
            <w:tcW w:w="1701" w:type="dxa"/>
            <w:tcBorders>
              <w:top w:val="single" w:sz="4" w:space="0" w:color="auto"/>
              <w:left w:val="nil"/>
              <w:right w:val="nil"/>
            </w:tcBorders>
            <w:vAlign w:val="bottom"/>
          </w:tcPr>
          <w:p w14:paraId="61947203" w14:textId="36FBE763" w:rsidR="00385FE5" w:rsidRPr="009858B0" w:rsidRDefault="00385FE5" w:rsidP="00385FE5">
            <w:pPr>
              <w:spacing w:after="0" w:line="240" w:lineRule="auto"/>
              <w:ind w:right="369"/>
              <w:jc w:val="right"/>
              <w:rPr>
                <w:rFonts w:ascii="Arial" w:hAnsi="Arial" w:cs="Arial"/>
                <w:szCs w:val="20"/>
              </w:rPr>
            </w:pPr>
          </w:p>
        </w:tc>
        <w:tc>
          <w:tcPr>
            <w:tcW w:w="1559" w:type="dxa"/>
            <w:tcBorders>
              <w:top w:val="single" w:sz="4" w:space="0" w:color="auto"/>
              <w:left w:val="nil"/>
              <w:right w:val="nil"/>
            </w:tcBorders>
            <w:vAlign w:val="bottom"/>
          </w:tcPr>
          <w:p w14:paraId="16E6CF49" w14:textId="77777777" w:rsidR="00385FE5" w:rsidRPr="009858B0" w:rsidRDefault="00385FE5" w:rsidP="00385FE5">
            <w:pPr>
              <w:spacing w:after="0" w:line="240" w:lineRule="auto"/>
              <w:ind w:right="369"/>
              <w:jc w:val="right"/>
              <w:rPr>
                <w:rFonts w:ascii="Arial" w:hAnsi="Arial" w:cs="Arial"/>
                <w:szCs w:val="20"/>
              </w:rPr>
            </w:pPr>
          </w:p>
        </w:tc>
      </w:tr>
      <w:tr w:rsidR="00385FE5" w:rsidRPr="009858B0" w14:paraId="2CE107EF" w14:textId="77777777" w:rsidTr="00385FE5">
        <w:tc>
          <w:tcPr>
            <w:tcW w:w="4050" w:type="dxa"/>
            <w:tcBorders>
              <w:left w:val="nil"/>
              <w:bottom w:val="single" w:sz="12" w:space="0" w:color="auto"/>
            </w:tcBorders>
            <w:vAlign w:val="bottom"/>
          </w:tcPr>
          <w:p w14:paraId="46FE5235" w14:textId="14BAD47D" w:rsidR="00385FE5" w:rsidRPr="009858B0" w:rsidRDefault="00385FE5" w:rsidP="00385FE5">
            <w:pPr>
              <w:spacing w:after="0" w:line="240" w:lineRule="auto"/>
              <w:rPr>
                <w:rFonts w:ascii="Arial" w:hAnsi="Arial" w:cs="Arial"/>
                <w:szCs w:val="20"/>
              </w:rPr>
            </w:pPr>
            <w:r>
              <w:rPr>
                <w:rFonts w:ascii="Arial" w:hAnsi="Arial" w:cs="Arial"/>
                <w:szCs w:val="20"/>
              </w:rPr>
              <w:t>Principal (Note 10</w:t>
            </w:r>
            <w:r w:rsidRPr="009858B0">
              <w:rPr>
                <w:rFonts w:ascii="Arial" w:hAnsi="Arial" w:cs="Arial"/>
                <w:szCs w:val="20"/>
              </w:rPr>
              <w:t>(a))</w:t>
            </w:r>
          </w:p>
        </w:tc>
        <w:tc>
          <w:tcPr>
            <w:tcW w:w="1701" w:type="dxa"/>
            <w:tcBorders>
              <w:left w:val="nil"/>
              <w:bottom w:val="single" w:sz="12" w:space="0" w:color="auto"/>
            </w:tcBorders>
            <w:vAlign w:val="bottom"/>
          </w:tcPr>
          <w:p w14:paraId="4D7DA555" w14:textId="0BD94FEA" w:rsidR="00385FE5" w:rsidRPr="009858B0" w:rsidRDefault="00385FE5" w:rsidP="00385FE5">
            <w:pPr>
              <w:spacing w:after="0" w:line="240" w:lineRule="auto"/>
              <w:ind w:right="173"/>
              <w:jc w:val="right"/>
              <w:rPr>
                <w:rFonts w:ascii="Arial" w:hAnsi="Arial" w:cs="Arial"/>
                <w:szCs w:val="20"/>
              </w:rPr>
            </w:pPr>
            <w:r w:rsidRPr="009858B0">
              <w:rPr>
                <w:rFonts w:ascii="Arial" w:hAnsi="Arial" w:cs="Arial"/>
                <w:szCs w:val="20"/>
              </w:rPr>
              <w:t>–</w:t>
            </w:r>
          </w:p>
        </w:tc>
        <w:tc>
          <w:tcPr>
            <w:tcW w:w="1701" w:type="dxa"/>
            <w:tcBorders>
              <w:left w:val="nil"/>
              <w:bottom w:val="single" w:sz="12" w:space="0" w:color="auto"/>
              <w:right w:val="nil"/>
            </w:tcBorders>
            <w:vAlign w:val="bottom"/>
          </w:tcPr>
          <w:p w14:paraId="25A49026" w14:textId="18FA24D6" w:rsidR="00385FE5" w:rsidRPr="009858B0" w:rsidRDefault="006C2D6B" w:rsidP="00385FE5">
            <w:pPr>
              <w:spacing w:after="0" w:line="240" w:lineRule="auto"/>
              <w:ind w:right="173"/>
              <w:jc w:val="right"/>
              <w:rPr>
                <w:rFonts w:ascii="Arial" w:hAnsi="Arial" w:cs="Arial"/>
                <w:szCs w:val="20"/>
              </w:rPr>
            </w:pPr>
            <w:r w:rsidRPr="009858B0">
              <w:rPr>
                <w:rFonts w:ascii="Arial" w:hAnsi="Arial" w:cs="Arial"/>
                <w:szCs w:val="20"/>
              </w:rPr>
              <w:t>–</w:t>
            </w:r>
          </w:p>
        </w:tc>
        <w:tc>
          <w:tcPr>
            <w:tcW w:w="1559" w:type="dxa"/>
            <w:tcBorders>
              <w:left w:val="nil"/>
              <w:bottom w:val="single" w:sz="12" w:space="0" w:color="auto"/>
              <w:right w:val="nil"/>
            </w:tcBorders>
            <w:vAlign w:val="bottom"/>
          </w:tcPr>
          <w:p w14:paraId="353AD3ED" w14:textId="7495F58F" w:rsidR="00385FE5" w:rsidRPr="009858B0" w:rsidRDefault="0018207D" w:rsidP="00385FE5">
            <w:pPr>
              <w:spacing w:after="0" w:line="240" w:lineRule="auto"/>
              <w:ind w:right="173"/>
              <w:jc w:val="right"/>
              <w:rPr>
                <w:rFonts w:ascii="Arial" w:hAnsi="Arial" w:cs="Arial"/>
                <w:szCs w:val="20"/>
              </w:rPr>
            </w:pPr>
            <w:r>
              <w:rPr>
                <w:rFonts w:ascii="Arial" w:hAnsi="Arial" w:cs="Arial"/>
              </w:rPr>
              <w:t>247,305</w:t>
            </w:r>
          </w:p>
        </w:tc>
      </w:tr>
      <w:tr w:rsidR="00385FE5" w:rsidRPr="009858B0" w14:paraId="6C278D65" w14:textId="77777777" w:rsidTr="00385FE5">
        <w:trPr>
          <w:trHeight w:hRule="exact" w:val="86"/>
        </w:trPr>
        <w:tc>
          <w:tcPr>
            <w:tcW w:w="4050" w:type="dxa"/>
            <w:tcBorders>
              <w:top w:val="single" w:sz="12" w:space="0" w:color="auto"/>
              <w:left w:val="nil"/>
            </w:tcBorders>
            <w:vAlign w:val="bottom"/>
          </w:tcPr>
          <w:p w14:paraId="4FFA37B0" w14:textId="77777777" w:rsidR="00385FE5" w:rsidRPr="009858B0" w:rsidRDefault="00385FE5" w:rsidP="00385FE5">
            <w:pPr>
              <w:spacing w:after="0" w:line="240" w:lineRule="auto"/>
              <w:rPr>
                <w:rFonts w:ascii="Arial" w:hAnsi="Arial" w:cs="Arial"/>
                <w:szCs w:val="20"/>
              </w:rPr>
            </w:pPr>
          </w:p>
        </w:tc>
        <w:tc>
          <w:tcPr>
            <w:tcW w:w="1701" w:type="dxa"/>
            <w:tcBorders>
              <w:top w:val="single" w:sz="12" w:space="0" w:color="auto"/>
              <w:left w:val="nil"/>
            </w:tcBorders>
            <w:vAlign w:val="bottom"/>
          </w:tcPr>
          <w:p w14:paraId="73B120B7" w14:textId="77777777" w:rsidR="00385FE5" w:rsidRPr="009858B0" w:rsidRDefault="00385FE5" w:rsidP="00385FE5">
            <w:pPr>
              <w:spacing w:after="0" w:line="240" w:lineRule="auto"/>
              <w:ind w:right="173"/>
              <w:jc w:val="right"/>
              <w:rPr>
                <w:rFonts w:ascii="Arial" w:hAnsi="Arial" w:cs="Arial"/>
                <w:szCs w:val="20"/>
              </w:rPr>
            </w:pPr>
          </w:p>
        </w:tc>
        <w:tc>
          <w:tcPr>
            <w:tcW w:w="1701" w:type="dxa"/>
            <w:tcBorders>
              <w:top w:val="single" w:sz="12" w:space="0" w:color="auto"/>
              <w:left w:val="nil"/>
              <w:right w:val="nil"/>
            </w:tcBorders>
            <w:vAlign w:val="bottom"/>
          </w:tcPr>
          <w:p w14:paraId="4D3728F0" w14:textId="683C7DC0" w:rsidR="00385FE5" w:rsidRPr="009858B0" w:rsidRDefault="00385FE5" w:rsidP="00385FE5">
            <w:pPr>
              <w:spacing w:after="0" w:line="240" w:lineRule="auto"/>
              <w:ind w:right="173"/>
              <w:jc w:val="right"/>
              <w:rPr>
                <w:rFonts w:ascii="Arial" w:hAnsi="Arial" w:cs="Arial"/>
                <w:szCs w:val="20"/>
              </w:rPr>
            </w:pPr>
          </w:p>
        </w:tc>
        <w:tc>
          <w:tcPr>
            <w:tcW w:w="1559" w:type="dxa"/>
            <w:tcBorders>
              <w:top w:val="single" w:sz="12" w:space="0" w:color="auto"/>
              <w:left w:val="nil"/>
              <w:right w:val="nil"/>
            </w:tcBorders>
            <w:vAlign w:val="bottom"/>
          </w:tcPr>
          <w:p w14:paraId="582A5C66" w14:textId="77777777" w:rsidR="00385FE5" w:rsidRPr="009858B0" w:rsidRDefault="00385FE5" w:rsidP="00385FE5">
            <w:pPr>
              <w:spacing w:after="0" w:line="240" w:lineRule="auto"/>
              <w:ind w:right="173"/>
              <w:jc w:val="right"/>
              <w:rPr>
                <w:rFonts w:ascii="Arial" w:hAnsi="Arial" w:cs="Arial"/>
                <w:szCs w:val="20"/>
              </w:rPr>
            </w:pPr>
          </w:p>
        </w:tc>
      </w:tr>
    </w:tbl>
    <w:p w14:paraId="44683B73" w14:textId="77777777" w:rsidR="009858B0" w:rsidRPr="009858B0" w:rsidRDefault="009858B0" w:rsidP="00F15B99">
      <w:pPr>
        <w:tabs>
          <w:tab w:val="left" w:pos="450"/>
        </w:tabs>
        <w:spacing w:after="0" w:line="240" w:lineRule="auto"/>
        <w:ind w:left="446"/>
        <w:jc w:val="both"/>
        <w:rPr>
          <w:rFonts w:ascii="Arial" w:hAnsi="Arial" w:cs="Arial"/>
          <w:b/>
          <w:szCs w:val="20"/>
        </w:rPr>
      </w:pPr>
    </w:p>
    <w:p w14:paraId="6DBD8A02" w14:textId="1ED61A86" w:rsidR="009858B0" w:rsidRPr="009858B0" w:rsidRDefault="009858B0" w:rsidP="00F15B99">
      <w:pPr>
        <w:tabs>
          <w:tab w:val="left" w:pos="450"/>
          <w:tab w:val="left" w:pos="810"/>
        </w:tabs>
        <w:spacing w:after="0" w:line="240" w:lineRule="auto"/>
        <w:ind w:left="446"/>
        <w:jc w:val="both"/>
        <w:rPr>
          <w:rFonts w:ascii="Arial" w:hAnsi="Arial" w:cs="Arial"/>
          <w:szCs w:val="20"/>
          <w:lang w:val="en-CA"/>
        </w:rPr>
      </w:pPr>
      <w:r w:rsidRPr="009858B0">
        <w:rPr>
          <w:rFonts w:ascii="Arial" w:hAnsi="Arial" w:cs="Arial"/>
          <w:szCs w:val="20"/>
          <w:lang w:val="en-CA"/>
        </w:rPr>
        <w:t xml:space="preserve">(a) </w:t>
      </w:r>
      <w:r w:rsidRPr="009858B0">
        <w:rPr>
          <w:rFonts w:ascii="Arial" w:hAnsi="Arial" w:cs="Arial"/>
          <w:szCs w:val="20"/>
          <w:lang w:val="en-CA"/>
        </w:rPr>
        <w:tab/>
      </w:r>
      <w:r w:rsidRPr="00B17EAF">
        <w:rPr>
          <w:rFonts w:ascii="Arial" w:hAnsi="Arial" w:cs="Arial"/>
          <w:szCs w:val="20"/>
          <w:lang w:val="en-CA"/>
        </w:rPr>
        <w:t>Promissory Note – Former Chief Executive Officer</w:t>
      </w:r>
    </w:p>
    <w:p w14:paraId="14EA3A93" w14:textId="77777777" w:rsidR="000E4AC4" w:rsidRDefault="000E4AC4" w:rsidP="00F15B99">
      <w:pPr>
        <w:spacing w:after="0" w:line="240" w:lineRule="auto"/>
        <w:ind w:left="810"/>
        <w:jc w:val="both"/>
        <w:rPr>
          <w:rFonts w:ascii="Arial" w:hAnsi="Arial" w:cs="Arial"/>
          <w:szCs w:val="20"/>
          <w:lang w:val="en-CA"/>
        </w:rPr>
      </w:pPr>
    </w:p>
    <w:p w14:paraId="7BD24C2A" w14:textId="63F450F1" w:rsidR="00787613" w:rsidRDefault="00787613" w:rsidP="005639E1">
      <w:pPr>
        <w:spacing w:after="0" w:line="240" w:lineRule="auto"/>
        <w:ind w:left="806"/>
        <w:jc w:val="both"/>
        <w:rPr>
          <w:rFonts w:ascii="Arial" w:eastAsia="Times New Roman" w:hAnsi="Arial" w:cs="Arial"/>
          <w:bCs/>
          <w:szCs w:val="20"/>
        </w:rPr>
      </w:pPr>
      <w:r w:rsidRPr="00BA56F7">
        <w:rPr>
          <w:rFonts w:ascii="Arial" w:eastAsia="Times New Roman" w:hAnsi="Arial" w:cs="Arial"/>
          <w:bCs/>
          <w:szCs w:val="20"/>
        </w:rPr>
        <w:t xml:space="preserve">On September 11, 2017, the Company completed an exchange agreement whereby the Company exchanged with its past Chief Executive Officer 100% of its </w:t>
      </w:r>
      <w:r w:rsidR="00315B0D">
        <w:rPr>
          <w:rFonts w:ascii="Arial" w:eastAsia="Times New Roman" w:hAnsi="Arial" w:cs="Arial"/>
          <w:bCs/>
          <w:szCs w:val="20"/>
        </w:rPr>
        <w:t>common shares</w:t>
      </w:r>
      <w:r w:rsidRPr="00BA56F7">
        <w:rPr>
          <w:rFonts w:ascii="Arial" w:eastAsia="Times New Roman" w:hAnsi="Arial" w:cs="Arial"/>
          <w:bCs/>
          <w:szCs w:val="20"/>
        </w:rPr>
        <w:t xml:space="preserve"> of its wholly-owned subsidiary, IndUS Pharmaceuticals, Inc. (“IndUS”), for 3,800,000 </w:t>
      </w:r>
      <w:r w:rsidR="00315B0D">
        <w:rPr>
          <w:rFonts w:ascii="Arial" w:eastAsia="Times New Roman" w:hAnsi="Arial" w:cs="Arial"/>
          <w:bCs/>
          <w:szCs w:val="20"/>
        </w:rPr>
        <w:t>common shares</w:t>
      </w:r>
      <w:r w:rsidRPr="00BA56F7">
        <w:rPr>
          <w:rFonts w:ascii="Arial" w:eastAsia="Times New Roman" w:hAnsi="Arial" w:cs="Arial"/>
          <w:bCs/>
          <w:szCs w:val="20"/>
        </w:rPr>
        <w:t xml:space="preserve"> of the Company</w:t>
      </w:r>
      <w:r w:rsidR="00315B0D">
        <w:rPr>
          <w:rFonts w:ascii="Arial" w:eastAsia="Times New Roman" w:hAnsi="Arial" w:cs="Arial"/>
          <w:bCs/>
          <w:szCs w:val="20"/>
        </w:rPr>
        <w:t>.</w:t>
      </w:r>
      <w:r w:rsidRPr="005778E8">
        <w:rPr>
          <w:rFonts w:ascii="Arial" w:eastAsia="Times New Roman" w:hAnsi="Arial" w:cs="Arial"/>
          <w:bCs/>
          <w:szCs w:val="20"/>
        </w:rPr>
        <w:t xml:space="preserve">  Pursuant to the exchange agreement, the Company provided its former Chief Executive Officer a promissory note in the</w:t>
      </w:r>
      <w:r w:rsidRPr="00BA56F7">
        <w:rPr>
          <w:rFonts w:ascii="Arial" w:eastAsia="Times New Roman" w:hAnsi="Arial" w:cs="Arial"/>
          <w:bCs/>
          <w:szCs w:val="20"/>
        </w:rPr>
        <w:t xml:space="preserve"> amount of </w:t>
      </w:r>
      <w:r>
        <w:rPr>
          <w:rFonts w:ascii="Arial" w:eastAsia="Times New Roman" w:hAnsi="Arial" w:cs="Arial"/>
          <w:bCs/>
          <w:szCs w:val="20"/>
        </w:rPr>
        <w:t>$242,560 (US</w:t>
      </w:r>
      <w:r w:rsidRPr="00BA56F7">
        <w:rPr>
          <w:rFonts w:ascii="Arial" w:eastAsia="Times New Roman" w:hAnsi="Arial" w:cs="Arial"/>
          <w:bCs/>
          <w:szCs w:val="20"/>
        </w:rPr>
        <w:t>$200,000</w:t>
      </w:r>
      <w:r>
        <w:rPr>
          <w:rFonts w:ascii="Arial" w:eastAsia="Times New Roman" w:hAnsi="Arial" w:cs="Arial"/>
          <w:bCs/>
          <w:szCs w:val="20"/>
        </w:rPr>
        <w:t>)</w:t>
      </w:r>
      <w:r w:rsidRPr="00BA56F7">
        <w:rPr>
          <w:rFonts w:ascii="Arial" w:eastAsia="Times New Roman" w:hAnsi="Arial" w:cs="Arial"/>
          <w:bCs/>
          <w:szCs w:val="20"/>
        </w:rPr>
        <w:t xml:space="preserve"> in discharge of all obligations with respect to </w:t>
      </w:r>
      <w:r w:rsidR="00BA76C2">
        <w:rPr>
          <w:rFonts w:ascii="Arial" w:eastAsia="Times New Roman" w:hAnsi="Arial" w:cs="Arial"/>
          <w:bCs/>
          <w:szCs w:val="20"/>
        </w:rPr>
        <w:t>the former Chief Executive Officer’s</w:t>
      </w:r>
      <w:r w:rsidRPr="00BA56F7">
        <w:rPr>
          <w:rFonts w:ascii="Arial" w:eastAsia="Times New Roman" w:hAnsi="Arial" w:cs="Arial"/>
          <w:bCs/>
          <w:szCs w:val="20"/>
        </w:rPr>
        <w:t xml:space="preserve"> accrued salary totaling </w:t>
      </w:r>
      <w:r>
        <w:rPr>
          <w:rFonts w:ascii="Arial" w:eastAsia="Times New Roman" w:hAnsi="Arial" w:cs="Arial"/>
          <w:bCs/>
          <w:szCs w:val="20"/>
        </w:rPr>
        <w:t xml:space="preserve">$324,141 </w:t>
      </w:r>
      <w:r w:rsidRPr="00BA56F7">
        <w:rPr>
          <w:rFonts w:ascii="Arial" w:eastAsia="Times New Roman" w:hAnsi="Arial" w:cs="Arial"/>
          <w:bCs/>
          <w:szCs w:val="20"/>
        </w:rPr>
        <w:t>through September 11, 2017</w:t>
      </w:r>
      <w:r>
        <w:rPr>
          <w:rFonts w:ascii="Arial" w:eastAsia="Times New Roman" w:hAnsi="Arial" w:cs="Arial"/>
          <w:bCs/>
          <w:szCs w:val="20"/>
        </w:rPr>
        <w:t xml:space="preserve">.  </w:t>
      </w:r>
      <w:r>
        <w:rPr>
          <w:rFonts w:ascii="Arial" w:hAnsi="Arial" w:cs="Arial"/>
          <w:szCs w:val="20"/>
          <w:lang w:val="en-CA"/>
        </w:rPr>
        <w:t xml:space="preserve">  </w:t>
      </w:r>
    </w:p>
    <w:p w14:paraId="7CC3EC71" w14:textId="77777777" w:rsidR="00787613" w:rsidRDefault="00787613" w:rsidP="005639E1">
      <w:pPr>
        <w:spacing w:after="0" w:line="240" w:lineRule="auto"/>
        <w:ind w:left="806"/>
        <w:jc w:val="both"/>
        <w:rPr>
          <w:rFonts w:ascii="Arial" w:hAnsi="Arial" w:cs="Arial"/>
          <w:szCs w:val="20"/>
          <w:lang w:val="en-CA"/>
        </w:rPr>
      </w:pPr>
    </w:p>
    <w:p w14:paraId="1B6469C3" w14:textId="57C947BD" w:rsidR="009858B0" w:rsidRDefault="000E4AC4" w:rsidP="005639E1">
      <w:pPr>
        <w:spacing w:after="0" w:line="240" w:lineRule="auto"/>
        <w:ind w:left="806"/>
        <w:jc w:val="both"/>
        <w:rPr>
          <w:rFonts w:ascii="Arial" w:hAnsi="Arial" w:cs="Arial"/>
          <w:szCs w:val="20"/>
          <w:lang w:val="en-CA"/>
        </w:rPr>
      </w:pPr>
      <w:r>
        <w:rPr>
          <w:rFonts w:ascii="Arial" w:hAnsi="Arial" w:cs="Arial"/>
          <w:szCs w:val="20"/>
          <w:lang w:val="en-CA"/>
        </w:rPr>
        <w:t>The p</w:t>
      </w:r>
      <w:r w:rsidR="009858B0" w:rsidRPr="009858B0">
        <w:rPr>
          <w:rFonts w:ascii="Arial" w:hAnsi="Arial" w:cs="Arial"/>
          <w:szCs w:val="20"/>
          <w:lang w:val="en-CA"/>
        </w:rPr>
        <w:t>romissory note bears interest at 8% per annum.  Principal and accrued interest are due on the earlier of: 1) 30 days after the completion of a financing of at least $2,000,</w:t>
      </w:r>
      <w:r w:rsidR="00E3748C">
        <w:rPr>
          <w:rFonts w:ascii="Arial" w:hAnsi="Arial" w:cs="Arial"/>
          <w:szCs w:val="20"/>
          <w:lang w:val="en-CA"/>
        </w:rPr>
        <w:t>000 and (ii) September 10, 2027, provided that if repayment occurs prior to the second anniversary date, all interest will be waived.</w:t>
      </w:r>
      <w:r w:rsidR="009858B0">
        <w:rPr>
          <w:rFonts w:ascii="Arial" w:hAnsi="Arial" w:cs="Arial"/>
          <w:szCs w:val="20"/>
          <w:lang w:val="en-CA"/>
        </w:rPr>
        <w:t xml:space="preserve">  On </w:t>
      </w:r>
      <w:r w:rsidR="00BA76C2">
        <w:rPr>
          <w:rFonts w:ascii="Arial" w:hAnsi="Arial" w:cs="Arial"/>
          <w:szCs w:val="20"/>
          <w:lang w:val="en-CA"/>
        </w:rPr>
        <w:t>March 2</w:t>
      </w:r>
      <w:r w:rsidR="009858B0">
        <w:rPr>
          <w:rFonts w:ascii="Arial" w:hAnsi="Arial" w:cs="Arial"/>
          <w:szCs w:val="20"/>
          <w:lang w:val="en-CA"/>
        </w:rPr>
        <w:t xml:space="preserve">, 2018, </w:t>
      </w:r>
      <w:r w:rsidR="009858B0" w:rsidRPr="009858B0">
        <w:rPr>
          <w:rFonts w:ascii="Arial" w:hAnsi="Arial" w:cs="Arial"/>
          <w:szCs w:val="20"/>
          <w:lang w:val="en-CA"/>
        </w:rPr>
        <w:t>the Company issued senior s</w:t>
      </w:r>
      <w:r w:rsidR="009858B0">
        <w:rPr>
          <w:rFonts w:ascii="Arial" w:hAnsi="Arial" w:cs="Arial"/>
          <w:szCs w:val="20"/>
          <w:lang w:val="en-CA"/>
        </w:rPr>
        <w:t xml:space="preserve">ecured convertible debentures </w:t>
      </w:r>
      <w:r w:rsidR="009858B0" w:rsidRPr="009858B0">
        <w:rPr>
          <w:rFonts w:ascii="Arial" w:hAnsi="Arial" w:cs="Arial"/>
          <w:szCs w:val="20"/>
          <w:lang w:val="en-CA"/>
        </w:rPr>
        <w:t>for g</w:t>
      </w:r>
      <w:r w:rsidR="009858B0">
        <w:rPr>
          <w:rFonts w:ascii="Arial" w:hAnsi="Arial" w:cs="Arial"/>
          <w:szCs w:val="20"/>
          <w:lang w:val="en-CA"/>
        </w:rPr>
        <w:t xml:space="preserve">ross proceeds of $5,000,000 </w:t>
      </w:r>
      <w:r w:rsidR="00E3748C">
        <w:rPr>
          <w:rFonts w:ascii="Arial" w:hAnsi="Arial" w:cs="Arial"/>
          <w:szCs w:val="20"/>
          <w:lang w:val="en-CA"/>
        </w:rPr>
        <w:t xml:space="preserve">(Note </w:t>
      </w:r>
      <w:r w:rsidR="00ED6019">
        <w:rPr>
          <w:rFonts w:ascii="Arial" w:hAnsi="Arial" w:cs="Arial"/>
          <w:szCs w:val="20"/>
          <w:lang w:val="en-CA"/>
        </w:rPr>
        <w:t>9</w:t>
      </w:r>
      <w:r w:rsidR="00E3748C">
        <w:rPr>
          <w:rFonts w:ascii="Arial" w:hAnsi="Arial" w:cs="Arial"/>
          <w:szCs w:val="20"/>
          <w:lang w:val="en-CA"/>
        </w:rPr>
        <w:t>)</w:t>
      </w:r>
      <w:r w:rsidR="009858B0">
        <w:rPr>
          <w:rFonts w:ascii="Arial" w:hAnsi="Arial" w:cs="Arial"/>
          <w:szCs w:val="20"/>
          <w:lang w:val="en-CA"/>
        </w:rPr>
        <w:t xml:space="preserve">.  Accordingly, </w:t>
      </w:r>
      <w:r w:rsidR="00E3748C">
        <w:rPr>
          <w:rFonts w:ascii="Arial" w:hAnsi="Arial" w:cs="Arial"/>
          <w:szCs w:val="20"/>
          <w:lang w:val="en-CA"/>
        </w:rPr>
        <w:t xml:space="preserve">accrued interest being waived, </w:t>
      </w:r>
      <w:r w:rsidR="009858B0">
        <w:rPr>
          <w:rFonts w:ascii="Arial" w:hAnsi="Arial" w:cs="Arial"/>
          <w:szCs w:val="20"/>
          <w:lang w:val="en-CA"/>
        </w:rPr>
        <w:t xml:space="preserve">principal was due </w:t>
      </w:r>
      <w:r w:rsidR="00E3748C">
        <w:rPr>
          <w:rFonts w:ascii="Arial" w:hAnsi="Arial" w:cs="Arial"/>
          <w:szCs w:val="20"/>
          <w:lang w:val="en-CA"/>
        </w:rPr>
        <w:t xml:space="preserve">and repaid </w:t>
      </w:r>
      <w:r w:rsidR="009858B0">
        <w:rPr>
          <w:rFonts w:ascii="Arial" w:hAnsi="Arial" w:cs="Arial"/>
          <w:szCs w:val="20"/>
          <w:lang w:val="en-CA"/>
        </w:rPr>
        <w:t xml:space="preserve">on March 30, 2018.  </w:t>
      </w:r>
    </w:p>
    <w:p w14:paraId="7FE44CDA" w14:textId="77777777" w:rsidR="00991E5D" w:rsidRDefault="00991E5D">
      <w:pPr>
        <w:rPr>
          <w:rFonts w:ascii="Arial" w:hAnsi="Arial" w:cs="Arial"/>
          <w:b/>
          <w:szCs w:val="20"/>
        </w:rPr>
      </w:pPr>
      <w:r>
        <w:rPr>
          <w:rFonts w:ascii="Arial" w:hAnsi="Arial" w:cs="Arial"/>
          <w:b/>
          <w:szCs w:val="20"/>
        </w:rPr>
        <w:br w:type="page"/>
      </w:r>
    </w:p>
    <w:p w14:paraId="7580B586" w14:textId="41F5705C" w:rsidR="00E65D25" w:rsidRPr="00E65D25" w:rsidRDefault="00E65D25" w:rsidP="00E65D25">
      <w:pPr>
        <w:tabs>
          <w:tab w:val="left" w:pos="450"/>
        </w:tabs>
        <w:spacing w:after="0" w:line="240" w:lineRule="auto"/>
        <w:rPr>
          <w:rFonts w:ascii="Arial" w:hAnsi="Arial" w:cs="Arial"/>
          <w:szCs w:val="20"/>
        </w:rPr>
      </w:pPr>
      <w:r>
        <w:rPr>
          <w:rFonts w:ascii="Arial" w:hAnsi="Arial" w:cs="Arial"/>
          <w:b/>
          <w:szCs w:val="20"/>
        </w:rPr>
        <w:lastRenderedPageBreak/>
        <w:t>10.</w:t>
      </w:r>
      <w:r w:rsidRPr="00E65D25">
        <w:rPr>
          <w:rFonts w:ascii="Arial" w:hAnsi="Arial" w:cs="Arial"/>
          <w:b/>
          <w:szCs w:val="20"/>
        </w:rPr>
        <w:tab/>
        <w:t xml:space="preserve">Promissory Note </w:t>
      </w:r>
      <w:r w:rsidRPr="00E65D25">
        <w:rPr>
          <w:rFonts w:ascii="Arial" w:hAnsi="Arial" w:cs="Arial"/>
          <w:szCs w:val="20"/>
        </w:rPr>
        <w:t>(continued)</w:t>
      </w:r>
    </w:p>
    <w:p w14:paraId="78D5C7EE" w14:textId="77777777" w:rsidR="000E4AC4" w:rsidRPr="009858B0" w:rsidRDefault="000E4AC4" w:rsidP="00F15B99">
      <w:pPr>
        <w:spacing w:after="0" w:line="240" w:lineRule="auto"/>
        <w:ind w:left="810"/>
        <w:jc w:val="both"/>
        <w:rPr>
          <w:rFonts w:ascii="Arial" w:hAnsi="Arial" w:cs="Arial"/>
          <w:b/>
          <w:szCs w:val="20"/>
        </w:rPr>
      </w:pPr>
    </w:p>
    <w:p w14:paraId="69E8F2B2" w14:textId="0A80505E" w:rsidR="000E4AC4" w:rsidRPr="009858B0" w:rsidRDefault="000E4AC4" w:rsidP="000E4AC4">
      <w:pPr>
        <w:tabs>
          <w:tab w:val="left" w:pos="450"/>
          <w:tab w:val="left" w:pos="810"/>
        </w:tabs>
        <w:spacing w:after="0" w:line="240" w:lineRule="auto"/>
        <w:ind w:left="446"/>
        <w:jc w:val="both"/>
        <w:rPr>
          <w:rFonts w:ascii="Arial" w:hAnsi="Arial" w:cs="Arial"/>
          <w:szCs w:val="20"/>
          <w:lang w:val="en-CA"/>
        </w:rPr>
      </w:pPr>
      <w:r>
        <w:rPr>
          <w:rFonts w:ascii="Arial" w:hAnsi="Arial" w:cs="Arial"/>
          <w:szCs w:val="20"/>
          <w:lang w:val="en-CA"/>
        </w:rPr>
        <w:t>(</w:t>
      </w:r>
      <w:r w:rsidR="00E65D25">
        <w:rPr>
          <w:rFonts w:ascii="Arial" w:hAnsi="Arial" w:cs="Arial"/>
          <w:szCs w:val="20"/>
          <w:lang w:val="en-CA"/>
        </w:rPr>
        <w:t>b</w:t>
      </w:r>
      <w:r w:rsidRPr="009858B0">
        <w:rPr>
          <w:rFonts w:ascii="Arial" w:hAnsi="Arial" w:cs="Arial"/>
          <w:szCs w:val="20"/>
          <w:lang w:val="en-CA"/>
        </w:rPr>
        <w:t xml:space="preserve">) </w:t>
      </w:r>
      <w:r w:rsidRPr="009858B0">
        <w:rPr>
          <w:rFonts w:ascii="Arial" w:hAnsi="Arial" w:cs="Arial"/>
          <w:szCs w:val="20"/>
          <w:lang w:val="en-CA"/>
        </w:rPr>
        <w:tab/>
        <w:t xml:space="preserve">Promissory Note – </w:t>
      </w:r>
      <w:r>
        <w:rPr>
          <w:rFonts w:ascii="Arial" w:hAnsi="Arial" w:cs="Arial"/>
          <w:szCs w:val="20"/>
          <w:lang w:val="en-CA"/>
        </w:rPr>
        <w:t>Altum Pharmaceuticals Inc. (“Altum”)</w:t>
      </w:r>
    </w:p>
    <w:p w14:paraId="28B3832A" w14:textId="77777777" w:rsidR="000E4AC4" w:rsidRDefault="000E4AC4" w:rsidP="000E4AC4">
      <w:pPr>
        <w:tabs>
          <w:tab w:val="left" w:pos="450"/>
        </w:tabs>
        <w:spacing w:after="0" w:line="240" w:lineRule="auto"/>
        <w:ind w:left="810"/>
        <w:jc w:val="both"/>
        <w:rPr>
          <w:rFonts w:ascii="Arial" w:hAnsi="Arial" w:cs="Arial"/>
          <w:szCs w:val="20"/>
          <w:lang w:val="en-CA"/>
        </w:rPr>
      </w:pPr>
    </w:p>
    <w:p w14:paraId="2E329107" w14:textId="2674A0BE" w:rsidR="00E3748C" w:rsidRDefault="000E4AC4" w:rsidP="000E4AC4">
      <w:pPr>
        <w:tabs>
          <w:tab w:val="left" w:pos="450"/>
        </w:tabs>
        <w:spacing w:after="0" w:line="240" w:lineRule="auto"/>
        <w:ind w:left="810"/>
        <w:jc w:val="both"/>
        <w:rPr>
          <w:rFonts w:ascii="Arial" w:hAnsi="Arial" w:cs="Arial"/>
          <w:b/>
          <w:bCs/>
          <w:szCs w:val="20"/>
        </w:rPr>
      </w:pPr>
      <w:r w:rsidRPr="000E4AC4">
        <w:rPr>
          <w:rFonts w:ascii="Arial" w:hAnsi="Arial" w:cs="Arial"/>
          <w:szCs w:val="20"/>
          <w:lang w:val="en-CA"/>
        </w:rPr>
        <w:t>On February 16, 2018, the Company issued a promissory note of up to $560,000, bearing interest at 10% per annum to Altum and maturing on May 15, 2018.  On February 19 and March 1, 2018, $250,000 and $252,464 were advanced to the Company.  On March 2, 2018, the Company repaid the principal amount and accrued interest on the note totaling $503,285</w:t>
      </w:r>
      <w:r>
        <w:rPr>
          <w:rFonts w:ascii="Arial" w:hAnsi="Arial" w:cs="Arial"/>
          <w:szCs w:val="20"/>
          <w:lang w:val="en-CA"/>
        </w:rPr>
        <w:t>.</w:t>
      </w:r>
      <w:r>
        <w:rPr>
          <w:rFonts w:ascii="Arial" w:hAnsi="Arial" w:cs="Arial"/>
          <w:b/>
          <w:bCs/>
          <w:szCs w:val="20"/>
        </w:rPr>
        <w:t xml:space="preserve"> </w:t>
      </w:r>
    </w:p>
    <w:p w14:paraId="66F27A15" w14:textId="77777777" w:rsidR="001D529F" w:rsidRDefault="001D529F" w:rsidP="00F15B99">
      <w:pPr>
        <w:tabs>
          <w:tab w:val="left" w:pos="432"/>
        </w:tabs>
        <w:spacing w:after="0" w:line="240" w:lineRule="auto"/>
        <w:jc w:val="both"/>
        <w:rPr>
          <w:rFonts w:ascii="Arial" w:hAnsi="Arial" w:cs="Arial"/>
          <w:b/>
          <w:bCs/>
          <w:szCs w:val="20"/>
        </w:rPr>
      </w:pPr>
    </w:p>
    <w:p w14:paraId="335D54A3" w14:textId="5FADB6A7" w:rsidR="001B4793" w:rsidRDefault="001B4793" w:rsidP="001B4793">
      <w:pPr>
        <w:tabs>
          <w:tab w:val="left" w:pos="810"/>
        </w:tabs>
        <w:spacing w:after="0" w:line="240" w:lineRule="auto"/>
        <w:ind w:left="450"/>
        <w:jc w:val="both"/>
        <w:rPr>
          <w:rFonts w:ascii="Arial" w:hAnsi="Arial" w:cs="Arial"/>
          <w:bCs/>
          <w:szCs w:val="20"/>
        </w:rPr>
      </w:pPr>
      <w:r w:rsidRPr="001B4793">
        <w:rPr>
          <w:rFonts w:ascii="Arial" w:hAnsi="Arial" w:cs="Arial"/>
          <w:bCs/>
          <w:szCs w:val="20"/>
        </w:rPr>
        <w:t>(c)</w:t>
      </w:r>
      <w:r w:rsidRPr="001B4793">
        <w:rPr>
          <w:rFonts w:ascii="Arial" w:hAnsi="Arial" w:cs="Arial"/>
          <w:bCs/>
          <w:szCs w:val="20"/>
        </w:rPr>
        <w:tab/>
        <w:t>Promissory Note – Third Party</w:t>
      </w:r>
    </w:p>
    <w:p w14:paraId="2644FEA9" w14:textId="77777777" w:rsidR="001B4793" w:rsidRDefault="001B4793" w:rsidP="001B4793">
      <w:pPr>
        <w:tabs>
          <w:tab w:val="left" w:pos="810"/>
        </w:tabs>
        <w:spacing w:after="0" w:line="240" w:lineRule="auto"/>
        <w:ind w:left="450"/>
        <w:jc w:val="both"/>
        <w:rPr>
          <w:rFonts w:ascii="Arial" w:hAnsi="Arial" w:cs="Arial"/>
          <w:bCs/>
          <w:szCs w:val="20"/>
        </w:rPr>
      </w:pPr>
    </w:p>
    <w:p w14:paraId="12EB85A5" w14:textId="6216D386" w:rsidR="001B4793" w:rsidRDefault="001B4793" w:rsidP="001B4793">
      <w:pPr>
        <w:tabs>
          <w:tab w:val="left" w:pos="810"/>
        </w:tabs>
        <w:spacing w:after="0" w:line="240" w:lineRule="auto"/>
        <w:ind w:left="810"/>
        <w:jc w:val="both"/>
        <w:rPr>
          <w:rFonts w:ascii="Arial" w:hAnsi="Arial" w:cs="Arial"/>
          <w:bCs/>
          <w:szCs w:val="20"/>
        </w:rPr>
      </w:pPr>
      <w:r w:rsidRPr="001B4793">
        <w:rPr>
          <w:rFonts w:ascii="Arial" w:hAnsi="Arial" w:cs="Arial"/>
          <w:bCs/>
          <w:szCs w:val="20"/>
        </w:rPr>
        <w:t xml:space="preserve">On March 5, 2019, the Company issued a promissory note of $300,000, bearing interest at 10% per annum and maturing on September 5, 2019.  Pursuant to the issuance of this promissory note, the Company issued 100,000 </w:t>
      </w:r>
      <w:r w:rsidR="00F07391">
        <w:rPr>
          <w:rFonts w:ascii="Arial" w:hAnsi="Arial" w:cs="Arial"/>
          <w:bCs/>
          <w:szCs w:val="20"/>
        </w:rPr>
        <w:t>common shares</w:t>
      </w:r>
      <w:r w:rsidRPr="001B4793">
        <w:rPr>
          <w:rFonts w:ascii="Arial" w:hAnsi="Arial" w:cs="Arial"/>
          <w:bCs/>
          <w:szCs w:val="20"/>
        </w:rPr>
        <w:t xml:space="preserve"> as a loan originat</w:t>
      </w:r>
      <w:r>
        <w:rPr>
          <w:rFonts w:ascii="Arial" w:hAnsi="Arial" w:cs="Arial"/>
          <w:bCs/>
          <w:szCs w:val="20"/>
        </w:rPr>
        <w:t>ion fee (Note 11</w:t>
      </w:r>
      <w:r w:rsidRPr="001B4793">
        <w:rPr>
          <w:rFonts w:ascii="Arial" w:hAnsi="Arial" w:cs="Arial"/>
          <w:bCs/>
          <w:szCs w:val="20"/>
        </w:rPr>
        <w:t xml:space="preserve">(a)) and incurred cash finders’ fee of $24,000. </w:t>
      </w:r>
    </w:p>
    <w:p w14:paraId="00C8BCE9" w14:textId="7072BA7B" w:rsidR="001B4793" w:rsidRPr="001B4793" w:rsidRDefault="001B4793" w:rsidP="001B4793">
      <w:pPr>
        <w:tabs>
          <w:tab w:val="left" w:pos="810"/>
        </w:tabs>
        <w:spacing w:after="0" w:line="240" w:lineRule="auto"/>
        <w:ind w:left="810"/>
        <w:jc w:val="both"/>
        <w:rPr>
          <w:rFonts w:ascii="Arial" w:hAnsi="Arial" w:cs="Arial"/>
          <w:bCs/>
          <w:szCs w:val="20"/>
        </w:rPr>
      </w:pPr>
      <w:r w:rsidRPr="001B4793">
        <w:rPr>
          <w:rFonts w:ascii="Arial" w:hAnsi="Arial" w:cs="Arial"/>
          <w:bCs/>
          <w:szCs w:val="20"/>
        </w:rPr>
        <w:t xml:space="preserve"> </w:t>
      </w:r>
    </w:p>
    <w:p w14:paraId="3003E999" w14:textId="24BEF726" w:rsidR="001B4793" w:rsidRDefault="001B4793" w:rsidP="001B4793">
      <w:pPr>
        <w:tabs>
          <w:tab w:val="left" w:pos="810"/>
        </w:tabs>
        <w:spacing w:after="0" w:line="240" w:lineRule="auto"/>
        <w:ind w:left="810"/>
        <w:jc w:val="both"/>
        <w:rPr>
          <w:rFonts w:ascii="Arial" w:hAnsi="Arial" w:cs="Arial"/>
          <w:bCs/>
          <w:szCs w:val="20"/>
        </w:rPr>
      </w:pPr>
      <w:r>
        <w:rPr>
          <w:rFonts w:ascii="Arial" w:hAnsi="Arial" w:cs="Arial"/>
          <w:bCs/>
          <w:szCs w:val="20"/>
        </w:rPr>
        <w:t xml:space="preserve">Interest expense for </w:t>
      </w:r>
      <w:r w:rsidRPr="001B4793">
        <w:rPr>
          <w:rFonts w:ascii="Arial" w:hAnsi="Arial" w:cs="Arial"/>
          <w:bCs/>
          <w:szCs w:val="20"/>
        </w:rPr>
        <w:t xml:space="preserve">the </w:t>
      </w:r>
      <w:r w:rsidR="003B5961">
        <w:rPr>
          <w:rFonts w:ascii="Arial" w:hAnsi="Arial" w:cs="Arial"/>
          <w:bCs/>
          <w:szCs w:val="20"/>
        </w:rPr>
        <w:t xml:space="preserve">three and </w:t>
      </w:r>
      <w:r>
        <w:rPr>
          <w:rFonts w:ascii="Arial" w:hAnsi="Arial" w:cs="Arial"/>
          <w:bCs/>
          <w:szCs w:val="20"/>
        </w:rPr>
        <w:t>six</w:t>
      </w:r>
      <w:r w:rsidRPr="001B4793">
        <w:rPr>
          <w:rFonts w:ascii="Arial" w:hAnsi="Arial" w:cs="Arial"/>
          <w:bCs/>
          <w:szCs w:val="20"/>
        </w:rPr>
        <w:t xml:space="preserve"> months ended </w:t>
      </w:r>
      <w:r>
        <w:rPr>
          <w:rFonts w:ascii="Arial" w:hAnsi="Arial" w:cs="Arial"/>
          <w:bCs/>
          <w:szCs w:val="20"/>
        </w:rPr>
        <w:t>July 31</w:t>
      </w:r>
      <w:r w:rsidRPr="001B4793">
        <w:rPr>
          <w:rFonts w:ascii="Arial" w:hAnsi="Arial" w:cs="Arial"/>
          <w:bCs/>
          <w:szCs w:val="20"/>
        </w:rPr>
        <w:t>, 2019 was $</w:t>
      </w:r>
      <w:r w:rsidR="003B5961">
        <w:rPr>
          <w:rFonts w:ascii="Arial" w:hAnsi="Arial" w:cs="Arial"/>
          <w:bCs/>
          <w:szCs w:val="20"/>
        </w:rPr>
        <w:t>2,551 and $7,159, respectively</w:t>
      </w:r>
      <w:r w:rsidRPr="001B4793">
        <w:rPr>
          <w:rFonts w:ascii="Arial" w:hAnsi="Arial" w:cs="Arial"/>
          <w:bCs/>
          <w:szCs w:val="20"/>
        </w:rPr>
        <w:t xml:space="preserve"> (</w:t>
      </w:r>
      <w:r w:rsidR="003B5961">
        <w:rPr>
          <w:rFonts w:ascii="Arial" w:hAnsi="Arial" w:cs="Arial"/>
          <w:bCs/>
          <w:szCs w:val="20"/>
        </w:rPr>
        <w:t xml:space="preserve">three and six months ended July 31, </w:t>
      </w:r>
      <w:r w:rsidRPr="001B4793">
        <w:rPr>
          <w:rFonts w:ascii="Arial" w:hAnsi="Arial" w:cs="Arial"/>
          <w:bCs/>
          <w:szCs w:val="20"/>
        </w:rPr>
        <w:t>2018</w:t>
      </w:r>
      <w:r w:rsidR="003B5961">
        <w:rPr>
          <w:rFonts w:ascii="Arial" w:hAnsi="Arial" w:cs="Arial"/>
          <w:bCs/>
          <w:szCs w:val="20"/>
        </w:rPr>
        <w:t xml:space="preserve"> </w:t>
      </w:r>
      <w:r w:rsidRPr="001B4793">
        <w:rPr>
          <w:rFonts w:ascii="Arial" w:hAnsi="Arial" w:cs="Arial"/>
          <w:bCs/>
          <w:szCs w:val="20"/>
        </w:rPr>
        <w:t>-</w:t>
      </w:r>
      <w:r w:rsidR="003B5961">
        <w:rPr>
          <w:rFonts w:ascii="Arial" w:hAnsi="Arial" w:cs="Arial"/>
          <w:bCs/>
          <w:szCs w:val="20"/>
        </w:rPr>
        <w:t xml:space="preserve"> </w:t>
      </w:r>
      <w:r w:rsidRPr="001B4793">
        <w:rPr>
          <w:rFonts w:ascii="Arial" w:hAnsi="Arial" w:cs="Arial"/>
          <w:bCs/>
          <w:szCs w:val="20"/>
        </w:rPr>
        <w:t>$nil</w:t>
      </w:r>
      <w:r w:rsidR="003B5961">
        <w:rPr>
          <w:rFonts w:ascii="Arial" w:hAnsi="Arial" w:cs="Arial"/>
          <w:bCs/>
          <w:szCs w:val="20"/>
        </w:rPr>
        <w:t xml:space="preserve"> and $nil, respectively</w:t>
      </w:r>
      <w:r w:rsidRPr="001B4793">
        <w:rPr>
          <w:rFonts w:ascii="Arial" w:hAnsi="Arial" w:cs="Arial"/>
          <w:bCs/>
          <w:szCs w:val="20"/>
        </w:rPr>
        <w:t xml:space="preserve">). </w:t>
      </w:r>
    </w:p>
    <w:p w14:paraId="52634EC8" w14:textId="77777777" w:rsidR="001B4793" w:rsidRPr="001B4793" w:rsidRDefault="001B4793" w:rsidP="001B4793">
      <w:pPr>
        <w:tabs>
          <w:tab w:val="left" w:pos="810"/>
        </w:tabs>
        <w:spacing w:after="0" w:line="240" w:lineRule="auto"/>
        <w:ind w:left="810"/>
        <w:jc w:val="both"/>
        <w:rPr>
          <w:rFonts w:ascii="Arial" w:hAnsi="Arial" w:cs="Arial"/>
          <w:bCs/>
          <w:szCs w:val="20"/>
        </w:rPr>
      </w:pPr>
    </w:p>
    <w:p w14:paraId="3FEA52A4" w14:textId="5818DD6C" w:rsidR="001B4793" w:rsidRDefault="003C6FED" w:rsidP="001B4793">
      <w:pPr>
        <w:tabs>
          <w:tab w:val="left" w:pos="810"/>
        </w:tabs>
        <w:spacing w:after="0" w:line="240" w:lineRule="auto"/>
        <w:ind w:left="810"/>
        <w:jc w:val="both"/>
        <w:rPr>
          <w:rFonts w:ascii="Arial" w:hAnsi="Arial" w:cs="Arial"/>
          <w:bCs/>
          <w:szCs w:val="20"/>
        </w:rPr>
      </w:pPr>
      <w:r>
        <w:rPr>
          <w:rFonts w:ascii="Arial" w:hAnsi="Arial" w:cs="Arial"/>
          <w:bCs/>
          <w:szCs w:val="20"/>
        </w:rPr>
        <w:t>On May 31, 2019, the Company repaid the principal amount and accrued interest on the promissory note totaling $</w:t>
      </w:r>
      <w:r w:rsidR="00A81C39">
        <w:rPr>
          <w:rFonts w:ascii="Arial" w:hAnsi="Arial" w:cs="Arial"/>
          <w:bCs/>
          <w:szCs w:val="20"/>
        </w:rPr>
        <w:t>307,159.</w:t>
      </w:r>
      <w:r>
        <w:rPr>
          <w:rFonts w:ascii="Arial" w:hAnsi="Arial" w:cs="Arial"/>
          <w:bCs/>
          <w:szCs w:val="20"/>
        </w:rPr>
        <w:t xml:space="preserve">  </w:t>
      </w:r>
    </w:p>
    <w:p w14:paraId="46D22C17" w14:textId="77777777" w:rsidR="001B4793" w:rsidRPr="001B4793" w:rsidRDefault="001B4793" w:rsidP="001B4793">
      <w:pPr>
        <w:tabs>
          <w:tab w:val="left" w:pos="810"/>
        </w:tabs>
        <w:spacing w:after="0" w:line="240" w:lineRule="auto"/>
        <w:ind w:left="810"/>
        <w:jc w:val="both"/>
        <w:rPr>
          <w:rFonts w:ascii="Arial" w:hAnsi="Arial" w:cs="Arial"/>
          <w:bCs/>
          <w:szCs w:val="20"/>
        </w:rPr>
      </w:pPr>
    </w:p>
    <w:p w14:paraId="64F28C30" w14:textId="00D8DA1F" w:rsidR="00790828" w:rsidRPr="009858B0" w:rsidRDefault="000E4AC4" w:rsidP="00F15B99">
      <w:pPr>
        <w:tabs>
          <w:tab w:val="left" w:pos="432"/>
        </w:tabs>
        <w:spacing w:after="0" w:line="240" w:lineRule="auto"/>
        <w:jc w:val="both"/>
        <w:rPr>
          <w:rFonts w:ascii="Arial" w:hAnsi="Arial" w:cs="Arial"/>
          <w:b/>
          <w:bCs/>
          <w:szCs w:val="20"/>
        </w:rPr>
      </w:pPr>
      <w:r>
        <w:rPr>
          <w:rFonts w:ascii="Arial" w:hAnsi="Arial" w:cs="Arial"/>
          <w:b/>
          <w:bCs/>
          <w:szCs w:val="20"/>
        </w:rPr>
        <w:t>11</w:t>
      </w:r>
      <w:r w:rsidR="00790828" w:rsidRPr="009858B0">
        <w:rPr>
          <w:rFonts w:ascii="Arial" w:hAnsi="Arial" w:cs="Arial"/>
          <w:b/>
          <w:bCs/>
          <w:szCs w:val="20"/>
        </w:rPr>
        <w:t>.</w:t>
      </w:r>
      <w:r w:rsidR="00790828" w:rsidRPr="009858B0">
        <w:rPr>
          <w:rFonts w:ascii="Arial" w:hAnsi="Arial" w:cs="Arial"/>
          <w:b/>
          <w:bCs/>
          <w:szCs w:val="20"/>
        </w:rPr>
        <w:tab/>
        <w:t xml:space="preserve">Common </w:t>
      </w:r>
      <w:r w:rsidR="00E050EF">
        <w:rPr>
          <w:rFonts w:ascii="Arial" w:hAnsi="Arial" w:cs="Arial"/>
          <w:b/>
          <w:bCs/>
          <w:szCs w:val="20"/>
        </w:rPr>
        <w:t>Shares</w:t>
      </w:r>
    </w:p>
    <w:p w14:paraId="0896440A" w14:textId="77777777" w:rsidR="00CE6BA6" w:rsidRDefault="00CE6BA6" w:rsidP="00F15B99">
      <w:pPr>
        <w:tabs>
          <w:tab w:val="left" w:pos="432"/>
        </w:tabs>
        <w:spacing w:after="0" w:line="240" w:lineRule="auto"/>
        <w:ind w:left="426" w:hanging="11"/>
        <w:jc w:val="both"/>
        <w:rPr>
          <w:rFonts w:ascii="Arial" w:hAnsi="Arial" w:cs="Arial"/>
          <w:bCs/>
          <w:szCs w:val="20"/>
        </w:rPr>
      </w:pPr>
    </w:p>
    <w:p w14:paraId="7DA3FD96" w14:textId="4B3AB59D" w:rsidR="00E565BC" w:rsidRDefault="00E565BC" w:rsidP="005639E1">
      <w:pPr>
        <w:tabs>
          <w:tab w:val="left" w:pos="432"/>
        </w:tabs>
        <w:spacing w:after="0" w:line="240" w:lineRule="auto"/>
        <w:ind w:left="426" w:hanging="11"/>
        <w:jc w:val="both"/>
        <w:rPr>
          <w:rFonts w:ascii="Arial" w:hAnsi="Arial" w:cs="Arial"/>
        </w:rPr>
      </w:pPr>
      <w:r>
        <w:rPr>
          <w:rFonts w:ascii="Arial" w:hAnsi="Arial" w:cs="Arial"/>
        </w:rPr>
        <w:t>Unlimited</w:t>
      </w:r>
      <w:r w:rsidRPr="009F3026">
        <w:rPr>
          <w:rFonts w:ascii="Arial" w:hAnsi="Arial" w:cs="Arial"/>
        </w:rPr>
        <w:t xml:space="preserve"> </w:t>
      </w:r>
      <w:r>
        <w:rPr>
          <w:rFonts w:ascii="Arial" w:hAnsi="Arial" w:cs="Arial"/>
        </w:rPr>
        <w:t xml:space="preserve">number of common </w:t>
      </w:r>
      <w:r w:rsidRPr="009F3026">
        <w:rPr>
          <w:rFonts w:ascii="Arial" w:hAnsi="Arial" w:cs="Arial"/>
        </w:rPr>
        <w:t xml:space="preserve">shares </w:t>
      </w:r>
      <w:r>
        <w:rPr>
          <w:rFonts w:ascii="Arial" w:hAnsi="Arial" w:cs="Arial"/>
        </w:rPr>
        <w:t>without par value</w:t>
      </w:r>
    </w:p>
    <w:p w14:paraId="00FB7EC3" w14:textId="77777777" w:rsidR="00E565BC" w:rsidRDefault="00E565BC" w:rsidP="005639E1">
      <w:pPr>
        <w:tabs>
          <w:tab w:val="left" w:pos="432"/>
        </w:tabs>
        <w:spacing w:after="0" w:line="240" w:lineRule="auto"/>
        <w:ind w:left="426" w:hanging="11"/>
        <w:jc w:val="both"/>
        <w:rPr>
          <w:rFonts w:ascii="Arial" w:hAnsi="Arial" w:cs="Arial"/>
          <w:bCs/>
          <w:szCs w:val="20"/>
        </w:rPr>
      </w:pPr>
    </w:p>
    <w:p w14:paraId="7E4C9D05" w14:textId="178172AC" w:rsidR="00CE6BA6" w:rsidRDefault="00CE6BA6" w:rsidP="005639E1">
      <w:pPr>
        <w:tabs>
          <w:tab w:val="left" w:pos="432"/>
        </w:tabs>
        <w:spacing w:after="0" w:line="240" w:lineRule="auto"/>
        <w:ind w:left="426" w:hanging="11"/>
        <w:jc w:val="both"/>
        <w:rPr>
          <w:rFonts w:ascii="Arial" w:hAnsi="Arial" w:cs="Arial"/>
          <w:bCs/>
          <w:szCs w:val="20"/>
        </w:rPr>
      </w:pPr>
      <w:r w:rsidRPr="00AD3813">
        <w:rPr>
          <w:rFonts w:ascii="Arial" w:hAnsi="Arial" w:cs="Arial"/>
          <w:bCs/>
          <w:szCs w:val="20"/>
        </w:rPr>
        <w:t xml:space="preserve">During the </w:t>
      </w:r>
      <w:r w:rsidR="00E050EF">
        <w:rPr>
          <w:rFonts w:ascii="Arial" w:hAnsi="Arial" w:cs="Arial"/>
          <w:bCs/>
          <w:szCs w:val="20"/>
        </w:rPr>
        <w:t>six months</w:t>
      </w:r>
      <w:r w:rsidRPr="00AD3813">
        <w:rPr>
          <w:rFonts w:ascii="Arial" w:hAnsi="Arial" w:cs="Arial"/>
          <w:bCs/>
          <w:szCs w:val="20"/>
        </w:rPr>
        <w:t xml:space="preserve"> ended </w:t>
      </w:r>
      <w:r w:rsidR="00E050EF">
        <w:rPr>
          <w:rFonts w:ascii="Arial" w:hAnsi="Arial" w:cs="Arial"/>
          <w:bCs/>
          <w:szCs w:val="20"/>
        </w:rPr>
        <w:t>July</w:t>
      </w:r>
      <w:r w:rsidRPr="00AD3813">
        <w:rPr>
          <w:rFonts w:ascii="Arial" w:hAnsi="Arial" w:cs="Arial"/>
          <w:bCs/>
          <w:szCs w:val="20"/>
        </w:rPr>
        <w:t xml:space="preserve"> 31, 2019:</w:t>
      </w:r>
    </w:p>
    <w:p w14:paraId="5C30C98B" w14:textId="77777777" w:rsidR="00CE6BA6" w:rsidRPr="005778E8" w:rsidRDefault="00CE6BA6" w:rsidP="005639E1">
      <w:pPr>
        <w:tabs>
          <w:tab w:val="left" w:pos="432"/>
        </w:tabs>
        <w:spacing w:after="0" w:line="240" w:lineRule="auto"/>
        <w:ind w:left="426" w:hanging="11"/>
        <w:jc w:val="both"/>
        <w:rPr>
          <w:rFonts w:ascii="Arial" w:hAnsi="Arial" w:cs="Arial"/>
          <w:bCs/>
          <w:szCs w:val="20"/>
        </w:rPr>
      </w:pPr>
    </w:p>
    <w:p w14:paraId="3DCB7888" w14:textId="4C76E05B"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lang w:val="en-CA"/>
        </w:rPr>
      </w:pPr>
      <w:r w:rsidRPr="00E050EF">
        <w:rPr>
          <w:rFonts w:ascii="Arial" w:hAnsi="Arial" w:cs="Arial"/>
          <w:szCs w:val="20"/>
          <w:lang w:val="en-CA"/>
        </w:rPr>
        <w:t xml:space="preserve">On March 5, 2019, the Company issued 100,000 </w:t>
      </w:r>
      <w:r w:rsidR="00FC7923">
        <w:rPr>
          <w:rFonts w:ascii="Arial" w:hAnsi="Arial" w:cs="Arial"/>
          <w:szCs w:val="20"/>
          <w:lang w:val="en-CA"/>
        </w:rPr>
        <w:t>common shares</w:t>
      </w:r>
      <w:r w:rsidRPr="00E050EF">
        <w:rPr>
          <w:rFonts w:ascii="Arial" w:hAnsi="Arial" w:cs="Arial"/>
          <w:szCs w:val="20"/>
          <w:lang w:val="en-CA"/>
        </w:rPr>
        <w:t xml:space="preserve"> to a third party as a loan origination fee (Note </w:t>
      </w:r>
      <w:r w:rsidR="00A81C39">
        <w:rPr>
          <w:rFonts w:ascii="Arial" w:hAnsi="Arial" w:cs="Arial"/>
          <w:szCs w:val="20"/>
          <w:lang w:val="en-CA"/>
        </w:rPr>
        <w:t>10</w:t>
      </w:r>
      <w:r w:rsidRPr="00E050EF">
        <w:rPr>
          <w:rFonts w:ascii="Arial" w:hAnsi="Arial" w:cs="Arial"/>
          <w:szCs w:val="20"/>
          <w:lang w:val="en-CA"/>
        </w:rPr>
        <w:t>(c))</w:t>
      </w:r>
      <w:r w:rsidR="00B44CE2" w:rsidRPr="007B24D9">
        <w:rPr>
          <w:rFonts w:ascii="Arial" w:hAnsi="Arial" w:cs="Arial"/>
          <w:szCs w:val="20"/>
          <w:lang w:val="en-CA"/>
        </w:rPr>
        <w:t>.</w:t>
      </w:r>
    </w:p>
    <w:p w14:paraId="2DB44A64" w14:textId="77777777" w:rsidR="00B44CE2" w:rsidRPr="007B24D9" w:rsidRDefault="00B44CE2" w:rsidP="005639E1">
      <w:pPr>
        <w:tabs>
          <w:tab w:val="left" w:pos="810"/>
        </w:tabs>
        <w:spacing w:after="0" w:line="240" w:lineRule="auto"/>
        <w:jc w:val="both"/>
        <w:rPr>
          <w:rFonts w:ascii="Arial" w:hAnsi="Arial" w:cs="Arial"/>
          <w:szCs w:val="20"/>
          <w:lang w:val="en-CA"/>
        </w:rPr>
      </w:pPr>
    </w:p>
    <w:p w14:paraId="41DBD605" w14:textId="22FB1775" w:rsidR="00B44CE2" w:rsidRPr="00040621"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March 23, 2019, the Company issued </w:t>
      </w:r>
      <w:r w:rsidR="00FC7923">
        <w:rPr>
          <w:rFonts w:ascii="Arial" w:hAnsi="Arial" w:cs="Arial"/>
          <w:szCs w:val="20"/>
        </w:rPr>
        <w:t>35</w:t>
      </w:r>
      <w:r w:rsidRPr="00E050EF">
        <w:rPr>
          <w:rFonts w:ascii="Arial" w:hAnsi="Arial" w:cs="Arial"/>
          <w:szCs w:val="20"/>
        </w:rPr>
        <w:t>,714 to</w:t>
      </w:r>
      <w:r w:rsidR="00FC7923">
        <w:rPr>
          <w:rFonts w:ascii="Arial" w:hAnsi="Arial" w:cs="Arial"/>
          <w:szCs w:val="20"/>
        </w:rPr>
        <w:t xml:space="preserve"> a</w:t>
      </w:r>
      <w:r w:rsidRPr="00E050EF">
        <w:rPr>
          <w:rFonts w:ascii="Arial" w:hAnsi="Arial" w:cs="Arial"/>
          <w:szCs w:val="20"/>
        </w:rPr>
        <w:t xml:space="preserve"> third </w:t>
      </w:r>
      <w:r w:rsidR="00FC7923">
        <w:rPr>
          <w:rFonts w:ascii="Arial" w:hAnsi="Arial" w:cs="Arial"/>
          <w:szCs w:val="20"/>
        </w:rPr>
        <w:t>party</w:t>
      </w:r>
      <w:r w:rsidRPr="00E050EF">
        <w:rPr>
          <w:rFonts w:ascii="Arial" w:hAnsi="Arial" w:cs="Arial"/>
          <w:szCs w:val="20"/>
        </w:rPr>
        <w:t xml:space="preserve"> for services provided.  On the same date, the </w:t>
      </w:r>
      <w:r w:rsidRPr="00040621">
        <w:rPr>
          <w:rFonts w:ascii="Arial" w:hAnsi="Arial" w:cs="Arial"/>
          <w:szCs w:val="20"/>
        </w:rPr>
        <w:t xml:space="preserve">Company issued </w:t>
      </w:r>
      <w:r w:rsidR="00FC7923" w:rsidRPr="00040621">
        <w:rPr>
          <w:rFonts w:ascii="Arial" w:hAnsi="Arial" w:cs="Arial"/>
          <w:szCs w:val="20"/>
        </w:rPr>
        <w:t xml:space="preserve">1,000,000 common shares to a third party for settlement of accounts payable and </w:t>
      </w:r>
      <w:r w:rsidRPr="00040621">
        <w:rPr>
          <w:rFonts w:ascii="Arial" w:hAnsi="Arial" w:cs="Arial"/>
          <w:szCs w:val="20"/>
        </w:rPr>
        <w:t xml:space="preserve">690,323 </w:t>
      </w:r>
      <w:r w:rsidR="00FC7923" w:rsidRPr="00040621">
        <w:rPr>
          <w:rFonts w:ascii="Arial" w:hAnsi="Arial" w:cs="Arial"/>
          <w:szCs w:val="20"/>
        </w:rPr>
        <w:t>common shares</w:t>
      </w:r>
      <w:r w:rsidRPr="00040621">
        <w:rPr>
          <w:rFonts w:ascii="Arial" w:hAnsi="Arial" w:cs="Arial"/>
          <w:szCs w:val="20"/>
        </w:rPr>
        <w:t xml:space="preserve"> to directors and officers to settle outstanding compensation (Notes 1</w:t>
      </w:r>
      <w:r w:rsidR="00040621" w:rsidRPr="00040621">
        <w:rPr>
          <w:rFonts w:ascii="Arial" w:hAnsi="Arial" w:cs="Arial"/>
          <w:szCs w:val="20"/>
        </w:rPr>
        <w:t>5(e</w:t>
      </w:r>
      <w:r w:rsidRPr="00040621">
        <w:rPr>
          <w:rFonts w:ascii="Arial" w:hAnsi="Arial" w:cs="Arial"/>
          <w:szCs w:val="20"/>
        </w:rPr>
        <w:t>), (</w:t>
      </w:r>
      <w:r w:rsidR="00040621" w:rsidRPr="00040621">
        <w:rPr>
          <w:rFonts w:ascii="Arial" w:hAnsi="Arial" w:cs="Arial"/>
          <w:szCs w:val="20"/>
        </w:rPr>
        <w:t>f</w:t>
      </w:r>
      <w:r w:rsidRPr="00040621">
        <w:rPr>
          <w:rFonts w:ascii="Arial" w:hAnsi="Arial" w:cs="Arial"/>
          <w:szCs w:val="20"/>
        </w:rPr>
        <w:t>) and (</w:t>
      </w:r>
      <w:r w:rsidR="00040621" w:rsidRPr="00040621">
        <w:rPr>
          <w:rFonts w:ascii="Arial" w:hAnsi="Arial" w:cs="Arial"/>
          <w:szCs w:val="20"/>
        </w:rPr>
        <w:t>g</w:t>
      </w:r>
      <w:r w:rsidRPr="00040621">
        <w:rPr>
          <w:rFonts w:ascii="Arial" w:hAnsi="Arial" w:cs="Arial"/>
          <w:szCs w:val="20"/>
        </w:rPr>
        <w:t>))</w:t>
      </w:r>
      <w:r w:rsidR="00B44CE2" w:rsidRPr="00040621">
        <w:rPr>
          <w:rFonts w:ascii="Arial" w:hAnsi="Arial" w:cs="Arial"/>
          <w:szCs w:val="20"/>
        </w:rPr>
        <w:t>.</w:t>
      </w:r>
    </w:p>
    <w:p w14:paraId="5BA7E002" w14:textId="77777777" w:rsidR="00B44CE2" w:rsidRPr="007B24D9" w:rsidRDefault="00B44CE2" w:rsidP="005639E1">
      <w:pPr>
        <w:tabs>
          <w:tab w:val="left" w:pos="810"/>
        </w:tabs>
        <w:spacing w:after="0" w:line="240" w:lineRule="auto"/>
        <w:jc w:val="both"/>
        <w:rPr>
          <w:rFonts w:ascii="Arial" w:hAnsi="Arial" w:cs="Arial"/>
          <w:szCs w:val="20"/>
        </w:rPr>
      </w:pPr>
    </w:p>
    <w:p w14:paraId="29AE44C6" w14:textId="252203DA"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the Company issued 60,515 </w:t>
      </w:r>
      <w:r w:rsidR="00F07391">
        <w:rPr>
          <w:rFonts w:ascii="Arial" w:hAnsi="Arial" w:cs="Arial"/>
          <w:szCs w:val="20"/>
        </w:rPr>
        <w:t>common shares</w:t>
      </w:r>
      <w:r w:rsidRPr="00E050EF">
        <w:rPr>
          <w:rFonts w:ascii="Arial" w:hAnsi="Arial" w:cs="Arial"/>
          <w:szCs w:val="20"/>
        </w:rPr>
        <w:t xml:space="preserve"> as an extension fee for an outstanding obligation (Note 4(b))</w:t>
      </w:r>
      <w:r w:rsidR="00A841E0">
        <w:rPr>
          <w:rFonts w:ascii="Arial" w:hAnsi="Arial" w:cs="Arial"/>
          <w:szCs w:val="20"/>
        </w:rPr>
        <w:t>.</w:t>
      </w:r>
    </w:p>
    <w:p w14:paraId="16C37523" w14:textId="320B0307" w:rsidR="00B44CE2" w:rsidRPr="007B24D9" w:rsidRDefault="002D1AA7" w:rsidP="005639E1">
      <w:pPr>
        <w:tabs>
          <w:tab w:val="left" w:pos="3504"/>
        </w:tabs>
        <w:spacing w:after="0" w:line="240" w:lineRule="auto"/>
        <w:jc w:val="both"/>
        <w:rPr>
          <w:rFonts w:ascii="Arial" w:hAnsi="Arial" w:cs="Arial"/>
          <w:szCs w:val="20"/>
        </w:rPr>
      </w:pPr>
      <w:r>
        <w:rPr>
          <w:rFonts w:ascii="Arial" w:hAnsi="Arial" w:cs="Arial"/>
          <w:szCs w:val="20"/>
        </w:rPr>
        <w:tab/>
      </w:r>
    </w:p>
    <w:p w14:paraId="1D913A4C" w14:textId="53FC1FC0" w:rsidR="00B44CE2"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April 8, 2019, a private placement was closed for an aggregate of 6,950,000 units, consisting of one common share and one share purchase warrant, at price of $0.20 per unit, for gross proceeds of $1,390,000.  Each share purchase warrant entitles the holder to purchase one common share at a price of $0.30 per share and has an expiry term of three (3) years.  Finders’ fees consisted of cash payments of $80,000 and issuance of 508,000 </w:t>
      </w:r>
      <w:r w:rsidR="00F07391">
        <w:rPr>
          <w:rFonts w:ascii="Arial" w:hAnsi="Arial" w:cs="Arial"/>
          <w:szCs w:val="20"/>
        </w:rPr>
        <w:t>common shares</w:t>
      </w:r>
      <w:r w:rsidRPr="00E050EF">
        <w:rPr>
          <w:rFonts w:ascii="Arial" w:hAnsi="Arial" w:cs="Arial"/>
          <w:szCs w:val="20"/>
        </w:rPr>
        <w:t xml:space="preserve"> and 108,000 share purchase warrants entitling the holders to purchase one common share at a price of $0.30 per share and </w:t>
      </w:r>
      <w:r w:rsidR="00DB3EFB">
        <w:rPr>
          <w:rFonts w:ascii="Arial" w:hAnsi="Arial" w:cs="Arial"/>
          <w:szCs w:val="20"/>
        </w:rPr>
        <w:t>with</w:t>
      </w:r>
      <w:r w:rsidRPr="00E050EF">
        <w:rPr>
          <w:rFonts w:ascii="Arial" w:hAnsi="Arial" w:cs="Arial"/>
          <w:szCs w:val="20"/>
        </w:rPr>
        <w:t xml:space="preserve"> an expiry term of three (3) years</w:t>
      </w:r>
      <w:r w:rsidR="00B44CE2" w:rsidRPr="007B24D9">
        <w:rPr>
          <w:rFonts w:ascii="Arial" w:hAnsi="Arial" w:cs="Arial"/>
          <w:szCs w:val="20"/>
        </w:rPr>
        <w:t xml:space="preserve">.  </w:t>
      </w:r>
    </w:p>
    <w:p w14:paraId="3D4BDC90" w14:textId="77777777" w:rsidR="00B44CE2" w:rsidRDefault="00B44CE2" w:rsidP="005639E1">
      <w:pPr>
        <w:tabs>
          <w:tab w:val="left" w:pos="810"/>
        </w:tabs>
        <w:spacing w:after="0" w:line="240" w:lineRule="auto"/>
        <w:jc w:val="both"/>
        <w:rPr>
          <w:rFonts w:ascii="Arial" w:hAnsi="Arial" w:cs="Arial"/>
          <w:szCs w:val="20"/>
        </w:rPr>
      </w:pPr>
    </w:p>
    <w:p w14:paraId="11C7B3F7" w14:textId="77777777" w:rsidR="00991E5D" w:rsidRDefault="00991E5D">
      <w:pPr>
        <w:rPr>
          <w:rFonts w:ascii="Arial" w:hAnsi="Arial" w:cs="Arial"/>
          <w:b/>
          <w:bCs/>
          <w:szCs w:val="20"/>
        </w:rPr>
      </w:pPr>
      <w:r>
        <w:rPr>
          <w:rFonts w:ascii="Arial" w:hAnsi="Arial" w:cs="Arial"/>
          <w:b/>
          <w:bCs/>
          <w:szCs w:val="20"/>
        </w:rPr>
        <w:br w:type="page"/>
      </w:r>
    </w:p>
    <w:p w14:paraId="1D4DDAFA" w14:textId="4ED66403" w:rsidR="00991E5D" w:rsidRPr="001D529F" w:rsidRDefault="00991E5D" w:rsidP="00991E5D">
      <w:pPr>
        <w:tabs>
          <w:tab w:val="left" w:pos="432"/>
        </w:tabs>
        <w:spacing w:after="0" w:line="240" w:lineRule="auto"/>
        <w:jc w:val="both"/>
        <w:rPr>
          <w:rFonts w:ascii="Arial" w:hAnsi="Arial" w:cs="Arial"/>
          <w:bCs/>
          <w:szCs w:val="20"/>
        </w:rPr>
      </w:pPr>
      <w:r w:rsidRPr="001D529F">
        <w:rPr>
          <w:rFonts w:ascii="Arial" w:hAnsi="Arial" w:cs="Arial"/>
          <w:b/>
          <w:bCs/>
          <w:szCs w:val="20"/>
        </w:rPr>
        <w:lastRenderedPageBreak/>
        <w:t>11.</w:t>
      </w:r>
      <w:r w:rsidRPr="001D529F">
        <w:rPr>
          <w:rFonts w:ascii="Arial" w:hAnsi="Arial" w:cs="Arial"/>
          <w:b/>
          <w:bCs/>
          <w:szCs w:val="20"/>
        </w:rPr>
        <w:tab/>
        <w:t xml:space="preserve">Common </w:t>
      </w:r>
      <w:r>
        <w:rPr>
          <w:rFonts w:ascii="Arial" w:hAnsi="Arial" w:cs="Arial"/>
          <w:b/>
          <w:bCs/>
          <w:szCs w:val="20"/>
        </w:rPr>
        <w:t>Shares</w:t>
      </w:r>
      <w:r w:rsidRPr="001D529F">
        <w:rPr>
          <w:rFonts w:ascii="Arial" w:hAnsi="Arial" w:cs="Arial"/>
          <w:b/>
          <w:bCs/>
          <w:szCs w:val="20"/>
        </w:rPr>
        <w:t xml:space="preserve"> </w:t>
      </w:r>
      <w:r w:rsidRPr="001D529F">
        <w:rPr>
          <w:rFonts w:ascii="Arial" w:hAnsi="Arial" w:cs="Arial"/>
          <w:bCs/>
          <w:szCs w:val="20"/>
        </w:rPr>
        <w:t>(continued)</w:t>
      </w:r>
    </w:p>
    <w:p w14:paraId="69CDF571" w14:textId="77777777" w:rsidR="00991E5D" w:rsidRPr="007B24D9" w:rsidRDefault="00991E5D" w:rsidP="005639E1">
      <w:pPr>
        <w:tabs>
          <w:tab w:val="left" w:pos="810"/>
        </w:tabs>
        <w:spacing w:after="0" w:line="240" w:lineRule="auto"/>
        <w:jc w:val="both"/>
        <w:rPr>
          <w:rFonts w:ascii="Arial" w:hAnsi="Arial" w:cs="Arial"/>
          <w:szCs w:val="20"/>
        </w:rPr>
      </w:pPr>
    </w:p>
    <w:p w14:paraId="73A89F1C" w14:textId="624948B1" w:rsidR="00B44CE2" w:rsidRDefault="00860822" w:rsidP="00E050EF">
      <w:pPr>
        <w:pStyle w:val="ListParagraph"/>
        <w:numPr>
          <w:ilvl w:val="0"/>
          <w:numId w:val="33"/>
        </w:numPr>
        <w:tabs>
          <w:tab w:val="left" w:pos="810"/>
        </w:tabs>
        <w:spacing w:after="0" w:line="240" w:lineRule="auto"/>
        <w:jc w:val="both"/>
        <w:rPr>
          <w:rFonts w:ascii="Arial" w:hAnsi="Arial" w:cs="Arial"/>
          <w:szCs w:val="20"/>
        </w:rPr>
      </w:pPr>
      <w:r>
        <w:rPr>
          <w:rFonts w:ascii="Arial" w:hAnsi="Arial" w:cs="Arial"/>
          <w:szCs w:val="20"/>
        </w:rPr>
        <w:t xml:space="preserve">On May 15, 2019, the first tranche of a private placement was closed for an aggregate of 46,132,000 units, </w:t>
      </w:r>
      <w:r w:rsidRPr="00E050EF">
        <w:rPr>
          <w:rFonts w:ascii="Arial" w:hAnsi="Arial" w:cs="Arial"/>
          <w:szCs w:val="20"/>
        </w:rPr>
        <w:t>consisting of one common share and one share purchase warrant, at price of $0.2</w:t>
      </w:r>
      <w:r>
        <w:rPr>
          <w:rFonts w:ascii="Arial" w:hAnsi="Arial" w:cs="Arial"/>
          <w:szCs w:val="20"/>
        </w:rPr>
        <w:t>5</w:t>
      </w:r>
      <w:r w:rsidRPr="00E050EF">
        <w:rPr>
          <w:rFonts w:ascii="Arial" w:hAnsi="Arial" w:cs="Arial"/>
          <w:szCs w:val="20"/>
        </w:rPr>
        <w:t xml:space="preserve"> per unit, for gross proceeds of $</w:t>
      </w:r>
      <w:r>
        <w:rPr>
          <w:rFonts w:ascii="Arial" w:hAnsi="Arial" w:cs="Arial"/>
          <w:szCs w:val="20"/>
        </w:rPr>
        <w:t>11,533,000</w:t>
      </w:r>
      <w:r w:rsidRPr="00E050EF">
        <w:rPr>
          <w:rFonts w:ascii="Arial" w:hAnsi="Arial" w:cs="Arial"/>
          <w:szCs w:val="20"/>
        </w:rPr>
        <w:t>.</w:t>
      </w:r>
      <w:r>
        <w:rPr>
          <w:rFonts w:ascii="Arial" w:hAnsi="Arial" w:cs="Arial"/>
          <w:szCs w:val="20"/>
        </w:rPr>
        <w:t xml:space="preserve">  On May 30, 2019, the last tranche of this private placement was closed for an aggregate of 13,868,000 units, </w:t>
      </w:r>
      <w:r w:rsidRPr="00E050EF">
        <w:rPr>
          <w:rFonts w:ascii="Arial" w:hAnsi="Arial" w:cs="Arial"/>
          <w:szCs w:val="20"/>
        </w:rPr>
        <w:t>consisting of one common share and one share purchase warrant, at price of $0.2</w:t>
      </w:r>
      <w:r>
        <w:rPr>
          <w:rFonts w:ascii="Arial" w:hAnsi="Arial" w:cs="Arial"/>
          <w:szCs w:val="20"/>
        </w:rPr>
        <w:t>5</w:t>
      </w:r>
      <w:r w:rsidRPr="00E050EF">
        <w:rPr>
          <w:rFonts w:ascii="Arial" w:hAnsi="Arial" w:cs="Arial"/>
          <w:szCs w:val="20"/>
        </w:rPr>
        <w:t xml:space="preserve"> per unit, for gross proceeds of $</w:t>
      </w:r>
      <w:r>
        <w:rPr>
          <w:rFonts w:ascii="Arial" w:hAnsi="Arial" w:cs="Arial"/>
          <w:szCs w:val="20"/>
        </w:rPr>
        <w:t xml:space="preserve">3,467,000.  </w:t>
      </w:r>
      <w:r w:rsidRPr="00E050EF">
        <w:rPr>
          <w:rFonts w:ascii="Arial" w:hAnsi="Arial" w:cs="Arial"/>
          <w:szCs w:val="20"/>
        </w:rPr>
        <w:t>Each share purchase warrant entitles the holder to purchase one common share at a price of $0.3</w:t>
      </w:r>
      <w:r>
        <w:rPr>
          <w:rFonts w:ascii="Arial" w:hAnsi="Arial" w:cs="Arial"/>
          <w:szCs w:val="20"/>
        </w:rPr>
        <w:t>5</w:t>
      </w:r>
      <w:r w:rsidRPr="00E050EF">
        <w:rPr>
          <w:rFonts w:ascii="Arial" w:hAnsi="Arial" w:cs="Arial"/>
          <w:szCs w:val="20"/>
        </w:rPr>
        <w:t xml:space="preserve"> per share and has an expiry term of </w:t>
      </w:r>
      <w:r>
        <w:rPr>
          <w:rFonts w:ascii="Arial" w:hAnsi="Arial" w:cs="Arial"/>
          <w:szCs w:val="20"/>
        </w:rPr>
        <w:t>two (2</w:t>
      </w:r>
      <w:r w:rsidRPr="00E050EF">
        <w:rPr>
          <w:rFonts w:ascii="Arial" w:hAnsi="Arial" w:cs="Arial"/>
          <w:szCs w:val="20"/>
        </w:rPr>
        <w:t xml:space="preserve">) years.  </w:t>
      </w:r>
      <w:r>
        <w:rPr>
          <w:rFonts w:ascii="Arial" w:hAnsi="Arial" w:cs="Arial"/>
          <w:szCs w:val="20"/>
        </w:rPr>
        <w:t xml:space="preserve">Pursuant to the private placement, the Company issued 4,200,000 units, </w:t>
      </w:r>
      <w:r w:rsidRPr="00E050EF">
        <w:rPr>
          <w:rFonts w:ascii="Arial" w:hAnsi="Arial" w:cs="Arial"/>
          <w:szCs w:val="20"/>
        </w:rPr>
        <w:t>consisting of one common share and one share purchase warrant</w:t>
      </w:r>
      <w:r>
        <w:rPr>
          <w:rFonts w:ascii="Arial" w:hAnsi="Arial" w:cs="Arial"/>
          <w:szCs w:val="20"/>
        </w:rPr>
        <w:t xml:space="preserve"> entitling</w:t>
      </w:r>
      <w:r w:rsidRPr="00E050EF">
        <w:rPr>
          <w:rFonts w:ascii="Arial" w:hAnsi="Arial" w:cs="Arial"/>
          <w:szCs w:val="20"/>
        </w:rPr>
        <w:t xml:space="preserve"> the holder to purchase one common share at a price of $0.3</w:t>
      </w:r>
      <w:r>
        <w:rPr>
          <w:rFonts w:ascii="Arial" w:hAnsi="Arial" w:cs="Arial"/>
          <w:szCs w:val="20"/>
        </w:rPr>
        <w:t>5</w:t>
      </w:r>
      <w:r w:rsidRPr="00E050EF">
        <w:rPr>
          <w:rFonts w:ascii="Arial" w:hAnsi="Arial" w:cs="Arial"/>
          <w:szCs w:val="20"/>
        </w:rPr>
        <w:t xml:space="preserve"> per share and </w:t>
      </w:r>
      <w:r>
        <w:rPr>
          <w:rFonts w:ascii="Arial" w:hAnsi="Arial" w:cs="Arial"/>
          <w:szCs w:val="20"/>
        </w:rPr>
        <w:t>with</w:t>
      </w:r>
      <w:r w:rsidRPr="00E050EF">
        <w:rPr>
          <w:rFonts w:ascii="Arial" w:hAnsi="Arial" w:cs="Arial"/>
          <w:szCs w:val="20"/>
        </w:rPr>
        <w:t xml:space="preserve"> an expiry term of </w:t>
      </w:r>
      <w:r>
        <w:rPr>
          <w:rFonts w:ascii="Arial" w:hAnsi="Arial" w:cs="Arial"/>
          <w:szCs w:val="20"/>
        </w:rPr>
        <w:t>two (2</w:t>
      </w:r>
      <w:r w:rsidRPr="00E050EF">
        <w:rPr>
          <w:rFonts w:ascii="Arial" w:hAnsi="Arial" w:cs="Arial"/>
          <w:szCs w:val="20"/>
        </w:rPr>
        <w:t>) years</w:t>
      </w:r>
      <w:r>
        <w:rPr>
          <w:rFonts w:ascii="Arial" w:hAnsi="Arial" w:cs="Arial"/>
          <w:szCs w:val="20"/>
        </w:rPr>
        <w:t>, as advisory fee.</w:t>
      </w:r>
    </w:p>
    <w:p w14:paraId="7A981BDB" w14:textId="77777777" w:rsidR="00FC7923" w:rsidRPr="00FC7923" w:rsidRDefault="00FC7923" w:rsidP="00FC7923">
      <w:pPr>
        <w:pStyle w:val="ListParagraph"/>
        <w:rPr>
          <w:rFonts w:ascii="Arial" w:hAnsi="Arial" w:cs="Arial"/>
          <w:szCs w:val="20"/>
        </w:rPr>
      </w:pPr>
    </w:p>
    <w:p w14:paraId="3E4BBCD5" w14:textId="1D97B4C6" w:rsidR="00FC7923" w:rsidRPr="00E050EF" w:rsidRDefault="00FC7923" w:rsidP="00E050EF">
      <w:pPr>
        <w:pStyle w:val="ListParagraph"/>
        <w:numPr>
          <w:ilvl w:val="0"/>
          <w:numId w:val="33"/>
        </w:numPr>
        <w:tabs>
          <w:tab w:val="left" w:pos="810"/>
        </w:tabs>
        <w:spacing w:after="0" w:line="240" w:lineRule="auto"/>
        <w:jc w:val="both"/>
        <w:rPr>
          <w:rFonts w:ascii="Arial" w:hAnsi="Arial" w:cs="Arial"/>
          <w:szCs w:val="20"/>
        </w:rPr>
      </w:pPr>
      <w:r>
        <w:rPr>
          <w:rFonts w:ascii="Arial" w:hAnsi="Arial" w:cs="Arial"/>
          <w:szCs w:val="20"/>
        </w:rPr>
        <w:t>On May 16, 2019, the Company issued 595,238 common shares pursuant to the conversion of $250,000 of the Company</w:t>
      </w:r>
      <w:r w:rsidR="00DB3EFB">
        <w:rPr>
          <w:rFonts w:ascii="Arial" w:hAnsi="Arial" w:cs="Arial"/>
          <w:szCs w:val="20"/>
        </w:rPr>
        <w:t>’s</w:t>
      </w:r>
      <w:r>
        <w:rPr>
          <w:rFonts w:ascii="Arial" w:hAnsi="Arial" w:cs="Arial"/>
          <w:szCs w:val="20"/>
        </w:rPr>
        <w:t xml:space="preserve"> convertible debentures (Note 9).</w:t>
      </w:r>
    </w:p>
    <w:p w14:paraId="5527F2C4" w14:textId="77777777" w:rsidR="00CE6BA6" w:rsidRPr="0043374A" w:rsidRDefault="00CE6BA6" w:rsidP="005639E1">
      <w:pPr>
        <w:tabs>
          <w:tab w:val="left" w:pos="810"/>
        </w:tabs>
        <w:spacing w:after="0" w:line="240" w:lineRule="auto"/>
        <w:jc w:val="both"/>
        <w:rPr>
          <w:rFonts w:ascii="Arial" w:hAnsi="Arial" w:cs="Arial"/>
          <w:szCs w:val="20"/>
          <w:lang w:val="en-CA"/>
        </w:rPr>
      </w:pPr>
    </w:p>
    <w:p w14:paraId="47F8F4B0" w14:textId="580F9E45" w:rsidR="00E3748C" w:rsidRPr="007B24D9" w:rsidRDefault="00E3748C" w:rsidP="005639E1">
      <w:pPr>
        <w:tabs>
          <w:tab w:val="left" w:pos="432"/>
        </w:tabs>
        <w:spacing w:after="0" w:line="240" w:lineRule="auto"/>
        <w:ind w:left="426" w:hanging="11"/>
        <w:jc w:val="both"/>
        <w:rPr>
          <w:rFonts w:ascii="Arial" w:hAnsi="Arial" w:cs="Arial"/>
          <w:bCs/>
          <w:szCs w:val="20"/>
        </w:rPr>
      </w:pPr>
      <w:r w:rsidRPr="005778E8">
        <w:rPr>
          <w:rFonts w:ascii="Arial" w:hAnsi="Arial" w:cs="Arial"/>
          <w:bCs/>
          <w:szCs w:val="20"/>
        </w:rPr>
        <w:t xml:space="preserve">During the </w:t>
      </w:r>
      <w:r w:rsidR="00E050EF">
        <w:rPr>
          <w:rFonts w:ascii="Arial" w:hAnsi="Arial" w:cs="Arial"/>
          <w:bCs/>
          <w:szCs w:val="20"/>
        </w:rPr>
        <w:t>six months</w:t>
      </w:r>
      <w:r w:rsidRPr="007B24D9">
        <w:rPr>
          <w:rFonts w:ascii="Arial" w:hAnsi="Arial" w:cs="Arial"/>
          <w:bCs/>
          <w:szCs w:val="20"/>
        </w:rPr>
        <w:t xml:space="preserve"> ended </w:t>
      </w:r>
      <w:r w:rsidR="00E050EF">
        <w:rPr>
          <w:rFonts w:ascii="Arial" w:hAnsi="Arial" w:cs="Arial"/>
          <w:bCs/>
          <w:szCs w:val="20"/>
        </w:rPr>
        <w:t>July</w:t>
      </w:r>
      <w:r w:rsidRPr="007B24D9">
        <w:rPr>
          <w:rFonts w:ascii="Arial" w:hAnsi="Arial" w:cs="Arial"/>
          <w:bCs/>
          <w:szCs w:val="20"/>
        </w:rPr>
        <w:t xml:space="preserve"> 31, 2018:</w:t>
      </w:r>
    </w:p>
    <w:p w14:paraId="07BCE431" w14:textId="77777777" w:rsidR="00CE6BA6" w:rsidRPr="007B24D9" w:rsidRDefault="00CE6BA6" w:rsidP="005639E1">
      <w:pPr>
        <w:tabs>
          <w:tab w:val="left" w:pos="432"/>
        </w:tabs>
        <w:spacing w:after="0" w:line="240" w:lineRule="auto"/>
        <w:ind w:left="426" w:hanging="11"/>
        <w:jc w:val="both"/>
        <w:rPr>
          <w:rFonts w:ascii="Arial" w:hAnsi="Arial" w:cs="Arial"/>
          <w:bCs/>
          <w:szCs w:val="20"/>
        </w:rPr>
      </w:pPr>
    </w:p>
    <w:p w14:paraId="2736990D" w14:textId="3CAB5DAB" w:rsidR="00E3748C" w:rsidRPr="007B24D9" w:rsidRDefault="00E050EF" w:rsidP="00E050EF">
      <w:pPr>
        <w:pStyle w:val="ListParagraph"/>
        <w:numPr>
          <w:ilvl w:val="0"/>
          <w:numId w:val="33"/>
        </w:numPr>
        <w:spacing w:after="0" w:line="240" w:lineRule="auto"/>
        <w:jc w:val="both"/>
        <w:rPr>
          <w:rFonts w:ascii="Arial" w:hAnsi="Arial" w:cs="Arial"/>
          <w:lang w:val="en-CA"/>
        </w:rPr>
      </w:pPr>
      <w:r w:rsidRPr="00E050EF">
        <w:rPr>
          <w:rFonts w:ascii="Arial" w:hAnsi="Arial" w:cs="Arial"/>
          <w:lang w:val="en-CA"/>
        </w:rPr>
        <w:t xml:space="preserve">On February 28, 2018, 5,000,000 </w:t>
      </w:r>
      <w:r w:rsidR="00F07391">
        <w:rPr>
          <w:rFonts w:ascii="Arial" w:hAnsi="Arial" w:cs="Arial"/>
          <w:lang w:val="en-CA"/>
        </w:rPr>
        <w:t>common shares</w:t>
      </w:r>
      <w:r w:rsidRPr="00E050EF">
        <w:rPr>
          <w:rFonts w:ascii="Arial" w:hAnsi="Arial" w:cs="Arial"/>
          <w:lang w:val="en-CA"/>
        </w:rPr>
        <w:t xml:space="preserve"> were issued pursuant to the exchange agree</w:t>
      </w:r>
      <w:r w:rsidR="00781D03">
        <w:rPr>
          <w:rFonts w:ascii="Arial" w:hAnsi="Arial" w:cs="Arial"/>
          <w:lang w:val="en-CA"/>
        </w:rPr>
        <w:t>ment with Pivot Naturals (Note 4(b)</w:t>
      </w:r>
      <w:r w:rsidRPr="00E050EF">
        <w:rPr>
          <w:rFonts w:ascii="Arial" w:hAnsi="Arial" w:cs="Arial"/>
          <w:lang w:val="en-CA"/>
        </w:rPr>
        <w:t>).</w:t>
      </w:r>
    </w:p>
    <w:p w14:paraId="233B7344" w14:textId="77777777" w:rsidR="00CE6BA6" w:rsidRPr="007B24D9" w:rsidRDefault="00CE6BA6" w:rsidP="005639E1">
      <w:pPr>
        <w:tabs>
          <w:tab w:val="left" w:pos="810"/>
        </w:tabs>
        <w:spacing w:after="0" w:line="240" w:lineRule="auto"/>
        <w:jc w:val="both"/>
        <w:rPr>
          <w:rFonts w:ascii="Arial" w:hAnsi="Arial" w:cs="Arial"/>
          <w:szCs w:val="20"/>
          <w:lang w:val="en-CA"/>
        </w:rPr>
      </w:pPr>
    </w:p>
    <w:p w14:paraId="749A4C47" w14:textId="34E4053C" w:rsidR="00E3748C"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March 2, 2018, 500,000 </w:t>
      </w:r>
      <w:r w:rsidR="00F07391">
        <w:rPr>
          <w:rFonts w:ascii="Arial" w:hAnsi="Arial" w:cs="Arial"/>
          <w:szCs w:val="20"/>
        </w:rPr>
        <w:t>common shares</w:t>
      </w:r>
      <w:r w:rsidRPr="00E050EF">
        <w:rPr>
          <w:rFonts w:ascii="Arial" w:hAnsi="Arial" w:cs="Arial"/>
          <w:szCs w:val="20"/>
        </w:rPr>
        <w:t xml:space="preserve"> were issued pursuant to the exchange agreement with Thrudermic and the members of Thrudermic (Note 4(</w:t>
      </w:r>
      <w:r w:rsidR="00781D03">
        <w:rPr>
          <w:rFonts w:ascii="Arial" w:hAnsi="Arial" w:cs="Arial"/>
          <w:szCs w:val="20"/>
        </w:rPr>
        <w:t>a</w:t>
      </w:r>
      <w:r w:rsidRPr="00E050EF">
        <w:rPr>
          <w:rFonts w:ascii="Arial" w:hAnsi="Arial" w:cs="Arial"/>
          <w:szCs w:val="20"/>
        </w:rPr>
        <w:t>))</w:t>
      </w:r>
      <w:r w:rsidR="00E3748C" w:rsidRPr="007B24D9">
        <w:rPr>
          <w:rFonts w:ascii="Arial" w:hAnsi="Arial" w:cs="Arial"/>
          <w:szCs w:val="20"/>
        </w:rPr>
        <w:t>.</w:t>
      </w:r>
    </w:p>
    <w:p w14:paraId="5DDC94BB" w14:textId="77777777" w:rsidR="00E050EF" w:rsidRPr="007B24D9" w:rsidRDefault="00E050EF" w:rsidP="005639E1">
      <w:pPr>
        <w:tabs>
          <w:tab w:val="left" w:pos="810"/>
        </w:tabs>
        <w:spacing w:after="0" w:line="240" w:lineRule="auto"/>
        <w:jc w:val="both"/>
        <w:rPr>
          <w:rFonts w:ascii="Arial" w:hAnsi="Arial" w:cs="Arial"/>
          <w:szCs w:val="20"/>
        </w:rPr>
      </w:pPr>
    </w:p>
    <w:p w14:paraId="5E6D47B6" w14:textId="0F0C110E" w:rsidR="00E3748C" w:rsidRPr="007B24D9"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March 14, 2018, April 4, 2018, May 3, 2018, June 6, 2018 and July 5, 2018, 75,000, 62,500, 77,519, 72,464 and 57,870 </w:t>
      </w:r>
      <w:r w:rsidR="00F07391">
        <w:rPr>
          <w:rFonts w:ascii="Arial" w:hAnsi="Arial" w:cs="Arial"/>
          <w:szCs w:val="20"/>
        </w:rPr>
        <w:t>common shares</w:t>
      </w:r>
      <w:r w:rsidRPr="00E050EF">
        <w:rPr>
          <w:rFonts w:ascii="Arial" w:hAnsi="Arial" w:cs="Arial"/>
          <w:szCs w:val="20"/>
        </w:rPr>
        <w:t xml:space="preserve">, respectively, were issued to third parties for services rendered.  As at July 31, 2018, 70,922 </w:t>
      </w:r>
      <w:r w:rsidR="00F07391">
        <w:rPr>
          <w:rFonts w:ascii="Arial" w:hAnsi="Arial" w:cs="Arial"/>
          <w:szCs w:val="20"/>
        </w:rPr>
        <w:t>common shares</w:t>
      </w:r>
      <w:r w:rsidRPr="00E050EF">
        <w:rPr>
          <w:rFonts w:ascii="Arial" w:hAnsi="Arial" w:cs="Arial"/>
          <w:szCs w:val="20"/>
        </w:rPr>
        <w:t xml:space="preserve"> were recorded as common </w:t>
      </w:r>
      <w:r w:rsidR="00F07391">
        <w:rPr>
          <w:rFonts w:ascii="Arial" w:hAnsi="Arial" w:cs="Arial"/>
          <w:szCs w:val="20"/>
        </w:rPr>
        <w:t>shares</w:t>
      </w:r>
      <w:r w:rsidRPr="00E050EF">
        <w:rPr>
          <w:rFonts w:ascii="Arial" w:hAnsi="Arial" w:cs="Arial"/>
          <w:szCs w:val="20"/>
        </w:rPr>
        <w:t xml:space="preserve"> issuable for a third party consulting expense related to July 2018.  These </w:t>
      </w:r>
      <w:r w:rsidR="00F07391">
        <w:rPr>
          <w:rFonts w:ascii="Arial" w:hAnsi="Arial" w:cs="Arial"/>
          <w:szCs w:val="20"/>
        </w:rPr>
        <w:t>common shares</w:t>
      </w:r>
      <w:r w:rsidRPr="00E050EF">
        <w:rPr>
          <w:rFonts w:ascii="Arial" w:hAnsi="Arial" w:cs="Arial"/>
          <w:szCs w:val="20"/>
        </w:rPr>
        <w:t xml:space="preserve"> were issued on August 9, 2018.</w:t>
      </w:r>
    </w:p>
    <w:p w14:paraId="19C2E4C0" w14:textId="77777777" w:rsidR="00CE6BA6" w:rsidRPr="007B24D9" w:rsidRDefault="00CE6BA6" w:rsidP="005639E1">
      <w:pPr>
        <w:tabs>
          <w:tab w:val="left" w:pos="810"/>
        </w:tabs>
        <w:spacing w:after="0" w:line="240" w:lineRule="auto"/>
        <w:jc w:val="both"/>
        <w:rPr>
          <w:rFonts w:ascii="Arial" w:hAnsi="Arial" w:cs="Arial"/>
          <w:szCs w:val="20"/>
        </w:rPr>
      </w:pPr>
    </w:p>
    <w:p w14:paraId="2164FE24" w14:textId="6D0E6131" w:rsidR="00E3748C" w:rsidRDefault="00E050EF" w:rsidP="00E050EF">
      <w:pPr>
        <w:pStyle w:val="ListParagraph"/>
        <w:numPr>
          <w:ilvl w:val="0"/>
          <w:numId w:val="33"/>
        </w:numPr>
        <w:tabs>
          <w:tab w:val="left" w:pos="810"/>
        </w:tabs>
        <w:spacing w:after="0" w:line="240" w:lineRule="auto"/>
        <w:jc w:val="both"/>
        <w:rPr>
          <w:rFonts w:ascii="Arial" w:hAnsi="Arial" w:cs="Arial"/>
          <w:szCs w:val="20"/>
        </w:rPr>
      </w:pPr>
      <w:r w:rsidRPr="00E050EF">
        <w:rPr>
          <w:rFonts w:ascii="Arial" w:hAnsi="Arial" w:cs="Arial"/>
          <w:szCs w:val="20"/>
        </w:rPr>
        <w:t xml:space="preserve">On March 31, 2018, May 3, 2018 and June 6, 2017, 44,087, 91,315 and 142,289 </w:t>
      </w:r>
      <w:r w:rsidR="00F07391">
        <w:rPr>
          <w:rFonts w:ascii="Arial" w:hAnsi="Arial" w:cs="Arial"/>
          <w:szCs w:val="20"/>
        </w:rPr>
        <w:t>common shares</w:t>
      </w:r>
      <w:r w:rsidRPr="00E050EF">
        <w:rPr>
          <w:rFonts w:ascii="Arial" w:hAnsi="Arial" w:cs="Arial"/>
          <w:szCs w:val="20"/>
        </w:rPr>
        <w:t xml:space="preserve"> were issued as compensation for March, April and May 2018 pursuant to employment agreements entered into as part of the acquisitions of the Thrudermic Tran</w:t>
      </w:r>
      <w:r w:rsidR="00781D03">
        <w:rPr>
          <w:rFonts w:ascii="Arial" w:hAnsi="Arial" w:cs="Arial"/>
          <w:szCs w:val="20"/>
        </w:rPr>
        <w:t>sdermal Nanotechnology (Note 4(a)) and Pivot Naturals (Note 4(b)</w:t>
      </w:r>
      <w:r w:rsidRPr="00E050EF">
        <w:rPr>
          <w:rFonts w:ascii="Arial" w:hAnsi="Arial" w:cs="Arial"/>
          <w:szCs w:val="20"/>
        </w:rPr>
        <w:t>)</w:t>
      </w:r>
      <w:r>
        <w:rPr>
          <w:rFonts w:ascii="Arial" w:hAnsi="Arial" w:cs="Arial"/>
          <w:szCs w:val="20"/>
        </w:rPr>
        <w:t>.</w:t>
      </w:r>
    </w:p>
    <w:p w14:paraId="1387D681" w14:textId="77777777" w:rsidR="00CD70E7" w:rsidRPr="00CD70E7" w:rsidRDefault="00CD70E7" w:rsidP="005639E1">
      <w:pPr>
        <w:tabs>
          <w:tab w:val="left" w:pos="810"/>
        </w:tabs>
        <w:spacing w:after="0" w:line="240" w:lineRule="auto"/>
        <w:jc w:val="both"/>
        <w:rPr>
          <w:rFonts w:ascii="Arial" w:hAnsi="Arial" w:cs="Arial"/>
          <w:szCs w:val="20"/>
        </w:rPr>
      </w:pPr>
    </w:p>
    <w:p w14:paraId="6FFBF717" w14:textId="2AF19D55" w:rsidR="00790828" w:rsidRPr="00F60034" w:rsidRDefault="00CD70E7" w:rsidP="00F15B99">
      <w:pPr>
        <w:tabs>
          <w:tab w:val="left" w:pos="450"/>
        </w:tabs>
        <w:spacing w:after="0" w:line="240" w:lineRule="auto"/>
        <w:jc w:val="both"/>
        <w:rPr>
          <w:rFonts w:ascii="Arial" w:hAnsi="Arial" w:cs="Arial"/>
          <w:b/>
          <w:szCs w:val="20"/>
        </w:rPr>
      </w:pPr>
      <w:r w:rsidRPr="00E430D2">
        <w:rPr>
          <w:rFonts w:ascii="Arial" w:hAnsi="Arial" w:cs="Arial"/>
          <w:b/>
          <w:szCs w:val="20"/>
        </w:rPr>
        <w:t>12</w:t>
      </w:r>
      <w:r w:rsidR="00790828" w:rsidRPr="00E430D2">
        <w:rPr>
          <w:rFonts w:ascii="Arial" w:hAnsi="Arial" w:cs="Arial"/>
          <w:b/>
          <w:szCs w:val="20"/>
        </w:rPr>
        <w:t>.</w:t>
      </w:r>
      <w:r w:rsidR="00790828" w:rsidRPr="00E430D2">
        <w:rPr>
          <w:rFonts w:ascii="Arial" w:hAnsi="Arial" w:cs="Arial"/>
          <w:b/>
          <w:szCs w:val="20"/>
        </w:rPr>
        <w:tab/>
        <w:t>Share Purchase Warrants</w:t>
      </w:r>
    </w:p>
    <w:p w14:paraId="1084046A" w14:textId="77777777" w:rsidR="00CD70E7" w:rsidRDefault="00CD70E7" w:rsidP="00F15B99">
      <w:pPr>
        <w:tabs>
          <w:tab w:val="left" w:pos="-2160"/>
        </w:tabs>
        <w:spacing w:after="0" w:line="240" w:lineRule="auto"/>
        <w:ind w:left="431"/>
        <w:jc w:val="both"/>
        <w:rPr>
          <w:rFonts w:ascii="Arial" w:hAnsi="Arial" w:cs="Arial"/>
          <w:szCs w:val="20"/>
        </w:rPr>
      </w:pPr>
    </w:p>
    <w:p w14:paraId="30431642" w14:textId="77777777" w:rsidR="00790828" w:rsidRPr="00F60034" w:rsidRDefault="00790828" w:rsidP="00F15B99">
      <w:pPr>
        <w:tabs>
          <w:tab w:val="left" w:pos="-2160"/>
        </w:tabs>
        <w:spacing w:after="0" w:line="240" w:lineRule="auto"/>
        <w:ind w:left="431"/>
        <w:jc w:val="both"/>
        <w:rPr>
          <w:rFonts w:ascii="Arial" w:hAnsi="Arial" w:cs="Arial"/>
          <w:szCs w:val="20"/>
        </w:rPr>
      </w:pPr>
      <w:r w:rsidRPr="00F60034">
        <w:rPr>
          <w:rFonts w:ascii="Arial" w:hAnsi="Arial" w:cs="Arial"/>
          <w:szCs w:val="20"/>
        </w:rPr>
        <w:t>The following table summarizes the continuity of share purchase warrants:</w:t>
      </w:r>
    </w:p>
    <w:tbl>
      <w:tblPr>
        <w:tblW w:w="9180" w:type="dxa"/>
        <w:tblInd w:w="558" w:type="dxa"/>
        <w:tblLayout w:type="fixed"/>
        <w:tblLook w:val="0000" w:firstRow="0" w:lastRow="0" w:firstColumn="0" w:lastColumn="0" w:noHBand="0" w:noVBand="0"/>
      </w:tblPr>
      <w:tblGrid>
        <w:gridCol w:w="5850"/>
        <w:gridCol w:w="1440"/>
        <w:gridCol w:w="1890"/>
      </w:tblGrid>
      <w:tr w:rsidR="00790828" w:rsidRPr="00F60034" w14:paraId="107C522E" w14:textId="77777777" w:rsidTr="00790828">
        <w:trPr>
          <w:cantSplit/>
        </w:trPr>
        <w:tc>
          <w:tcPr>
            <w:tcW w:w="5850" w:type="dxa"/>
            <w:tcBorders>
              <w:bottom w:val="single" w:sz="4" w:space="0" w:color="auto"/>
            </w:tcBorders>
          </w:tcPr>
          <w:p w14:paraId="18B9A0D8" w14:textId="77777777" w:rsidR="00790828" w:rsidRPr="00F60034" w:rsidRDefault="00790828" w:rsidP="00F15B99">
            <w:pPr>
              <w:keepNext/>
              <w:spacing w:after="0" w:line="240" w:lineRule="auto"/>
              <w:rPr>
                <w:rFonts w:ascii="Arial" w:hAnsi="Arial" w:cs="Arial"/>
                <w:szCs w:val="20"/>
                <w:lang w:val="en-GB"/>
              </w:rPr>
            </w:pPr>
          </w:p>
        </w:tc>
        <w:tc>
          <w:tcPr>
            <w:tcW w:w="1440" w:type="dxa"/>
            <w:tcBorders>
              <w:bottom w:val="single" w:sz="4" w:space="0" w:color="auto"/>
            </w:tcBorders>
            <w:vAlign w:val="bottom"/>
          </w:tcPr>
          <w:p w14:paraId="245C4128"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Number of</w:t>
            </w:r>
          </w:p>
          <w:p w14:paraId="023C6856"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Warrants</w:t>
            </w:r>
          </w:p>
        </w:tc>
        <w:tc>
          <w:tcPr>
            <w:tcW w:w="1890" w:type="dxa"/>
            <w:tcBorders>
              <w:bottom w:val="single" w:sz="4" w:space="0" w:color="auto"/>
            </w:tcBorders>
            <w:vAlign w:val="bottom"/>
          </w:tcPr>
          <w:p w14:paraId="627B65AF"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Weighted Average Exercise Price</w:t>
            </w:r>
          </w:p>
          <w:p w14:paraId="32F8DE7E" w14:textId="77777777" w:rsidR="00790828" w:rsidRPr="00F60034" w:rsidRDefault="00790828" w:rsidP="00F15B99">
            <w:pPr>
              <w:spacing w:after="0" w:line="240" w:lineRule="auto"/>
              <w:jc w:val="center"/>
              <w:rPr>
                <w:rFonts w:ascii="Arial" w:hAnsi="Arial" w:cs="Arial"/>
                <w:szCs w:val="20"/>
              </w:rPr>
            </w:pPr>
            <w:r w:rsidRPr="00F60034">
              <w:rPr>
                <w:rFonts w:ascii="Arial" w:hAnsi="Arial" w:cs="Arial"/>
                <w:szCs w:val="20"/>
              </w:rPr>
              <w:t>$</w:t>
            </w:r>
          </w:p>
        </w:tc>
      </w:tr>
      <w:tr w:rsidR="00CD70E7" w:rsidRPr="00F60034" w14:paraId="52E8F3EC" w14:textId="77777777" w:rsidTr="00CD70E7">
        <w:trPr>
          <w:trHeight w:hRule="exact" w:val="72"/>
        </w:trPr>
        <w:tc>
          <w:tcPr>
            <w:tcW w:w="5850" w:type="dxa"/>
            <w:tcBorders>
              <w:top w:val="single" w:sz="6" w:space="0" w:color="auto"/>
            </w:tcBorders>
            <w:vAlign w:val="bottom"/>
          </w:tcPr>
          <w:p w14:paraId="30C1FE1C" w14:textId="77777777" w:rsidR="00CD70E7" w:rsidRPr="00F60034" w:rsidRDefault="00CD70E7" w:rsidP="00CD70E7">
            <w:pPr>
              <w:spacing w:after="0" w:line="240" w:lineRule="auto"/>
              <w:rPr>
                <w:rFonts w:ascii="Arial" w:hAnsi="Arial" w:cs="Arial"/>
                <w:szCs w:val="20"/>
              </w:rPr>
            </w:pPr>
          </w:p>
        </w:tc>
        <w:tc>
          <w:tcPr>
            <w:tcW w:w="1440" w:type="dxa"/>
            <w:tcBorders>
              <w:top w:val="single" w:sz="6" w:space="0" w:color="auto"/>
            </w:tcBorders>
            <w:vAlign w:val="bottom"/>
          </w:tcPr>
          <w:p w14:paraId="1D3E4068" w14:textId="77777777" w:rsidR="00CD70E7" w:rsidRPr="00F60034" w:rsidRDefault="00CD70E7" w:rsidP="00CD70E7">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78398D26" w14:textId="77777777" w:rsidR="00CD70E7" w:rsidRPr="00F60034" w:rsidRDefault="00CD70E7" w:rsidP="00CD70E7">
            <w:pPr>
              <w:spacing w:after="0" w:line="240" w:lineRule="auto"/>
              <w:ind w:right="256"/>
              <w:jc w:val="right"/>
              <w:rPr>
                <w:rFonts w:ascii="Arial" w:hAnsi="Arial" w:cs="Arial"/>
                <w:szCs w:val="20"/>
              </w:rPr>
            </w:pPr>
          </w:p>
        </w:tc>
      </w:tr>
      <w:tr w:rsidR="00CD70E7" w:rsidRPr="00F60034" w14:paraId="33A6B6A6" w14:textId="77777777" w:rsidTr="00CD70E7">
        <w:tc>
          <w:tcPr>
            <w:tcW w:w="5850" w:type="dxa"/>
            <w:vAlign w:val="bottom"/>
          </w:tcPr>
          <w:p w14:paraId="4DE28E28" w14:textId="70AF513C" w:rsidR="00CD70E7" w:rsidRPr="00F60034" w:rsidRDefault="00CD70E7" w:rsidP="00E430D2">
            <w:pPr>
              <w:spacing w:after="0" w:line="240" w:lineRule="auto"/>
              <w:rPr>
                <w:rFonts w:ascii="Arial" w:hAnsi="Arial" w:cs="Arial"/>
                <w:szCs w:val="20"/>
              </w:rPr>
            </w:pPr>
            <w:r w:rsidRPr="00F60034">
              <w:rPr>
                <w:rFonts w:ascii="Arial" w:hAnsi="Arial" w:cs="Arial"/>
                <w:szCs w:val="20"/>
              </w:rPr>
              <w:t xml:space="preserve">Balance, </w:t>
            </w:r>
            <w:r w:rsidR="00E430D2">
              <w:rPr>
                <w:rFonts w:ascii="Arial" w:hAnsi="Arial" w:cs="Arial"/>
                <w:szCs w:val="20"/>
              </w:rPr>
              <w:t xml:space="preserve">February </w:t>
            </w:r>
            <w:r w:rsidRPr="00F60034">
              <w:rPr>
                <w:rFonts w:ascii="Arial" w:hAnsi="Arial" w:cs="Arial"/>
                <w:szCs w:val="20"/>
              </w:rPr>
              <w:t xml:space="preserve">1, </w:t>
            </w:r>
            <w:r>
              <w:rPr>
                <w:rFonts w:ascii="Arial" w:hAnsi="Arial" w:cs="Arial"/>
                <w:szCs w:val="20"/>
              </w:rPr>
              <w:t>2018</w:t>
            </w:r>
          </w:p>
        </w:tc>
        <w:tc>
          <w:tcPr>
            <w:tcW w:w="1440" w:type="dxa"/>
            <w:vAlign w:val="bottom"/>
          </w:tcPr>
          <w:p w14:paraId="0774842E" w14:textId="77777777" w:rsidR="00CD70E7" w:rsidRPr="00F60034" w:rsidRDefault="00CD70E7" w:rsidP="00CD70E7">
            <w:pPr>
              <w:spacing w:after="0" w:line="240" w:lineRule="auto"/>
              <w:ind w:right="144"/>
              <w:jc w:val="right"/>
              <w:rPr>
                <w:rFonts w:ascii="Arial" w:hAnsi="Arial" w:cs="Arial"/>
                <w:szCs w:val="20"/>
              </w:rPr>
            </w:pPr>
            <w:r>
              <w:rPr>
                <w:rFonts w:ascii="Arial" w:hAnsi="Arial" w:cs="Arial"/>
                <w:szCs w:val="20"/>
              </w:rPr>
              <w:t>265,125</w:t>
            </w:r>
          </w:p>
        </w:tc>
        <w:tc>
          <w:tcPr>
            <w:tcW w:w="1890" w:type="dxa"/>
            <w:vAlign w:val="bottom"/>
          </w:tcPr>
          <w:p w14:paraId="1BFF7E8D" w14:textId="525B7BE6" w:rsidR="00CD70E7" w:rsidRPr="00F60034" w:rsidRDefault="00320D7D" w:rsidP="00CD70E7">
            <w:pPr>
              <w:spacing w:after="0" w:line="240" w:lineRule="auto"/>
              <w:ind w:right="256"/>
              <w:jc w:val="right"/>
              <w:rPr>
                <w:rFonts w:ascii="Arial" w:hAnsi="Arial" w:cs="Arial"/>
                <w:szCs w:val="20"/>
              </w:rPr>
            </w:pPr>
            <w:r>
              <w:rPr>
                <w:rFonts w:ascii="Arial" w:hAnsi="Arial" w:cs="Arial"/>
                <w:szCs w:val="20"/>
              </w:rPr>
              <w:t>0.4</w:t>
            </w:r>
            <w:r w:rsidR="00CD70E7">
              <w:rPr>
                <w:rFonts w:ascii="Arial" w:hAnsi="Arial" w:cs="Arial"/>
                <w:szCs w:val="20"/>
              </w:rPr>
              <w:t>5</w:t>
            </w:r>
          </w:p>
        </w:tc>
      </w:tr>
      <w:tr w:rsidR="00E430D2" w:rsidRPr="00F60034" w14:paraId="589083E3" w14:textId="77777777" w:rsidTr="00EC4ECB">
        <w:trPr>
          <w:trHeight w:hRule="exact" w:val="86"/>
        </w:trPr>
        <w:tc>
          <w:tcPr>
            <w:tcW w:w="5850" w:type="dxa"/>
            <w:vAlign w:val="bottom"/>
          </w:tcPr>
          <w:p w14:paraId="0E28D34F" w14:textId="77777777" w:rsidR="00E430D2" w:rsidRPr="00F60034" w:rsidRDefault="00E430D2" w:rsidP="00EC4ECB">
            <w:pPr>
              <w:spacing w:after="0" w:line="240" w:lineRule="auto"/>
              <w:rPr>
                <w:rFonts w:ascii="Arial" w:hAnsi="Arial" w:cs="Arial"/>
                <w:szCs w:val="20"/>
              </w:rPr>
            </w:pPr>
          </w:p>
        </w:tc>
        <w:tc>
          <w:tcPr>
            <w:tcW w:w="1440" w:type="dxa"/>
            <w:vAlign w:val="bottom"/>
          </w:tcPr>
          <w:p w14:paraId="4F3F4495" w14:textId="77777777" w:rsidR="00E430D2" w:rsidRPr="00F60034" w:rsidRDefault="00E430D2" w:rsidP="00EC4ECB">
            <w:pPr>
              <w:spacing w:after="0" w:line="240" w:lineRule="auto"/>
              <w:ind w:right="144"/>
              <w:jc w:val="right"/>
              <w:rPr>
                <w:rFonts w:ascii="Arial" w:hAnsi="Arial" w:cs="Arial"/>
                <w:szCs w:val="20"/>
              </w:rPr>
            </w:pPr>
          </w:p>
        </w:tc>
        <w:tc>
          <w:tcPr>
            <w:tcW w:w="1890" w:type="dxa"/>
            <w:vAlign w:val="bottom"/>
          </w:tcPr>
          <w:p w14:paraId="4936DB86" w14:textId="77777777" w:rsidR="00E430D2" w:rsidRPr="00F60034" w:rsidRDefault="00E430D2" w:rsidP="00EC4ECB">
            <w:pPr>
              <w:spacing w:after="0" w:line="240" w:lineRule="auto"/>
              <w:ind w:right="256"/>
              <w:jc w:val="right"/>
              <w:rPr>
                <w:rFonts w:ascii="Arial" w:hAnsi="Arial" w:cs="Arial"/>
                <w:szCs w:val="20"/>
              </w:rPr>
            </w:pPr>
          </w:p>
        </w:tc>
      </w:tr>
      <w:tr w:rsidR="00E430D2" w:rsidRPr="00F60034" w14:paraId="2F52CDA5" w14:textId="77777777" w:rsidTr="00EC4ECB">
        <w:trPr>
          <w:trHeight w:val="171"/>
        </w:trPr>
        <w:tc>
          <w:tcPr>
            <w:tcW w:w="5850" w:type="dxa"/>
            <w:vAlign w:val="bottom"/>
          </w:tcPr>
          <w:p w14:paraId="3B207DFF" w14:textId="30A233EE" w:rsidR="00E430D2" w:rsidRPr="00F60034" w:rsidRDefault="00E430D2" w:rsidP="00E430D2">
            <w:pPr>
              <w:spacing w:after="0" w:line="240" w:lineRule="auto"/>
              <w:ind w:left="144"/>
              <w:rPr>
                <w:rFonts w:ascii="Arial" w:hAnsi="Arial" w:cs="Arial"/>
                <w:szCs w:val="20"/>
              </w:rPr>
            </w:pPr>
            <w:r>
              <w:rPr>
                <w:rFonts w:ascii="Arial" w:hAnsi="Arial" w:cs="Arial"/>
                <w:szCs w:val="20"/>
              </w:rPr>
              <w:t>Granted</w:t>
            </w:r>
          </w:p>
        </w:tc>
        <w:tc>
          <w:tcPr>
            <w:tcW w:w="1440" w:type="dxa"/>
            <w:vAlign w:val="bottom"/>
          </w:tcPr>
          <w:p w14:paraId="688E7401" w14:textId="77777777" w:rsidR="00E430D2" w:rsidRPr="00F60034" w:rsidRDefault="00E430D2" w:rsidP="00EC4ECB">
            <w:pPr>
              <w:spacing w:after="0" w:line="240" w:lineRule="auto"/>
              <w:ind w:right="144"/>
              <w:jc w:val="right"/>
              <w:rPr>
                <w:rFonts w:ascii="Arial" w:hAnsi="Arial" w:cs="Arial"/>
                <w:szCs w:val="20"/>
              </w:rPr>
            </w:pPr>
            <w:r>
              <w:rPr>
                <w:rFonts w:ascii="Arial" w:hAnsi="Arial" w:cs="Arial"/>
                <w:szCs w:val="20"/>
              </w:rPr>
              <w:t>8,220,923</w:t>
            </w:r>
          </w:p>
        </w:tc>
        <w:tc>
          <w:tcPr>
            <w:tcW w:w="1890" w:type="dxa"/>
            <w:vAlign w:val="bottom"/>
          </w:tcPr>
          <w:p w14:paraId="3C05386F" w14:textId="77777777" w:rsidR="00E430D2" w:rsidRPr="00F60034" w:rsidRDefault="00E430D2" w:rsidP="00EC4ECB">
            <w:pPr>
              <w:spacing w:after="0" w:line="240" w:lineRule="auto"/>
              <w:ind w:right="256"/>
              <w:jc w:val="right"/>
              <w:rPr>
                <w:rFonts w:ascii="Arial" w:hAnsi="Arial" w:cs="Arial"/>
                <w:szCs w:val="20"/>
              </w:rPr>
            </w:pPr>
            <w:r>
              <w:rPr>
                <w:rFonts w:ascii="Arial" w:hAnsi="Arial" w:cs="Arial"/>
                <w:szCs w:val="20"/>
              </w:rPr>
              <w:t>0.62</w:t>
            </w:r>
          </w:p>
        </w:tc>
      </w:tr>
      <w:tr w:rsidR="00E430D2" w:rsidRPr="00F60034" w14:paraId="5FE739E2" w14:textId="77777777" w:rsidTr="00EC4ECB">
        <w:trPr>
          <w:trHeight w:hRule="exact" w:val="72"/>
        </w:trPr>
        <w:tc>
          <w:tcPr>
            <w:tcW w:w="5850" w:type="dxa"/>
            <w:tcBorders>
              <w:top w:val="single" w:sz="6" w:space="0" w:color="auto"/>
            </w:tcBorders>
            <w:vAlign w:val="bottom"/>
          </w:tcPr>
          <w:p w14:paraId="16A80C2F" w14:textId="77777777" w:rsidR="00E430D2" w:rsidRPr="00F60034" w:rsidRDefault="00E430D2" w:rsidP="00EC4ECB">
            <w:pPr>
              <w:spacing w:after="0" w:line="240" w:lineRule="auto"/>
              <w:rPr>
                <w:rFonts w:ascii="Arial" w:hAnsi="Arial" w:cs="Arial"/>
                <w:szCs w:val="20"/>
              </w:rPr>
            </w:pPr>
          </w:p>
        </w:tc>
        <w:tc>
          <w:tcPr>
            <w:tcW w:w="1440" w:type="dxa"/>
            <w:tcBorders>
              <w:top w:val="single" w:sz="6" w:space="0" w:color="auto"/>
            </w:tcBorders>
            <w:vAlign w:val="bottom"/>
          </w:tcPr>
          <w:p w14:paraId="47E8275D" w14:textId="77777777" w:rsidR="00E430D2" w:rsidRPr="00F60034" w:rsidRDefault="00E430D2" w:rsidP="00EC4ECB">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303AEEC8" w14:textId="77777777" w:rsidR="00E430D2" w:rsidRPr="00F60034" w:rsidRDefault="00E430D2" w:rsidP="00EC4ECB">
            <w:pPr>
              <w:spacing w:after="0" w:line="240" w:lineRule="auto"/>
              <w:ind w:right="256"/>
              <w:jc w:val="right"/>
              <w:rPr>
                <w:rFonts w:ascii="Arial" w:hAnsi="Arial" w:cs="Arial"/>
                <w:szCs w:val="20"/>
              </w:rPr>
            </w:pPr>
          </w:p>
        </w:tc>
      </w:tr>
      <w:tr w:rsidR="00E430D2" w:rsidRPr="00F60034" w14:paraId="252D8A81" w14:textId="77777777" w:rsidTr="00EC4ECB">
        <w:tc>
          <w:tcPr>
            <w:tcW w:w="5850" w:type="dxa"/>
            <w:vAlign w:val="bottom"/>
          </w:tcPr>
          <w:p w14:paraId="44A47B07" w14:textId="77777777" w:rsidR="00E430D2" w:rsidRPr="00F60034" w:rsidRDefault="00E430D2" w:rsidP="00EC4ECB">
            <w:pPr>
              <w:spacing w:after="0" w:line="240" w:lineRule="auto"/>
              <w:rPr>
                <w:rFonts w:ascii="Arial" w:hAnsi="Arial" w:cs="Arial"/>
                <w:szCs w:val="20"/>
              </w:rPr>
            </w:pPr>
            <w:r w:rsidRPr="00F60034">
              <w:rPr>
                <w:rFonts w:ascii="Arial" w:hAnsi="Arial" w:cs="Arial"/>
                <w:szCs w:val="20"/>
              </w:rPr>
              <w:t xml:space="preserve">Balance, January 31, </w:t>
            </w:r>
            <w:r>
              <w:rPr>
                <w:rFonts w:ascii="Arial" w:hAnsi="Arial" w:cs="Arial"/>
                <w:szCs w:val="20"/>
              </w:rPr>
              <w:t>2019</w:t>
            </w:r>
          </w:p>
        </w:tc>
        <w:tc>
          <w:tcPr>
            <w:tcW w:w="1440" w:type="dxa"/>
            <w:vAlign w:val="bottom"/>
          </w:tcPr>
          <w:p w14:paraId="751092E8" w14:textId="77777777" w:rsidR="00E430D2" w:rsidRPr="00F60034" w:rsidRDefault="00E430D2" w:rsidP="00EC4ECB">
            <w:pPr>
              <w:spacing w:after="0" w:line="240" w:lineRule="auto"/>
              <w:ind w:right="144"/>
              <w:jc w:val="right"/>
              <w:rPr>
                <w:rFonts w:ascii="Arial" w:hAnsi="Arial" w:cs="Arial"/>
                <w:szCs w:val="20"/>
              </w:rPr>
            </w:pPr>
            <w:r>
              <w:rPr>
                <w:rFonts w:ascii="Arial" w:hAnsi="Arial" w:cs="Arial"/>
                <w:szCs w:val="20"/>
              </w:rPr>
              <w:t>8,486,048</w:t>
            </w:r>
          </w:p>
        </w:tc>
        <w:tc>
          <w:tcPr>
            <w:tcW w:w="1890" w:type="dxa"/>
            <w:vAlign w:val="bottom"/>
          </w:tcPr>
          <w:p w14:paraId="17E0C68B" w14:textId="77777777" w:rsidR="00E430D2" w:rsidRPr="00F60034" w:rsidRDefault="00E430D2" w:rsidP="00EC4ECB">
            <w:pPr>
              <w:spacing w:after="0" w:line="240" w:lineRule="auto"/>
              <w:ind w:right="256"/>
              <w:jc w:val="right"/>
              <w:rPr>
                <w:rFonts w:ascii="Arial" w:hAnsi="Arial" w:cs="Arial"/>
                <w:szCs w:val="20"/>
              </w:rPr>
            </w:pPr>
            <w:r>
              <w:rPr>
                <w:rFonts w:ascii="Arial" w:hAnsi="Arial" w:cs="Arial"/>
                <w:szCs w:val="20"/>
              </w:rPr>
              <w:t>0.62</w:t>
            </w:r>
          </w:p>
        </w:tc>
      </w:tr>
      <w:tr w:rsidR="00CD70E7" w:rsidRPr="00F60034" w14:paraId="778FC0F4" w14:textId="77777777" w:rsidTr="00CD70E7">
        <w:trPr>
          <w:trHeight w:hRule="exact" w:val="86"/>
        </w:trPr>
        <w:tc>
          <w:tcPr>
            <w:tcW w:w="5850" w:type="dxa"/>
            <w:vAlign w:val="bottom"/>
          </w:tcPr>
          <w:p w14:paraId="1DE0FCB2" w14:textId="77777777" w:rsidR="00CD70E7" w:rsidRPr="00F60034" w:rsidRDefault="00CD70E7" w:rsidP="00CD70E7">
            <w:pPr>
              <w:spacing w:after="0" w:line="240" w:lineRule="auto"/>
              <w:rPr>
                <w:rFonts w:ascii="Arial" w:hAnsi="Arial" w:cs="Arial"/>
                <w:szCs w:val="20"/>
              </w:rPr>
            </w:pPr>
          </w:p>
        </w:tc>
        <w:tc>
          <w:tcPr>
            <w:tcW w:w="1440" w:type="dxa"/>
            <w:vAlign w:val="bottom"/>
          </w:tcPr>
          <w:p w14:paraId="5B4AF73A" w14:textId="77777777" w:rsidR="00CD70E7" w:rsidRPr="00F60034" w:rsidRDefault="00CD70E7" w:rsidP="00CD70E7">
            <w:pPr>
              <w:spacing w:after="0" w:line="240" w:lineRule="auto"/>
              <w:ind w:right="144"/>
              <w:jc w:val="right"/>
              <w:rPr>
                <w:rFonts w:ascii="Arial" w:hAnsi="Arial" w:cs="Arial"/>
                <w:szCs w:val="20"/>
              </w:rPr>
            </w:pPr>
          </w:p>
        </w:tc>
        <w:tc>
          <w:tcPr>
            <w:tcW w:w="1890" w:type="dxa"/>
            <w:vAlign w:val="bottom"/>
          </w:tcPr>
          <w:p w14:paraId="65FB5F9C" w14:textId="77777777" w:rsidR="00CD70E7" w:rsidRPr="00F60034" w:rsidRDefault="00CD70E7" w:rsidP="00CD70E7">
            <w:pPr>
              <w:spacing w:after="0" w:line="240" w:lineRule="auto"/>
              <w:ind w:right="256"/>
              <w:jc w:val="right"/>
              <w:rPr>
                <w:rFonts w:ascii="Arial" w:hAnsi="Arial" w:cs="Arial"/>
                <w:szCs w:val="20"/>
              </w:rPr>
            </w:pPr>
          </w:p>
        </w:tc>
      </w:tr>
      <w:tr w:rsidR="005778E8" w:rsidRPr="00F60034" w14:paraId="007369DC" w14:textId="77777777" w:rsidTr="00CD70E7">
        <w:trPr>
          <w:trHeight w:val="171"/>
        </w:trPr>
        <w:tc>
          <w:tcPr>
            <w:tcW w:w="5850" w:type="dxa"/>
            <w:vAlign w:val="bottom"/>
          </w:tcPr>
          <w:p w14:paraId="2F21B28C" w14:textId="181EDADC" w:rsidR="005778E8" w:rsidRPr="00F60034" w:rsidRDefault="005778E8" w:rsidP="00D70891">
            <w:pPr>
              <w:spacing w:after="0" w:line="240" w:lineRule="auto"/>
              <w:ind w:left="144"/>
              <w:rPr>
                <w:rFonts w:ascii="Arial" w:hAnsi="Arial" w:cs="Arial"/>
                <w:szCs w:val="20"/>
              </w:rPr>
            </w:pPr>
            <w:r>
              <w:rPr>
                <w:rFonts w:ascii="Arial" w:hAnsi="Arial" w:cs="Arial"/>
                <w:szCs w:val="20"/>
              </w:rPr>
              <w:t>Granted</w:t>
            </w:r>
            <w:r w:rsidR="000B745C">
              <w:rPr>
                <w:rFonts w:ascii="Arial" w:hAnsi="Arial" w:cs="Arial"/>
                <w:szCs w:val="20"/>
              </w:rPr>
              <w:t xml:space="preserve"> (Notes 11(d), </w:t>
            </w:r>
            <w:r w:rsidR="00D70891">
              <w:rPr>
                <w:rFonts w:ascii="Arial" w:hAnsi="Arial" w:cs="Arial"/>
                <w:szCs w:val="20"/>
              </w:rPr>
              <w:t>and 11(e)</w:t>
            </w:r>
            <w:r w:rsidR="00B35AC6">
              <w:rPr>
                <w:rFonts w:ascii="Arial" w:hAnsi="Arial" w:cs="Arial"/>
                <w:szCs w:val="20"/>
              </w:rPr>
              <w:t>)</w:t>
            </w:r>
          </w:p>
        </w:tc>
        <w:tc>
          <w:tcPr>
            <w:tcW w:w="1440" w:type="dxa"/>
            <w:vAlign w:val="bottom"/>
          </w:tcPr>
          <w:p w14:paraId="3ACB624D" w14:textId="35170E66" w:rsidR="005778E8" w:rsidRPr="00F60034" w:rsidRDefault="000B745C" w:rsidP="00F15B99">
            <w:pPr>
              <w:spacing w:after="0" w:line="240" w:lineRule="auto"/>
              <w:ind w:right="144"/>
              <w:jc w:val="right"/>
              <w:rPr>
                <w:rFonts w:ascii="Arial" w:hAnsi="Arial" w:cs="Arial"/>
                <w:szCs w:val="20"/>
              </w:rPr>
            </w:pPr>
            <w:r>
              <w:rPr>
                <w:rFonts w:ascii="Arial" w:hAnsi="Arial" w:cs="Arial"/>
                <w:szCs w:val="20"/>
              </w:rPr>
              <w:t>71,258,000</w:t>
            </w:r>
          </w:p>
        </w:tc>
        <w:tc>
          <w:tcPr>
            <w:tcW w:w="1890" w:type="dxa"/>
            <w:vAlign w:val="bottom"/>
          </w:tcPr>
          <w:p w14:paraId="2786FBB7" w14:textId="4E10C512" w:rsidR="005778E8" w:rsidRPr="00F60034" w:rsidRDefault="0041197B" w:rsidP="000B745C">
            <w:pPr>
              <w:spacing w:after="0" w:line="240" w:lineRule="auto"/>
              <w:ind w:right="256"/>
              <w:jc w:val="right"/>
              <w:rPr>
                <w:rFonts w:ascii="Arial" w:hAnsi="Arial" w:cs="Arial"/>
                <w:szCs w:val="20"/>
              </w:rPr>
            </w:pPr>
            <w:r>
              <w:rPr>
                <w:rFonts w:ascii="Arial" w:hAnsi="Arial" w:cs="Arial"/>
                <w:szCs w:val="20"/>
              </w:rPr>
              <w:t>0.</w:t>
            </w:r>
            <w:r w:rsidR="000B745C">
              <w:rPr>
                <w:rFonts w:ascii="Arial" w:hAnsi="Arial" w:cs="Arial"/>
                <w:szCs w:val="20"/>
              </w:rPr>
              <w:t>35</w:t>
            </w:r>
          </w:p>
        </w:tc>
      </w:tr>
      <w:tr w:rsidR="000B745C" w:rsidRPr="00F60034" w14:paraId="4DCCFE1F" w14:textId="77777777" w:rsidTr="00CD70E7">
        <w:trPr>
          <w:trHeight w:val="171"/>
        </w:trPr>
        <w:tc>
          <w:tcPr>
            <w:tcW w:w="5850" w:type="dxa"/>
            <w:vAlign w:val="bottom"/>
          </w:tcPr>
          <w:p w14:paraId="5FC5E56D" w14:textId="3B35C3B5" w:rsidR="000B745C" w:rsidRDefault="000B745C" w:rsidP="00320D7D">
            <w:pPr>
              <w:spacing w:after="0" w:line="240" w:lineRule="auto"/>
              <w:ind w:left="144"/>
              <w:rPr>
                <w:rFonts w:ascii="Arial" w:hAnsi="Arial" w:cs="Arial"/>
                <w:szCs w:val="20"/>
              </w:rPr>
            </w:pPr>
            <w:r>
              <w:rPr>
                <w:rFonts w:ascii="Arial" w:hAnsi="Arial" w:cs="Arial"/>
                <w:szCs w:val="20"/>
              </w:rPr>
              <w:t>Expired</w:t>
            </w:r>
          </w:p>
        </w:tc>
        <w:tc>
          <w:tcPr>
            <w:tcW w:w="1440" w:type="dxa"/>
            <w:vAlign w:val="bottom"/>
          </w:tcPr>
          <w:p w14:paraId="45FF5F8A" w14:textId="35F66604" w:rsidR="000B745C" w:rsidRDefault="000B745C" w:rsidP="00F15B99">
            <w:pPr>
              <w:spacing w:after="0" w:line="240" w:lineRule="auto"/>
              <w:ind w:right="144"/>
              <w:jc w:val="right"/>
              <w:rPr>
                <w:rFonts w:ascii="Arial" w:hAnsi="Arial" w:cs="Arial"/>
                <w:szCs w:val="20"/>
              </w:rPr>
            </w:pPr>
            <w:r>
              <w:rPr>
                <w:rFonts w:ascii="Arial" w:hAnsi="Arial" w:cs="Arial"/>
                <w:szCs w:val="20"/>
              </w:rPr>
              <w:t>(265,125)</w:t>
            </w:r>
          </w:p>
        </w:tc>
        <w:tc>
          <w:tcPr>
            <w:tcW w:w="1890" w:type="dxa"/>
            <w:vAlign w:val="bottom"/>
          </w:tcPr>
          <w:p w14:paraId="7100FBE9" w14:textId="63DDC832" w:rsidR="000B745C" w:rsidRDefault="000B745C" w:rsidP="000B745C">
            <w:pPr>
              <w:spacing w:after="0" w:line="240" w:lineRule="auto"/>
              <w:ind w:right="256"/>
              <w:jc w:val="right"/>
              <w:rPr>
                <w:rFonts w:ascii="Arial" w:hAnsi="Arial" w:cs="Arial"/>
                <w:szCs w:val="20"/>
              </w:rPr>
            </w:pPr>
            <w:r>
              <w:rPr>
                <w:rFonts w:ascii="Arial" w:hAnsi="Arial" w:cs="Arial"/>
                <w:szCs w:val="20"/>
              </w:rPr>
              <w:t>(0.45)</w:t>
            </w:r>
          </w:p>
        </w:tc>
      </w:tr>
      <w:tr w:rsidR="00790828" w:rsidRPr="00F60034" w14:paraId="10772ED4" w14:textId="77777777" w:rsidTr="000B745C">
        <w:trPr>
          <w:trHeight w:hRule="exact" w:val="72"/>
        </w:trPr>
        <w:tc>
          <w:tcPr>
            <w:tcW w:w="5850" w:type="dxa"/>
            <w:tcBorders>
              <w:top w:val="single" w:sz="6" w:space="0" w:color="auto"/>
            </w:tcBorders>
            <w:vAlign w:val="bottom"/>
          </w:tcPr>
          <w:p w14:paraId="451B1681" w14:textId="77777777" w:rsidR="00790828" w:rsidRPr="00F60034" w:rsidRDefault="00790828" w:rsidP="00F15B99">
            <w:pPr>
              <w:spacing w:after="0" w:line="240" w:lineRule="auto"/>
              <w:rPr>
                <w:rFonts w:ascii="Arial" w:hAnsi="Arial" w:cs="Arial"/>
                <w:szCs w:val="20"/>
              </w:rPr>
            </w:pPr>
          </w:p>
        </w:tc>
        <w:tc>
          <w:tcPr>
            <w:tcW w:w="1440" w:type="dxa"/>
            <w:tcBorders>
              <w:top w:val="single" w:sz="6" w:space="0" w:color="auto"/>
            </w:tcBorders>
            <w:vAlign w:val="bottom"/>
          </w:tcPr>
          <w:p w14:paraId="3B3B34A6" w14:textId="77777777" w:rsidR="00790828" w:rsidRPr="00F60034" w:rsidRDefault="00790828" w:rsidP="00F15B99">
            <w:pPr>
              <w:spacing w:after="0" w:line="240" w:lineRule="auto"/>
              <w:ind w:right="144"/>
              <w:jc w:val="right"/>
              <w:rPr>
                <w:rFonts w:ascii="Arial" w:hAnsi="Arial" w:cs="Arial"/>
                <w:szCs w:val="20"/>
              </w:rPr>
            </w:pPr>
          </w:p>
        </w:tc>
        <w:tc>
          <w:tcPr>
            <w:tcW w:w="1890" w:type="dxa"/>
            <w:tcBorders>
              <w:top w:val="single" w:sz="6" w:space="0" w:color="auto"/>
            </w:tcBorders>
            <w:vAlign w:val="bottom"/>
          </w:tcPr>
          <w:p w14:paraId="695F84D1" w14:textId="77777777" w:rsidR="00790828" w:rsidRPr="00F60034" w:rsidRDefault="00790828" w:rsidP="00F15B99">
            <w:pPr>
              <w:spacing w:after="0" w:line="240" w:lineRule="auto"/>
              <w:ind w:right="256"/>
              <w:jc w:val="right"/>
              <w:rPr>
                <w:rFonts w:ascii="Arial" w:hAnsi="Arial" w:cs="Arial"/>
                <w:szCs w:val="20"/>
              </w:rPr>
            </w:pPr>
          </w:p>
        </w:tc>
      </w:tr>
      <w:tr w:rsidR="00790828" w:rsidRPr="00F60034" w14:paraId="6E2632E1" w14:textId="77777777" w:rsidTr="000B745C">
        <w:tc>
          <w:tcPr>
            <w:tcW w:w="5850" w:type="dxa"/>
            <w:tcBorders>
              <w:bottom w:val="single" w:sz="12" w:space="0" w:color="auto"/>
            </w:tcBorders>
            <w:vAlign w:val="bottom"/>
          </w:tcPr>
          <w:p w14:paraId="474C39E1" w14:textId="28F826E9" w:rsidR="00790828" w:rsidRPr="00F60034" w:rsidRDefault="00790828" w:rsidP="00E430D2">
            <w:pPr>
              <w:spacing w:after="0" w:line="240" w:lineRule="auto"/>
              <w:rPr>
                <w:rFonts w:ascii="Arial" w:hAnsi="Arial" w:cs="Arial"/>
                <w:szCs w:val="20"/>
              </w:rPr>
            </w:pPr>
            <w:r w:rsidRPr="00F60034">
              <w:rPr>
                <w:rFonts w:ascii="Arial" w:hAnsi="Arial" w:cs="Arial"/>
                <w:szCs w:val="20"/>
              </w:rPr>
              <w:t xml:space="preserve">Balance, </w:t>
            </w:r>
            <w:r w:rsidR="00E430D2">
              <w:rPr>
                <w:rFonts w:ascii="Arial" w:hAnsi="Arial" w:cs="Arial"/>
                <w:szCs w:val="20"/>
              </w:rPr>
              <w:t>July</w:t>
            </w:r>
            <w:r w:rsidRPr="00F60034">
              <w:rPr>
                <w:rFonts w:ascii="Arial" w:hAnsi="Arial" w:cs="Arial"/>
                <w:szCs w:val="20"/>
              </w:rPr>
              <w:t xml:space="preserve"> 31, </w:t>
            </w:r>
            <w:r w:rsidR="00CD70E7">
              <w:rPr>
                <w:rFonts w:ascii="Arial" w:hAnsi="Arial" w:cs="Arial"/>
                <w:szCs w:val="20"/>
              </w:rPr>
              <w:t>2019</w:t>
            </w:r>
          </w:p>
        </w:tc>
        <w:tc>
          <w:tcPr>
            <w:tcW w:w="1440" w:type="dxa"/>
            <w:tcBorders>
              <w:bottom w:val="single" w:sz="12" w:space="0" w:color="auto"/>
            </w:tcBorders>
            <w:vAlign w:val="bottom"/>
          </w:tcPr>
          <w:p w14:paraId="525555C9" w14:textId="050FCC66" w:rsidR="00790828" w:rsidRPr="00F60034" w:rsidRDefault="000B745C" w:rsidP="00F15B99">
            <w:pPr>
              <w:spacing w:after="0" w:line="240" w:lineRule="auto"/>
              <w:ind w:right="144"/>
              <w:jc w:val="right"/>
              <w:rPr>
                <w:rFonts w:ascii="Arial" w:hAnsi="Arial" w:cs="Arial"/>
                <w:szCs w:val="20"/>
              </w:rPr>
            </w:pPr>
            <w:r>
              <w:rPr>
                <w:rFonts w:ascii="Arial" w:hAnsi="Arial" w:cs="Arial"/>
                <w:szCs w:val="20"/>
              </w:rPr>
              <w:t>79,478,923</w:t>
            </w:r>
          </w:p>
        </w:tc>
        <w:tc>
          <w:tcPr>
            <w:tcW w:w="1890" w:type="dxa"/>
            <w:tcBorders>
              <w:bottom w:val="single" w:sz="12" w:space="0" w:color="auto"/>
            </w:tcBorders>
            <w:vAlign w:val="bottom"/>
          </w:tcPr>
          <w:p w14:paraId="2EC8F330" w14:textId="05CBAFD1" w:rsidR="00790828" w:rsidRPr="00F60034" w:rsidRDefault="0041197B" w:rsidP="000B745C">
            <w:pPr>
              <w:spacing w:after="0" w:line="240" w:lineRule="auto"/>
              <w:ind w:right="256"/>
              <w:jc w:val="right"/>
              <w:rPr>
                <w:rFonts w:ascii="Arial" w:hAnsi="Arial" w:cs="Arial"/>
                <w:szCs w:val="20"/>
              </w:rPr>
            </w:pPr>
            <w:r>
              <w:rPr>
                <w:rFonts w:ascii="Arial" w:hAnsi="Arial" w:cs="Arial"/>
                <w:szCs w:val="20"/>
              </w:rPr>
              <w:t>0.</w:t>
            </w:r>
            <w:r w:rsidR="000B745C">
              <w:rPr>
                <w:rFonts w:ascii="Arial" w:hAnsi="Arial" w:cs="Arial"/>
                <w:szCs w:val="20"/>
              </w:rPr>
              <w:t>37</w:t>
            </w:r>
          </w:p>
        </w:tc>
      </w:tr>
    </w:tbl>
    <w:p w14:paraId="4A7AD5A7" w14:textId="77777777" w:rsidR="00F60034" w:rsidRDefault="00F60034" w:rsidP="00F15B99">
      <w:pPr>
        <w:spacing w:after="0" w:line="240" w:lineRule="auto"/>
        <w:ind w:left="431"/>
        <w:jc w:val="both"/>
        <w:rPr>
          <w:rFonts w:ascii="Arial" w:hAnsi="Arial" w:cs="Arial"/>
          <w:szCs w:val="20"/>
        </w:rPr>
      </w:pPr>
    </w:p>
    <w:p w14:paraId="1A7DE188" w14:textId="77777777" w:rsidR="00E430D2" w:rsidRDefault="00E430D2">
      <w:pPr>
        <w:rPr>
          <w:rFonts w:ascii="Arial" w:hAnsi="Arial" w:cs="Arial"/>
          <w:b/>
          <w:szCs w:val="20"/>
          <w:highlight w:val="yellow"/>
        </w:rPr>
      </w:pPr>
      <w:r>
        <w:rPr>
          <w:rFonts w:ascii="Arial" w:hAnsi="Arial" w:cs="Arial"/>
          <w:b/>
          <w:szCs w:val="20"/>
          <w:highlight w:val="yellow"/>
        </w:rPr>
        <w:br w:type="page"/>
      </w:r>
    </w:p>
    <w:p w14:paraId="1FB27910" w14:textId="11E8A666" w:rsidR="00E430D2" w:rsidRPr="00E430D2" w:rsidRDefault="00E430D2" w:rsidP="00E430D2">
      <w:pPr>
        <w:tabs>
          <w:tab w:val="left" w:pos="450"/>
        </w:tabs>
        <w:spacing w:after="0" w:line="240" w:lineRule="auto"/>
        <w:jc w:val="both"/>
        <w:rPr>
          <w:rFonts w:ascii="Arial" w:hAnsi="Arial" w:cs="Arial"/>
          <w:szCs w:val="20"/>
        </w:rPr>
      </w:pPr>
      <w:r w:rsidRPr="003C420B">
        <w:rPr>
          <w:rFonts w:ascii="Arial" w:hAnsi="Arial" w:cs="Arial"/>
          <w:b/>
          <w:szCs w:val="20"/>
        </w:rPr>
        <w:lastRenderedPageBreak/>
        <w:t>12.</w:t>
      </w:r>
      <w:r w:rsidRPr="003C420B">
        <w:rPr>
          <w:rFonts w:ascii="Arial" w:hAnsi="Arial" w:cs="Arial"/>
          <w:b/>
          <w:szCs w:val="20"/>
        </w:rPr>
        <w:tab/>
        <w:t xml:space="preserve">Share Purchase Warrants </w:t>
      </w:r>
      <w:r w:rsidRPr="003C420B">
        <w:rPr>
          <w:rFonts w:ascii="Arial" w:hAnsi="Arial" w:cs="Arial"/>
          <w:szCs w:val="20"/>
        </w:rPr>
        <w:t>(continued)</w:t>
      </w:r>
    </w:p>
    <w:p w14:paraId="5543A8E0" w14:textId="77777777" w:rsidR="00E430D2" w:rsidRDefault="00E430D2" w:rsidP="00F15B99">
      <w:pPr>
        <w:spacing w:after="0" w:line="240" w:lineRule="auto"/>
        <w:ind w:left="450"/>
        <w:rPr>
          <w:rFonts w:ascii="Arial" w:hAnsi="Arial" w:cs="Arial"/>
          <w:szCs w:val="20"/>
        </w:rPr>
      </w:pPr>
    </w:p>
    <w:p w14:paraId="65634181" w14:textId="75EF4DEE" w:rsidR="00B420E5" w:rsidRDefault="00B420E5" w:rsidP="00F15B99">
      <w:pPr>
        <w:spacing w:after="0" w:line="240" w:lineRule="auto"/>
        <w:ind w:left="450"/>
        <w:rPr>
          <w:rFonts w:ascii="Arial" w:hAnsi="Arial" w:cs="Arial"/>
          <w:szCs w:val="20"/>
        </w:rPr>
      </w:pPr>
      <w:r w:rsidRPr="00B420E5">
        <w:rPr>
          <w:rFonts w:ascii="Arial" w:hAnsi="Arial" w:cs="Arial"/>
          <w:szCs w:val="20"/>
        </w:rPr>
        <w:t xml:space="preserve">As at </w:t>
      </w:r>
      <w:r w:rsidR="003C420B">
        <w:rPr>
          <w:rFonts w:ascii="Arial" w:hAnsi="Arial" w:cs="Arial"/>
          <w:szCs w:val="20"/>
        </w:rPr>
        <w:t>July</w:t>
      </w:r>
      <w:r w:rsidR="0041197B">
        <w:rPr>
          <w:rFonts w:ascii="Arial" w:hAnsi="Arial" w:cs="Arial"/>
          <w:szCs w:val="20"/>
        </w:rPr>
        <w:t xml:space="preserve"> 31, 201</w:t>
      </w:r>
      <w:r w:rsidR="00CD70E7">
        <w:rPr>
          <w:rFonts w:ascii="Arial" w:hAnsi="Arial" w:cs="Arial"/>
          <w:szCs w:val="20"/>
        </w:rPr>
        <w:t>9</w:t>
      </w:r>
      <w:r w:rsidRPr="00B420E5">
        <w:rPr>
          <w:rFonts w:ascii="Arial" w:hAnsi="Arial" w:cs="Arial"/>
          <w:szCs w:val="20"/>
        </w:rPr>
        <w:t>, the following share purchase warrant</w:t>
      </w:r>
      <w:r w:rsidR="0041197B">
        <w:rPr>
          <w:rFonts w:ascii="Arial" w:hAnsi="Arial" w:cs="Arial"/>
          <w:szCs w:val="20"/>
        </w:rPr>
        <w:t>s</w:t>
      </w:r>
      <w:r w:rsidRPr="00B420E5">
        <w:rPr>
          <w:rFonts w:ascii="Arial" w:hAnsi="Arial" w:cs="Arial"/>
          <w:szCs w:val="20"/>
        </w:rPr>
        <w:t xml:space="preserve"> </w:t>
      </w:r>
      <w:r w:rsidR="0041197B">
        <w:rPr>
          <w:rFonts w:ascii="Arial" w:hAnsi="Arial" w:cs="Arial"/>
          <w:szCs w:val="20"/>
        </w:rPr>
        <w:t>were</w:t>
      </w:r>
      <w:r w:rsidRPr="00B420E5">
        <w:rPr>
          <w:rFonts w:ascii="Arial" w:hAnsi="Arial" w:cs="Arial"/>
          <w:szCs w:val="20"/>
        </w:rPr>
        <w:t xml:space="preserve"> outstanding:</w:t>
      </w:r>
    </w:p>
    <w:p w14:paraId="103553F6" w14:textId="77777777" w:rsidR="005639E1" w:rsidRPr="00B420E5" w:rsidRDefault="005639E1" w:rsidP="00F15B99">
      <w:pPr>
        <w:spacing w:after="0" w:line="240" w:lineRule="auto"/>
        <w:ind w:left="450"/>
        <w:rPr>
          <w:rFonts w:ascii="Arial" w:hAnsi="Arial" w:cs="Arial"/>
          <w:szCs w:val="20"/>
        </w:rPr>
      </w:pPr>
    </w:p>
    <w:tbl>
      <w:tblPr>
        <w:tblW w:w="5992" w:type="dxa"/>
        <w:tblInd w:w="558" w:type="dxa"/>
        <w:tblLayout w:type="fixed"/>
        <w:tblLook w:val="01E0" w:firstRow="1" w:lastRow="1" w:firstColumn="1" w:lastColumn="1" w:noHBand="0" w:noVBand="0"/>
      </w:tblPr>
      <w:tblGrid>
        <w:gridCol w:w="1764"/>
        <w:gridCol w:w="1418"/>
        <w:gridCol w:w="2810"/>
      </w:tblGrid>
      <w:tr w:rsidR="00B420E5" w:rsidRPr="00B420E5" w14:paraId="584AEDE3" w14:textId="77777777" w:rsidTr="001C5CA7">
        <w:tc>
          <w:tcPr>
            <w:tcW w:w="1764" w:type="dxa"/>
            <w:tcBorders>
              <w:bottom w:val="single" w:sz="4" w:space="0" w:color="auto"/>
            </w:tcBorders>
            <w:vAlign w:val="bottom"/>
          </w:tcPr>
          <w:p w14:paraId="2BD4E9E6"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 xml:space="preserve">Number of Warrants </w:t>
            </w:r>
          </w:p>
        </w:tc>
        <w:tc>
          <w:tcPr>
            <w:tcW w:w="1418" w:type="dxa"/>
            <w:tcBorders>
              <w:bottom w:val="single" w:sz="4" w:space="0" w:color="auto"/>
            </w:tcBorders>
            <w:vAlign w:val="bottom"/>
          </w:tcPr>
          <w:p w14:paraId="221DF5F2"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Exercise</w:t>
            </w:r>
          </w:p>
          <w:p w14:paraId="72711323"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Price</w:t>
            </w:r>
          </w:p>
          <w:p w14:paraId="76F817D4"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r w:rsidRPr="00B420E5">
              <w:rPr>
                <w:rFonts w:ascii="Arial" w:hAnsi="Arial" w:cs="Arial"/>
                <w:szCs w:val="20"/>
              </w:rPr>
              <w:t>$</w:t>
            </w:r>
          </w:p>
        </w:tc>
        <w:tc>
          <w:tcPr>
            <w:tcW w:w="2810" w:type="dxa"/>
            <w:tcBorders>
              <w:bottom w:val="single" w:sz="4" w:space="0" w:color="auto"/>
            </w:tcBorders>
            <w:vAlign w:val="bottom"/>
          </w:tcPr>
          <w:p w14:paraId="26B7126F" w14:textId="77777777" w:rsidR="00B420E5" w:rsidRPr="00B420E5" w:rsidRDefault="00B420E5" w:rsidP="00F15B99">
            <w:pPr>
              <w:tabs>
                <w:tab w:val="center" w:pos="4320"/>
                <w:tab w:val="right" w:pos="8640"/>
              </w:tabs>
              <w:spacing w:after="0" w:line="240" w:lineRule="auto"/>
              <w:ind w:hanging="81"/>
              <w:rPr>
                <w:rFonts w:ascii="Arial" w:hAnsi="Arial" w:cs="Arial"/>
                <w:szCs w:val="20"/>
              </w:rPr>
            </w:pPr>
            <w:r w:rsidRPr="00B420E5">
              <w:rPr>
                <w:rFonts w:ascii="Arial" w:hAnsi="Arial" w:cs="Arial"/>
                <w:szCs w:val="20"/>
              </w:rPr>
              <w:t>Expiry Date</w:t>
            </w:r>
          </w:p>
        </w:tc>
      </w:tr>
      <w:tr w:rsidR="00B420E5" w:rsidRPr="00B420E5" w14:paraId="4BBEA96F" w14:textId="77777777" w:rsidTr="001C5CA7">
        <w:trPr>
          <w:trHeight w:hRule="exact" w:val="113"/>
        </w:trPr>
        <w:tc>
          <w:tcPr>
            <w:tcW w:w="1764" w:type="dxa"/>
            <w:tcBorders>
              <w:top w:val="single" w:sz="4" w:space="0" w:color="auto"/>
            </w:tcBorders>
          </w:tcPr>
          <w:p w14:paraId="4D94F4D5"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c>
          <w:tcPr>
            <w:tcW w:w="1418" w:type="dxa"/>
            <w:tcBorders>
              <w:top w:val="single" w:sz="4" w:space="0" w:color="auto"/>
            </w:tcBorders>
            <w:vAlign w:val="bottom"/>
          </w:tcPr>
          <w:p w14:paraId="66816146"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c>
          <w:tcPr>
            <w:tcW w:w="2810" w:type="dxa"/>
            <w:tcBorders>
              <w:top w:val="single" w:sz="4" w:space="0" w:color="auto"/>
            </w:tcBorders>
            <w:vAlign w:val="bottom"/>
          </w:tcPr>
          <w:p w14:paraId="0C7DA8BA" w14:textId="77777777" w:rsidR="00B420E5" w:rsidRPr="00B420E5" w:rsidRDefault="00B420E5" w:rsidP="00F15B99">
            <w:pPr>
              <w:tabs>
                <w:tab w:val="center" w:pos="4320"/>
                <w:tab w:val="right" w:pos="8640"/>
              </w:tabs>
              <w:spacing w:after="0" w:line="240" w:lineRule="auto"/>
              <w:ind w:hanging="81"/>
              <w:jc w:val="center"/>
              <w:rPr>
                <w:rFonts w:ascii="Arial" w:hAnsi="Arial" w:cs="Arial"/>
                <w:szCs w:val="20"/>
              </w:rPr>
            </w:pPr>
          </w:p>
        </w:tc>
      </w:tr>
      <w:tr w:rsidR="00320D7D" w:rsidRPr="00B420E5" w14:paraId="43A3EA9B" w14:textId="77777777" w:rsidTr="001C5CA7">
        <w:tc>
          <w:tcPr>
            <w:tcW w:w="1764" w:type="dxa"/>
          </w:tcPr>
          <w:p w14:paraId="7ACCDE3F" w14:textId="2C80F8F2"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172,413</w:t>
            </w:r>
          </w:p>
        </w:tc>
        <w:tc>
          <w:tcPr>
            <w:tcW w:w="1418" w:type="dxa"/>
            <w:vAlign w:val="bottom"/>
          </w:tcPr>
          <w:p w14:paraId="20770569" w14:textId="67D889E7"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1.74</w:t>
            </w:r>
          </w:p>
        </w:tc>
        <w:tc>
          <w:tcPr>
            <w:tcW w:w="2810" w:type="dxa"/>
            <w:vAlign w:val="bottom"/>
          </w:tcPr>
          <w:p w14:paraId="11173DA0" w14:textId="31DAB978"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March 1, 2021</w:t>
            </w:r>
          </w:p>
        </w:tc>
      </w:tr>
      <w:tr w:rsidR="00320D7D" w:rsidRPr="00B420E5" w14:paraId="148C4267" w14:textId="77777777" w:rsidTr="001C5CA7">
        <w:tc>
          <w:tcPr>
            <w:tcW w:w="1764" w:type="dxa"/>
          </w:tcPr>
          <w:p w14:paraId="7321D139" w14:textId="093E2E99"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3,353,250</w:t>
            </w:r>
          </w:p>
        </w:tc>
        <w:tc>
          <w:tcPr>
            <w:tcW w:w="1418" w:type="dxa"/>
            <w:vAlign w:val="bottom"/>
          </w:tcPr>
          <w:p w14:paraId="73646C98" w14:textId="792F41A0"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6EA6EAD8" w14:textId="2F0A0C62"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September 21, 2021</w:t>
            </w:r>
          </w:p>
        </w:tc>
      </w:tr>
      <w:tr w:rsidR="00320D7D" w:rsidRPr="00B420E5" w14:paraId="5748EB3B" w14:textId="77777777" w:rsidTr="001C5CA7">
        <w:tc>
          <w:tcPr>
            <w:tcW w:w="1764" w:type="dxa"/>
          </w:tcPr>
          <w:p w14:paraId="58ECC0C2" w14:textId="318E62C0"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8,000</w:t>
            </w:r>
          </w:p>
        </w:tc>
        <w:tc>
          <w:tcPr>
            <w:tcW w:w="1418" w:type="dxa"/>
            <w:vAlign w:val="bottom"/>
          </w:tcPr>
          <w:p w14:paraId="0DABBE4D" w14:textId="24F587BF"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10B05210" w14:textId="3CC34D0A"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 2021</w:t>
            </w:r>
          </w:p>
        </w:tc>
      </w:tr>
      <w:tr w:rsidR="00320D7D" w:rsidRPr="00B420E5" w14:paraId="17C8D4C5" w14:textId="77777777" w:rsidTr="001C5CA7">
        <w:tc>
          <w:tcPr>
            <w:tcW w:w="1764" w:type="dxa"/>
          </w:tcPr>
          <w:p w14:paraId="4ACD6335" w14:textId="3E6F2EF1"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907,260</w:t>
            </w:r>
          </w:p>
        </w:tc>
        <w:tc>
          <w:tcPr>
            <w:tcW w:w="1418" w:type="dxa"/>
            <w:vAlign w:val="bottom"/>
          </w:tcPr>
          <w:p w14:paraId="4463C41E" w14:textId="1DDA3871"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426780E6" w14:textId="2B6F5BEA"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18, 2021</w:t>
            </w:r>
          </w:p>
        </w:tc>
      </w:tr>
      <w:tr w:rsidR="00320D7D" w:rsidRPr="00B420E5" w14:paraId="0A9B6E81" w14:textId="77777777" w:rsidTr="001C5CA7">
        <w:tc>
          <w:tcPr>
            <w:tcW w:w="1764" w:type="dxa"/>
          </w:tcPr>
          <w:p w14:paraId="00BCE999" w14:textId="2A7F11BF"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3,780,000</w:t>
            </w:r>
          </w:p>
        </w:tc>
        <w:tc>
          <w:tcPr>
            <w:tcW w:w="1418" w:type="dxa"/>
            <w:vAlign w:val="bottom"/>
          </w:tcPr>
          <w:p w14:paraId="6A5A343A" w14:textId="57B4101B" w:rsidR="00320D7D" w:rsidRDefault="00320D7D"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0.60</w:t>
            </w:r>
          </w:p>
        </w:tc>
        <w:tc>
          <w:tcPr>
            <w:tcW w:w="2810" w:type="dxa"/>
            <w:vAlign w:val="bottom"/>
          </w:tcPr>
          <w:p w14:paraId="219274E6" w14:textId="6A25ED55" w:rsidR="00320D7D" w:rsidRDefault="00320D7D"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October 22, 2021</w:t>
            </w:r>
          </w:p>
        </w:tc>
      </w:tr>
      <w:tr w:rsidR="003C420B" w:rsidRPr="00B420E5" w14:paraId="2AF5E285" w14:textId="77777777" w:rsidTr="001C5CA7">
        <w:tc>
          <w:tcPr>
            <w:tcW w:w="1764" w:type="dxa"/>
          </w:tcPr>
          <w:p w14:paraId="482BD07B" w14:textId="737C8362"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7,058,000</w:t>
            </w:r>
          </w:p>
        </w:tc>
        <w:tc>
          <w:tcPr>
            <w:tcW w:w="1418" w:type="dxa"/>
            <w:vAlign w:val="bottom"/>
          </w:tcPr>
          <w:p w14:paraId="53E9CEA2" w14:textId="6F449BC7"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0.30</w:t>
            </w:r>
          </w:p>
        </w:tc>
        <w:tc>
          <w:tcPr>
            <w:tcW w:w="2810" w:type="dxa"/>
            <w:vAlign w:val="bottom"/>
          </w:tcPr>
          <w:p w14:paraId="4BA8EF6C" w14:textId="7406983E"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March 16, 2022</w:t>
            </w:r>
          </w:p>
        </w:tc>
      </w:tr>
      <w:tr w:rsidR="003C420B" w:rsidRPr="00B420E5" w14:paraId="1442F730" w14:textId="77777777" w:rsidTr="001C5CA7">
        <w:tc>
          <w:tcPr>
            <w:tcW w:w="1764" w:type="dxa"/>
          </w:tcPr>
          <w:p w14:paraId="05E2134F" w14:textId="632D46EE"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46,132,000</w:t>
            </w:r>
          </w:p>
        </w:tc>
        <w:tc>
          <w:tcPr>
            <w:tcW w:w="1418" w:type="dxa"/>
            <w:vAlign w:val="bottom"/>
          </w:tcPr>
          <w:p w14:paraId="4D0B66E9" w14:textId="36190759"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0.35</w:t>
            </w:r>
          </w:p>
        </w:tc>
        <w:tc>
          <w:tcPr>
            <w:tcW w:w="2810" w:type="dxa"/>
            <w:vAlign w:val="bottom"/>
          </w:tcPr>
          <w:p w14:paraId="4977CEBD" w14:textId="20F0958A"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May 14, 2021</w:t>
            </w:r>
          </w:p>
        </w:tc>
      </w:tr>
      <w:tr w:rsidR="003C420B" w:rsidRPr="00B420E5" w14:paraId="33D3B80E" w14:textId="77777777" w:rsidTr="001C5CA7">
        <w:tc>
          <w:tcPr>
            <w:tcW w:w="1764" w:type="dxa"/>
          </w:tcPr>
          <w:p w14:paraId="61B51646" w14:textId="5C48C89A"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18,068,000</w:t>
            </w:r>
          </w:p>
        </w:tc>
        <w:tc>
          <w:tcPr>
            <w:tcW w:w="1418" w:type="dxa"/>
            <w:vAlign w:val="bottom"/>
          </w:tcPr>
          <w:p w14:paraId="7B246513" w14:textId="793BA417" w:rsidR="003C420B" w:rsidRDefault="003C420B" w:rsidP="00F15B99">
            <w:pPr>
              <w:tabs>
                <w:tab w:val="center" w:pos="4320"/>
                <w:tab w:val="right" w:pos="8640"/>
              </w:tabs>
              <w:spacing w:after="0" w:line="240" w:lineRule="auto"/>
              <w:ind w:left="86" w:right="288" w:hanging="86"/>
              <w:jc w:val="right"/>
              <w:rPr>
                <w:rFonts w:ascii="Arial" w:hAnsi="Arial" w:cs="Arial"/>
                <w:szCs w:val="20"/>
              </w:rPr>
            </w:pPr>
            <w:r>
              <w:rPr>
                <w:rFonts w:ascii="Arial" w:hAnsi="Arial" w:cs="Arial"/>
                <w:szCs w:val="20"/>
              </w:rPr>
              <w:t>0.35</w:t>
            </w:r>
          </w:p>
        </w:tc>
        <w:tc>
          <w:tcPr>
            <w:tcW w:w="2810" w:type="dxa"/>
            <w:vAlign w:val="bottom"/>
          </w:tcPr>
          <w:p w14:paraId="3E468E73" w14:textId="7D633AD1" w:rsidR="003C420B" w:rsidRDefault="003C420B" w:rsidP="00F15B99">
            <w:pPr>
              <w:tabs>
                <w:tab w:val="center" w:pos="4320"/>
                <w:tab w:val="right" w:pos="8640"/>
              </w:tabs>
              <w:spacing w:after="0" w:line="240" w:lineRule="auto"/>
              <w:ind w:right="459" w:hanging="81"/>
              <w:rPr>
                <w:rFonts w:ascii="Arial" w:hAnsi="Arial" w:cs="Arial"/>
                <w:szCs w:val="20"/>
              </w:rPr>
            </w:pPr>
            <w:r>
              <w:rPr>
                <w:rFonts w:ascii="Arial" w:hAnsi="Arial" w:cs="Arial"/>
                <w:szCs w:val="20"/>
              </w:rPr>
              <w:t>May 29, 2021</w:t>
            </w:r>
          </w:p>
        </w:tc>
      </w:tr>
    </w:tbl>
    <w:p w14:paraId="2FAFB4DD" w14:textId="77777777" w:rsidR="00AA57D9" w:rsidRPr="00B420E5" w:rsidRDefault="00AA57D9" w:rsidP="00F15B99">
      <w:pPr>
        <w:spacing w:after="0" w:line="240" w:lineRule="auto"/>
        <w:ind w:left="446"/>
        <w:rPr>
          <w:rFonts w:ascii="Arial" w:hAnsi="Arial" w:cs="Arial"/>
          <w:szCs w:val="20"/>
        </w:rPr>
      </w:pPr>
    </w:p>
    <w:p w14:paraId="02BA42CD" w14:textId="777A8E66" w:rsidR="00790828" w:rsidRPr="00F60034" w:rsidRDefault="00320D7D" w:rsidP="00F15B99">
      <w:pPr>
        <w:tabs>
          <w:tab w:val="left" w:pos="432"/>
          <w:tab w:val="left" w:pos="792"/>
        </w:tabs>
        <w:spacing w:after="0" w:line="240" w:lineRule="auto"/>
        <w:jc w:val="both"/>
        <w:rPr>
          <w:rFonts w:ascii="Arial" w:hAnsi="Arial" w:cs="Arial"/>
          <w:b/>
          <w:szCs w:val="20"/>
        </w:rPr>
      </w:pPr>
      <w:r>
        <w:rPr>
          <w:rFonts w:ascii="Arial" w:hAnsi="Arial" w:cs="Arial"/>
          <w:b/>
          <w:szCs w:val="20"/>
        </w:rPr>
        <w:t>13</w:t>
      </w:r>
      <w:r w:rsidR="00790828" w:rsidRPr="00E53873">
        <w:rPr>
          <w:rFonts w:ascii="Arial" w:hAnsi="Arial" w:cs="Arial"/>
          <w:b/>
          <w:szCs w:val="20"/>
        </w:rPr>
        <w:t>.</w:t>
      </w:r>
      <w:r w:rsidR="00790828" w:rsidRPr="00E53873">
        <w:rPr>
          <w:rFonts w:ascii="Arial" w:hAnsi="Arial" w:cs="Arial"/>
          <w:b/>
          <w:szCs w:val="20"/>
        </w:rPr>
        <w:tab/>
      </w:r>
      <w:r w:rsidR="00DB5BF7">
        <w:rPr>
          <w:rFonts w:ascii="Arial" w:hAnsi="Arial" w:cs="Arial"/>
          <w:b/>
          <w:szCs w:val="20"/>
        </w:rPr>
        <w:t>Share Purchase Options</w:t>
      </w:r>
    </w:p>
    <w:p w14:paraId="5D3A8A5B" w14:textId="77777777" w:rsidR="00181AEB" w:rsidRDefault="00181AEB" w:rsidP="00F15B99">
      <w:pPr>
        <w:pStyle w:val="BodyTextIndent2"/>
        <w:spacing w:after="0" w:line="240" w:lineRule="auto"/>
        <w:ind w:left="450"/>
        <w:jc w:val="both"/>
        <w:rPr>
          <w:rFonts w:ascii="Arial" w:hAnsi="Arial" w:cs="Arial"/>
          <w:szCs w:val="20"/>
          <w:lang w:val="en-CA"/>
        </w:rPr>
      </w:pPr>
    </w:p>
    <w:p w14:paraId="3EA17502" w14:textId="4835C13F" w:rsidR="0053697F" w:rsidRDefault="0053697F" w:rsidP="00F15B99">
      <w:pPr>
        <w:pStyle w:val="BodyTextIndent2"/>
        <w:spacing w:after="0" w:line="240" w:lineRule="auto"/>
        <w:ind w:left="450"/>
        <w:jc w:val="both"/>
        <w:rPr>
          <w:rFonts w:ascii="Arial" w:hAnsi="Arial" w:cs="Arial"/>
          <w:szCs w:val="20"/>
          <w:lang w:val="en-CA"/>
        </w:rPr>
      </w:pPr>
      <w:r w:rsidRPr="0053697F">
        <w:rPr>
          <w:rFonts w:ascii="Arial" w:hAnsi="Arial" w:cs="Arial"/>
          <w:szCs w:val="20"/>
          <w:lang w:val="en-CA"/>
        </w:rPr>
        <w:t xml:space="preserve">Effective </w:t>
      </w:r>
      <w:r>
        <w:rPr>
          <w:rFonts w:ascii="Arial" w:hAnsi="Arial" w:cs="Arial"/>
          <w:szCs w:val="20"/>
          <w:lang w:val="en-CA"/>
        </w:rPr>
        <w:t>December 30, 2015</w:t>
      </w:r>
      <w:r w:rsidRPr="0053697F">
        <w:rPr>
          <w:rFonts w:ascii="Arial" w:hAnsi="Arial" w:cs="Arial"/>
          <w:szCs w:val="20"/>
          <w:lang w:val="en-CA"/>
        </w:rPr>
        <w:t xml:space="preserve">, the Company adopted a </w:t>
      </w:r>
      <w:r>
        <w:rPr>
          <w:rFonts w:ascii="Arial" w:hAnsi="Arial" w:cs="Arial"/>
          <w:szCs w:val="20"/>
          <w:lang w:val="en-CA"/>
        </w:rPr>
        <w:t>stock</w:t>
      </w:r>
      <w:r w:rsidRPr="0053697F">
        <w:rPr>
          <w:rFonts w:ascii="Arial" w:hAnsi="Arial" w:cs="Arial"/>
          <w:szCs w:val="20"/>
          <w:lang w:val="en-CA"/>
        </w:rPr>
        <w:t xml:space="preserve"> option plan. Under this plan, the Company may grant options </w:t>
      </w:r>
      <w:r w:rsidR="00E60A82">
        <w:rPr>
          <w:rFonts w:ascii="Arial" w:hAnsi="Arial" w:cs="Arial"/>
          <w:szCs w:val="20"/>
          <w:lang w:val="en-CA"/>
        </w:rPr>
        <w:t xml:space="preserve">to its directors, officers, employees and consultants </w:t>
      </w:r>
      <w:r w:rsidRPr="0053697F">
        <w:rPr>
          <w:rFonts w:ascii="Arial" w:hAnsi="Arial" w:cs="Arial"/>
          <w:szCs w:val="20"/>
          <w:lang w:val="en-CA"/>
        </w:rPr>
        <w:t xml:space="preserve">up to </w:t>
      </w:r>
      <w:r>
        <w:rPr>
          <w:rFonts w:ascii="Arial" w:hAnsi="Arial" w:cs="Arial"/>
          <w:szCs w:val="20"/>
          <w:lang w:val="en-CA"/>
        </w:rPr>
        <w:t>an amount</w:t>
      </w:r>
      <w:r w:rsidR="00E60A82">
        <w:rPr>
          <w:rFonts w:ascii="Arial" w:hAnsi="Arial" w:cs="Arial"/>
          <w:szCs w:val="20"/>
          <w:lang w:val="en-CA"/>
        </w:rPr>
        <w:t xml:space="preserve"> as determined by the Company and will be no more than a percentage of </w:t>
      </w:r>
      <w:r w:rsidR="00C634FA">
        <w:rPr>
          <w:rFonts w:ascii="Arial" w:hAnsi="Arial" w:cs="Arial"/>
          <w:szCs w:val="20"/>
          <w:lang w:val="en-CA"/>
        </w:rPr>
        <w:t xml:space="preserve">its </w:t>
      </w:r>
      <w:r w:rsidR="00E60A82">
        <w:rPr>
          <w:rFonts w:ascii="Arial" w:hAnsi="Arial" w:cs="Arial"/>
          <w:szCs w:val="20"/>
          <w:lang w:val="en-CA"/>
        </w:rPr>
        <w:t xml:space="preserve">outstanding common </w:t>
      </w:r>
      <w:r w:rsidR="00DB5BF7">
        <w:rPr>
          <w:rFonts w:ascii="Arial" w:hAnsi="Arial" w:cs="Arial"/>
          <w:szCs w:val="20"/>
          <w:lang w:val="en-CA"/>
        </w:rPr>
        <w:t>shares</w:t>
      </w:r>
      <w:r w:rsidR="00E60A82">
        <w:rPr>
          <w:rFonts w:ascii="Arial" w:hAnsi="Arial" w:cs="Arial"/>
          <w:szCs w:val="20"/>
          <w:lang w:val="en-CA"/>
        </w:rPr>
        <w:t xml:space="preserve"> as may be</w:t>
      </w:r>
      <w:r>
        <w:rPr>
          <w:rFonts w:ascii="Arial" w:hAnsi="Arial" w:cs="Arial"/>
          <w:szCs w:val="20"/>
          <w:lang w:val="en-CA"/>
        </w:rPr>
        <w:t xml:space="preserve"> required by the stock exchange the Company is listed with</w:t>
      </w:r>
      <w:r w:rsidRPr="0053697F">
        <w:rPr>
          <w:rFonts w:ascii="Arial" w:hAnsi="Arial" w:cs="Arial"/>
          <w:szCs w:val="20"/>
          <w:lang w:val="en-CA"/>
        </w:rPr>
        <w:t xml:space="preserve">. The exercise price of the </w:t>
      </w:r>
      <w:r w:rsidR="00DB5BF7">
        <w:rPr>
          <w:rFonts w:ascii="Arial" w:hAnsi="Arial" w:cs="Arial"/>
          <w:szCs w:val="20"/>
          <w:lang w:val="en-CA"/>
        </w:rPr>
        <w:t>share purchase options</w:t>
      </w:r>
      <w:r w:rsidRPr="0053697F">
        <w:rPr>
          <w:rFonts w:ascii="Arial" w:hAnsi="Arial" w:cs="Arial"/>
          <w:szCs w:val="20"/>
          <w:lang w:val="en-CA"/>
        </w:rPr>
        <w:t xml:space="preserve"> will be </w:t>
      </w:r>
      <w:r>
        <w:rPr>
          <w:rFonts w:ascii="Arial" w:hAnsi="Arial" w:cs="Arial"/>
          <w:szCs w:val="20"/>
          <w:lang w:val="en-CA"/>
        </w:rPr>
        <w:t xml:space="preserve">determined by the Company and will be </w:t>
      </w:r>
      <w:r w:rsidRPr="0053697F">
        <w:rPr>
          <w:rFonts w:ascii="Arial" w:hAnsi="Arial" w:cs="Arial"/>
          <w:szCs w:val="20"/>
          <w:lang w:val="en-CA"/>
        </w:rPr>
        <w:t xml:space="preserve">no less </w:t>
      </w:r>
      <w:r>
        <w:rPr>
          <w:rFonts w:ascii="Arial" w:hAnsi="Arial" w:cs="Arial"/>
          <w:szCs w:val="20"/>
          <w:lang w:val="en-CA"/>
        </w:rPr>
        <w:t xml:space="preserve">than </w:t>
      </w:r>
      <w:r w:rsidRPr="0053697F">
        <w:rPr>
          <w:rFonts w:ascii="Arial" w:hAnsi="Arial" w:cs="Arial"/>
          <w:szCs w:val="20"/>
          <w:lang w:val="en-CA"/>
        </w:rPr>
        <w:t xml:space="preserve">any minimum exercise price as may be required by the </w:t>
      </w:r>
      <w:r>
        <w:rPr>
          <w:rFonts w:ascii="Arial" w:hAnsi="Arial" w:cs="Arial"/>
          <w:szCs w:val="20"/>
          <w:lang w:val="en-CA"/>
        </w:rPr>
        <w:t>stock exchange the Company is listed with.</w:t>
      </w:r>
    </w:p>
    <w:p w14:paraId="29DA9C20" w14:textId="77777777" w:rsidR="00181AEB" w:rsidRDefault="00181AEB" w:rsidP="00F15B99">
      <w:pPr>
        <w:pStyle w:val="BodyTextIndent2"/>
        <w:spacing w:after="0" w:line="240" w:lineRule="auto"/>
        <w:ind w:left="0" w:firstLine="450"/>
        <w:rPr>
          <w:rFonts w:ascii="Arial" w:hAnsi="Arial" w:cs="Arial"/>
          <w:szCs w:val="20"/>
          <w:lang w:val="en-CA"/>
        </w:rPr>
      </w:pPr>
    </w:p>
    <w:p w14:paraId="5312B2F5" w14:textId="296EC7BA" w:rsidR="00790828" w:rsidRDefault="00790828" w:rsidP="009E6759">
      <w:pPr>
        <w:pStyle w:val="BodyTextIndent2"/>
        <w:spacing w:after="0" w:line="240" w:lineRule="auto"/>
        <w:ind w:left="45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sidR="00DB5BF7">
        <w:rPr>
          <w:rFonts w:ascii="Arial" w:hAnsi="Arial" w:cs="Arial"/>
          <w:szCs w:val="20"/>
          <w:lang w:val="en-CA"/>
        </w:rPr>
        <w:t>share purchase options</w:t>
      </w:r>
      <w:r w:rsidR="009E6759">
        <w:rPr>
          <w:rFonts w:ascii="Arial" w:hAnsi="Arial" w:cs="Arial"/>
          <w:szCs w:val="20"/>
          <w:lang w:val="en-CA"/>
        </w:rPr>
        <w:t xml:space="preserve"> denominated in Canadian dollars</w:t>
      </w:r>
      <w:r w:rsidRPr="00F60034">
        <w:rPr>
          <w:rFonts w:ascii="Arial" w:hAnsi="Arial" w:cs="Arial"/>
          <w:szCs w:val="20"/>
          <w:lang w:val="en-CA"/>
        </w:rPr>
        <w:t>:</w:t>
      </w:r>
    </w:p>
    <w:p w14:paraId="42A45403" w14:textId="77777777" w:rsidR="00181AEB" w:rsidRPr="00F60034" w:rsidRDefault="00181AEB" w:rsidP="00F15B99">
      <w:pPr>
        <w:pStyle w:val="BodyTextIndent2"/>
        <w:spacing w:after="0" w:line="240" w:lineRule="auto"/>
        <w:ind w:left="0" w:firstLine="450"/>
        <w:rPr>
          <w:rFonts w:ascii="Arial" w:hAnsi="Arial" w:cs="Arial"/>
          <w:szCs w:val="20"/>
          <w:lang w:val="en-CA"/>
        </w:rPr>
      </w:pPr>
    </w:p>
    <w:tbl>
      <w:tblPr>
        <w:tblW w:w="8820" w:type="dxa"/>
        <w:tblInd w:w="540" w:type="dxa"/>
        <w:tblCellMar>
          <w:left w:w="0" w:type="dxa"/>
          <w:right w:w="0" w:type="dxa"/>
        </w:tblCellMar>
        <w:tblLook w:val="0000" w:firstRow="0" w:lastRow="0" w:firstColumn="0" w:lastColumn="0" w:noHBand="0" w:noVBand="0"/>
      </w:tblPr>
      <w:tblGrid>
        <w:gridCol w:w="4230"/>
        <w:gridCol w:w="1260"/>
        <w:gridCol w:w="1620"/>
        <w:gridCol w:w="1710"/>
      </w:tblGrid>
      <w:tr w:rsidR="00E73C26" w:rsidRPr="00F60034" w14:paraId="7ECA2115" w14:textId="77777777" w:rsidTr="009E6759">
        <w:tc>
          <w:tcPr>
            <w:tcW w:w="4230" w:type="dxa"/>
            <w:tcBorders>
              <w:bottom w:val="single" w:sz="4" w:space="0" w:color="auto"/>
            </w:tcBorders>
            <w:vAlign w:val="bottom"/>
          </w:tcPr>
          <w:p w14:paraId="0F683AB2" w14:textId="77777777" w:rsidR="00E73C26" w:rsidRPr="00F60034" w:rsidRDefault="00E73C26" w:rsidP="00F15B99">
            <w:pPr>
              <w:spacing w:after="0" w:line="240" w:lineRule="auto"/>
              <w:jc w:val="center"/>
              <w:rPr>
                <w:rStyle w:val="HeadNoteTitle"/>
                <w:rFonts w:cs="Arial"/>
                <w:b w:val="0"/>
                <w:bCs/>
                <w:sz w:val="20"/>
                <w:szCs w:val="20"/>
              </w:rPr>
            </w:pPr>
            <w:r w:rsidRPr="00F60034">
              <w:rPr>
                <w:rFonts w:ascii="Arial" w:hAnsi="Arial" w:cs="Arial"/>
                <w:szCs w:val="20"/>
              </w:rPr>
              <w:fldChar w:fldCharType="begin"/>
            </w:r>
            <w:r w:rsidRPr="00F60034">
              <w:rPr>
                <w:rFonts w:ascii="Arial" w:hAnsi="Arial" w:cs="Arial"/>
                <w:szCs w:val="20"/>
              </w:rPr>
              <w:instrText>ADVANCE \d 5</w:instrText>
            </w:r>
            <w:r w:rsidRPr="00F60034">
              <w:rPr>
                <w:rFonts w:ascii="Arial" w:hAnsi="Arial" w:cs="Arial"/>
                <w:szCs w:val="20"/>
              </w:rPr>
              <w:fldChar w:fldCharType="end"/>
            </w:r>
          </w:p>
        </w:tc>
        <w:tc>
          <w:tcPr>
            <w:tcW w:w="1260" w:type="dxa"/>
            <w:tcBorders>
              <w:bottom w:val="single" w:sz="4" w:space="0" w:color="auto"/>
            </w:tcBorders>
            <w:vAlign w:val="bottom"/>
          </w:tcPr>
          <w:p w14:paraId="2CA08267" w14:textId="77777777" w:rsidR="00E73C26" w:rsidRPr="00F60034" w:rsidRDefault="00E73C26" w:rsidP="00F15B99">
            <w:pPr>
              <w:spacing w:after="0" w:line="240" w:lineRule="auto"/>
              <w:jc w:val="center"/>
              <w:rPr>
                <w:rStyle w:val="HeadNoteTitle"/>
                <w:rFonts w:cs="Arial"/>
                <w:b w:val="0"/>
                <w:bCs/>
                <w:sz w:val="20"/>
                <w:szCs w:val="20"/>
              </w:rPr>
            </w:pPr>
            <w:r w:rsidRPr="00F60034">
              <w:rPr>
                <w:rFonts w:ascii="Arial" w:hAnsi="Arial" w:cs="Arial"/>
                <w:szCs w:val="20"/>
              </w:rPr>
              <w:t>Number</w:t>
            </w:r>
            <w:r w:rsidRPr="00F60034">
              <w:rPr>
                <w:rFonts w:ascii="Arial" w:hAnsi="Arial" w:cs="Arial"/>
                <w:szCs w:val="20"/>
              </w:rPr>
              <w:br/>
              <w:t>of Options</w:t>
            </w:r>
          </w:p>
        </w:tc>
        <w:tc>
          <w:tcPr>
            <w:tcW w:w="1620" w:type="dxa"/>
            <w:tcBorders>
              <w:bottom w:val="single" w:sz="4" w:space="0" w:color="auto"/>
            </w:tcBorders>
            <w:tcMar>
              <w:left w:w="0" w:type="dxa"/>
              <w:right w:w="0" w:type="dxa"/>
            </w:tcMar>
            <w:vAlign w:val="bottom"/>
          </w:tcPr>
          <w:p w14:paraId="24B764B0" w14:textId="245875AE" w:rsidR="00E73C26" w:rsidRPr="00F60034" w:rsidRDefault="00E73C26" w:rsidP="00E73C26">
            <w:pPr>
              <w:spacing w:after="0" w:line="240" w:lineRule="auto"/>
              <w:jc w:val="center"/>
              <w:rPr>
                <w:rStyle w:val="HeadNoteTitle"/>
                <w:rFonts w:cs="Arial"/>
                <w:b w:val="0"/>
                <w:bCs/>
                <w:sz w:val="20"/>
                <w:szCs w:val="20"/>
              </w:rPr>
            </w:pPr>
            <w:r>
              <w:rPr>
                <w:rFonts w:ascii="Arial" w:hAnsi="Arial" w:cs="Arial"/>
                <w:szCs w:val="20"/>
              </w:rPr>
              <w:t>Weighted</w:t>
            </w:r>
            <w:r>
              <w:rPr>
                <w:rFonts w:ascii="Arial" w:hAnsi="Arial" w:cs="Arial"/>
                <w:szCs w:val="20"/>
              </w:rPr>
              <w:br/>
              <w:t>Average</w:t>
            </w:r>
            <w:r>
              <w:rPr>
                <w:rFonts w:ascii="Arial" w:hAnsi="Arial" w:cs="Arial"/>
                <w:szCs w:val="20"/>
              </w:rPr>
              <w:br/>
              <w:t>Exercise Price</w:t>
            </w:r>
          </w:p>
        </w:tc>
        <w:tc>
          <w:tcPr>
            <w:tcW w:w="1710" w:type="dxa"/>
            <w:tcBorders>
              <w:bottom w:val="single" w:sz="4" w:space="0" w:color="auto"/>
            </w:tcBorders>
          </w:tcPr>
          <w:p w14:paraId="2A9E816A" w14:textId="77777777" w:rsidR="00E73C26" w:rsidRPr="00F60034" w:rsidRDefault="00E73C26" w:rsidP="00F15B99">
            <w:pPr>
              <w:spacing w:after="0" w:line="240" w:lineRule="auto"/>
              <w:jc w:val="center"/>
              <w:rPr>
                <w:rFonts w:ascii="Arial" w:hAnsi="Arial" w:cs="Arial"/>
                <w:szCs w:val="20"/>
              </w:rPr>
            </w:pPr>
            <w:r w:rsidRPr="00F60034">
              <w:rPr>
                <w:rFonts w:ascii="Arial" w:hAnsi="Arial" w:cs="Arial"/>
                <w:szCs w:val="20"/>
              </w:rPr>
              <w:t>Weighted Average Remaining Contractual Life (years)</w:t>
            </w:r>
          </w:p>
        </w:tc>
      </w:tr>
      <w:tr w:rsidR="009E6759" w:rsidRPr="00F60034" w14:paraId="0C2D6F71" w14:textId="77777777" w:rsidTr="009E6759">
        <w:trPr>
          <w:trHeight w:hRule="exact" w:val="115"/>
        </w:trPr>
        <w:tc>
          <w:tcPr>
            <w:tcW w:w="4230" w:type="dxa"/>
            <w:tcBorders>
              <w:top w:val="single" w:sz="4" w:space="0" w:color="auto"/>
            </w:tcBorders>
          </w:tcPr>
          <w:p w14:paraId="31398117" w14:textId="77777777" w:rsidR="009E6759" w:rsidRPr="00F60034" w:rsidRDefault="009E6759" w:rsidP="00EC4ECB">
            <w:pPr>
              <w:spacing w:after="0" w:line="240" w:lineRule="auto"/>
              <w:rPr>
                <w:rFonts w:ascii="Arial" w:hAnsi="Arial" w:cs="Arial"/>
                <w:szCs w:val="20"/>
              </w:rPr>
            </w:pPr>
          </w:p>
        </w:tc>
        <w:tc>
          <w:tcPr>
            <w:tcW w:w="1260" w:type="dxa"/>
            <w:tcBorders>
              <w:top w:val="single" w:sz="4" w:space="0" w:color="auto"/>
            </w:tcBorders>
          </w:tcPr>
          <w:p w14:paraId="061A2574" w14:textId="77777777" w:rsidR="009E6759" w:rsidRPr="00F60034" w:rsidRDefault="009E6759"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341B7B4E" w14:textId="77777777" w:rsidR="009E6759" w:rsidRPr="00F60034" w:rsidRDefault="009E6759" w:rsidP="00EC4ECB">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1D56209A" w14:textId="77777777" w:rsidR="009E6759" w:rsidRPr="00F60034" w:rsidRDefault="009E6759" w:rsidP="00EC4ECB">
            <w:pPr>
              <w:spacing w:after="0" w:line="240" w:lineRule="auto"/>
              <w:ind w:right="29"/>
              <w:jc w:val="right"/>
              <w:rPr>
                <w:rStyle w:val="HeadNoteTitle"/>
                <w:rFonts w:cs="Arial"/>
                <w:b w:val="0"/>
                <w:bCs/>
                <w:sz w:val="20"/>
                <w:szCs w:val="20"/>
              </w:rPr>
            </w:pPr>
          </w:p>
        </w:tc>
      </w:tr>
      <w:tr w:rsidR="00044EC7" w:rsidRPr="00044EC7" w14:paraId="757DFAFA" w14:textId="77777777" w:rsidTr="009E6759">
        <w:tc>
          <w:tcPr>
            <w:tcW w:w="4230" w:type="dxa"/>
          </w:tcPr>
          <w:p w14:paraId="4618FE11" w14:textId="77777777" w:rsidR="009E6759" w:rsidRPr="00044EC7" w:rsidRDefault="009E6759" w:rsidP="00EC4ECB">
            <w:pPr>
              <w:spacing w:after="0" w:line="240" w:lineRule="auto"/>
              <w:rPr>
                <w:rFonts w:ascii="Arial" w:hAnsi="Arial" w:cs="Arial"/>
                <w:szCs w:val="20"/>
              </w:rPr>
            </w:pPr>
            <w:r w:rsidRPr="00044EC7">
              <w:rPr>
                <w:rFonts w:ascii="Arial" w:hAnsi="Arial" w:cs="Arial"/>
                <w:szCs w:val="20"/>
              </w:rPr>
              <w:t>Outstanding, February 1, 2018</w:t>
            </w:r>
          </w:p>
        </w:tc>
        <w:tc>
          <w:tcPr>
            <w:tcW w:w="1260" w:type="dxa"/>
            <w:vAlign w:val="bottom"/>
          </w:tcPr>
          <w:p w14:paraId="47D7BEF9" w14:textId="504D59FF" w:rsidR="009E6759" w:rsidRPr="00044EC7" w:rsidRDefault="00044EC7" w:rsidP="00EC4ECB">
            <w:pPr>
              <w:pStyle w:val="Header"/>
              <w:tabs>
                <w:tab w:val="left" w:pos="990"/>
              </w:tabs>
              <w:ind w:left="86" w:right="90" w:hanging="86"/>
              <w:jc w:val="right"/>
              <w:rPr>
                <w:rFonts w:ascii="Arial" w:hAnsi="Arial" w:cs="Arial"/>
                <w:szCs w:val="20"/>
              </w:rPr>
            </w:pPr>
            <w:r w:rsidRPr="00044EC7">
              <w:rPr>
                <w:rFonts w:ascii="Arial" w:hAnsi="Arial" w:cs="Arial"/>
                <w:szCs w:val="20"/>
              </w:rPr>
              <w:t>–</w:t>
            </w:r>
          </w:p>
        </w:tc>
        <w:tc>
          <w:tcPr>
            <w:tcW w:w="1620" w:type="dxa"/>
            <w:vAlign w:val="bottom"/>
          </w:tcPr>
          <w:p w14:paraId="3AC62668" w14:textId="2089FED6" w:rsidR="009E6759" w:rsidRPr="00044EC7" w:rsidRDefault="00044EC7" w:rsidP="00EC4ECB">
            <w:pPr>
              <w:pStyle w:val="Header"/>
              <w:ind w:left="86" w:right="180" w:hanging="86"/>
              <w:jc w:val="right"/>
              <w:rPr>
                <w:rFonts w:ascii="Arial" w:hAnsi="Arial" w:cs="Arial"/>
                <w:szCs w:val="20"/>
              </w:rPr>
            </w:pPr>
            <w:r w:rsidRPr="00044EC7">
              <w:rPr>
                <w:rFonts w:ascii="Arial" w:hAnsi="Arial" w:cs="Arial"/>
                <w:szCs w:val="20"/>
              </w:rPr>
              <w:t>–</w:t>
            </w:r>
          </w:p>
        </w:tc>
        <w:tc>
          <w:tcPr>
            <w:tcW w:w="1710" w:type="dxa"/>
            <w:vAlign w:val="bottom"/>
          </w:tcPr>
          <w:p w14:paraId="5EBC365A" w14:textId="1393FA0C" w:rsidR="009E6759" w:rsidRPr="00044EC7" w:rsidRDefault="00044EC7" w:rsidP="00EC4ECB">
            <w:pPr>
              <w:pStyle w:val="Header"/>
              <w:ind w:left="86" w:right="288" w:hanging="86"/>
              <w:jc w:val="right"/>
              <w:rPr>
                <w:rFonts w:ascii="Arial" w:hAnsi="Arial" w:cs="Arial"/>
                <w:szCs w:val="20"/>
              </w:rPr>
            </w:pPr>
            <w:r w:rsidRPr="00044EC7">
              <w:rPr>
                <w:rFonts w:ascii="Arial" w:hAnsi="Arial" w:cs="Arial"/>
                <w:szCs w:val="20"/>
              </w:rPr>
              <w:t>–</w:t>
            </w:r>
          </w:p>
        </w:tc>
      </w:tr>
      <w:tr w:rsidR="009E6759" w:rsidRPr="00F60034" w14:paraId="614AD7AE" w14:textId="77777777" w:rsidTr="009E6759">
        <w:tc>
          <w:tcPr>
            <w:tcW w:w="4230" w:type="dxa"/>
          </w:tcPr>
          <w:p w14:paraId="7D123251" w14:textId="77777777" w:rsidR="009E6759" w:rsidRPr="00F60034" w:rsidRDefault="009E6759" w:rsidP="00EC4ECB">
            <w:pPr>
              <w:spacing w:after="0" w:line="240" w:lineRule="auto"/>
              <w:ind w:left="180"/>
              <w:rPr>
                <w:rFonts w:ascii="Arial" w:hAnsi="Arial" w:cs="Arial"/>
                <w:szCs w:val="20"/>
              </w:rPr>
            </w:pPr>
            <w:r>
              <w:rPr>
                <w:rFonts w:ascii="Arial" w:hAnsi="Arial" w:cs="Arial"/>
                <w:szCs w:val="20"/>
              </w:rPr>
              <w:t>Granted</w:t>
            </w:r>
          </w:p>
        </w:tc>
        <w:tc>
          <w:tcPr>
            <w:tcW w:w="1260" w:type="dxa"/>
            <w:vAlign w:val="bottom"/>
          </w:tcPr>
          <w:p w14:paraId="3E21440A" w14:textId="3B121028" w:rsidR="009E6759" w:rsidRPr="00044EC7" w:rsidRDefault="00044EC7" w:rsidP="00EC4ECB">
            <w:pPr>
              <w:pStyle w:val="Header"/>
              <w:tabs>
                <w:tab w:val="left" w:pos="990"/>
              </w:tabs>
              <w:ind w:left="86" w:right="90" w:hanging="86"/>
              <w:jc w:val="right"/>
              <w:rPr>
                <w:rFonts w:ascii="Arial" w:hAnsi="Arial" w:cs="Arial"/>
                <w:szCs w:val="20"/>
              </w:rPr>
            </w:pPr>
            <w:r w:rsidRPr="00044EC7">
              <w:rPr>
                <w:rFonts w:ascii="Arial" w:hAnsi="Arial" w:cs="Arial"/>
                <w:szCs w:val="20"/>
              </w:rPr>
              <w:t>2</w:t>
            </w:r>
            <w:r w:rsidR="009E6759" w:rsidRPr="00044EC7">
              <w:rPr>
                <w:rFonts w:ascii="Arial" w:hAnsi="Arial" w:cs="Arial"/>
                <w:szCs w:val="20"/>
              </w:rPr>
              <w:t>00,000</w:t>
            </w:r>
          </w:p>
        </w:tc>
        <w:tc>
          <w:tcPr>
            <w:tcW w:w="1620" w:type="dxa"/>
            <w:vAlign w:val="bottom"/>
          </w:tcPr>
          <w:p w14:paraId="1D3BFBCB" w14:textId="4731E726" w:rsidR="009E6759" w:rsidRPr="00044EC7" w:rsidRDefault="009E6759" w:rsidP="00044EC7">
            <w:pPr>
              <w:pStyle w:val="Header"/>
              <w:ind w:left="86" w:right="180" w:hanging="86"/>
              <w:jc w:val="right"/>
              <w:rPr>
                <w:rFonts w:ascii="Arial" w:hAnsi="Arial" w:cs="Arial"/>
                <w:szCs w:val="20"/>
              </w:rPr>
            </w:pPr>
            <w:r w:rsidRPr="00044EC7">
              <w:rPr>
                <w:rFonts w:ascii="Arial" w:hAnsi="Arial" w:cs="Arial"/>
                <w:szCs w:val="20"/>
              </w:rPr>
              <w:t>1.</w:t>
            </w:r>
            <w:r w:rsidR="00044EC7" w:rsidRPr="00044EC7">
              <w:rPr>
                <w:rFonts w:ascii="Arial" w:hAnsi="Arial" w:cs="Arial"/>
                <w:szCs w:val="20"/>
              </w:rPr>
              <w:t>67</w:t>
            </w:r>
          </w:p>
        </w:tc>
        <w:tc>
          <w:tcPr>
            <w:tcW w:w="1710" w:type="dxa"/>
            <w:vAlign w:val="bottom"/>
          </w:tcPr>
          <w:p w14:paraId="21374B27" w14:textId="08681C44" w:rsidR="009E6759" w:rsidRPr="00C1180F" w:rsidRDefault="00DB5BF7" w:rsidP="00EC4ECB">
            <w:pPr>
              <w:pStyle w:val="Header"/>
              <w:ind w:left="86" w:right="288" w:hanging="86"/>
              <w:jc w:val="right"/>
              <w:rPr>
                <w:rFonts w:ascii="Arial" w:hAnsi="Arial" w:cs="Arial"/>
                <w:color w:val="FF0000"/>
                <w:szCs w:val="20"/>
              </w:rPr>
            </w:pPr>
            <w:r w:rsidRPr="00DB5BF7">
              <w:rPr>
                <w:rFonts w:ascii="Arial" w:hAnsi="Arial" w:cs="Arial"/>
                <w:szCs w:val="20"/>
              </w:rPr>
              <w:t>4.11</w:t>
            </w:r>
          </w:p>
        </w:tc>
      </w:tr>
      <w:tr w:rsidR="00E73C26" w:rsidRPr="00F60034" w14:paraId="3A5D8C69" w14:textId="77777777" w:rsidTr="009E6759">
        <w:trPr>
          <w:trHeight w:hRule="exact" w:val="115"/>
        </w:trPr>
        <w:tc>
          <w:tcPr>
            <w:tcW w:w="4230" w:type="dxa"/>
            <w:tcBorders>
              <w:top w:val="single" w:sz="4" w:space="0" w:color="auto"/>
            </w:tcBorders>
          </w:tcPr>
          <w:p w14:paraId="2B6413B3" w14:textId="77777777" w:rsidR="00E73C26" w:rsidRPr="00F60034" w:rsidRDefault="00E73C26" w:rsidP="00F15B99">
            <w:pPr>
              <w:spacing w:after="0" w:line="240" w:lineRule="auto"/>
              <w:rPr>
                <w:rFonts w:ascii="Arial" w:hAnsi="Arial" w:cs="Arial"/>
                <w:szCs w:val="20"/>
              </w:rPr>
            </w:pPr>
          </w:p>
        </w:tc>
        <w:tc>
          <w:tcPr>
            <w:tcW w:w="1260" w:type="dxa"/>
            <w:tcBorders>
              <w:top w:val="single" w:sz="4" w:space="0" w:color="auto"/>
            </w:tcBorders>
          </w:tcPr>
          <w:p w14:paraId="39547140" w14:textId="77777777" w:rsidR="00E73C26" w:rsidRPr="00F60034" w:rsidRDefault="00E73C26" w:rsidP="00F15B99">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77897911" w14:textId="77777777" w:rsidR="00E73C26" w:rsidRPr="00F60034" w:rsidRDefault="00E73C26" w:rsidP="00F15B99">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6FF672B1" w14:textId="77777777" w:rsidR="00E73C26" w:rsidRPr="00F60034" w:rsidRDefault="00E73C26" w:rsidP="00F15B99">
            <w:pPr>
              <w:spacing w:after="0" w:line="240" w:lineRule="auto"/>
              <w:ind w:right="29"/>
              <w:jc w:val="right"/>
              <w:rPr>
                <w:rStyle w:val="HeadNoteTitle"/>
                <w:rFonts w:cs="Arial"/>
                <w:b w:val="0"/>
                <w:bCs/>
                <w:sz w:val="20"/>
                <w:szCs w:val="20"/>
              </w:rPr>
            </w:pPr>
          </w:p>
        </w:tc>
      </w:tr>
      <w:tr w:rsidR="009E6759" w:rsidRPr="00F60034" w14:paraId="555729A9" w14:textId="77777777" w:rsidTr="009E6759">
        <w:tc>
          <w:tcPr>
            <w:tcW w:w="4230" w:type="dxa"/>
          </w:tcPr>
          <w:p w14:paraId="27EA6B94" w14:textId="77777777" w:rsidR="009E6759" w:rsidRPr="00F60034" w:rsidRDefault="009E6759" w:rsidP="00EC4ECB">
            <w:pPr>
              <w:spacing w:after="0" w:line="240" w:lineRule="auto"/>
              <w:rPr>
                <w:rFonts w:ascii="Arial" w:hAnsi="Arial" w:cs="Arial"/>
                <w:szCs w:val="20"/>
              </w:rPr>
            </w:pPr>
            <w:r w:rsidRPr="00F60034">
              <w:rPr>
                <w:rFonts w:ascii="Arial" w:hAnsi="Arial" w:cs="Arial"/>
                <w:szCs w:val="20"/>
              </w:rPr>
              <w:t>Outstanding</w:t>
            </w:r>
            <w:r>
              <w:rPr>
                <w:rFonts w:ascii="Arial" w:hAnsi="Arial" w:cs="Arial"/>
                <w:szCs w:val="20"/>
              </w:rPr>
              <w:t>, January 31, 2019</w:t>
            </w:r>
          </w:p>
        </w:tc>
        <w:tc>
          <w:tcPr>
            <w:tcW w:w="1260" w:type="dxa"/>
            <w:vAlign w:val="bottom"/>
          </w:tcPr>
          <w:p w14:paraId="672DDCA3" w14:textId="1210E179" w:rsidR="009E6759" w:rsidRPr="00F60034" w:rsidRDefault="00C1180F" w:rsidP="00EC4ECB">
            <w:pPr>
              <w:pStyle w:val="Header"/>
              <w:tabs>
                <w:tab w:val="left" w:pos="990"/>
              </w:tabs>
              <w:ind w:left="86" w:right="90" w:hanging="86"/>
              <w:jc w:val="right"/>
              <w:rPr>
                <w:rFonts w:ascii="Arial" w:hAnsi="Arial" w:cs="Arial"/>
                <w:szCs w:val="20"/>
              </w:rPr>
            </w:pPr>
            <w:r>
              <w:rPr>
                <w:rFonts w:ascii="Arial" w:hAnsi="Arial" w:cs="Arial"/>
                <w:szCs w:val="20"/>
              </w:rPr>
              <w:t>200,000</w:t>
            </w:r>
          </w:p>
        </w:tc>
        <w:tc>
          <w:tcPr>
            <w:tcW w:w="1620" w:type="dxa"/>
            <w:vAlign w:val="bottom"/>
          </w:tcPr>
          <w:p w14:paraId="65764B2E" w14:textId="7B771986" w:rsidR="009E6759" w:rsidRPr="00F60034" w:rsidRDefault="00C1180F" w:rsidP="00EC4ECB">
            <w:pPr>
              <w:pStyle w:val="Header"/>
              <w:ind w:left="86" w:right="180" w:hanging="86"/>
              <w:jc w:val="right"/>
              <w:rPr>
                <w:rFonts w:ascii="Arial" w:hAnsi="Arial" w:cs="Arial"/>
                <w:szCs w:val="20"/>
              </w:rPr>
            </w:pPr>
            <w:r>
              <w:rPr>
                <w:rFonts w:ascii="Arial" w:hAnsi="Arial" w:cs="Arial"/>
                <w:szCs w:val="20"/>
              </w:rPr>
              <w:t>1.67</w:t>
            </w:r>
          </w:p>
        </w:tc>
        <w:tc>
          <w:tcPr>
            <w:tcW w:w="1710" w:type="dxa"/>
            <w:vAlign w:val="bottom"/>
          </w:tcPr>
          <w:p w14:paraId="062F081E" w14:textId="39A90264" w:rsidR="009E6759" w:rsidRPr="00F60034" w:rsidRDefault="00C1180F" w:rsidP="00EC4ECB">
            <w:pPr>
              <w:pStyle w:val="Header"/>
              <w:ind w:left="86" w:right="288" w:hanging="86"/>
              <w:jc w:val="right"/>
              <w:rPr>
                <w:rFonts w:ascii="Arial" w:hAnsi="Arial" w:cs="Arial"/>
                <w:szCs w:val="20"/>
              </w:rPr>
            </w:pPr>
            <w:r>
              <w:rPr>
                <w:rFonts w:ascii="Arial" w:hAnsi="Arial" w:cs="Arial"/>
                <w:szCs w:val="20"/>
              </w:rPr>
              <w:t>4.11</w:t>
            </w:r>
          </w:p>
        </w:tc>
      </w:tr>
      <w:tr w:rsidR="00E73C26" w:rsidRPr="00F60034" w14:paraId="0342F704" w14:textId="77777777" w:rsidTr="009E6759">
        <w:tc>
          <w:tcPr>
            <w:tcW w:w="4230" w:type="dxa"/>
          </w:tcPr>
          <w:p w14:paraId="5C157FB0" w14:textId="7C4D2DD3" w:rsidR="00E73C26" w:rsidRPr="00F60034" w:rsidRDefault="00E73C26" w:rsidP="00F15B99">
            <w:pPr>
              <w:spacing w:after="0" w:line="240" w:lineRule="auto"/>
              <w:ind w:left="180"/>
              <w:rPr>
                <w:rFonts w:ascii="Arial" w:hAnsi="Arial" w:cs="Arial"/>
                <w:szCs w:val="20"/>
              </w:rPr>
            </w:pPr>
            <w:r>
              <w:rPr>
                <w:rFonts w:ascii="Arial" w:hAnsi="Arial" w:cs="Arial"/>
                <w:szCs w:val="20"/>
              </w:rPr>
              <w:t>Granted</w:t>
            </w:r>
            <w:r w:rsidR="00C3549A">
              <w:rPr>
                <w:rFonts w:ascii="Arial" w:hAnsi="Arial" w:cs="Arial"/>
                <w:szCs w:val="20"/>
              </w:rPr>
              <w:t xml:space="preserve"> (Notes 15(a), 15(b), 15(d) and 15(g))</w:t>
            </w:r>
          </w:p>
        </w:tc>
        <w:tc>
          <w:tcPr>
            <w:tcW w:w="1260" w:type="dxa"/>
            <w:vAlign w:val="bottom"/>
          </w:tcPr>
          <w:p w14:paraId="3FD0792D" w14:textId="23C4A635" w:rsidR="00E73C26" w:rsidRPr="00F60034" w:rsidRDefault="00C1180F" w:rsidP="00F15B99">
            <w:pPr>
              <w:pStyle w:val="Header"/>
              <w:tabs>
                <w:tab w:val="left" w:pos="990"/>
              </w:tabs>
              <w:ind w:left="86" w:right="90" w:hanging="86"/>
              <w:jc w:val="right"/>
              <w:rPr>
                <w:rFonts w:ascii="Arial" w:hAnsi="Arial" w:cs="Arial"/>
                <w:szCs w:val="20"/>
              </w:rPr>
            </w:pPr>
            <w:r>
              <w:rPr>
                <w:rFonts w:ascii="Arial" w:hAnsi="Arial" w:cs="Arial"/>
                <w:szCs w:val="20"/>
              </w:rPr>
              <w:t>3,450,000</w:t>
            </w:r>
          </w:p>
        </w:tc>
        <w:tc>
          <w:tcPr>
            <w:tcW w:w="1620" w:type="dxa"/>
            <w:vAlign w:val="bottom"/>
          </w:tcPr>
          <w:p w14:paraId="3BC57EF3" w14:textId="7D968DF8" w:rsidR="00E73C26" w:rsidRPr="00F60034" w:rsidRDefault="00C1180F" w:rsidP="00E73C26">
            <w:pPr>
              <w:pStyle w:val="Header"/>
              <w:ind w:left="86" w:right="180" w:hanging="86"/>
              <w:jc w:val="right"/>
              <w:rPr>
                <w:rFonts w:ascii="Arial" w:hAnsi="Arial" w:cs="Arial"/>
                <w:szCs w:val="20"/>
              </w:rPr>
            </w:pPr>
            <w:r>
              <w:rPr>
                <w:rFonts w:ascii="Arial" w:hAnsi="Arial" w:cs="Arial"/>
                <w:szCs w:val="20"/>
              </w:rPr>
              <w:t>0.40</w:t>
            </w:r>
          </w:p>
        </w:tc>
        <w:tc>
          <w:tcPr>
            <w:tcW w:w="1710" w:type="dxa"/>
            <w:vAlign w:val="bottom"/>
          </w:tcPr>
          <w:p w14:paraId="22A414AF" w14:textId="467D23F5" w:rsidR="00E73C26" w:rsidRDefault="00C1180F" w:rsidP="00F15B99">
            <w:pPr>
              <w:pStyle w:val="Header"/>
              <w:ind w:left="86" w:right="288" w:hanging="86"/>
              <w:jc w:val="right"/>
              <w:rPr>
                <w:rFonts w:ascii="Arial" w:hAnsi="Arial" w:cs="Arial"/>
                <w:szCs w:val="20"/>
              </w:rPr>
            </w:pPr>
            <w:r>
              <w:rPr>
                <w:rFonts w:ascii="Arial" w:hAnsi="Arial" w:cs="Arial"/>
                <w:szCs w:val="20"/>
              </w:rPr>
              <w:t>4.88</w:t>
            </w:r>
          </w:p>
        </w:tc>
      </w:tr>
      <w:tr w:rsidR="00E73C26" w:rsidRPr="00F60034" w14:paraId="4A208AC2" w14:textId="77777777" w:rsidTr="009E6759">
        <w:trPr>
          <w:trHeight w:hRule="exact" w:val="115"/>
        </w:trPr>
        <w:tc>
          <w:tcPr>
            <w:tcW w:w="4230" w:type="dxa"/>
            <w:tcBorders>
              <w:top w:val="single" w:sz="4" w:space="0" w:color="auto"/>
            </w:tcBorders>
          </w:tcPr>
          <w:p w14:paraId="64F4FAA3" w14:textId="77777777" w:rsidR="00E73C26" w:rsidRPr="00F60034" w:rsidRDefault="00E73C26" w:rsidP="00F15B99">
            <w:pPr>
              <w:spacing w:after="0" w:line="240" w:lineRule="auto"/>
              <w:rPr>
                <w:rFonts w:ascii="Arial" w:hAnsi="Arial" w:cs="Arial"/>
                <w:szCs w:val="20"/>
              </w:rPr>
            </w:pPr>
          </w:p>
        </w:tc>
        <w:tc>
          <w:tcPr>
            <w:tcW w:w="1260" w:type="dxa"/>
            <w:tcBorders>
              <w:top w:val="single" w:sz="4" w:space="0" w:color="auto"/>
            </w:tcBorders>
          </w:tcPr>
          <w:p w14:paraId="25402D49" w14:textId="77777777" w:rsidR="00E73C26" w:rsidRPr="00F60034" w:rsidRDefault="00E73C26" w:rsidP="00F15B99">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2A161CD7" w14:textId="77777777" w:rsidR="00E73C26" w:rsidRPr="00F60034" w:rsidRDefault="00E73C26" w:rsidP="00F15B99">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2D5D3D59" w14:textId="77777777" w:rsidR="00E73C26" w:rsidRPr="00F60034" w:rsidRDefault="00E73C26" w:rsidP="00F15B99">
            <w:pPr>
              <w:spacing w:after="0" w:line="240" w:lineRule="auto"/>
              <w:ind w:right="29"/>
              <w:jc w:val="right"/>
              <w:rPr>
                <w:rStyle w:val="HeadNoteTitle"/>
                <w:rFonts w:cs="Arial"/>
                <w:b w:val="0"/>
                <w:bCs/>
                <w:sz w:val="20"/>
                <w:szCs w:val="20"/>
              </w:rPr>
            </w:pPr>
          </w:p>
        </w:tc>
      </w:tr>
      <w:tr w:rsidR="00E73C26" w:rsidRPr="00F60034" w14:paraId="7E93FE24" w14:textId="77777777" w:rsidTr="009E6759">
        <w:tc>
          <w:tcPr>
            <w:tcW w:w="4230" w:type="dxa"/>
            <w:tcBorders>
              <w:bottom w:val="single" w:sz="12" w:space="0" w:color="auto"/>
            </w:tcBorders>
          </w:tcPr>
          <w:p w14:paraId="5D77FFC7" w14:textId="1C39165A" w:rsidR="00E73C26" w:rsidRPr="00F60034" w:rsidRDefault="00E73C26" w:rsidP="009E6759">
            <w:pPr>
              <w:spacing w:after="0" w:line="240" w:lineRule="auto"/>
              <w:rPr>
                <w:rFonts w:ascii="Arial" w:hAnsi="Arial" w:cs="Arial"/>
                <w:szCs w:val="20"/>
              </w:rPr>
            </w:pPr>
            <w:r w:rsidRPr="00F60034">
              <w:rPr>
                <w:rFonts w:ascii="Arial" w:hAnsi="Arial" w:cs="Arial"/>
                <w:szCs w:val="20"/>
              </w:rPr>
              <w:t>Outstanding</w:t>
            </w:r>
            <w:r>
              <w:rPr>
                <w:rFonts w:ascii="Arial" w:hAnsi="Arial" w:cs="Arial"/>
                <w:szCs w:val="20"/>
              </w:rPr>
              <w:t xml:space="preserve">, </w:t>
            </w:r>
            <w:r w:rsidR="009E6759">
              <w:rPr>
                <w:rFonts w:ascii="Arial" w:hAnsi="Arial" w:cs="Arial"/>
                <w:szCs w:val="20"/>
              </w:rPr>
              <w:t>July</w:t>
            </w:r>
            <w:r>
              <w:rPr>
                <w:rFonts w:ascii="Arial" w:hAnsi="Arial" w:cs="Arial"/>
                <w:szCs w:val="20"/>
              </w:rPr>
              <w:t xml:space="preserve"> 31, 2019</w:t>
            </w:r>
          </w:p>
        </w:tc>
        <w:tc>
          <w:tcPr>
            <w:tcW w:w="1260" w:type="dxa"/>
            <w:tcBorders>
              <w:bottom w:val="single" w:sz="12" w:space="0" w:color="auto"/>
            </w:tcBorders>
            <w:vAlign w:val="bottom"/>
          </w:tcPr>
          <w:p w14:paraId="5F9C642F" w14:textId="67AD7D11" w:rsidR="00E73C26" w:rsidRPr="00F60034" w:rsidRDefault="00C1180F" w:rsidP="00E73C26">
            <w:pPr>
              <w:pStyle w:val="Header"/>
              <w:tabs>
                <w:tab w:val="left" w:pos="990"/>
              </w:tabs>
              <w:ind w:left="86" w:right="90" w:hanging="86"/>
              <w:jc w:val="right"/>
              <w:rPr>
                <w:rFonts w:ascii="Arial" w:hAnsi="Arial" w:cs="Arial"/>
                <w:szCs w:val="20"/>
              </w:rPr>
            </w:pPr>
            <w:r>
              <w:rPr>
                <w:rFonts w:ascii="Arial" w:hAnsi="Arial" w:cs="Arial"/>
                <w:szCs w:val="20"/>
              </w:rPr>
              <w:t>3,650,000</w:t>
            </w:r>
          </w:p>
        </w:tc>
        <w:tc>
          <w:tcPr>
            <w:tcW w:w="1620" w:type="dxa"/>
            <w:tcBorders>
              <w:bottom w:val="single" w:sz="12" w:space="0" w:color="auto"/>
            </w:tcBorders>
            <w:vAlign w:val="bottom"/>
          </w:tcPr>
          <w:p w14:paraId="0DBC58B0" w14:textId="11AC6FD0" w:rsidR="00E73C26" w:rsidRPr="00F60034" w:rsidRDefault="00C1180F" w:rsidP="00E73C26">
            <w:pPr>
              <w:pStyle w:val="Header"/>
              <w:ind w:left="86" w:right="180" w:hanging="86"/>
              <w:jc w:val="right"/>
              <w:rPr>
                <w:rFonts w:ascii="Arial" w:hAnsi="Arial" w:cs="Arial"/>
                <w:szCs w:val="20"/>
              </w:rPr>
            </w:pPr>
            <w:r>
              <w:rPr>
                <w:rFonts w:ascii="Arial" w:hAnsi="Arial" w:cs="Arial"/>
                <w:szCs w:val="20"/>
              </w:rPr>
              <w:t>0.47</w:t>
            </w:r>
          </w:p>
        </w:tc>
        <w:tc>
          <w:tcPr>
            <w:tcW w:w="1710" w:type="dxa"/>
            <w:tcBorders>
              <w:bottom w:val="single" w:sz="12" w:space="0" w:color="auto"/>
            </w:tcBorders>
            <w:vAlign w:val="bottom"/>
          </w:tcPr>
          <w:p w14:paraId="0DA303D9" w14:textId="11EAEF67" w:rsidR="00E73C26" w:rsidRPr="00F60034" w:rsidRDefault="00C1180F" w:rsidP="00F15B99">
            <w:pPr>
              <w:pStyle w:val="Header"/>
              <w:ind w:left="86" w:right="288" w:hanging="86"/>
              <w:jc w:val="right"/>
              <w:rPr>
                <w:rFonts w:ascii="Arial" w:hAnsi="Arial" w:cs="Arial"/>
                <w:szCs w:val="20"/>
              </w:rPr>
            </w:pPr>
            <w:r>
              <w:rPr>
                <w:rFonts w:ascii="Arial" w:hAnsi="Arial" w:cs="Arial"/>
                <w:szCs w:val="20"/>
              </w:rPr>
              <w:t>4.81</w:t>
            </w:r>
          </w:p>
        </w:tc>
      </w:tr>
    </w:tbl>
    <w:p w14:paraId="26F47898" w14:textId="77777777" w:rsidR="00E92D5A" w:rsidRDefault="00E92D5A" w:rsidP="00E92D5A">
      <w:pPr>
        <w:tabs>
          <w:tab w:val="left" w:pos="432"/>
          <w:tab w:val="left" w:pos="792"/>
        </w:tabs>
        <w:spacing w:after="0" w:line="240" w:lineRule="auto"/>
        <w:jc w:val="both"/>
        <w:rPr>
          <w:rFonts w:ascii="Arial" w:hAnsi="Arial" w:cs="Arial"/>
          <w:b/>
          <w:szCs w:val="20"/>
        </w:rPr>
      </w:pPr>
    </w:p>
    <w:p w14:paraId="39EBC82D" w14:textId="77777777" w:rsidR="00C1180F" w:rsidRDefault="00C1180F">
      <w:pPr>
        <w:rPr>
          <w:rFonts w:ascii="Arial" w:hAnsi="Arial" w:cs="Arial"/>
          <w:b/>
          <w:szCs w:val="20"/>
        </w:rPr>
      </w:pPr>
      <w:r>
        <w:rPr>
          <w:rFonts w:ascii="Arial" w:hAnsi="Arial" w:cs="Arial"/>
          <w:b/>
          <w:szCs w:val="20"/>
        </w:rPr>
        <w:br w:type="page"/>
      </w:r>
    </w:p>
    <w:p w14:paraId="4AE9E8EB" w14:textId="1B8FD816" w:rsidR="00C1180F" w:rsidRPr="005639E1" w:rsidRDefault="00C1180F" w:rsidP="00C1180F">
      <w:pPr>
        <w:tabs>
          <w:tab w:val="left" w:pos="432"/>
          <w:tab w:val="left" w:pos="792"/>
        </w:tabs>
        <w:spacing w:after="0" w:line="240" w:lineRule="auto"/>
        <w:jc w:val="both"/>
        <w:rPr>
          <w:rFonts w:ascii="Arial" w:hAnsi="Arial" w:cs="Arial"/>
          <w:szCs w:val="20"/>
        </w:rPr>
      </w:pPr>
      <w:r>
        <w:rPr>
          <w:rFonts w:ascii="Arial" w:hAnsi="Arial" w:cs="Arial"/>
          <w:b/>
          <w:szCs w:val="20"/>
        </w:rPr>
        <w:lastRenderedPageBreak/>
        <w:t>13</w:t>
      </w:r>
      <w:r w:rsidRPr="00E53873">
        <w:rPr>
          <w:rFonts w:ascii="Arial" w:hAnsi="Arial" w:cs="Arial"/>
          <w:b/>
          <w:szCs w:val="20"/>
        </w:rPr>
        <w:t>.</w:t>
      </w:r>
      <w:r w:rsidRPr="00E53873">
        <w:rPr>
          <w:rFonts w:ascii="Arial" w:hAnsi="Arial" w:cs="Arial"/>
          <w:b/>
          <w:szCs w:val="20"/>
        </w:rPr>
        <w:tab/>
      </w:r>
      <w:r w:rsidR="004956A3">
        <w:rPr>
          <w:rFonts w:ascii="Arial" w:hAnsi="Arial" w:cs="Arial"/>
          <w:b/>
          <w:szCs w:val="20"/>
        </w:rPr>
        <w:t>Share Purchase Options</w:t>
      </w:r>
      <w:r>
        <w:rPr>
          <w:rFonts w:ascii="Arial" w:hAnsi="Arial" w:cs="Arial"/>
          <w:b/>
          <w:szCs w:val="20"/>
        </w:rPr>
        <w:t xml:space="preserve"> </w:t>
      </w:r>
      <w:r>
        <w:rPr>
          <w:rFonts w:ascii="Arial" w:hAnsi="Arial" w:cs="Arial"/>
          <w:szCs w:val="20"/>
        </w:rPr>
        <w:t>(continued)</w:t>
      </w:r>
    </w:p>
    <w:p w14:paraId="57073786" w14:textId="77777777" w:rsidR="00C1180F" w:rsidRDefault="00C1180F" w:rsidP="00C1180F">
      <w:pPr>
        <w:pStyle w:val="BodyTextIndent2"/>
        <w:spacing w:after="0" w:line="240" w:lineRule="auto"/>
        <w:ind w:left="450"/>
        <w:jc w:val="both"/>
        <w:rPr>
          <w:rFonts w:ascii="Arial" w:hAnsi="Arial" w:cs="Arial"/>
          <w:szCs w:val="20"/>
          <w:lang w:val="en-CA"/>
        </w:rPr>
      </w:pPr>
    </w:p>
    <w:p w14:paraId="2774C287" w14:textId="71E8D9C8" w:rsidR="00C1180F" w:rsidRDefault="00C1180F" w:rsidP="00C1180F">
      <w:pPr>
        <w:pStyle w:val="BodyTextIndent2"/>
        <w:spacing w:after="0" w:line="240" w:lineRule="auto"/>
        <w:ind w:left="450"/>
        <w:jc w:val="both"/>
        <w:rPr>
          <w:rFonts w:ascii="Arial" w:hAnsi="Arial" w:cs="Arial"/>
          <w:szCs w:val="20"/>
          <w:lang w:val="en-CA"/>
        </w:rPr>
      </w:pPr>
      <w:r w:rsidRPr="00F60034">
        <w:rPr>
          <w:rFonts w:ascii="Arial" w:hAnsi="Arial" w:cs="Arial"/>
          <w:szCs w:val="20"/>
          <w:lang w:val="en-CA"/>
        </w:rPr>
        <w:t xml:space="preserve">The following table summarizes the continuity of the Company’s </w:t>
      </w:r>
      <w:r w:rsidR="00DB5BF7">
        <w:rPr>
          <w:rFonts w:ascii="Arial" w:hAnsi="Arial" w:cs="Arial"/>
          <w:szCs w:val="20"/>
          <w:lang w:val="en-CA"/>
        </w:rPr>
        <w:t>share purchase options</w:t>
      </w:r>
      <w:r>
        <w:rPr>
          <w:rFonts w:ascii="Arial" w:hAnsi="Arial" w:cs="Arial"/>
          <w:szCs w:val="20"/>
          <w:lang w:val="en-CA"/>
        </w:rPr>
        <w:t xml:space="preserve"> denominated in U.S. dollars</w:t>
      </w:r>
      <w:r w:rsidRPr="00F60034">
        <w:rPr>
          <w:rFonts w:ascii="Arial" w:hAnsi="Arial" w:cs="Arial"/>
          <w:szCs w:val="20"/>
          <w:lang w:val="en-CA"/>
        </w:rPr>
        <w:t>:</w:t>
      </w:r>
    </w:p>
    <w:p w14:paraId="45577974" w14:textId="77777777" w:rsidR="00C1180F" w:rsidRPr="00F60034" w:rsidRDefault="00C1180F" w:rsidP="00C1180F">
      <w:pPr>
        <w:pStyle w:val="BodyTextIndent2"/>
        <w:spacing w:after="0" w:line="240" w:lineRule="auto"/>
        <w:ind w:left="0" w:firstLine="450"/>
        <w:rPr>
          <w:rFonts w:ascii="Arial" w:hAnsi="Arial" w:cs="Arial"/>
          <w:szCs w:val="20"/>
          <w:lang w:val="en-CA"/>
        </w:rPr>
      </w:pPr>
    </w:p>
    <w:tbl>
      <w:tblPr>
        <w:tblW w:w="8820" w:type="dxa"/>
        <w:tblInd w:w="540" w:type="dxa"/>
        <w:tblCellMar>
          <w:left w:w="0" w:type="dxa"/>
          <w:right w:w="0" w:type="dxa"/>
        </w:tblCellMar>
        <w:tblLook w:val="0000" w:firstRow="0" w:lastRow="0" w:firstColumn="0" w:lastColumn="0" w:noHBand="0" w:noVBand="0"/>
      </w:tblPr>
      <w:tblGrid>
        <w:gridCol w:w="4230"/>
        <w:gridCol w:w="1260"/>
        <w:gridCol w:w="1620"/>
        <w:gridCol w:w="1710"/>
      </w:tblGrid>
      <w:tr w:rsidR="00C1180F" w:rsidRPr="00F60034" w14:paraId="79B674FC" w14:textId="77777777" w:rsidTr="00EC4ECB">
        <w:tc>
          <w:tcPr>
            <w:tcW w:w="4230" w:type="dxa"/>
            <w:tcBorders>
              <w:bottom w:val="single" w:sz="4" w:space="0" w:color="auto"/>
            </w:tcBorders>
            <w:vAlign w:val="bottom"/>
          </w:tcPr>
          <w:p w14:paraId="47DB2AC3" w14:textId="77777777" w:rsidR="00C1180F" w:rsidRPr="00F60034" w:rsidRDefault="00C1180F" w:rsidP="00EC4ECB">
            <w:pPr>
              <w:spacing w:after="0" w:line="240" w:lineRule="auto"/>
              <w:jc w:val="center"/>
              <w:rPr>
                <w:rStyle w:val="HeadNoteTitle"/>
                <w:rFonts w:cs="Arial"/>
                <w:b w:val="0"/>
                <w:bCs/>
                <w:sz w:val="20"/>
                <w:szCs w:val="20"/>
              </w:rPr>
            </w:pPr>
            <w:r w:rsidRPr="00F60034">
              <w:rPr>
                <w:rFonts w:ascii="Arial" w:hAnsi="Arial" w:cs="Arial"/>
                <w:szCs w:val="20"/>
              </w:rPr>
              <w:fldChar w:fldCharType="begin"/>
            </w:r>
            <w:r w:rsidRPr="00F60034">
              <w:rPr>
                <w:rFonts w:ascii="Arial" w:hAnsi="Arial" w:cs="Arial"/>
                <w:szCs w:val="20"/>
              </w:rPr>
              <w:instrText>ADVANCE \d 5</w:instrText>
            </w:r>
            <w:r w:rsidRPr="00F60034">
              <w:rPr>
                <w:rFonts w:ascii="Arial" w:hAnsi="Arial" w:cs="Arial"/>
                <w:szCs w:val="20"/>
              </w:rPr>
              <w:fldChar w:fldCharType="end"/>
            </w:r>
          </w:p>
        </w:tc>
        <w:tc>
          <w:tcPr>
            <w:tcW w:w="1260" w:type="dxa"/>
            <w:tcBorders>
              <w:bottom w:val="single" w:sz="4" w:space="0" w:color="auto"/>
            </w:tcBorders>
            <w:vAlign w:val="bottom"/>
          </w:tcPr>
          <w:p w14:paraId="3E044997" w14:textId="77777777" w:rsidR="00C1180F" w:rsidRPr="00F60034" w:rsidRDefault="00C1180F" w:rsidP="00EC4ECB">
            <w:pPr>
              <w:spacing w:after="0" w:line="240" w:lineRule="auto"/>
              <w:jc w:val="center"/>
              <w:rPr>
                <w:rStyle w:val="HeadNoteTitle"/>
                <w:rFonts w:cs="Arial"/>
                <w:b w:val="0"/>
                <w:bCs/>
                <w:sz w:val="20"/>
                <w:szCs w:val="20"/>
              </w:rPr>
            </w:pPr>
            <w:r w:rsidRPr="00F60034">
              <w:rPr>
                <w:rFonts w:ascii="Arial" w:hAnsi="Arial" w:cs="Arial"/>
                <w:szCs w:val="20"/>
              </w:rPr>
              <w:t>Number</w:t>
            </w:r>
            <w:r w:rsidRPr="00F60034">
              <w:rPr>
                <w:rFonts w:ascii="Arial" w:hAnsi="Arial" w:cs="Arial"/>
                <w:szCs w:val="20"/>
              </w:rPr>
              <w:br/>
              <w:t>of Options</w:t>
            </w:r>
          </w:p>
        </w:tc>
        <w:tc>
          <w:tcPr>
            <w:tcW w:w="1620" w:type="dxa"/>
            <w:tcBorders>
              <w:bottom w:val="single" w:sz="4" w:space="0" w:color="auto"/>
            </w:tcBorders>
            <w:tcMar>
              <w:left w:w="0" w:type="dxa"/>
              <w:right w:w="0" w:type="dxa"/>
            </w:tcMar>
            <w:vAlign w:val="bottom"/>
          </w:tcPr>
          <w:p w14:paraId="4587FC06" w14:textId="77777777" w:rsidR="00C1180F" w:rsidRPr="00F60034" w:rsidRDefault="00C1180F" w:rsidP="00EC4ECB">
            <w:pPr>
              <w:spacing w:after="0" w:line="240" w:lineRule="auto"/>
              <w:jc w:val="center"/>
              <w:rPr>
                <w:rStyle w:val="HeadNoteTitle"/>
                <w:rFonts w:cs="Arial"/>
                <w:b w:val="0"/>
                <w:bCs/>
                <w:sz w:val="20"/>
                <w:szCs w:val="20"/>
              </w:rPr>
            </w:pPr>
            <w:r>
              <w:rPr>
                <w:rFonts w:ascii="Arial" w:hAnsi="Arial" w:cs="Arial"/>
                <w:szCs w:val="20"/>
              </w:rPr>
              <w:t>Weighted</w:t>
            </w:r>
            <w:r>
              <w:rPr>
                <w:rFonts w:ascii="Arial" w:hAnsi="Arial" w:cs="Arial"/>
                <w:szCs w:val="20"/>
              </w:rPr>
              <w:br/>
              <w:t>Average</w:t>
            </w:r>
            <w:r>
              <w:rPr>
                <w:rFonts w:ascii="Arial" w:hAnsi="Arial" w:cs="Arial"/>
                <w:szCs w:val="20"/>
              </w:rPr>
              <w:br/>
              <w:t>Exercise Price</w:t>
            </w:r>
          </w:p>
        </w:tc>
        <w:tc>
          <w:tcPr>
            <w:tcW w:w="1710" w:type="dxa"/>
            <w:tcBorders>
              <w:bottom w:val="single" w:sz="4" w:space="0" w:color="auto"/>
            </w:tcBorders>
          </w:tcPr>
          <w:p w14:paraId="0CDC47AD" w14:textId="77777777" w:rsidR="00C1180F" w:rsidRPr="00F60034" w:rsidRDefault="00C1180F" w:rsidP="00EC4ECB">
            <w:pPr>
              <w:spacing w:after="0" w:line="240" w:lineRule="auto"/>
              <w:jc w:val="center"/>
              <w:rPr>
                <w:rFonts w:ascii="Arial" w:hAnsi="Arial" w:cs="Arial"/>
                <w:szCs w:val="20"/>
              </w:rPr>
            </w:pPr>
            <w:r w:rsidRPr="00F60034">
              <w:rPr>
                <w:rFonts w:ascii="Arial" w:hAnsi="Arial" w:cs="Arial"/>
                <w:szCs w:val="20"/>
              </w:rPr>
              <w:t>Weighted Average Remaining Contractual Life (years)</w:t>
            </w:r>
          </w:p>
        </w:tc>
      </w:tr>
      <w:tr w:rsidR="00C1180F" w:rsidRPr="00F60034" w14:paraId="064C4BFB" w14:textId="77777777" w:rsidTr="00EC4ECB">
        <w:trPr>
          <w:trHeight w:hRule="exact" w:val="115"/>
        </w:trPr>
        <w:tc>
          <w:tcPr>
            <w:tcW w:w="4230" w:type="dxa"/>
            <w:tcBorders>
              <w:top w:val="single" w:sz="4" w:space="0" w:color="auto"/>
            </w:tcBorders>
          </w:tcPr>
          <w:p w14:paraId="67B2F024" w14:textId="77777777" w:rsidR="00C1180F" w:rsidRPr="00F60034" w:rsidRDefault="00C1180F" w:rsidP="00EC4ECB">
            <w:pPr>
              <w:spacing w:after="0" w:line="240" w:lineRule="auto"/>
              <w:rPr>
                <w:rFonts w:ascii="Arial" w:hAnsi="Arial" w:cs="Arial"/>
                <w:szCs w:val="20"/>
              </w:rPr>
            </w:pPr>
          </w:p>
        </w:tc>
        <w:tc>
          <w:tcPr>
            <w:tcW w:w="1260" w:type="dxa"/>
            <w:tcBorders>
              <w:top w:val="single" w:sz="4" w:space="0" w:color="auto"/>
            </w:tcBorders>
          </w:tcPr>
          <w:p w14:paraId="56B37403"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3D767640"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04A342F4" w14:textId="77777777" w:rsidR="00C1180F" w:rsidRPr="00F60034" w:rsidRDefault="00C1180F" w:rsidP="00EC4ECB">
            <w:pPr>
              <w:spacing w:after="0" w:line="240" w:lineRule="auto"/>
              <w:ind w:right="29"/>
              <w:jc w:val="right"/>
              <w:rPr>
                <w:rStyle w:val="HeadNoteTitle"/>
                <w:rFonts w:cs="Arial"/>
                <w:b w:val="0"/>
                <w:bCs/>
                <w:sz w:val="20"/>
                <w:szCs w:val="20"/>
              </w:rPr>
            </w:pPr>
          </w:p>
        </w:tc>
      </w:tr>
      <w:tr w:rsidR="00044EC7" w:rsidRPr="00044EC7" w14:paraId="57D9D879" w14:textId="77777777" w:rsidTr="00EC4ECB">
        <w:tc>
          <w:tcPr>
            <w:tcW w:w="4230" w:type="dxa"/>
          </w:tcPr>
          <w:p w14:paraId="380B9EA5" w14:textId="77777777" w:rsidR="00C1180F" w:rsidRPr="00044EC7" w:rsidRDefault="00C1180F" w:rsidP="00EC4ECB">
            <w:pPr>
              <w:spacing w:after="0" w:line="240" w:lineRule="auto"/>
              <w:rPr>
                <w:rFonts w:ascii="Arial" w:hAnsi="Arial" w:cs="Arial"/>
                <w:szCs w:val="20"/>
              </w:rPr>
            </w:pPr>
            <w:r w:rsidRPr="00044EC7">
              <w:rPr>
                <w:rFonts w:ascii="Arial" w:hAnsi="Arial" w:cs="Arial"/>
                <w:szCs w:val="20"/>
              </w:rPr>
              <w:t>Outstanding, February 1, 2018</w:t>
            </w:r>
          </w:p>
        </w:tc>
        <w:tc>
          <w:tcPr>
            <w:tcW w:w="1260" w:type="dxa"/>
            <w:vAlign w:val="bottom"/>
          </w:tcPr>
          <w:p w14:paraId="30D1FE34" w14:textId="77777777" w:rsidR="00C1180F" w:rsidRPr="00044EC7" w:rsidRDefault="00C1180F" w:rsidP="00EC4ECB">
            <w:pPr>
              <w:pStyle w:val="Header"/>
              <w:tabs>
                <w:tab w:val="left" w:pos="990"/>
              </w:tabs>
              <w:ind w:left="86" w:right="90" w:hanging="86"/>
              <w:jc w:val="right"/>
              <w:rPr>
                <w:rFonts w:ascii="Arial" w:hAnsi="Arial" w:cs="Arial"/>
                <w:szCs w:val="20"/>
              </w:rPr>
            </w:pPr>
            <w:r w:rsidRPr="00044EC7">
              <w:rPr>
                <w:rFonts w:ascii="Arial" w:hAnsi="Arial" w:cs="Arial"/>
                <w:szCs w:val="20"/>
              </w:rPr>
              <w:t>13,620,833</w:t>
            </w:r>
          </w:p>
        </w:tc>
        <w:tc>
          <w:tcPr>
            <w:tcW w:w="1620" w:type="dxa"/>
            <w:vAlign w:val="bottom"/>
          </w:tcPr>
          <w:p w14:paraId="0311D7B4" w14:textId="77777777" w:rsidR="00C1180F" w:rsidRPr="00044EC7" w:rsidRDefault="00C1180F" w:rsidP="00EC4ECB">
            <w:pPr>
              <w:pStyle w:val="Header"/>
              <w:ind w:left="86" w:right="180" w:hanging="86"/>
              <w:jc w:val="right"/>
              <w:rPr>
                <w:rFonts w:ascii="Arial" w:hAnsi="Arial" w:cs="Arial"/>
                <w:szCs w:val="20"/>
              </w:rPr>
            </w:pPr>
            <w:r w:rsidRPr="00044EC7">
              <w:rPr>
                <w:rFonts w:ascii="Arial" w:hAnsi="Arial" w:cs="Arial"/>
                <w:szCs w:val="20"/>
              </w:rPr>
              <w:t>0.46</w:t>
            </w:r>
          </w:p>
        </w:tc>
        <w:tc>
          <w:tcPr>
            <w:tcW w:w="1710" w:type="dxa"/>
            <w:vAlign w:val="bottom"/>
          </w:tcPr>
          <w:p w14:paraId="5E8CBA74" w14:textId="77777777" w:rsidR="00C1180F" w:rsidRPr="00044EC7" w:rsidRDefault="00C1180F" w:rsidP="00EC4ECB">
            <w:pPr>
              <w:pStyle w:val="Header"/>
              <w:ind w:left="86" w:right="288" w:hanging="86"/>
              <w:jc w:val="right"/>
              <w:rPr>
                <w:rFonts w:ascii="Arial" w:hAnsi="Arial" w:cs="Arial"/>
                <w:szCs w:val="20"/>
              </w:rPr>
            </w:pPr>
            <w:r w:rsidRPr="00044EC7">
              <w:rPr>
                <w:rFonts w:ascii="Arial" w:hAnsi="Arial" w:cs="Arial"/>
                <w:szCs w:val="20"/>
              </w:rPr>
              <w:t>3.26</w:t>
            </w:r>
          </w:p>
        </w:tc>
      </w:tr>
      <w:tr w:rsidR="00C1180F" w:rsidRPr="00F60034" w14:paraId="6BACD78F" w14:textId="77777777" w:rsidTr="00EC4ECB">
        <w:tc>
          <w:tcPr>
            <w:tcW w:w="4230" w:type="dxa"/>
          </w:tcPr>
          <w:p w14:paraId="5B526CC0" w14:textId="77777777" w:rsidR="00C1180F" w:rsidRPr="00F60034" w:rsidRDefault="00C1180F" w:rsidP="00EC4ECB">
            <w:pPr>
              <w:spacing w:after="0" w:line="240" w:lineRule="auto"/>
              <w:ind w:left="180"/>
              <w:rPr>
                <w:rFonts w:ascii="Arial" w:hAnsi="Arial" w:cs="Arial"/>
                <w:szCs w:val="20"/>
              </w:rPr>
            </w:pPr>
            <w:r>
              <w:rPr>
                <w:rFonts w:ascii="Arial" w:hAnsi="Arial" w:cs="Arial"/>
                <w:szCs w:val="20"/>
              </w:rPr>
              <w:t>Granted</w:t>
            </w:r>
          </w:p>
        </w:tc>
        <w:tc>
          <w:tcPr>
            <w:tcW w:w="1260" w:type="dxa"/>
            <w:vAlign w:val="bottom"/>
          </w:tcPr>
          <w:p w14:paraId="0422F6F1" w14:textId="45BC6674" w:rsidR="00C1180F" w:rsidRPr="00044EC7" w:rsidRDefault="00044EC7" w:rsidP="00EC4ECB">
            <w:pPr>
              <w:pStyle w:val="Header"/>
              <w:tabs>
                <w:tab w:val="left" w:pos="990"/>
              </w:tabs>
              <w:ind w:left="86" w:right="90" w:hanging="86"/>
              <w:jc w:val="right"/>
              <w:rPr>
                <w:rFonts w:ascii="Arial" w:hAnsi="Arial" w:cs="Arial"/>
                <w:szCs w:val="20"/>
              </w:rPr>
            </w:pPr>
            <w:r w:rsidRPr="00044EC7">
              <w:rPr>
                <w:rFonts w:ascii="Arial" w:hAnsi="Arial" w:cs="Arial"/>
                <w:szCs w:val="20"/>
              </w:rPr>
              <w:t>1</w:t>
            </w:r>
            <w:r w:rsidR="00C1180F" w:rsidRPr="00044EC7">
              <w:rPr>
                <w:rFonts w:ascii="Arial" w:hAnsi="Arial" w:cs="Arial"/>
                <w:szCs w:val="20"/>
              </w:rPr>
              <w:t>00,000</w:t>
            </w:r>
          </w:p>
        </w:tc>
        <w:tc>
          <w:tcPr>
            <w:tcW w:w="1620" w:type="dxa"/>
            <w:vAlign w:val="bottom"/>
          </w:tcPr>
          <w:p w14:paraId="4C683253" w14:textId="3A82F31F" w:rsidR="00C1180F" w:rsidRPr="00044EC7" w:rsidRDefault="00044EC7" w:rsidP="00044EC7">
            <w:pPr>
              <w:pStyle w:val="Header"/>
              <w:ind w:left="86" w:right="180" w:hanging="86"/>
              <w:jc w:val="right"/>
              <w:rPr>
                <w:rFonts w:ascii="Arial" w:hAnsi="Arial" w:cs="Arial"/>
                <w:szCs w:val="20"/>
              </w:rPr>
            </w:pPr>
            <w:r w:rsidRPr="00044EC7">
              <w:rPr>
                <w:rFonts w:ascii="Arial" w:hAnsi="Arial" w:cs="Arial"/>
                <w:szCs w:val="20"/>
              </w:rPr>
              <w:t>0.42</w:t>
            </w:r>
          </w:p>
        </w:tc>
        <w:tc>
          <w:tcPr>
            <w:tcW w:w="1710" w:type="dxa"/>
            <w:vAlign w:val="bottom"/>
          </w:tcPr>
          <w:p w14:paraId="545F6B86" w14:textId="1E03F25A" w:rsidR="00C1180F" w:rsidRPr="00C1180F" w:rsidRDefault="00C1180F" w:rsidP="00DB5BF7">
            <w:pPr>
              <w:pStyle w:val="Header"/>
              <w:ind w:left="86" w:right="288" w:hanging="86"/>
              <w:jc w:val="right"/>
              <w:rPr>
                <w:rFonts w:ascii="Arial" w:hAnsi="Arial" w:cs="Arial"/>
                <w:color w:val="FF0000"/>
                <w:szCs w:val="20"/>
              </w:rPr>
            </w:pPr>
            <w:r w:rsidRPr="00DB5BF7">
              <w:rPr>
                <w:rFonts w:ascii="Arial" w:hAnsi="Arial" w:cs="Arial"/>
                <w:szCs w:val="20"/>
              </w:rPr>
              <w:t>4.</w:t>
            </w:r>
            <w:r w:rsidR="00DB5BF7" w:rsidRPr="00DB5BF7">
              <w:rPr>
                <w:rFonts w:ascii="Arial" w:hAnsi="Arial" w:cs="Arial"/>
                <w:szCs w:val="20"/>
              </w:rPr>
              <w:t>74</w:t>
            </w:r>
          </w:p>
        </w:tc>
      </w:tr>
      <w:tr w:rsidR="00044EC7" w:rsidRPr="00044EC7" w14:paraId="4E30EA99" w14:textId="77777777" w:rsidTr="00EC4ECB">
        <w:tc>
          <w:tcPr>
            <w:tcW w:w="4230" w:type="dxa"/>
            <w:tcBorders>
              <w:bottom w:val="single" w:sz="4" w:space="0" w:color="auto"/>
            </w:tcBorders>
          </w:tcPr>
          <w:p w14:paraId="60D667A8" w14:textId="77777777" w:rsidR="00C1180F" w:rsidRPr="00044EC7" w:rsidRDefault="00C1180F" w:rsidP="00EC4ECB">
            <w:pPr>
              <w:spacing w:after="0" w:line="240" w:lineRule="auto"/>
              <w:ind w:left="180"/>
              <w:rPr>
                <w:rFonts w:ascii="Arial" w:hAnsi="Arial" w:cs="Arial"/>
                <w:szCs w:val="20"/>
              </w:rPr>
            </w:pPr>
            <w:r w:rsidRPr="00044EC7">
              <w:rPr>
                <w:rFonts w:ascii="Arial" w:hAnsi="Arial" w:cs="Arial"/>
                <w:szCs w:val="20"/>
              </w:rPr>
              <w:t>Forfeited</w:t>
            </w:r>
          </w:p>
        </w:tc>
        <w:tc>
          <w:tcPr>
            <w:tcW w:w="1260" w:type="dxa"/>
            <w:tcBorders>
              <w:bottom w:val="single" w:sz="4" w:space="0" w:color="auto"/>
            </w:tcBorders>
            <w:vAlign w:val="bottom"/>
          </w:tcPr>
          <w:p w14:paraId="1C5388A7" w14:textId="77777777" w:rsidR="00C1180F" w:rsidRPr="00044EC7" w:rsidRDefault="00C1180F" w:rsidP="00EC4ECB">
            <w:pPr>
              <w:pStyle w:val="Header"/>
              <w:tabs>
                <w:tab w:val="left" w:pos="990"/>
              </w:tabs>
              <w:ind w:left="86" w:right="90" w:hanging="86"/>
              <w:jc w:val="right"/>
              <w:rPr>
                <w:rFonts w:ascii="Arial" w:hAnsi="Arial" w:cs="Arial"/>
                <w:szCs w:val="20"/>
              </w:rPr>
            </w:pPr>
            <w:r w:rsidRPr="00044EC7">
              <w:rPr>
                <w:rFonts w:ascii="Arial" w:hAnsi="Arial" w:cs="Arial"/>
                <w:szCs w:val="20"/>
              </w:rPr>
              <w:t>(229,000)</w:t>
            </w:r>
          </w:p>
        </w:tc>
        <w:tc>
          <w:tcPr>
            <w:tcW w:w="1620" w:type="dxa"/>
            <w:tcBorders>
              <w:bottom w:val="single" w:sz="4" w:space="0" w:color="auto"/>
            </w:tcBorders>
            <w:vAlign w:val="bottom"/>
          </w:tcPr>
          <w:p w14:paraId="4BAE225E" w14:textId="77777777" w:rsidR="00C1180F" w:rsidRPr="00044EC7" w:rsidRDefault="00C1180F" w:rsidP="00EC4ECB">
            <w:pPr>
              <w:pStyle w:val="Header"/>
              <w:ind w:left="86" w:right="180" w:hanging="86"/>
              <w:jc w:val="right"/>
              <w:rPr>
                <w:rFonts w:ascii="Arial" w:hAnsi="Arial" w:cs="Arial"/>
                <w:szCs w:val="20"/>
              </w:rPr>
            </w:pPr>
            <w:r w:rsidRPr="00044EC7">
              <w:rPr>
                <w:rFonts w:ascii="Arial" w:hAnsi="Arial" w:cs="Arial"/>
                <w:szCs w:val="20"/>
              </w:rPr>
              <w:t>(0.35)</w:t>
            </w:r>
          </w:p>
        </w:tc>
        <w:tc>
          <w:tcPr>
            <w:tcW w:w="1710" w:type="dxa"/>
            <w:tcBorders>
              <w:bottom w:val="single" w:sz="4" w:space="0" w:color="auto"/>
            </w:tcBorders>
            <w:vAlign w:val="bottom"/>
          </w:tcPr>
          <w:p w14:paraId="726956B9" w14:textId="77777777" w:rsidR="00C1180F" w:rsidRPr="00044EC7" w:rsidRDefault="00C1180F" w:rsidP="00EC4ECB">
            <w:pPr>
              <w:pStyle w:val="Header"/>
              <w:ind w:left="86" w:right="288" w:hanging="86"/>
              <w:jc w:val="right"/>
              <w:rPr>
                <w:rFonts w:ascii="Arial" w:hAnsi="Arial" w:cs="Arial"/>
                <w:szCs w:val="20"/>
              </w:rPr>
            </w:pPr>
            <w:r w:rsidRPr="00044EC7">
              <w:rPr>
                <w:rFonts w:ascii="Arial" w:hAnsi="Arial" w:cs="Arial"/>
                <w:szCs w:val="20"/>
              </w:rPr>
              <w:t>–</w:t>
            </w:r>
          </w:p>
        </w:tc>
      </w:tr>
      <w:tr w:rsidR="00C1180F" w:rsidRPr="00F60034" w14:paraId="2C716C36" w14:textId="77777777" w:rsidTr="00EC4ECB">
        <w:trPr>
          <w:trHeight w:hRule="exact" w:val="115"/>
        </w:trPr>
        <w:tc>
          <w:tcPr>
            <w:tcW w:w="4230" w:type="dxa"/>
            <w:tcBorders>
              <w:top w:val="single" w:sz="4" w:space="0" w:color="auto"/>
            </w:tcBorders>
          </w:tcPr>
          <w:p w14:paraId="45A4BEEE" w14:textId="77777777" w:rsidR="00C1180F" w:rsidRPr="00F60034" w:rsidRDefault="00C1180F" w:rsidP="00EC4ECB">
            <w:pPr>
              <w:spacing w:after="0" w:line="240" w:lineRule="auto"/>
              <w:rPr>
                <w:rFonts w:ascii="Arial" w:hAnsi="Arial" w:cs="Arial"/>
                <w:szCs w:val="20"/>
              </w:rPr>
            </w:pPr>
          </w:p>
        </w:tc>
        <w:tc>
          <w:tcPr>
            <w:tcW w:w="1260" w:type="dxa"/>
            <w:tcBorders>
              <w:top w:val="single" w:sz="4" w:space="0" w:color="auto"/>
            </w:tcBorders>
          </w:tcPr>
          <w:p w14:paraId="5C3D9803"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41FD85FA"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3609AE53" w14:textId="77777777" w:rsidR="00C1180F" w:rsidRPr="00F60034" w:rsidRDefault="00C1180F" w:rsidP="00EC4ECB">
            <w:pPr>
              <w:spacing w:after="0" w:line="240" w:lineRule="auto"/>
              <w:ind w:right="29"/>
              <w:jc w:val="right"/>
              <w:rPr>
                <w:rStyle w:val="HeadNoteTitle"/>
                <w:rFonts w:cs="Arial"/>
                <w:b w:val="0"/>
                <w:bCs/>
                <w:sz w:val="20"/>
                <w:szCs w:val="20"/>
              </w:rPr>
            </w:pPr>
          </w:p>
        </w:tc>
      </w:tr>
      <w:tr w:rsidR="00C1180F" w:rsidRPr="00F60034" w14:paraId="2F9CFBDB" w14:textId="77777777" w:rsidTr="00C1180F">
        <w:tc>
          <w:tcPr>
            <w:tcW w:w="4230" w:type="dxa"/>
          </w:tcPr>
          <w:p w14:paraId="16512717" w14:textId="77777777" w:rsidR="00C1180F" w:rsidRPr="00F60034" w:rsidRDefault="00C1180F" w:rsidP="00EC4ECB">
            <w:pPr>
              <w:spacing w:after="0" w:line="240" w:lineRule="auto"/>
              <w:rPr>
                <w:rFonts w:ascii="Arial" w:hAnsi="Arial" w:cs="Arial"/>
                <w:szCs w:val="20"/>
              </w:rPr>
            </w:pPr>
            <w:r w:rsidRPr="00F60034">
              <w:rPr>
                <w:rFonts w:ascii="Arial" w:hAnsi="Arial" w:cs="Arial"/>
                <w:szCs w:val="20"/>
              </w:rPr>
              <w:t>Outstanding</w:t>
            </w:r>
            <w:r>
              <w:rPr>
                <w:rFonts w:ascii="Arial" w:hAnsi="Arial" w:cs="Arial"/>
                <w:szCs w:val="20"/>
              </w:rPr>
              <w:t>, January 31, 2019</w:t>
            </w:r>
          </w:p>
        </w:tc>
        <w:tc>
          <w:tcPr>
            <w:tcW w:w="1260" w:type="dxa"/>
            <w:vAlign w:val="bottom"/>
          </w:tcPr>
          <w:p w14:paraId="42555E2B" w14:textId="7FD9E4FF" w:rsidR="00C1180F" w:rsidRPr="00F60034" w:rsidRDefault="00C1180F" w:rsidP="00EC4ECB">
            <w:pPr>
              <w:pStyle w:val="Header"/>
              <w:tabs>
                <w:tab w:val="left" w:pos="990"/>
              </w:tabs>
              <w:ind w:left="86" w:right="90" w:hanging="86"/>
              <w:jc w:val="right"/>
              <w:rPr>
                <w:rFonts w:ascii="Arial" w:hAnsi="Arial" w:cs="Arial"/>
                <w:szCs w:val="20"/>
              </w:rPr>
            </w:pPr>
            <w:r>
              <w:rPr>
                <w:rFonts w:ascii="Arial" w:hAnsi="Arial" w:cs="Arial"/>
                <w:szCs w:val="20"/>
              </w:rPr>
              <w:t>13,491,833</w:t>
            </w:r>
          </w:p>
        </w:tc>
        <w:tc>
          <w:tcPr>
            <w:tcW w:w="1620" w:type="dxa"/>
            <w:vAlign w:val="bottom"/>
          </w:tcPr>
          <w:p w14:paraId="600A7607" w14:textId="74E8E76B" w:rsidR="00C1180F" w:rsidRPr="00F60034" w:rsidRDefault="00C1180F" w:rsidP="00EC4ECB">
            <w:pPr>
              <w:pStyle w:val="Header"/>
              <w:ind w:left="86" w:right="180" w:hanging="86"/>
              <w:jc w:val="right"/>
              <w:rPr>
                <w:rFonts w:ascii="Arial" w:hAnsi="Arial" w:cs="Arial"/>
                <w:szCs w:val="20"/>
              </w:rPr>
            </w:pPr>
            <w:r>
              <w:rPr>
                <w:rFonts w:ascii="Arial" w:hAnsi="Arial" w:cs="Arial"/>
                <w:szCs w:val="20"/>
              </w:rPr>
              <w:t>0.46</w:t>
            </w:r>
          </w:p>
        </w:tc>
        <w:tc>
          <w:tcPr>
            <w:tcW w:w="1710" w:type="dxa"/>
            <w:vAlign w:val="bottom"/>
          </w:tcPr>
          <w:p w14:paraId="0C5EE5A7" w14:textId="37D172D4" w:rsidR="00C1180F" w:rsidRPr="00F60034" w:rsidRDefault="00144BB0" w:rsidP="00EC4ECB">
            <w:pPr>
              <w:pStyle w:val="Header"/>
              <w:ind w:left="86" w:right="288" w:hanging="86"/>
              <w:jc w:val="right"/>
              <w:rPr>
                <w:rFonts w:ascii="Arial" w:hAnsi="Arial" w:cs="Arial"/>
                <w:szCs w:val="20"/>
              </w:rPr>
            </w:pPr>
            <w:r>
              <w:rPr>
                <w:rFonts w:ascii="Arial" w:hAnsi="Arial" w:cs="Arial"/>
                <w:szCs w:val="20"/>
              </w:rPr>
              <w:t>2.2</w:t>
            </w:r>
            <w:r w:rsidR="00C1180F">
              <w:rPr>
                <w:rFonts w:ascii="Arial" w:hAnsi="Arial" w:cs="Arial"/>
                <w:szCs w:val="20"/>
              </w:rPr>
              <w:t>8</w:t>
            </w:r>
          </w:p>
        </w:tc>
      </w:tr>
      <w:tr w:rsidR="00C1180F" w:rsidRPr="00F60034" w14:paraId="778B1A64" w14:textId="77777777" w:rsidTr="00EC4ECB">
        <w:tc>
          <w:tcPr>
            <w:tcW w:w="4230" w:type="dxa"/>
          </w:tcPr>
          <w:p w14:paraId="3476BF46" w14:textId="203E86C5" w:rsidR="00C1180F" w:rsidRPr="00F60034" w:rsidRDefault="00C1180F" w:rsidP="00EC4ECB">
            <w:pPr>
              <w:spacing w:after="0" w:line="240" w:lineRule="auto"/>
              <w:ind w:left="180"/>
              <w:rPr>
                <w:rFonts w:ascii="Arial" w:hAnsi="Arial" w:cs="Arial"/>
                <w:szCs w:val="20"/>
              </w:rPr>
            </w:pPr>
            <w:r>
              <w:rPr>
                <w:rFonts w:ascii="Arial" w:hAnsi="Arial" w:cs="Arial"/>
                <w:szCs w:val="20"/>
              </w:rPr>
              <w:t>Forfeited</w:t>
            </w:r>
            <w:r w:rsidR="00B95198">
              <w:rPr>
                <w:rFonts w:ascii="Arial" w:hAnsi="Arial" w:cs="Arial"/>
                <w:szCs w:val="20"/>
              </w:rPr>
              <w:t>/cancelled (Note 15(h))</w:t>
            </w:r>
          </w:p>
        </w:tc>
        <w:tc>
          <w:tcPr>
            <w:tcW w:w="1260" w:type="dxa"/>
            <w:vAlign w:val="bottom"/>
          </w:tcPr>
          <w:p w14:paraId="4A94BB8B" w14:textId="1A8A02BC" w:rsidR="00C1180F" w:rsidRPr="00F60034" w:rsidRDefault="00C1180F" w:rsidP="00EC4ECB">
            <w:pPr>
              <w:pStyle w:val="Header"/>
              <w:tabs>
                <w:tab w:val="left" w:pos="990"/>
              </w:tabs>
              <w:ind w:left="86" w:right="90" w:hanging="86"/>
              <w:jc w:val="right"/>
              <w:rPr>
                <w:rFonts w:ascii="Arial" w:hAnsi="Arial" w:cs="Arial"/>
                <w:szCs w:val="20"/>
              </w:rPr>
            </w:pPr>
            <w:r>
              <w:rPr>
                <w:rFonts w:ascii="Arial" w:hAnsi="Arial" w:cs="Arial"/>
                <w:szCs w:val="20"/>
              </w:rPr>
              <w:t>(741,833)</w:t>
            </w:r>
          </w:p>
        </w:tc>
        <w:tc>
          <w:tcPr>
            <w:tcW w:w="1620" w:type="dxa"/>
            <w:vAlign w:val="bottom"/>
          </w:tcPr>
          <w:p w14:paraId="46EB988A" w14:textId="6160CAC6" w:rsidR="00C1180F" w:rsidRPr="00F60034" w:rsidRDefault="00C1180F" w:rsidP="00EC4ECB">
            <w:pPr>
              <w:pStyle w:val="Header"/>
              <w:ind w:left="86" w:right="180" w:hanging="86"/>
              <w:jc w:val="right"/>
              <w:rPr>
                <w:rFonts w:ascii="Arial" w:hAnsi="Arial" w:cs="Arial"/>
                <w:szCs w:val="20"/>
              </w:rPr>
            </w:pPr>
            <w:r>
              <w:rPr>
                <w:rFonts w:ascii="Arial" w:hAnsi="Arial" w:cs="Arial"/>
                <w:szCs w:val="20"/>
              </w:rPr>
              <w:t>0.91</w:t>
            </w:r>
          </w:p>
        </w:tc>
        <w:tc>
          <w:tcPr>
            <w:tcW w:w="1710" w:type="dxa"/>
            <w:vAlign w:val="bottom"/>
          </w:tcPr>
          <w:p w14:paraId="5747C631" w14:textId="694D431B" w:rsidR="00C1180F" w:rsidRDefault="00C1180F" w:rsidP="00EC4ECB">
            <w:pPr>
              <w:pStyle w:val="Header"/>
              <w:ind w:left="86" w:right="288" w:hanging="86"/>
              <w:jc w:val="right"/>
              <w:rPr>
                <w:rFonts w:ascii="Arial" w:hAnsi="Arial" w:cs="Arial"/>
                <w:szCs w:val="20"/>
              </w:rPr>
            </w:pPr>
            <w:r w:rsidRPr="00C1180F">
              <w:rPr>
                <w:rFonts w:ascii="Arial" w:hAnsi="Arial" w:cs="Arial"/>
                <w:szCs w:val="20"/>
              </w:rPr>
              <w:t>–</w:t>
            </w:r>
          </w:p>
        </w:tc>
      </w:tr>
      <w:tr w:rsidR="00C1180F" w:rsidRPr="00F60034" w14:paraId="0DE66463" w14:textId="77777777" w:rsidTr="00EC4ECB">
        <w:trPr>
          <w:trHeight w:hRule="exact" w:val="115"/>
        </w:trPr>
        <w:tc>
          <w:tcPr>
            <w:tcW w:w="4230" w:type="dxa"/>
            <w:tcBorders>
              <w:top w:val="single" w:sz="4" w:space="0" w:color="auto"/>
            </w:tcBorders>
          </w:tcPr>
          <w:p w14:paraId="2E80714E" w14:textId="77777777" w:rsidR="00C1180F" w:rsidRPr="00F60034" w:rsidRDefault="00C1180F" w:rsidP="00EC4ECB">
            <w:pPr>
              <w:spacing w:after="0" w:line="240" w:lineRule="auto"/>
              <w:rPr>
                <w:rFonts w:ascii="Arial" w:hAnsi="Arial" w:cs="Arial"/>
                <w:szCs w:val="20"/>
              </w:rPr>
            </w:pPr>
          </w:p>
        </w:tc>
        <w:tc>
          <w:tcPr>
            <w:tcW w:w="1260" w:type="dxa"/>
            <w:tcBorders>
              <w:top w:val="single" w:sz="4" w:space="0" w:color="auto"/>
            </w:tcBorders>
          </w:tcPr>
          <w:p w14:paraId="1087844C"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620" w:type="dxa"/>
            <w:tcBorders>
              <w:top w:val="single" w:sz="4" w:space="0" w:color="auto"/>
            </w:tcBorders>
          </w:tcPr>
          <w:p w14:paraId="39EB0B9C" w14:textId="77777777" w:rsidR="00C1180F" w:rsidRPr="00F60034" w:rsidRDefault="00C1180F" w:rsidP="00EC4ECB">
            <w:pPr>
              <w:spacing w:after="0" w:line="240" w:lineRule="auto"/>
              <w:ind w:right="29"/>
              <w:jc w:val="right"/>
              <w:rPr>
                <w:rStyle w:val="HeadNoteTitle"/>
                <w:rFonts w:cs="Arial"/>
                <w:b w:val="0"/>
                <w:bCs/>
                <w:sz w:val="20"/>
                <w:szCs w:val="20"/>
              </w:rPr>
            </w:pPr>
          </w:p>
        </w:tc>
        <w:tc>
          <w:tcPr>
            <w:tcW w:w="1710" w:type="dxa"/>
            <w:tcBorders>
              <w:top w:val="single" w:sz="4" w:space="0" w:color="auto"/>
            </w:tcBorders>
          </w:tcPr>
          <w:p w14:paraId="09293BC3" w14:textId="77777777" w:rsidR="00C1180F" w:rsidRPr="00F60034" w:rsidRDefault="00C1180F" w:rsidP="00EC4ECB">
            <w:pPr>
              <w:spacing w:after="0" w:line="240" w:lineRule="auto"/>
              <w:ind w:right="29"/>
              <w:jc w:val="right"/>
              <w:rPr>
                <w:rStyle w:val="HeadNoteTitle"/>
                <w:rFonts w:cs="Arial"/>
                <w:b w:val="0"/>
                <w:bCs/>
                <w:sz w:val="20"/>
                <w:szCs w:val="20"/>
              </w:rPr>
            </w:pPr>
          </w:p>
        </w:tc>
      </w:tr>
      <w:tr w:rsidR="00C1180F" w:rsidRPr="00F60034" w14:paraId="41119AAC" w14:textId="77777777" w:rsidTr="00EC4ECB">
        <w:tc>
          <w:tcPr>
            <w:tcW w:w="4230" w:type="dxa"/>
            <w:tcBorders>
              <w:bottom w:val="single" w:sz="12" w:space="0" w:color="auto"/>
            </w:tcBorders>
          </w:tcPr>
          <w:p w14:paraId="5AA5D473" w14:textId="77777777" w:rsidR="00C1180F" w:rsidRPr="00F60034" w:rsidRDefault="00C1180F" w:rsidP="00EC4ECB">
            <w:pPr>
              <w:spacing w:after="0" w:line="240" w:lineRule="auto"/>
              <w:rPr>
                <w:rFonts w:ascii="Arial" w:hAnsi="Arial" w:cs="Arial"/>
                <w:szCs w:val="20"/>
              </w:rPr>
            </w:pPr>
            <w:r w:rsidRPr="00F60034">
              <w:rPr>
                <w:rFonts w:ascii="Arial" w:hAnsi="Arial" w:cs="Arial"/>
                <w:szCs w:val="20"/>
              </w:rPr>
              <w:t>Outstanding</w:t>
            </w:r>
            <w:r>
              <w:rPr>
                <w:rFonts w:ascii="Arial" w:hAnsi="Arial" w:cs="Arial"/>
                <w:szCs w:val="20"/>
              </w:rPr>
              <w:t>, July 31, 2019</w:t>
            </w:r>
          </w:p>
        </w:tc>
        <w:tc>
          <w:tcPr>
            <w:tcW w:w="1260" w:type="dxa"/>
            <w:tcBorders>
              <w:bottom w:val="single" w:sz="12" w:space="0" w:color="auto"/>
            </w:tcBorders>
            <w:vAlign w:val="bottom"/>
          </w:tcPr>
          <w:p w14:paraId="26D4193E" w14:textId="59ECE257" w:rsidR="00C1180F" w:rsidRPr="00F60034" w:rsidRDefault="00C1180F" w:rsidP="00EC4ECB">
            <w:pPr>
              <w:pStyle w:val="Header"/>
              <w:tabs>
                <w:tab w:val="left" w:pos="990"/>
              </w:tabs>
              <w:ind w:left="86" w:right="90" w:hanging="86"/>
              <w:jc w:val="right"/>
              <w:rPr>
                <w:rFonts w:ascii="Arial" w:hAnsi="Arial" w:cs="Arial"/>
                <w:szCs w:val="20"/>
              </w:rPr>
            </w:pPr>
            <w:r>
              <w:rPr>
                <w:rFonts w:ascii="Arial" w:hAnsi="Arial" w:cs="Arial"/>
                <w:szCs w:val="20"/>
              </w:rPr>
              <w:t>12,750,000</w:t>
            </w:r>
          </w:p>
        </w:tc>
        <w:tc>
          <w:tcPr>
            <w:tcW w:w="1620" w:type="dxa"/>
            <w:tcBorders>
              <w:bottom w:val="single" w:sz="12" w:space="0" w:color="auto"/>
            </w:tcBorders>
            <w:vAlign w:val="bottom"/>
          </w:tcPr>
          <w:p w14:paraId="31D934B8" w14:textId="2BD9CAC4" w:rsidR="00C1180F" w:rsidRPr="00F60034" w:rsidRDefault="00C1180F" w:rsidP="00C1180F">
            <w:pPr>
              <w:pStyle w:val="Header"/>
              <w:ind w:left="86" w:right="180" w:hanging="86"/>
              <w:jc w:val="right"/>
              <w:rPr>
                <w:rFonts w:ascii="Arial" w:hAnsi="Arial" w:cs="Arial"/>
                <w:szCs w:val="20"/>
              </w:rPr>
            </w:pPr>
            <w:r>
              <w:rPr>
                <w:rFonts w:ascii="Arial" w:hAnsi="Arial" w:cs="Arial"/>
                <w:szCs w:val="20"/>
              </w:rPr>
              <w:t>0.44</w:t>
            </w:r>
          </w:p>
        </w:tc>
        <w:tc>
          <w:tcPr>
            <w:tcW w:w="1710" w:type="dxa"/>
            <w:tcBorders>
              <w:bottom w:val="single" w:sz="12" w:space="0" w:color="auto"/>
            </w:tcBorders>
            <w:vAlign w:val="bottom"/>
          </w:tcPr>
          <w:p w14:paraId="74C83E79" w14:textId="21CDC259" w:rsidR="00C1180F" w:rsidRPr="00F60034" w:rsidRDefault="00C1180F" w:rsidP="00EC4ECB">
            <w:pPr>
              <w:pStyle w:val="Header"/>
              <w:ind w:left="86" w:right="288" w:hanging="86"/>
              <w:jc w:val="right"/>
              <w:rPr>
                <w:rFonts w:ascii="Arial" w:hAnsi="Arial" w:cs="Arial"/>
                <w:szCs w:val="20"/>
              </w:rPr>
            </w:pPr>
            <w:r>
              <w:rPr>
                <w:rFonts w:ascii="Arial" w:hAnsi="Arial" w:cs="Arial"/>
                <w:szCs w:val="20"/>
              </w:rPr>
              <w:t>1.80</w:t>
            </w:r>
          </w:p>
        </w:tc>
      </w:tr>
    </w:tbl>
    <w:p w14:paraId="5B6795EB" w14:textId="77777777" w:rsidR="00C1180F" w:rsidRDefault="00C1180F" w:rsidP="00C1180F">
      <w:pPr>
        <w:tabs>
          <w:tab w:val="left" w:pos="432"/>
          <w:tab w:val="left" w:pos="792"/>
        </w:tabs>
        <w:spacing w:after="0" w:line="240" w:lineRule="auto"/>
        <w:jc w:val="both"/>
        <w:rPr>
          <w:rFonts w:ascii="Arial" w:hAnsi="Arial" w:cs="Arial"/>
          <w:b/>
          <w:szCs w:val="20"/>
        </w:rPr>
      </w:pPr>
    </w:p>
    <w:p w14:paraId="56020B35" w14:textId="54CBC827" w:rsidR="00C1180F" w:rsidRPr="00DE57B5" w:rsidRDefault="00BA6A0D" w:rsidP="00BA6A0D">
      <w:pPr>
        <w:tabs>
          <w:tab w:val="left" w:pos="432"/>
          <w:tab w:val="left" w:pos="792"/>
        </w:tabs>
        <w:spacing w:after="0" w:line="240" w:lineRule="auto"/>
        <w:ind w:left="450"/>
        <w:jc w:val="both"/>
        <w:rPr>
          <w:rFonts w:ascii="Arial" w:hAnsi="Arial" w:cs="Arial"/>
          <w:b/>
          <w:szCs w:val="20"/>
        </w:rPr>
      </w:pPr>
      <w:r w:rsidRPr="00DE57B5">
        <w:rPr>
          <w:rFonts w:ascii="Arial" w:hAnsi="Arial" w:cs="Arial"/>
          <w:szCs w:val="20"/>
        </w:rPr>
        <w:t xml:space="preserve">Additional information regarding </w:t>
      </w:r>
      <w:r w:rsidR="00DB5BF7">
        <w:rPr>
          <w:rFonts w:ascii="Arial" w:hAnsi="Arial" w:cs="Arial"/>
          <w:szCs w:val="20"/>
        </w:rPr>
        <w:t>share purchase options</w:t>
      </w:r>
      <w:r w:rsidRPr="00DE57B5">
        <w:rPr>
          <w:rFonts w:ascii="Arial" w:hAnsi="Arial" w:cs="Arial"/>
          <w:szCs w:val="20"/>
        </w:rPr>
        <w:t xml:space="preserve"> denominated in Canadian dollar as of July 31, 2019, is as follows:</w:t>
      </w:r>
    </w:p>
    <w:p w14:paraId="5246AE02" w14:textId="77777777" w:rsidR="00BA6A0D" w:rsidRPr="00DE57B5" w:rsidRDefault="00BA6A0D" w:rsidP="00BA6A0D">
      <w:pPr>
        <w:spacing w:after="0" w:line="240" w:lineRule="auto"/>
        <w:ind w:left="448"/>
        <w:rPr>
          <w:rFonts w:ascii="Arial" w:hAnsi="Arial" w:cs="Arial"/>
          <w:szCs w:val="20"/>
        </w:rPr>
      </w:pPr>
    </w:p>
    <w:tbl>
      <w:tblPr>
        <w:tblW w:w="6548" w:type="dxa"/>
        <w:tblInd w:w="558" w:type="dxa"/>
        <w:tblLayout w:type="fixed"/>
        <w:tblLook w:val="01E0" w:firstRow="1" w:lastRow="1" w:firstColumn="1" w:lastColumn="1" w:noHBand="0" w:noVBand="0"/>
      </w:tblPr>
      <w:tblGrid>
        <w:gridCol w:w="1704"/>
        <w:gridCol w:w="1418"/>
        <w:gridCol w:w="1418"/>
        <w:gridCol w:w="2008"/>
      </w:tblGrid>
      <w:tr w:rsidR="00BA6A0D" w:rsidRPr="00DE57B5" w14:paraId="39BB1BA7" w14:textId="77777777" w:rsidTr="00EC4ECB">
        <w:tc>
          <w:tcPr>
            <w:tcW w:w="1704" w:type="dxa"/>
            <w:tcBorders>
              <w:bottom w:val="single" w:sz="6" w:space="0" w:color="auto"/>
            </w:tcBorders>
            <w:vAlign w:val="bottom"/>
          </w:tcPr>
          <w:p w14:paraId="7C8E666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Outstanding</w:t>
            </w:r>
          </w:p>
        </w:tc>
        <w:tc>
          <w:tcPr>
            <w:tcW w:w="1418" w:type="dxa"/>
            <w:tcBorders>
              <w:bottom w:val="single" w:sz="6" w:space="0" w:color="auto"/>
            </w:tcBorders>
          </w:tcPr>
          <w:p w14:paraId="7DFA8767" w14:textId="77777777" w:rsidR="00BA6A0D" w:rsidRPr="00DE57B5" w:rsidRDefault="00BA6A0D" w:rsidP="00EC4ECB">
            <w:pPr>
              <w:pStyle w:val="Header"/>
              <w:ind w:hanging="81"/>
              <w:jc w:val="center"/>
              <w:rPr>
                <w:rFonts w:ascii="Arial" w:hAnsi="Arial" w:cs="Arial"/>
                <w:szCs w:val="20"/>
              </w:rPr>
            </w:pPr>
          </w:p>
          <w:p w14:paraId="0F29777A"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Exercisable</w:t>
            </w:r>
          </w:p>
        </w:tc>
        <w:tc>
          <w:tcPr>
            <w:tcW w:w="1418" w:type="dxa"/>
            <w:tcBorders>
              <w:bottom w:val="single" w:sz="6" w:space="0" w:color="auto"/>
            </w:tcBorders>
            <w:vAlign w:val="bottom"/>
          </w:tcPr>
          <w:p w14:paraId="44D93CF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Exercise</w:t>
            </w:r>
          </w:p>
          <w:p w14:paraId="5D03B72D"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Price</w:t>
            </w:r>
          </w:p>
          <w:p w14:paraId="72971A14"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w:t>
            </w:r>
          </w:p>
        </w:tc>
        <w:tc>
          <w:tcPr>
            <w:tcW w:w="2008" w:type="dxa"/>
            <w:tcBorders>
              <w:bottom w:val="single" w:sz="6" w:space="0" w:color="auto"/>
            </w:tcBorders>
            <w:vAlign w:val="bottom"/>
          </w:tcPr>
          <w:p w14:paraId="29D05E37"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Expiry Date</w:t>
            </w:r>
          </w:p>
        </w:tc>
      </w:tr>
      <w:tr w:rsidR="00BA6A0D" w:rsidRPr="00DE57B5" w14:paraId="31AF3B15" w14:textId="77777777" w:rsidTr="00EC4ECB">
        <w:trPr>
          <w:trHeight w:hRule="exact" w:val="113"/>
        </w:trPr>
        <w:tc>
          <w:tcPr>
            <w:tcW w:w="1704" w:type="dxa"/>
            <w:tcBorders>
              <w:top w:val="single" w:sz="6" w:space="0" w:color="auto"/>
            </w:tcBorders>
          </w:tcPr>
          <w:p w14:paraId="5A20ADEF"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tcPr>
          <w:p w14:paraId="32BD829E"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vAlign w:val="bottom"/>
          </w:tcPr>
          <w:p w14:paraId="2B48A43E" w14:textId="77777777" w:rsidR="00BA6A0D" w:rsidRPr="00DE57B5" w:rsidRDefault="00BA6A0D" w:rsidP="00EC4ECB">
            <w:pPr>
              <w:pStyle w:val="Header"/>
              <w:ind w:hanging="81"/>
              <w:jc w:val="center"/>
              <w:rPr>
                <w:rFonts w:ascii="Arial" w:hAnsi="Arial" w:cs="Arial"/>
                <w:szCs w:val="20"/>
              </w:rPr>
            </w:pPr>
          </w:p>
        </w:tc>
        <w:tc>
          <w:tcPr>
            <w:tcW w:w="2008" w:type="dxa"/>
            <w:tcBorders>
              <w:top w:val="single" w:sz="6" w:space="0" w:color="auto"/>
            </w:tcBorders>
            <w:vAlign w:val="bottom"/>
          </w:tcPr>
          <w:p w14:paraId="1CD1A4E2" w14:textId="77777777" w:rsidR="00BA6A0D" w:rsidRPr="00DE57B5" w:rsidRDefault="00BA6A0D" w:rsidP="00EC4ECB">
            <w:pPr>
              <w:pStyle w:val="Header"/>
              <w:ind w:hanging="81"/>
              <w:jc w:val="center"/>
              <w:rPr>
                <w:rFonts w:ascii="Arial" w:hAnsi="Arial" w:cs="Arial"/>
                <w:szCs w:val="20"/>
              </w:rPr>
            </w:pPr>
          </w:p>
        </w:tc>
      </w:tr>
      <w:tr w:rsidR="00BA6A0D" w:rsidRPr="00DE57B5" w14:paraId="6CB26858" w14:textId="77777777" w:rsidTr="00EC4ECB">
        <w:tc>
          <w:tcPr>
            <w:tcW w:w="1704" w:type="dxa"/>
            <w:vAlign w:val="bottom"/>
          </w:tcPr>
          <w:p w14:paraId="5138009C"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200,000</w:t>
            </w:r>
          </w:p>
        </w:tc>
        <w:tc>
          <w:tcPr>
            <w:tcW w:w="1418" w:type="dxa"/>
          </w:tcPr>
          <w:p w14:paraId="6C7C466C" w14:textId="0489147A"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200,000</w:t>
            </w:r>
          </w:p>
        </w:tc>
        <w:tc>
          <w:tcPr>
            <w:tcW w:w="1418" w:type="dxa"/>
            <w:vAlign w:val="bottom"/>
          </w:tcPr>
          <w:p w14:paraId="76A690B2"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1.67</w:t>
            </w:r>
          </w:p>
        </w:tc>
        <w:tc>
          <w:tcPr>
            <w:tcW w:w="2008" w:type="dxa"/>
          </w:tcPr>
          <w:p w14:paraId="6F09F96B"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March 11, 2023</w:t>
            </w:r>
          </w:p>
        </w:tc>
      </w:tr>
      <w:tr w:rsidR="00DE57B5" w:rsidRPr="00DE57B5" w14:paraId="56F36B10" w14:textId="77777777" w:rsidTr="00EC4ECB">
        <w:tc>
          <w:tcPr>
            <w:tcW w:w="1704" w:type="dxa"/>
            <w:vAlign w:val="bottom"/>
          </w:tcPr>
          <w:p w14:paraId="0949F5A6" w14:textId="535F29BD" w:rsidR="00DE57B5" w:rsidRPr="00DE57B5" w:rsidRDefault="00DE57B5" w:rsidP="00EC4ECB">
            <w:pPr>
              <w:pStyle w:val="Header"/>
              <w:ind w:left="86" w:right="288" w:hanging="86"/>
              <w:jc w:val="right"/>
              <w:rPr>
                <w:rFonts w:ascii="Arial" w:hAnsi="Arial" w:cs="Arial"/>
                <w:szCs w:val="20"/>
              </w:rPr>
            </w:pPr>
            <w:r w:rsidRPr="00DE57B5">
              <w:rPr>
                <w:rFonts w:ascii="Arial" w:hAnsi="Arial" w:cs="Arial"/>
                <w:szCs w:val="20"/>
              </w:rPr>
              <w:t>2,700,000</w:t>
            </w:r>
          </w:p>
        </w:tc>
        <w:tc>
          <w:tcPr>
            <w:tcW w:w="1418" w:type="dxa"/>
          </w:tcPr>
          <w:p w14:paraId="756191B5" w14:textId="19E33E73" w:rsidR="00DE57B5"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675,000</w:t>
            </w:r>
          </w:p>
        </w:tc>
        <w:tc>
          <w:tcPr>
            <w:tcW w:w="1418" w:type="dxa"/>
            <w:vAlign w:val="bottom"/>
          </w:tcPr>
          <w:p w14:paraId="3B1FB3A2" w14:textId="39B7539A" w:rsidR="00DE57B5" w:rsidRPr="00DE57B5" w:rsidRDefault="00DE57B5" w:rsidP="00EC4ECB">
            <w:pPr>
              <w:pStyle w:val="Header"/>
              <w:ind w:left="86" w:right="288" w:hanging="86"/>
              <w:jc w:val="right"/>
              <w:rPr>
                <w:rFonts w:ascii="Arial" w:hAnsi="Arial" w:cs="Arial"/>
                <w:szCs w:val="20"/>
              </w:rPr>
            </w:pPr>
            <w:r w:rsidRPr="00DE57B5">
              <w:rPr>
                <w:rFonts w:ascii="Arial" w:hAnsi="Arial" w:cs="Arial"/>
                <w:szCs w:val="20"/>
              </w:rPr>
              <w:t>0.40</w:t>
            </w:r>
          </w:p>
        </w:tc>
        <w:tc>
          <w:tcPr>
            <w:tcW w:w="2008" w:type="dxa"/>
          </w:tcPr>
          <w:p w14:paraId="4A3B1076" w14:textId="3D453ABA" w:rsidR="00DE57B5" w:rsidRPr="00DE57B5" w:rsidRDefault="00DE57B5" w:rsidP="00EC4ECB">
            <w:pPr>
              <w:pStyle w:val="Header"/>
              <w:ind w:right="-66" w:hanging="81"/>
              <w:jc w:val="center"/>
              <w:rPr>
                <w:rFonts w:ascii="Arial" w:hAnsi="Arial" w:cs="Arial"/>
              </w:rPr>
            </w:pPr>
            <w:r w:rsidRPr="00DE57B5">
              <w:rPr>
                <w:rFonts w:ascii="Arial" w:hAnsi="Arial" w:cs="Arial"/>
              </w:rPr>
              <w:t>June 11, 2024</w:t>
            </w:r>
          </w:p>
        </w:tc>
      </w:tr>
      <w:tr w:rsidR="00BA6A0D" w:rsidRPr="00DE57B5" w14:paraId="1D2FFD4D" w14:textId="77777777" w:rsidTr="00EC4ECB">
        <w:tc>
          <w:tcPr>
            <w:tcW w:w="1704" w:type="dxa"/>
            <w:tcBorders>
              <w:bottom w:val="single" w:sz="2" w:space="0" w:color="auto"/>
            </w:tcBorders>
            <w:vAlign w:val="bottom"/>
          </w:tcPr>
          <w:p w14:paraId="1359D628" w14:textId="46BEAADF" w:rsidR="00BA6A0D" w:rsidRPr="00DE57B5" w:rsidRDefault="00DE57B5" w:rsidP="00EC4ECB">
            <w:pPr>
              <w:pStyle w:val="Header"/>
              <w:ind w:left="86" w:right="288" w:hanging="86"/>
              <w:jc w:val="right"/>
              <w:rPr>
                <w:rFonts w:ascii="Arial" w:hAnsi="Arial" w:cs="Arial"/>
                <w:szCs w:val="20"/>
              </w:rPr>
            </w:pPr>
            <w:r w:rsidRPr="00DE57B5">
              <w:rPr>
                <w:rFonts w:ascii="Arial" w:hAnsi="Arial" w:cs="Arial"/>
                <w:szCs w:val="20"/>
              </w:rPr>
              <w:t>750</w:t>
            </w:r>
            <w:r w:rsidR="00BA6A0D" w:rsidRPr="00DE57B5">
              <w:rPr>
                <w:rFonts w:ascii="Arial" w:hAnsi="Arial" w:cs="Arial"/>
                <w:szCs w:val="20"/>
              </w:rPr>
              <w:t>,000</w:t>
            </w:r>
          </w:p>
        </w:tc>
        <w:tc>
          <w:tcPr>
            <w:tcW w:w="1418" w:type="dxa"/>
            <w:tcBorders>
              <w:bottom w:val="single" w:sz="2" w:space="0" w:color="auto"/>
            </w:tcBorders>
          </w:tcPr>
          <w:p w14:paraId="78797C71" w14:textId="4B3B36EF"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187,500</w:t>
            </w:r>
          </w:p>
        </w:tc>
        <w:tc>
          <w:tcPr>
            <w:tcW w:w="1418" w:type="dxa"/>
            <w:tcBorders>
              <w:bottom w:val="single" w:sz="2" w:space="0" w:color="auto"/>
            </w:tcBorders>
            <w:vAlign w:val="bottom"/>
          </w:tcPr>
          <w:p w14:paraId="67A7F8EE" w14:textId="652A3486" w:rsidR="00BA6A0D" w:rsidRPr="00DE57B5" w:rsidRDefault="00BA6A0D" w:rsidP="00DE57B5">
            <w:pPr>
              <w:pStyle w:val="Header"/>
              <w:ind w:left="86" w:right="288" w:hanging="86"/>
              <w:jc w:val="right"/>
              <w:rPr>
                <w:rFonts w:ascii="Arial" w:hAnsi="Arial" w:cs="Arial"/>
                <w:szCs w:val="20"/>
              </w:rPr>
            </w:pPr>
            <w:r w:rsidRPr="00DE57B5">
              <w:rPr>
                <w:rFonts w:ascii="Arial" w:hAnsi="Arial" w:cs="Arial"/>
                <w:szCs w:val="20"/>
              </w:rPr>
              <w:t>0.</w:t>
            </w:r>
            <w:r w:rsidR="00DE57B5" w:rsidRPr="00DE57B5">
              <w:rPr>
                <w:rFonts w:ascii="Arial" w:hAnsi="Arial" w:cs="Arial"/>
                <w:szCs w:val="20"/>
              </w:rPr>
              <w:t>39</w:t>
            </w:r>
          </w:p>
        </w:tc>
        <w:tc>
          <w:tcPr>
            <w:tcW w:w="2008" w:type="dxa"/>
            <w:tcBorders>
              <w:bottom w:val="single" w:sz="2" w:space="0" w:color="auto"/>
            </w:tcBorders>
          </w:tcPr>
          <w:p w14:paraId="3205A24C" w14:textId="1DB3F5D3" w:rsidR="00BA6A0D" w:rsidRPr="00DE57B5" w:rsidRDefault="00DE57B5" w:rsidP="00EC4ECB">
            <w:pPr>
              <w:pStyle w:val="Header"/>
              <w:ind w:right="-66" w:hanging="81"/>
              <w:jc w:val="center"/>
              <w:rPr>
                <w:rFonts w:ascii="Arial" w:hAnsi="Arial" w:cs="Arial"/>
              </w:rPr>
            </w:pPr>
            <w:r w:rsidRPr="00DE57B5">
              <w:rPr>
                <w:rFonts w:ascii="Arial" w:hAnsi="Arial" w:cs="Arial"/>
              </w:rPr>
              <w:t>July 1, 2024</w:t>
            </w:r>
          </w:p>
        </w:tc>
      </w:tr>
      <w:tr w:rsidR="00BA6A0D" w:rsidRPr="00DE57B5" w14:paraId="23DAE820" w14:textId="77777777" w:rsidTr="00EC4ECB">
        <w:tc>
          <w:tcPr>
            <w:tcW w:w="1704" w:type="dxa"/>
            <w:tcBorders>
              <w:bottom w:val="single" w:sz="12" w:space="0" w:color="auto"/>
            </w:tcBorders>
            <w:vAlign w:val="bottom"/>
          </w:tcPr>
          <w:p w14:paraId="55153595" w14:textId="41C6CD6A" w:rsidR="00BA6A0D" w:rsidRPr="00DE57B5" w:rsidDel="00B626EB" w:rsidRDefault="00DE57B5" w:rsidP="00EC4ECB">
            <w:pPr>
              <w:pStyle w:val="Header"/>
              <w:ind w:left="86" w:right="288" w:hanging="86"/>
              <w:jc w:val="right"/>
              <w:rPr>
                <w:rFonts w:ascii="Arial" w:hAnsi="Arial" w:cs="Arial"/>
                <w:szCs w:val="20"/>
              </w:rPr>
            </w:pPr>
            <w:r w:rsidRPr="00DE57B5">
              <w:rPr>
                <w:rFonts w:ascii="Arial" w:hAnsi="Arial" w:cs="Arial"/>
                <w:szCs w:val="20"/>
              </w:rPr>
              <w:t>3,650,000</w:t>
            </w:r>
          </w:p>
        </w:tc>
        <w:tc>
          <w:tcPr>
            <w:tcW w:w="1418" w:type="dxa"/>
            <w:tcBorders>
              <w:bottom w:val="single" w:sz="12" w:space="0" w:color="auto"/>
            </w:tcBorders>
          </w:tcPr>
          <w:p w14:paraId="29B58154" w14:textId="3563323E"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1,062,500</w:t>
            </w:r>
          </w:p>
        </w:tc>
        <w:tc>
          <w:tcPr>
            <w:tcW w:w="1418" w:type="dxa"/>
            <w:tcBorders>
              <w:bottom w:val="single" w:sz="12" w:space="0" w:color="auto"/>
            </w:tcBorders>
            <w:vAlign w:val="bottom"/>
          </w:tcPr>
          <w:p w14:paraId="332F3215" w14:textId="77777777" w:rsidR="00BA6A0D" w:rsidRPr="00DE57B5" w:rsidRDefault="00BA6A0D" w:rsidP="00EC4ECB">
            <w:pPr>
              <w:pStyle w:val="Header"/>
              <w:ind w:left="86" w:right="288" w:hanging="86"/>
              <w:jc w:val="right"/>
              <w:rPr>
                <w:rFonts w:ascii="Arial" w:hAnsi="Arial" w:cs="Arial"/>
                <w:szCs w:val="20"/>
              </w:rPr>
            </w:pPr>
          </w:p>
        </w:tc>
        <w:tc>
          <w:tcPr>
            <w:tcW w:w="2008" w:type="dxa"/>
            <w:tcBorders>
              <w:bottom w:val="single" w:sz="12" w:space="0" w:color="auto"/>
            </w:tcBorders>
            <w:vAlign w:val="bottom"/>
          </w:tcPr>
          <w:p w14:paraId="34A11CCE" w14:textId="77777777" w:rsidR="00BA6A0D" w:rsidRPr="00DE57B5" w:rsidRDefault="00BA6A0D" w:rsidP="00EC4ECB">
            <w:pPr>
              <w:pStyle w:val="Header"/>
              <w:ind w:right="-66" w:hanging="81"/>
              <w:jc w:val="center"/>
              <w:rPr>
                <w:rFonts w:ascii="Arial" w:hAnsi="Arial" w:cs="Arial"/>
                <w:szCs w:val="20"/>
              </w:rPr>
            </w:pPr>
          </w:p>
        </w:tc>
      </w:tr>
    </w:tbl>
    <w:p w14:paraId="2007CC93" w14:textId="77777777" w:rsidR="00BA6A0D" w:rsidRPr="00DE57B5" w:rsidRDefault="00BA6A0D" w:rsidP="00BA6A0D">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0FC5DABC" w14:textId="638D69FC" w:rsidR="00BA6A0D" w:rsidRPr="00DE57B5" w:rsidRDefault="00BA6A0D" w:rsidP="00BA6A0D">
      <w:pPr>
        <w:tabs>
          <w:tab w:val="left" w:pos="432"/>
          <w:tab w:val="left" w:pos="792"/>
        </w:tabs>
        <w:spacing w:after="0" w:line="240" w:lineRule="auto"/>
        <w:ind w:left="450"/>
        <w:jc w:val="both"/>
        <w:rPr>
          <w:rFonts w:ascii="Arial" w:hAnsi="Arial" w:cs="Arial"/>
          <w:b/>
          <w:szCs w:val="20"/>
        </w:rPr>
      </w:pPr>
      <w:r w:rsidRPr="00DE57B5">
        <w:rPr>
          <w:rFonts w:ascii="Arial" w:hAnsi="Arial" w:cs="Arial"/>
          <w:szCs w:val="20"/>
        </w:rPr>
        <w:t xml:space="preserve">Additional information regarding </w:t>
      </w:r>
      <w:r w:rsidR="00DB5BF7">
        <w:rPr>
          <w:rFonts w:ascii="Arial" w:hAnsi="Arial" w:cs="Arial"/>
          <w:szCs w:val="20"/>
        </w:rPr>
        <w:t>share purchase options</w:t>
      </w:r>
      <w:r w:rsidRPr="00DE57B5">
        <w:rPr>
          <w:rFonts w:ascii="Arial" w:hAnsi="Arial" w:cs="Arial"/>
          <w:szCs w:val="20"/>
        </w:rPr>
        <w:t xml:space="preserve"> denominated in U.S. dollar as of July 31, 2019, is as follows:</w:t>
      </w:r>
    </w:p>
    <w:p w14:paraId="34651020" w14:textId="77777777" w:rsidR="00BA6A0D" w:rsidRPr="00DE57B5" w:rsidRDefault="00BA6A0D" w:rsidP="00BA6A0D">
      <w:pPr>
        <w:spacing w:after="0" w:line="240" w:lineRule="auto"/>
        <w:ind w:left="448"/>
        <w:rPr>
          <w:rFonts w:ascii="Arial" w:hAnsi="Arial" w:cs="Arial"/>
          <w:szCs w:val="20"/>
        </w:rPr>
      </w:pPr>
    </w:p>
    <w:tbl>
      <w:tblPr>
        <w:tblW w:w="6548" w:type="dxa"/>
        <w:tblInd w:w="558" w:type="dxa"/>
        <w:tblLayout w:type="fixed"/>
        <w:tblLook w:val="01E0" w:firstRow="1" w:lastRow="1" w:firstColumn="1" w:lastColumn="1" w:noHBand="0" w:noVBand="0"/>
      </w:tblPr>
      <w:tblGrid>
        <w:gridCol w:w="1704"/>
        <w:gridCol w:w="1418"/>
        <w:gridCol w:w="1418"/>
        <w:gridCol w:w="2008"/>
      </w:tblGrid>
      <w:tr w:rsidR="00BA6A0D" w:rsidRPr="00DE57B5" w14:paraId="3BC09299" w14:textId="77777777" w:rsidTr="00EC4ECB">
        <w:tc>
          <w:tcPr>
            <w:tcW w:w="1704" w:type="dxa"/>
            <w:tcBorders>
              <w:bottom w:val="single" w:sz="6" w:space="0" w:color="auto"/>
            </w:tcBorders>
            <w:vAlign w:val="bottom"/>
          </w:tcPr>
          <w:p w14:paraId="24286D73"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Outstanding</w:t>
            </w:r>
          </w:p>
        </w:tc>
        <w:tc>
          <w:tcPr>
            <w:tcW w:w="1418" w:type="dxa"/>
            <w:tcBorders>
              <w:bottom w:val="single" w:sz="6" w:space="0" w:color="auto"/>
            </w:tcBorders>
          </w:tcPr>
          <w:p w14:paraId="3DFB95BE" w14:textId="77777777" w:rsidR="00BA6A0D" w:rsidRPr="00DE57B5" w:rsidRDefault="00BA6A0D" w:rsidP="00EC4ECB">
            <w:pPr>
              <w:pStyle w:val="Header"/>
              <w:ind w:hanging="81"/>
              <w:jc w:val="center"/>
              <w:rPr>
                <w:rFonts w:ascii="Arial" w:hAnsi="Arial" w:cs="Arial"/>
                <w:szCs w:val="20"/>
              </w:rPr>
            </w:pPr>
          </w:p>
          <w:p w14:paraId="77AC600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Options Exercisable</w:t>
            </w:r>
          </w:p>
        </w:tc>
        <w:tc>
          <w:tcPr>
            <w:tcW w:w="1418" w:type="dxa"/>
            <w:tcBorders>
              <w:bottom w:val="single" w:sz="6" w:space="0" w:color="auto"/>
            </w:tcBorders>
            <w:vAlign w:val="bottom"/>
          </w:tcPr>
          <w:p w14:paraId="2AEBF93B"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Exercise</w:t>
            </w:r>
          </w:p>
          <w:p w14:paraId="39C51171"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Price</w:t>
            </w:r>
          </w:p>
          <w:p w14:paraId="583B010E"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w:t>
            </w:r>
          </w:p>
        </w:tc>
        <w:tc>
          <w:tcPr>
            <w:tcW w:w="2008" w:type="dxa"/>
            <w:tcBorders>
              <w:bottom w:val="single" w:sz="6" w:space="0" w:color="auto"/>
            </w:tcBorders>
            <w:vAlign w:val="bottom"/>
          </w:tcPr>
          <w:p w14:paraId="6AA44A3A" w14:textId="77777777" w:rsidR="00BA6A0D" w:rsidRPr="00DE57B5" w:rsidRDefault="00BA6A0D" w:rsidP="00EC4ECB">
            <w:pPr>
              <w:pStyle w:val="Header"/>
              <w:ind w:hanging="81"/>
              <w:jc w:val="center"/>
              <w:rPr>
                <w:rFonts w:ascii="Arial" w:hAnsi="Arial" w:cs="Arial"/>
                <w:szCs w:val="20"/>
              </w:rPr>
            </w:pPr>
            <w:r w:rsidRPr="00DE57B5">
              <w:rPr>
                <w:rFonts w:ascii="Arial" w:hAnsi="Arial" w:cs="Arial"/>
                <w:szCs w:val="20"/>
              </w:rPr>
              <w:t>Expiry Date</w:t>
            </w:r>
          </w:p>
        </w:tc>
      </w:tr>
      <w:tr w:rsidR="00BA6A0D" w:rsidRPr="00DE57B5" w14:paraId="6EC75AA6" w14:textId="77777777" w:rsidTr="00EC4ECB">
        <w:trPr>
          <w:trHeight w:hRule="exact" w:val="113"/>
        </w:trPr>
        <w:tc>
          <w:tcPr>
            <w:tcW w:w="1704" w:type="dxa"/>
            <w:tcBorders>
              <w:top w:val="single" w:sz="6" w:space="0" w:color="auto"/>
            </w:tcBorders>
          </w:tcPr>
          <w:p w14:paraId="65C4D743"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tcPr>
          <w:p w14:paraId="4B8323D2" w14:textId="77777777" w:rsidR="00BA6A0D" w:rsidRPr="00DE57B5" w:rsidRDefault="00BA6A0D" w:rsidP="00EC4ECB">
            <w:pPr>
              <w:pStyle w:val="Header"/>
              <w:ind w:hanging="81"/>
              <w:jc w:val="center"/>
              <w:rPr>
                <w:rFonts w:ascii="Arial" w:hAnsi="Arial" w:cs="Arial"/>
                <w:szCs w:val="20"/>
              </w:rPr>
            </w:pPr>
          </w:p>
        </w:tc>
        <w:tc>
          <w:tcPr>
            <w:tcW w:w="1418" w:type="dxa"/>
            <w:tcBorders>
              <w:top w:val="single" w:sz="6" w:space="0" w:color="auto"/>
            </w:tcBorders>
            <w:vAlign w:val="bottom"/>
          </w:tcPr>
          <w:p w14:paraId="0101FA26" w14:textId="77777777" w:rsidR="00BA6A0D" w:rsidRPr="00DE57B5" w:rsidRDefault="00BA6A0D" w:rsidP="00EC4ECB">
            <w:pPr>
              <w:pStyle w:val="Header"/>
              <w:ind w:hanging="81"/>
              <w:jc w:val="center"/>
              <w:rPr>
                <w:rFonts w:ascii="Arial" w:hAnsi="Arial" w:cs="Arial"/>
                <w:szCs w:val="20"/>
              </w:rPr>
            </w:pPr>
          </w:p>
        </w:tc>
        <w:tc>
          <w:tcPr>
            <w:tcW w:w="2008" w:type="dxa"/>
            <w:tcBorders>
              <w:top w:val="single" w:sz="6" w:space="0" w:color="auto"/>
            </w:tcBorders>
            <w:vAlign w:val="bottom"/>
          </w:tcPr>
          <w:p w14:paraId="43E62286" w14:textId="77777777" w:rsidR="00BA6A0D" w:rsidRPr="00DE57B5" w:rsidRDefault="00BA6A0D" w:rsidP="00EC4ECB">
            <w:pPr>
              <w:pStyle w:val="Header"/>
              <w:ind w:hanging="81"/>
              <w:jc w:val="center"/>
              <w:rPr>
                <w:rFonts w:ascii="Arial" w:hAnsi="Arial" w:cs="Arial"/>
                <w:szCs w:val="20"/>
              </w:rPr>
            </w:pPr>
          </w:p>
        </w:tc>
      </w:tr>
      <w:tr w:rsidR="00BA6A0D" w:rsidRPr="00DE57B5" w14:paraId="2CE0750B" w14:textId="77777777" w:rsidTr="00EC4ECB">
        <w:tc>
          <w:tcPr>
            <w:tcW w:w="1704" w:type="dxa"/>
            <w:vAlign w:val="bottom"/>
          </w:tcPr>
          <w:p w14:paraId="70ED9427"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4,000,000</w:t>
            </w:r>
          </w:p>
        </w:tc>
        <w:tc>
          <w:tcPr>
            <w:tcW w:w="1418" w:type="dxa"/>
          </w:tcPr>
          <w:p w14:paraId="65599420" w14:textId="77777777" w:rsidR="00BA6A0D" w:rsidRPr="00DE57B5" w:rsidRDefault="00BA6A0D" w:rsidP="00EC4ECB">
            <w:pPr>
              <w:pStyle w:val="Header"/>
              <w:ind w:left="86" w:right="134" w:hanging="86"/>
              <w:jc w:val="right"/>
              <w:rPr>
                <w:rFonts w:ascii="Arial" w:hAnsi="Arial" w:cs="Arial"/>
                <w:szCs w:val="20"/>
              </w:rPr>
            </w:pPr>
            <w:r w:rsidRPr="00DE57B5">
              <w:rPr>
                <w:rFonts w:ascii="Arial" w:hAnsi="Arial" w:cs="Arial"/>
                <w:szCs w:val="20"/>
              </w:rPr>
              <w:t>4,000,000</w:t>
            </w:r>
          </w:p>
        </w:tc>
        <w:tc>
          <w:tcPr>
            <w:tcW w:w="1418" w:type="dxa"/>
            <w:vAlign w:val="bottom"/>
          </w:tcPr>
          <w:p w14:paraId="3894887C"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0.14</w:t>
            </w:r>
          </w:p>
        </w:tc>
        <w:tc>
          <w:tcPr>
            <w:tcW w:w="2008" w:type="dxa"/>
            <w:vAlign w:val="bottom"/>
          </w:tcPr>
          <w:p w14:paraId="3544D65D"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szCs w:val="20"/>
              </w:rPr>
              <w:t>December 14, 2020</w:t>
            </w:r>
          </w:p>
        </w:tc>
      </w:tr>
      <w:tr w:rsidR="00BA6A0D" w:rsidRPr="00DE57B5" w14:paraId="78823354" w14:textId="77777777" w:rsidTr="00EC4ECB">
        <w:tc>
          <w:tcPr>
            <w:tcW w:w="1704" w:type="dxa"/>
            <w:vAlign w:val="bottom"/>
          </w:tcPr>
          <w:p w14:paraId="39F6F6DF" w14:textId="48E5E91D" w:rsidR="00BA6A0D" w:rsidRPr="00DE57B5" w:rsidRDefault="00DE57B5" w:rsidP="00EC4ECB">
            <w:pPr>
              <w:pStyle w:val="Header"/>
              <w:ind w:left="86" w:right="288" w:hanging="86"/>
              <w:jc w:val="right"/>
              <w:rPr>
                <w:rFonts w:ascii="Arial" w:hAnsi="Arial" w:cs="Arial"/>
                <w:szCs w:val="20"/>
              </w:rPr>
            </w:pPr>
            <w:r w:rsidRPr="00DE57B5">
              <w:rPr>
                <w:rFonts w:ascii="Arial" w:hAnsi="Arial" w:cs="Arial"/>
                <w:szCs w:val="20"/>
              </w:rPr>
              <w:t>4,550</w:t>
            </w:r>
            <w:r w:rsidR="00BA6A0D" w:rsidRPr="00DE57B5">
              <w:rPr>
                <w:rFonts w:ascii="Arial" w:hAnsi="Arial" w:cs="Arial"/>
                <w:szCs w:val="20"/>
              </w:rPr>
              <w:t>,000</w:t>
            </w:r>
          </w:p>
        </w:tc>
        <w:tc>
          <w:tcPr>
            <w:tcW w:w="1418" w:type="dxa"/>
          </w:tcPr>
          <w:p w14:paraId="5269949D" w14:textId="4049474A"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4,550</w:t>
            </w:r>
            <w:r w:rsidR="00BA6A0D" w:rsidRPr="00DE57B5">
              <w:rPr>
                <w:rFonts w:ascii="Arial" w:hAnsi="Arial" w:cs="Arial"/>
                <w:szCs w:val="20"/>
              </w:rPr>
              <w:t>,000</w:t>
            </w:r>
          </w:p>
        </w:tc>
        <w:tc>
          <w:tcPr>
            <w:tcW w:w="1418" w:type="dxa"/>
            <w:vAlign w:val="bottom"/>
          </w:tcPr>
          <w:p w14:paraId="37772F71"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0.97</w:t>
            </w:r>
          </w:p>
        </w:tc>
        <w:tc>
          <w:tcPr>
            <w:tcW w:w="2008" w:type="dxa"/>
          </w:tcPr>
          <w:p w14:paraId="7263C4CF" w14:textId="77777777" w:rsidR="00BA6A0D" w:rsidRPr="00DE57B5" w:rsidRDefault="00BA6A0D" w:rsidP="00EC4ECB">
            <w:pPr>
              <w:pStyle w:val="Header"/>
              <w:ind w:right="-66" w:hanging="81"/>
              <w:jc w:val="center"/>
              <w:rPr>
                <w:rFonts w:ascii="Arial" w:hAnsi="Arial" w:cs="Arial"/>
                <w:szCs w:val="20"/>
              </w:rPr>
            </w:pPr>
            <w:r w:rsidRPr="00DE57B5">
              <w:rPr>
                <w:rFonts w:ascii="Arial" w:hAnsi="Arial" w:cs="Arial"/>
              </w:rPr>
              <w:t>February 22, 2021</w:t>
            </w:r>
          </w:p>
        </w:tc>
      </w:tr>
      <w:tr w:rsidR="00BA6A0D" w:rsidRPr="00DE57B5" w14:paraId="634790E1" w14:textId="77777777" w:rsidTr="00EC4ECB">
        <w:tc>
          <w:tcPr>
            <w:tcW w:w="1704" w:type="dxa"/>
            <w:vAlign w:val="bottom"/>
          </w:tcPr>
          <w:p w14:paraId="35F820B7"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4,000,000</w:t>
            </w:r>
          </w:p>
        </w:tc>
        <w:tc>
          <w:tcPr>
            <w:tcW w:w="1418" w:type="dxa"/>
          </w:tcPr>
          <w:p w14:paraId="0B0BE86C" w14:textId="77777777" w:rsidR="00BA6A0D" w:rsidRPr="00DE57B5" w:rsidRDefault="00BA6A0D" w:rsidP="00EC4ECB">
            <w:pPr>
              <w:pStyle w:val="Header"/>
              <w:ind w:left="86" w:right="134" w:hanging="86"/>
              <w:jc w:val="right"/>
              <w:rPr>
                <w:rFonts w:ascii="Arial" w:hAnsi="Arial" w:cs="Arial"/>
                <w:szCs w:val="20"/>
              </w:rPr>
            </w:pPr>
            <w:r w:rsidRPr="00DE57B5">
              <w:rPr>
                <w:rFonts w:ascii="Arial" w:hAnsi="Arial" w:cs="Arial"/>
                <w:szCs w:val="20"/>
              </w:rPr>
              <w:t>4,000,000</w:t>
            </w:r>
          </w:p>
        </w:tc>
        <w:tc>
          <w:tcPr>
            <w:tcW w:w="1418" w:type="dxa"/>
            <w:vAlign w:val="bottom"/>
          </w:tcPr>
          <w:p w14:paraId="62E025D7"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0.13</w:t>
            </w:r>
          </w:p>
        </w:tc>
        <w:tc>
          <w:tcPr>
            <w:tcW w:w="2008" w:type="dxa"/>
          </w:tcPr>
          <w:p w14:paraId="4C188232"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December 14, 2021</w:t>
            </w:r>
          </w:p>
        </w:tc>
      </w:tr>
      <w:tr w:rsidR="00BA6A0D" w:rsidRPr="00DE57B5" w14:paraId="0358944F" w14:textId="77777777" w:rsidTr="00EC4ECB">
        <w:tc>
          <w:tcPr>
            <w:tcW w:w="1704" w:type="dxa"/>
            <w:vAlign w:val="bottom"/>
          </w:tcPr>
          <w:p w14:paraId="74BED819"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100,000</w:t>
            </w:r>
          </w:p>
        </w:tc>
        <w:tc>
          <w:tcPr>
            <w:tcW w:w="1418" w:type="dxa"/>
          </w:tcPr>
          <w:p w14:paraId="58753483" w14:textId="7960B950" w:rsidR="00BA6A0D" w:rsidRPr="00DE57B5" w:rsidRDefault="00DE57B5" w:rsidP="00EC4ECB">
            <w:pPr>
              <w:pStyle w:val="Header"/>
              <w:ind w:left="86" w:right="134" w:hanging="86"/>
              <w:jc w:val="right"/>
              <w:rPr>
                <w:rFonts w:ascii="Arial" w:hAnsi="Arial" w:cs="Arial"/>
                <w:szCs w:val="20"/>
              </w:rPr>
            </w:pPr>
            <w:r w:rsidRPr="00DE57B5">
              <w:rPr>
                <w:rFonts w:ascii="Arial" w:hAnsi="Arial" w:cs="Arial"/>
                <w:szCs w:val="20"/>
              </w:rPr>
              <w:t>100</w:t>
            </w:r>
            <w:r w:rsidR="00BA6A0D" w:rsidRPr="00DE57B5">
              <w:rPr>
                <w:rFonts w:ascii="Arial" w:hAnsi="Arial" w:cs="Arial"/>
                <w:szCs w:val="20"/>
              </w:rPr>
              <w:t>,000</w:t>
            </w:r>
          </w:p>
        </w:tc>
        <w:tc>
          <w:tcPr>
            <w:tcW w:w="1418" w:type="dxa"/>
            <w:vAlign w:val="bottom"/>
          </w:tcPr>
          <w:p w14:paraId="236C6221"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0.50</w:t>
            </w:r>
          </w:p>
        </w:tc>
        <w:tc>
          <w:tcPr>
            <w:tcW w:w="2008" w:type="dxa"/>
          </w:tcPr>
          <w:p w14:paraId="0FFD4BFB"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November 14, 2022</w:t>
            </w:r>
          </w:p>
        </w:tc>
      </w:tr>
      <w:tr w:rsidR="00BA6A0D" w:rsidRPr="00DE57B5" w14:paraId="312ADD75" w14:textId="77777777" w:rsidTr="00EC4ECB">
        <w:tc>
          <w:tcPr>
            <w:tcW w:w="1704" w:type="dxa"/>
            <w:tcBorders>
              <w:bottom w:val="single" w:sz="2" w:space="0" w:color="auto"/>
            </w:tcBorders>
            <w:vAlign w:val="bottom"/>
          </w:tcPr>
          <w:p w14:paraId="15523988"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100,000</w:t>
            </w:r>
          </w:p>
        </w:tc>
        <w:tc>
          <w:tcPr>
            <w:tcW w:w="1418" w:type="dxa"/>
            <w:tcBorders>
              <w:bottom w:val="single" w:sz="2" w:space="0" w:color="auto"/>
            </w:tcBorders>
          </w:tcPr>
          <w:p w14:paraId="0E75D5E0" w14:textId="77777777" w:rsidR="00BA6A0D" w:rsidRPr="00DE57B5" w:rsidRDefault="00BA6A0D" w:rsidP="00EC4ECB">
            <w:pPr>
              <w:pStyle w:val="Header"/>
              <w:ind w:left="86" w:right="134" w:hanging="86"/>
              <w:jc w:val="right"/>
              <w:rPr>
                <w:rFonts w:ascii="Arial" w:hAnsi="Arial" w:cs="Arial"/>
                <w:szCs w:val="20"/>
              </w:rPr>
            </w:pPr>
            <w:r w:rsidRPr="00DE57B5">
              <w:rPr>
                <w:rFonts w:ascii="Arial" w:hAnsi="Arial" w:cs="Arial"/>
                <w:szCs w:val="20"/>
              </w:rPr>
              <w:t>100,000</w:t>
            </w:r>
          </w:p>
        </w:tc>
        <w:tc>
          <w:tcPr>
            <w:tcW w:w="1418" w:type="dxa"/>
            <w:tcBorders>
              <w:bottom w:val="single" w:sz="2" w:space="0" w:color="auto"/>
            </w:tcBorders>
            <w:vAlign w:val="bottom"/>
          </w:tcPr>
          <w:p w14:paraId="599AA014" w14:textId="77777777" w:rsidR="00BA6A0D" w:rsidRPr="00DE57B5" w:rsidRDefault="00BA6A0D" w:rsidP="00EC4ECB">
            <w:pPr>
              <w:pStyle w:val="Header"/>
              <w:ind w:left="86" w:right="288" w:hanging="86"/>
              <w:jc w:val="right"/>
              <w:rPr>
                <w:rFonts w:ascii="Arial" w:hAnsi="Arial" w:cs="Arial"/>
                <w:szCs w:val="20"/>
              </w:rPr>
            </w:pPr>
            <w:r w:rsidRPr="00DE57B5">
              <w:rPr>
                <w:rFonts w:ascii="Arial" w:hAnsi="Arial" w:cs="Arial"/>
                <w:szCs w:val="20"/>
              </w:rPr>
              <w:t>0.42</w:t>
            </w:r>
          </w:p>
        </w:tc>
        <w:tc>
          <w:tcPr>
            <w:tcW w:w="2008" w:type="dxa"/>
            <w:tcBorders>
              <w:bottom w:val="single" w:sz="2" w:space="0" w:color="auto"/>
            </w:tcBorders>
          </w:tcPr>
          <w:p w14:paraId="1BFC17D4" w14:textId="77777777" w:rsidR="00BA6A0D" w:rsidRPr="00DE57B5" w:rsidRDefault="00BA6A0D" w:rsidP="00EC4ECB">
            <w:pPr>
              <w:pStyle w:val="Header"/>
              <w:ind w:right="-66" w:hanging="81"/>
              <w:jc w:val="center"/>
              <w:rPr>
                <w:rFonts w:ascii="Arial" w:hAnsi="Arial" w:cs="Arial"/>
              </w:rPr>
            </w:pPr>
            <w:r w:rsidRPr="00DE57B5">
              <w:rPr>
                <w:rFonts w:ascii="Arial" w:hAnsi="Arial" w:cs="Arial"/>
              </w:rPr>
              <w:t>October 28, 2023</w:t>
            </w:r>
          </w:p>
        </w:tc>
      </w:tr>
      <w:tr w:rsidR="00BA6A0D" w:rsidRPr="00F60034" w14:paraId="30170B36" w14:textId="77777777" w:rsidTr="00EC4ECB">
        <w:tc>
          <w:tcPr>
            <w:tcW w:w="1704" w:type="dxa"/>
            <w:tcBorders>
              <w:bottom w:val="single" w:sz="12" w:space="0" w:color="auto"/>
            </w:tcBorders>
            <w:vAlign w:val="bottom"/>
          </w:tcPr>
          <w:p w14:paraId="547EA93E" w14:textId="43771B28" w:rsidR="00BA6A0D" w:rsidRPr="00DE57B5" w:rsidDel="00B626EB" w:rsidRDefault="00DE57B5" w:rsidP="00EC4ECB">
            <w:pPr>
              <w:pStyle w:val="Header"/>
              <w:ind w:left="86" w:right="288" w:hanging="86"/>
              <w:jc w:val="right"/>
              <w:rPr>
                <w:rFonts w:ascii="Arial" w:hAnsi="Arial" w:cs="Arial"/>
                <w:szCs w:val="20"/>
              </w:rPr>
            </w:pPr>
            <w:r w:rsidRPr="00DE57B5">
              <w:rPr>
                <w:rFonts w:ascii="Arial" w:hAnsi="Arial" w:cs="Arial"/>
                <w:szCs w:val="20"/>
              </w:rPr>
              <w:t>12,750,000</w:t>
            </w:r>
          </w:p>
        </w:tc>
        <w:tc>
          <w:tcPr>
            <w:tcW w:w="1418" w:type="dxa"/>
            <w:tcBorders>
              <w:bottom w:val="single" w:sz="12" w:space="0" w:color="auto"/>
            </w:tcBorders>
          </w:tcPr>
          <w:p w14:paraId="1A2FA444" w14:textId="256D6AE1" w:rsidR="00BA6A0D" w:rsidRPr="00F60034" w:rsidRDefault="00DE57B5" w:rsidP="00EC4ECB">
            <w:pPr>
              <w:pStyle w:val="Header"/>
              <w:ind w:left="86" w:right="134" w:hanging="86"/>
              <w:jc w:val="right"/>
              <w:rPr>
                <w:rFonts w:ascii="Arial" w:hAnsi="Arial" w:cs="Arial"/>
                <w:szCs w:val="20"/>
              </w:rPr>
            </w:pPr>
            <w:r w:rsidRPr="00DE57B5">
              <w:rPr>
                <w:rFonts w:ascii="Arial" w:hAnsi="Arial" w:cs="Arial"/>
                <w:szCs w:val="20"/>
              </w:rPr>
              <w:t>12,750,000</w:t>
            </w:r>
          </w:p>
        </w:tc>
        <w:tc>
          <w:tcPr>
            <w:tcW w:w="1418" w:type="dxa"/>
            <w:tcBorders>
              <w:bottom w:val="single" w:sz="12" w:space="0" w:color="auto"/>
            </w:tcBorders>
            <w:vAlign w:val="bottom"/>
          </w:tcPr>
          <w:p w14:paraId="30BD7808" w14:textId="77777777" w:rsidR="00BA6A0D" w:rsidRPr="00F60034" w:rsidRDefault="00BA6A0D" w:rsidP="00EC4ECB">
            <w:pPr>
              <w:pStyle w:val="Header"/>
              <w:ind w:left="86" w:right="288" w:hanging="86"/>
              <w:jc w:val="right"/>
              <w:rPr>
                <w:rFonts w:ascii="Arial" w:hAnsi="Arial" w:cs="Arial"/>
                <w:szCs w:val="20"/>
              </w:rPr>
            </w:pPr>
          </w:p>
        </w:tc>
        <w:tc>
          <w:tcPr>
            <w:tcW w:w="2008" w:type="dxa"/>
            <w:tcBorders>
              <w:bottom w:val="single" w:sz="12" w:space="0" w:color="auto"/>
            </w:tcBorders>
            <w:vAlign w:val="bottom"/>
          </w:tcPr>
          <w:p w14:paraId="6FB28EA4" w14:textId="77777777" w:rsidR="00BA6A0D" w:rsidRPr="00F60034" w:rsidRDefault="00BA6A0D" w:rsidP="00EC4ECB">
            <w:pPr>
              <w:pStyle w:val="Header"/>
              <w:ind w:right="-66" w:hanging="81"/>
              <w:jc w:val="center"/>
              <w:rPr>
                <w:rFonts w:ascii="Arial" w:hAnsi="Arial" w:cs="Arial"/>
                <w:szCs w:val="20"/>
              </w:rPr>
            </w:pPr>
          </w:p>
        </w:tc>
      </w:tr>
    </w:tbl>
    <w:p w14:paraId="7F15E42A" w14:textId="77777777" w:rsidR="00BA6A0D" w:rsidRDefault="00BA6A0D" w:rsidP="00BA6A0D">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50D34E0B" w14:textId="168E873A" w:rsidR="00185473" w:rsidRDefault="00185473" w:rsidP="00F15B99">
      <w:pPr>
        <w:spacing w:after="0" w:line="240" w:lineRule="auto"/>
        <w:ind w:left="448"/>
        <w:jc w:val="both"/>
        <w:rPr>
          <w:rFonts w:ascii="Arial" w:hAnsi="Arial" w:cs="Arial"/>
          <w:szCs w:val="20"/>
        </w:rPr>
      </w:pPr>
      <w:r>
        <w:rPr>
          <w:rFonts w:ascii="Arial" w:hAnsi="Arial" w:cs="Arial"/>
          <w:szCs w:val="20"/>
        </w:rPr>
        <w:t xml:space="preserve">The fair value of </w:t>
      </w:r>
      <w:r w:rsidR="00DB5BF7">
        <w:rPr>
          <w:rFonts w:ascii="Arial" w:hAnsi="Arial" w:cs="Arial"/>
          <w:szCs w:val="20"/>
        </w:rPr>
        <w:t>share-based payment</w:t>
      </w:r>
      <w:r>
        <w:rPr>
          <w:rFonts w:ascii="Arial" w:hAnsi="Arial" w:cs="Arial"/>
          <w:szCs w:val="20"/>
        </w:rPr>
        <w:t xml:space="preserve"> expense was estimated using</w:t>
      </w:r>
      <w:r w:rsidR="0053697F">
        <w:rPr>
          <w:rFonts w:ascii="Arial" w:hAnsi="Arial" w:cs="Arial"/>
          <w:szCs w:val="20"/>
        </w:rPr>
        <w:t xml:space="preserve"> the Black-Scholes option pricing model and</w:t>
      </w:r>
      <w:r>
        <w:rPr>
          <w:rFonts w:ascii="Arial" w:hAnsi="Arial" w:cs="Arial"/>
          <w:szCs w:val="20"/>
        </w:rPr>
        <w:t xml:space="preserve"> the following assumptions:</w:t>
      </w:r>
    </w:p>
    <w:p w14:paraId="5565D875" w14:textId="03F17030" w:rsidR="00360B15" w:rsidRDefault="00360B15" w:rsidP="00F15B99">
      <w:pPr>
        <w:spacing w:after="0" w:line="240" w:lineRule="auto"/>
        <w:rPr>
          <w:rFonts w:ascii="Arial" w:hAnsi="Arial" w:cs="Arial"/>
          <w:b/>
          <w:szCs w:val="20"/>
        </w:rPr>
      </w:pPr>
    </w:p>
    <w:p w14:paraId="74E68C64" w14:textId="2DF0B3CB" w:rsidR="00DB5BF7" w:rsidRDefault="0069656F" w:rsidP="0069656F">
      <w:pPr>
        <w:pStyle w:val="ListParagraph"/>
        <w:numPr>
          <w:ilvl w:val="0"/>
          <w:numId w:val="40"/>
        </w:numPr>
        <w:spacing w:after="0" w:line="240" w:lineRule="auto"/>
        <w:ind w:left="1080"/>
        <w:rPr>
          <w:rFonts w:ascii="Arial" w:hAnsi="Arial" w:cs="Arial"/>
          <w:szCs w:val="20"/>
        </w:rPr>
      </w:pPr>
      <w:r w:rsidRPr="0069656F">
        <w:rPr>
          <w:rFonts w:ascii="Arial" w:hAnsi="Arial" w:cs="Arial"/>
          <w:szCs w:val="20"/>
        </w:rPr>
        <w:t xml:space="preserve">Dates of grant: </w:t>
      </w:r>
      <w:r>
        <w:rPr>
          <w:rFonts w:ascii="Arial" w:hAnsi="Arial" w:cs="Arial"/>
          <w:szCs w:val="20"/>
        </w:rPr>
        <w:t>June 12 and July 2, 2019</w:t>
      </w:r>
    </w:p>
    <w:p w14:paraId="37D2D2E0" w14:textId="6C5827F2"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Risk free interest rate:  1.3997% to 1.4997%</w:t>
      </w:r>
    </w:p>
    <w:p w14:paraId="7C01CE66" w14:textId="3661F010"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Volatility:  132%</w:t>
      </w:r>
    </w:p>
    <w:p w14:paraId="348DB27B" w14:textId="7E035CEB"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Market price of common shares on grant date: $0.39 to $0.40</w:t>
      </w:r>
    </w:p>
    <w:p w14:paraId="469F6939" w14:textId="120FBCD4"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Expected dividends:  Nil%</w:t>
      </w:r>
    </w:p>
    <w:p w14:paraId="00CBDB6C" w14:textId="1B6F18D6" w:rsid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Expected life: Five (5) years</w:t>
      </w:r>
    </w:p>
    <w:p w14:paraId="2D25BA76" w14:textId="56A30164" w:rsidR="0069656F" w:rsidRPr="0069656F" w:rsidRDefault="0069656F" w:rsidP="0069656F">
      <w:pPr>
        <w:pStyle w:val="ListParagraph"/>
        <w:numPr>
          <w:ilvl w:val="0"/>
          <w:numId w:val="40"/>
        </w:numPr>
        <w:spacing w:after="0" w:line="240" w:lineRule="auto"/>
        <w:ind w:left="1080"/>
        <w:rPr>
          <w:rFonts w:ascii="Arial" w:hAnsi="Arial" w:cs="Arial"/>
          <w:szCs w:val="20"/>
        </w:rPr>
      </w:pPr>
      <w:r>
        <w:rPr>
          <w:rFonts w:ascii="Arial" w:hAnsi="Arial" w:cs="Arial"/>
          <w:szCs w:val="20"/>
        </w:rPr>
        <w:t>Exercise price:  $0.39 to $0.40</w:t>
      </w:r>
    </w:p>
    <w:p w14:paraId="671AC3A0" w14:textId="77777777" w:rsidR="004956A3" w:rsidRPr="004956A3" w:rsidRDefault="004956A3" w:rsidP="004956A3">
      <w:pPr>
        <w:tabs>
          <w:tab w:val="left" w:pos="432"/>
          <w:tab w:val="left" w:pos="792"/>
        </w:tabs>
        <w:spacing w:after="0" w:line="240" w:lineRule="auto"/>
        <w:jc w:val="both"/>
        <w:rPr>
          <w:rFonts w:ascii="Arial" w:hAnsi="Arial" w:cs="Arial"/>
          <w:szCs w:val="20"/>
        </w:rPr>
      </w:pPr>
      <w:r w:rsidRPr="004956A3">
        <w:rPr>
          <w:rFonts w:ascii="Arial" w:hAnsi="Arial" w:cs="Arial"/>
          <w:b/>
          <w:szCs w:val="20"/>
        </w:rPr>
        <w:lastRenderedPageBreak/>
        <w:t>13.</w:t>
      </w:r>
      <w:r w:rsidRPr="004956A3">
        <w:rPr>
          <w:rFonts w:ascii="Arial" w:hAnsi="Arial" w:cs="Arial"/>
          <w:b/>
          <w:szCs w:val="20"/>
        </w:rPr>
        <w:tab/>
        <w:t xml:space="preserve">Share Purchase Options </w:t>
      </w:r>
      <w:r w:rsidRPr="004956A3">
        <w:rPr>
          <w:rFonts w:ascii="Arial" w:hAnsi="Arial" w:cs="Arial"/>
          <w:szCs w:val="20"/>
        </w:rPr>
        <w:t>(continued)</w:t>
      </w:r>
    </w:p>
    <w:p w14:paraId="5155E40E" w14:textId="77777777" w:rsidR="004956A3" w:rsidRDefault="004956A3"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63D7DF53" w14:textId="1BA31B2A" w:rsidR="00A72010" w:rsidRDefault="00A72010"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r>
        <w:rPr>
          <w:rFonts w:ascii="Arial" w:hAnsi="Arial" w:cs="Arial"/>
          <w:bCs/>
          <w:szCs w:val="20"/>
        </w:rPr>
        <w:t>$</w:t>
      </w:r>
      <w:r w:rsidR="004956A3">
        <w:rPr>
          <w:rFonts w:ascii="Arial" w:hAnsi="Arial" w:cs="Arial"/>
          <w:bCs/>
          <w:szCs w:val="20"/>
        </w:rPr>
        <w:t>627,142</w:t>
      </w:r>
      <w:r>
        <w:rPr>
          <w:rFonts w:ascii="Arial" w:hAnsi="Arial" w:cs="Arial"/>
          <w:bCs/>
          <w:szCs w:val="20"/>
        </w:rPr>
        <w:t xml:space="preserve"> of </w:t>
      </w:r>
      <w:r w:rsidR="004956A3">
        <w:rPr>
          <w:rFonts w:ascii="Arial" w:hAnsi="Arial" w:cs="Arial"/>
          <w:bCs/>
          <w:szCs w:val="20"/>
        </w:rPr>
        <w:t>share-based payment expense</w:t>
      </w:r>
      <w:r>
        <w:rPr>
          <w:rFonts w:ascii="Arial" w:hAnsi="Arial" w:cs="Arial"/>
          <w:bCs/>
          <w:szCs w:val="20"/>
        </w:rPr>
        <w:t xml:space="preserve"> have yet to be recognized and will be recognized in future periods.</w:t>
      </w:r>
    </w:p>
    <w:p w14:paraId="6B9F6DCF" w14:textId="77777777" w:rsidR="00360B15" w:rsidRDefault="00360B15"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firstLine="18"/>
        <w:jc w:val="both"/>
        <w:rPr>
          <w:rFonts w:ascii="Arial" w:hAnsi="Arial" w:cs="Arial"/>
          <w:bCs/>
          <w:szCs w:val="20"/>
        </w:rPr>
      </w:pPr>
    </w:p>
    <w:p w14:paraId="1023829B" w14:textId="0459D24F" w:rsidR="008E2C02" w:rsidRPr="00F60034"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r>
        <w:rPr>
          <w:rFonts w:ascii="Arial" w:hAnsi="Arial" w:cs="Arial"/>
          <w:b/>
          <w:bCs/>
          <w:szCs w:val="20"/>
        </w:rPr>
        <w:t>14</w:t>
      </w:r>
      <w:r w:rsidR="008E2C02" w:rsidRPr="00F60034">
        <w:rPr>
          <w:rFonts w:ascii="Arial" w:hAnsi="Arial" w:cs="Arial"/>
          <w:b/>
          <w:bCs/>
          <w:szCs w:val="20"/>
        </w:rPr>
        <w:t>.</w:t>
      </w:r>
      <w:r w:rsidR="008E2C02" w:rsidRPr="00F60034">
        <w:rPr>
          <w:rFonts w:ascii="Arial" w:hAnsi="Arial" w:cs="Arial"/>
          <w:b/>
          <w:bCs/>
          <w:szCs w:val="20"/>
        </w:rPr>
        <w:tab/>
      </w:r>
      <w:r w:rsidR="008E2C02">
        <w:rPr>
          <w:rFonts w:ascii="Arial" w:hAnsi="Arial" w:cs="Arial"/>
          <w:b/>
          <w:bCs/>
          <w:szCs w:val="20"/>
        </w:rPr>
        <w:t>Supplemental Cash Flow Disclosures</w:t>
      </w:r>
    </w:p>
    <w:tbl>
      <w:tblPr>
        <w:tblW w:w="8930" w:type="dxa"/>
        <w:tblInd w:w="450" w:type="dxa"/>
        <w:tblLayout w:type="fixed"/>
        <w:tblCellMar>
          <w:left w:w="0" w:type="dxa"/>
          <w:bottom w:w="29" w:type="dxa"/>
          <w:right w:w="0" w:type="dxa"/>
        </w:tblCellMar>
        <w:tblLook w:val="0000" w:firstRow="0" w:lastRow="0" w:firstColumn="0" w:lastColumn="0" w:noHBand="0" w:noVBand="0"/>
      </w:tblPr>
      <w:tblGrid>
        <w:gridCol w:w="5760"/>
        <w:gridCol w:w="1585"/>
        <w:gridCol w:w="1585"/>
      </w:tblGrid>
      <w:tr w:rsidR="006D4677" w:rsidRPr="006D4677" w14:paraId="23FCE58A" w14:textId="77777777" w:rsidTr="00AF3DD7">
        <w:tc>
          <w:tcPr>
            <w:tcW w:w="5760" w:type="dxa"/>
            <w:tcBorders>
              <w:bottom w:val="single" w:sz="2" w:space="0" w:color="auto"/>
            </w:tcBorders>
            <w:vAlign w:val="bottom"/>
          </w:tcPr>
          <w:p w14:paraId="6702BA9C" w14:textId="77777777" w:rsidR="006D4677" w:rsidRPr="006D4677" w:rsidRDefault="006D4677" w:rsidP="00F15B99">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41794304" w14:textId="4B044D47" w:rsidR="006D4677" w:rsidRPr="00444871" w:rsidRDefault="00CD11CD" w:rsidP="00F15B99">
            <w:pPr>
              <w:spacing w:after="0" w:line="240" w:lineRule="auto"/>
              <w:jc w:val="center"/>
              <w:rPr>
                <w:rFonts w:ascii="Arial" w:hAnsi="Arial" w:cs="Arial"/>
                <w:szCs w:val="20"/>
              </w:rPr>
            </w:pPr>
            <w:r w:rsidRPr="00444871">
              <w:rPr>
                <w:rFonts w:ascii="Arial" w:hAnsi="Arial" w:cs="Arial"/>
                <w:szCs w:val="20"/>
              </w:rPr>
              <w:t>July</w:t>
            </w:r>
            <w:r w:rsidR="006D4677" w:rsidRPr="00444871">
              <w:rPr>
                <w:rFonts w:ascii="Arial" w:hAnsi="Arial" w:cs="Arial"/>
                <w:szCs w:val="20"/>
              </w:rPr>
              <w:t xml:space="preserve"> 31,</w:t>
            </w:r>
          </w:p>
          <w:p w14:paraId="640CC126" w14:textId="4E509B74" w:rsidR="006D4677" w:rsidRPr="00444871" w:rsidRDefault="00AF3DD7" w:rsidP="00F15B99">
            <w:pPr>
              <w:spacing w:after="0" w:line="240" w:lineRule="auto"/>
              <w:jc w:val="center"/>
              <w:rPr>
                <w:rFonts w:ascii="Arial" w:hAnsi="Arial" w:cs="Arial"/>
                <w:szCs w:val="20"/>
              </w:rPr>
            </w:pPr>
            <w:r w:rsidRPr="00444871">
              <w:rPr>
                <w:rFonts w:ascii="Arial" w:hAnsi="Arial" w:cs="Arial"/>
                <w:szCs w:val="20"/>
              </w:rPr>
              <w:t>2019</w:t>
            </w:r>
          </w:p>
          <w:p w14:paraId="306C5526" w14:textId="585AC0B2" w:rsidR="006D4677" w:rsidRPr="00444871" w:rsidRDefault="006D4677" w:rsidP="00F15B99">
            <w:pPr>
              <w:tabs>
                <w:tab w:val="left" w:pos="7272"/>
                <w:tab w:val="decimal" w:pos="8136"/>
                <w:tab w:val="left" w:pos="8496"/>
                <w:tab w:val="decimal" w:pos="9360"/>
              </w:tabs>
              <w:spacing w:after="0"/>
              <w:ind w:right="29"/>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75EA8E53" w14:textId="703579DE" w:rsidR="006D4677" w:rsidRPr="00EC4ECB" w:rsidRDefault="00CD11CD" w:rsidP="00F15B99">
            <w:pPr>
              <w:spacing w:after="0" w:line="240" w:lineRule="auto"/>
              <w:jc w:val="center"/>
              <w:rPr>
                <w:rFonts w:ascii="Arial" w:hAnsi="Arial" w:cs="Arial"/>
                <w:szCs w:val="20"/>
              </w:rPr>
            </w:pPr>
            <w:r w:rsidRPr="00EC4ECB">
              <w:rPr>
                <w:rFonts w:ascii="Arial" w:hAnsi="Arial" w:cs="Arial"/>
                <w:szCs w:val="20"/>
              </w:rPr>
              <w:t>July</w:t>
            </w:r>
            <w:r w:rsidR="006D4677" w:rsidRPr="00EC4ECB">
              <w:rPr>
                <w:rFonts w:ascii="Arial" w:hAnsi="Arial" w:cs="Arial"/>
                <w:szCs w:val="20"/>
              </w:rPr>
              <w:t xml:space="preserve"> 31,</w:t>
            </w:r>
          </w:p>
          <w:p w14:paraId="4262FFE9" w14:textId="5E53CB89" w:rsidR="006D4677" w:rsidRPr="00EC4ECB" w:rsidRDefault="00AF3DD7" w:rsidP="00F15B99">
            <w:pPr>
              <w:spacing w:after="0" w:line="240" w:lineRule="auto"/>
              <w:jc w:val="center"/>
              <w:rPr>
                <w:rFonts w:ascii="Arial" w:hAnsi="Arial" w:cs="Arial"/>
                <w:szCs w:val="20"/>
              </w:rPr>
            </w:pPr>
            <w:r w:rsidRPr="00EC4ECB">
              <w:rPr>
                <w:rFonts w:ascii="Arial" w:hAnsi="Arial" w:cs="Arial"/>
                <w:szCs w:val="20"/>
              </w:rPr>
              <w:t>2018</w:t>
            </w:r>
          </w:p>
          <w:p w14:paraId="77B6342F" w14:textId="6B006DED" w:rsidR="006D4677" w:rsidRPr="00EC4ECB" w:rsidRDefault="006D4677" w:rsidP="00F15B99">
            <w:pPr>
              <w:tabs>
                <w:tab w:val="left" w:pos="7272"/>
                <w:tab w:val="decimal" w:pos="8136"/>
                <w:tab w:val="left" w:pos="8496"/>
                <w:tab w:val="decimal" w:pos="9360"/>
              </w:tabs>
              <w:spacing w:after="0"/>
              <w:ind w:right="29"/>
              <w:jc w:val="center"/>
              <w:rPr>
                <w:rFonts w:ascii="Arial" w:hAnsi="Arial" w:cs="Arial"/>
                <w:szCs w:val="20"/>
              </w:rPr>
            </w:pPr>
            <w:r w:rsidRPr="00EC4ECB">
              <w:rPr>
                <w:rFonts w:ascii="Arial" w:hAnsi="Arial" w:cs="Arial"/>
                <w:szCs w:val="20"/>
              </w:rPr>
              <w:t>$</w:t>
            </w:r>
          </w:p>
        </w:tc>
      </w:tr>
      <w:tr w:rsidR="008E2C02" w:rsidRPr="006D4677" w14:paraId="20182AE6" w14:textId="77777777" w:rsidTr="00AF3DD7">
        <w:tc>
          <w:tcPr>
            <w:tcW w:w="5760" w:type="dxa"/>
            <w:tcBorders>
              <w:top w:val="single" w:sz="2" w:space="0" w:color="auto"/>
            </w:tcBorders>
            <w:vAlign w:val="bottom"/>
          </w:tcPr>
          <w:p w14:paraId="37FE995A" w14:textId="77777777" w:rsidR="008E2C02" w:rsidRPr="006D4677" w:rsidRDefault="008E2C02" w:rsidP="00F15B99">
            <w:pPr>
              <w:tabs>
                <w:tab w:val="left" w:pos="7272"/>
                <w:tab w:val="decimal" w:pos="8136"/>
                <w:tab w:val="left" w:pos="8496"/>
                <w:tab w:val="decimal" w:pos="9360"/>
              </w:tabs>
              <w:spacing w:after="0"/>
              <w:rPr>
                <w:rFonts w:ascii="Arial" w:hAnsi="Arial" w:cs="Arial"/>
                <w:szCs w:val="20"/>
              </w:rPr>
            </w:pPr>
            <w:r w:rsidRPr="006D4677">
              <w:rPr>
                <w:rFonts w:ascii="Arial" w:hAnsi="Arial" w:cs="Arial"/>
                <w:szCs w:val="20"/>
              </w:rPr>
              <w:t>Supplemental disclosures:</w:t>
            </w:r>
          </w:p>
        </w:tc>
        <w:tc>
          <w:tcPr>
            <w:tcW w:w="1585" w:type="dxa"/>
            <w:tcBorders>
              <w:top w:val="single" w:sz="2" w:space="0" w:color="auto"/>
            </w:tcBorders>
          </w:tcPr>
          <w:p w14:paraId="3D4DF0B4" w14:textId="77777777" w:rsidR="008E2C02" w:rsidRPr="00444871" w:rsidRDefault="008E2C02" w:rsidP="00F15B99">
            <w:pPr>
              <w:tabs>
                <w:tab w:val="left" w:pos="7272"/>
                <w:tab w:val="decimal" w:pos="8136"/>
                <w:tab w:val="left" w:pos="8496"/>
                <w:tab w:val="decimal" w:pos="9360"/>
              </w:tabs>
              <w:spacing w:after="0"/>
              <w:ind w:right="29"/>
              <w:jc w:val="right"/>
              <w:rPr>
                <w:rFonts w:ascii="Arial" w:hAnsi="Arial" w:cs="Arial"/>
                <w:szCs w:val="20"/>
              </w:rPr>
            </w:pPr>
          </w:p>
        </w:tc>
        <w:tc>
          <w:tcPr>
            <w:tcW w:w="1585" w:type="dxa"/>
            <w:tcBorders>
              <w:top w:val="single" w:sz="2" w:space="0" w:color="auto"/>
            </w:tcBorders>
          </w:tcPr>
          <w:p w14:paraId="72180F84" w14:textId="77777777" w:rsidR="008E2C02" w:rsidRPr="006D4677" w:rsidRDefault="008E2C02" w:rsidP="00F15B99">
            <w:pPr>
              <w:tabs>
                <w:tab w:val="left" w:pos="7272"/>
                <w:tab w:val="decimal" w:pos="8136"/>
                <w:tab w:val="left" w:pos="8496"/>
                <w:tab w:val="decimal" w:pos="9360"/>
              </w:tabs>
              <w:spacing w:after="0"/>
              <w:ind w:right="29"/>
              <w:jc w:val="right"/>
              <w:rPr>
                <w:rFonts w:ascii="Arial" w:hAnsi="Arial" w:cs="Arial"/>
                <w:szCs w:val="20"/>
              </w:rPr>
            </w:pPr>
          </w:p>
        </w:tc>
      </w:tr>
      <w:tr w:rsidR="00AF3DD7" w:rsidRPr="006D4677" w14:paraId="352BC3B0" w14:textId="77777777" w:rsidTr="00AF3DD7">
        <w:tc>
          <w:tcPr>
            <w:tcW w:w="5760" w:type="dxa"/>
            <w:vAlign w:val="bottom"/>
          </w:tcPr>
          <w:p w14:paraId="5A327B6A" w14:textId="77777777" w:rsidR="00AF3DD7" w:rsidRPr="006D4677" w:rsidRDefault="00AF3DD7" w:rsidP="00AF3DD7">
            <w:pPr>
              <w:tabs>
                <w:tab w:val="left" w:pos="7272"/>
                <w:tab w:val="decimal" w:pos="8136"/>
                <w:tab w:val="left" w:pos="8496"/>
                <w:tab w:val="decimal" w:pos="9360"/>
              </w:tabs>
              <w:spacing w:after="0"/>
              <w:ind w:left="144"/>
              <w:rPr>
                <w:rFonts w:ascii="Arial" w:hAnsi="Arial" w:cs="Arial"/>
                <w:szCs w:val="20"/>
              </w:rPr>
            </w:pPr>
            <w:r w:rsidRPr="006D4677">
              <w:rPr>
                <w:rFonts w:ascii="Arial" w:hAnsi="Arial" w:cs="Arial"/>
                <w:szCs w:val="20"/>
              </w:rPr>
              <w:t>Interest paid</w:t>
            </w:r>
          </w:p>
        </w:tc>
        <w:tc>
          <w:tcPr>
            <w:tcW w:w="1585" w:type="dxa"/>
            <w:vAlign w:val="bottom"/>
          </w:tcPr>
          <w:p w14:paraId="5DB584BF" w14:textId="6EA6792E" w:rsidR="00AF3DD7" w:rsidRPr="00CE073D" w:rsidRDefault="000D7E8A" w:rsidP="00AF3DD7">
            <w:pPr>
              <w:tabs>
                <w:tab w:val="left" w:pos="1170"/>
                <w:tab w:val="left" w:pos="7272"/>
                <w:tab w:val="decimal" w:pos="8136"/>
                <w:tab w:val="left" w:pos="8496"/>
                <w:tab w:val="decimal" w:pos="9360"/>
              </w:tabs>
              <w:spacing w:after="0"/>
              <w:ind w:right="29"/>
              <w:jc w:val="right"/>
              <w:rPr>
                <w:rFonts w:ascii="Arial" w:hAnsi="Arial" w:cs="Arial"/>
                <w:szCs w:val="20"/>
                <w:highlight w:val="yellow"/>
              </w:rPr>
            </w:pPr>
            <w:r>
              <w:rPr>
                <w:rFonts w:ascii="Arial" w:hAnsi="Arial" w:cs="Arial"/>
                <w:szCs w:val="20"/>
              </w:rPr>
              <w:t>149,753</w:t>
            </w:r>
          </w:p>
        </w:tc>
        <w:tc>
          <w:tcPr>
            <w:tcW w:w="1585" w:type="dxa"/>
            <w:vAlign w:val="bottom"/>
          </w:tcPr>
          <w:p w14:paraId="17B27B2A" w14:textId="2FC73943" w:rsidR="00AF3DD7" w:rsidRPr="00CE073D" w:rsidRDefault="00587B35" w:rsidP="00AF3DD7">
            <w:pPr>
              <w:tabs>
                <w:tab w:val="left" w:pos="7272"/>
                <w:tab w:val="decimal" w:pos="8136"/>
                <w:tab w:val="left" w:pos="8496"/>
                <w:tab w:val="decimal" w:pos="9360"/>
              </w:tabs>
              <w:spacing w:after="0"/>
              <w:ind w:right="52"/>
              <w:jc w:val="right"/>
              <w:rPr>
                <w:rFonts w:ascii="Arial" w:hAnsi="Arial" w:cs="Arial"/>
                <w:szCs w:val="20"/>
                <w:highlight w:val="yellow"/>
              </w:rPr>
            </w:pPr>
            <w:r w:rsidRPr="00587B35">
              <w:rPr>
                <w:rFonts w:ascii="Arial" w:hAnsi="Arial" w:cs="Arial"/>
                <w:szCs w:val="20"/>
              </w:rPr>
              <w:t>180,991</w:t>
            </w:r>
          </w:p>
        </w:tc>
      </w:tr>
      <w:tr w:rsidR="00AF3DD7" w:rsidRPr="006D4677" w14:paraId="6780080A" w14:textId="77777777" w:rsidTr="00AF3DD7">
        <w:tc>
          <w:tcPr>
            <w:tcW w:w="5760" w:type="dxa"/>
            <w:vAlign w:val="bottom"/>
          </w:tcPr>
          <w:p w14:paraId="6AFF1113" w14:textId="77777777" w:rsidR="00AF3DD7" w:rsidRPr="006D4677" w:rsidRDefault="00AF3DD7" w:rsidP="00AF3DD7">
            <w:pPr>
              <w:tabs>
                <w:tab w:val="left" w:pos="7272"/>
                <w:tab w:val="decimal" w:pos="8136"/>
                <w:tab w:val="left" w:pos="8496"/>
                <w:tab w:val="decimal" w:pos="9360"/>
              </w:tabs>
              <w:spacing w:after="0"/>
              <w:ind w:left="144"/>
              <w:rPr>
                <w:rFonts w:ascii="Arial" w:hAnsi="Arial" w:cs="Arial"/>
                <w:szCs w:val="20"/>
              </w:rPr>
            </w:pPr>
            <w:r w:rsidRPr="006D4677">
              <w:rPr>
                <w:rFonts w:ascii="Arial" w:hAnsi="Arial" w:cs="Arial"/>
                <w:szCs w:val="20"/>
              </w:rPr>
              <w:t>Income tax paid</w:t>
            </w:r>
          </w:p>
        </w:tc>
        <w:tc>
          <w:tcPr>
            <w:tcW w:w="1585" w:type="dxa"/>
            <w:vAlign w:val="bottom"/>
          </w:tcPr>
          <w:p w14:paraId="563EF372" w14:textId="77777777" w:rsidR="00AF3DD7" w:rsidRPr="00444871" w:rsidRDefault="00AF3DD7" w:rsidP="00AF3DD7">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vAlign w:val="bottom"/>
          </w:tcPr>
          <w:p w14:paraId="480E4BD5" w14:textId="79C0EEA3" w:rsidR="00AF3DD7" w:rsidRPr="006D4677" w:rsidRDefault="00AF3DD7" w:rsidP="00AF3DD7">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AF3DD7" w:rsidRPr="006D4677" w14:paraId="5695303C" w14:textId="77777777" w:rsidTr="00AF3DD7">
        <w:tc>
          <w:tcPr>
            <w:tcW w:w="5760" w:type="dxa"/>
            <w:vAlign w:val="bottom"/>
          </w:tcPr>
          <w:p w14:paraId="35C1436C" w14:textId="77777777" w:rsidR="00AF3DD7" w:rsidRPr="006D4677" w:rsidRDefault="00AF3DD7" w:rsidP="00AF3DD7">
            <w:pPr>
              <w:tabs>
                <w:tab w:val="left" w:pos="7272"/>
                <w:tab w:val="decimal" w:pos="8136"/>
                <w:tab w:val="left" w:pos="8496"/>
                <w:tab w:val="decimal" w:pos="9360"/>
              </w:tabs>
              <w:spacing w:after="0"/>
              <w:rPr>
                <w:rFonts w:ascii="Arial" w:hAnsi="Arial" w:cs="Arial"/>
                <w:szCs w:val="20"/>
              </w:rPr>
            </w:pPr>
            <w:r w:rsidRPr="006D4677">
              <w:rPr>
                <w:rFonts w:ascii="Arial" w:hAnsi="Arial" w:cs="Arial"/>
                <w:szCs w:val="20"/>
              </w:rPr>
              <w:t>Non-cash investing and financing activities:</w:t>
            </w:r>
          </w:p>
        </w:tc>
        <w:tc>
          <w:tcPr>
            <w:tcW w:w="1585" w:type="dxa"/>
          </w:tcPr>
          <w:p w14:paraId="52444D44" w14:textId="77777777" w:rsidR="00AF3DD7" w:rsidRPr="00444871" w:rsidRDefault="00AF3DD7" w:rsidP="00AF3DD7">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21550B0A" w14:textId="77777777" w:rsidR="00AF3DD7" w:rsidRPr="006D4677" w:rsidRDefault="00AF3DD7" w:rsidP="00AF3DD7">
            <w:pPr>
              <w:tabs>
                <w:tab w:val="left" w:pos="7272"/>
                <w:tab w:val="decimal" w:pos="8136"/>
                <w:tab w:val="left" w:pos="8496"/>
                <w:tab w:val="decimal" w:pos="9360"/>
              </w:tabs>
              <w:spacing w:after="0"/>
              <w:ind w:right="29"/>
              <w:jc w:val="right"/>
              <w:rPr>
                <w:rFonts w:ascii="Arial" w:hAnsi="Arial" w:cs="Arial"/>
                <w:szCs w:val="20"/>
              </w:rPr>
            </w:pPr>
          </w:p>
        </w:tc>
      </w:tr>
      <w:tr w:rsidR="00EC4ECB" w:rsidRPr="00EC4ECB" w14:paraId="23167356" w14:textId="77777777" w:rsidTr="00EC4ECB">
        <w:tc>
          <w:tcPr>
            <w:tcW w:w="5760" w:type="dxa"/>
          </w:tcPr>
          <w:p w14:paraId="34685114" w14:textId="120381B8" w:rsidR="00EC4ECB" w:rsidRPr="00EC4ECB" w:rsidRDefault="00EC4ECB" w:rsidP="00EC4ECB">
            <w:pPr>
              <w:tabs>
                <w:tab w:val="left" w:pos="7272"/>
                <w:tab w:val="decimal" w:pos="8136"/>
                <w:tab w:val="left" w:pos="8496"/>
                <w:tab w:val="decimal" w:pos="9360"/>
              </w:tabs>
              <w:spacing w:after="0"/>
              <w:ind w:left="144"/>
              <w:rPr>
                <w:rFonts w:ascii="Arial" w:hAnsi="Arial" w:cs="Arial"/>
                <w:szCs w:val="20"/>
              </w:rPr>
            </w:pPr>
            <w:r>
              <w:rPr>
                <w:rFonts w:ascii="Arial" w:hAnsi="Arial" w:cs="Arial"/>
              </w:rPr>
              <w:t>Common shares</w:t>
            </w:r>
            <w:r w:rsidRPr="00EC4ECB">
              <w:rPr>
                <w:rFonts w:ascii="Arial" w:hAnsi="Arial" w:cs="Arial"/>
              </w:rPr>
              <w:t xml:space="preserve"> issued for services</w:t>
            </w:r>
          </w:p>
        </w:tc>
        <w:tc>
          <w:tcPr>
            <w:tcW w:w="1585" w:type="dxa"/>
            <w:vAlign w:val="bottom"/>
          </w:tcPr>
          <w:p w14:paraId="20FB3998" w14:textId="10690DFD"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1,884,129</w:t>
            </w:r>
          </w:p>
        </w:tc>
        <w:tc>
          <w:tcPr>
            <w:tcW w:w="1585" w:type="dxa"/>
            <w:vAlign w:val="bottom"/>
          </w:tcPr>
          <w:p w14:paraId="60DD4114" w14:textId="00FB5323" w:rsidR="00EC4ECB" w:rsidRPr="00EC4ECB" w:rsidRDefault="00D362C1"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412,997</w:t>
            </w:r>
          </w:p>
        </w:tc>
      </w:tr>
      <w:tr w:rsidR="00EC4ECB" w:rsidRPr="00EC4ECB" w14:paraId="5789AD72" w14:textId="77777777" w:rsidTr="00EC4ECB">
        <w:tc>
          <w:tcPr>
            <w:tcW w:w="5760" w:type="dxa"/>
          </w:tcPr>
          <w:p w14:paraId="3BC0A841" w14:textId="1B071A2F" w:rsidR="00EC4ECB" w:rsidRPr="00EC4ECB" w:rsidRDefault="00EC4ECB" w:rsidP="00EC4ECB">
            <w:pPr>
              <w:tabs>
                <w:tab w:val="left" w:pos="7272"/>
                <w:tab w:val="decimal" w:pos="8136"/>
                <w:tab w:val="left" w:pos="8496"/>
                <w:tab w:val="decimal" w:pos="9360"/>
              </w:tabs>
              <w:spacing w:after="0"/>
              <w:ind w:left="144"/>
              <w:rPr>
                <w:rFonts w:ascii="Arial" w:hAnsi="Arial" w:cs="Arial"/>
                <w:szCs w:val="20"/>
              </w:rPr>
            </w:pPr>
            <w:r>
              <w:rPr>
                <w:rFonts w:ascii="Arial" w:hAnsi="Arial" w:cs="Arial"/>
              </w:rPr>
              <w:t>Common shares</w:t>
            </w:r>
            <w:r w:rsidRPr="00EC4ECB">
              <w:rPr>
                <w:rFonts w:ascii="Arial" w:hAnsi="Arial" w:cs="Arial"/>
              </w:rPr>
              <w:t xml:space="preserve"> issuable for services</w:t>
            </w:r>
          </w:p>
        </w:tc>
        <w:tc>
          <w:tcPr>
            <w:tcW w:w="1585" w:type="dxa"/>
            <w:vAlign w:val="bottom"/>
          </w:tcPr>
          <w:p w14:paraId="69039842" w14:textId="23C426EF"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vAlign w:val="bottom"/>
          </w:tcPr>
          <w:p w14:paraId="49F5033A" w14:textId="1073978F" w:rsidR="00EC4ECB" w:rsidRPr="00EC4ECB" w:rsidRDefault="00EC4ECB"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25,000</w:t>
            </w:r>
          </w:p>
        </w:tc>
      </w:tr>
      <w:tr w:rsidR="00444871" w:rsidRPr="00EC4ECB" w14:paraId="6A300717" w14:textId="77777777" w:rsidTr="00562405">
        <w:tc>
          <w:tcPr>
            <w:tcW w:w="5760" w:type="dxa"/>
          </w:tcPr>
          <w:p w14:paraId="6A98C6AE" w14:textId="77777777" w:rsidR="00444871" w:rsidRDefault="00444871" w:rsidP="00562405">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settlement of accounts payable</w:t>
            </w:r>
          </w:p>
        </w:tc>
        <w:tc>
          <w:tcPr>
            <w:tcW w:w="1585" w:type="dxa"/>
            <w:vAlign w:val="bottom"/>
          </w:tcPr>
          <w:p w14:paraId="020AEE3C" w14:textId="77777777"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338,064</w:t>
            </w:r>
          </w:p>
        </w:tc>
        <w:tc>
          <w:tcPr>
            <w:tcW w:w="1585" w:type="dxa"/>
            <w:vAlign w:val="bottom"/>
          </w:tcPr>
          <w:p w14:paraId="78623249"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444871" w:rsidRPr="00EC4ECB" w14:paraId="72686BD3" w14:textId="77777777" w:rsidTr="00562405">
        <w:tc>
          <w:tcPr>
            <w:tcW w:w="5760" w:type="dxa"/>
          </w:tcPr>
          <w:p w14:paraId="3772E2AC" w14:textId="77777777" w:rsidR="00444871" w:rsidRDefault="00444871" w:rsidP="00562405">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loan origination fees</w:t>
            </w:r>
          </w:p>
        </w:tc>
        <w:tc>
          <w:tcPr>
            <w:tcW w:w="1585" w:type="dxa"/>
            <w:vAlign w:val="bottom"/>
          </w:tcPr>
          <w:p w14:paraId="4D6EBF45" w14:textId="77777777"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20,000</w:t>
            </w:r>
          </w:p>
        </w:tc>
        <w:tc>
          <w:tcPr>
            <w:tcW w:w="1585" w:type="dxa"/>
            <w:vAlign w:val="bottom"/>
          </w:tcPr>
          <w:p w14:paraId="2CAC8B4A"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444871" w:rsidRPr="00EC4ECB" w14:paraId="33C4F6E9" w14:textId="77777777" w:rsidTr="00EC4ECB">
        <w:tc>
          <w:tcPr>
            <w:tcW w:w="5760" w:type="dxa"/>
          </w:tcPr>
          <w:p w14:paraId="34EA05AB" w14:textId="3F806769" w:rsidR="00444871" w:rsidRDefault="00444871" w:rsidP="00444871">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conversion of debentures</w:t>
            </w:r>
          </w:p>
        </w:tc>
        <w:tc>
          <w:tcPr>
            <w:tcW w:w="1585" w:type="dxa"/>
            <w:vAlign w:val="bottom"/>
          </w:tcPr>
          <w:p w14:paraId="10E8463E" w14:textId="33A7398B" w:rsidR="00444871" w:rsidRPr="00444871" w:rsidRDefault="00EC1BCE"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EC1BCE">
              <w:rPr>
                <w:rFonts w:ascii="Arial" w:hAnsi="Arial" w:cs="Arial"/>
                <w:szCs w:val="20"/>
              </w:rPr>
              <w:t>261,821</w:t>
            </w:r>
          </w:p>
        </w:tc>
        <w:tc>
          <w:tcPr>
            <w:tcW w:w="1585" w:type="dxa"/>
            <w:vAlign w:val="bottom"/>
          </w:tcPr>
          <w:p w14:paraId="39DB7930" w14:textId="5444AF6E" w:rsidR="00444871" w:rsidRDefault="00444871" w:rsidP="00EC4ECB">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EC4ECB" w:rsidRPr="00EC4ECB" w14:paraId="32D07717" w14:textId="77777777" w:rsidTr="00EC4ECB">
        <w:tc>
          <w:tcPr>
            <w:tcW w:w="5760" w:type="dxa"/>
          </w:tcPr>
          <w:p w14:paraId="2F536044" w14:textId="518E1908" w:rsidR="00EC4ECB" w:rsidRPr="00EC4ECB" w:rsidRDefault="00EC4ECB" w:rsidP="004A2908">
            <w:pPr>
              <w:tabs>
                <w:tab w:val="left" w:pos="7272"/>
                <w:tab w:val="decimal" w:pos="8136"/>
                <w:tab w:val="left" w:pos="8496"/>
                <w:tab w:val="decimal" w:pos="9360"/>
              </w:tabs>
              <w:spacing w:after="0"/>
              <w:ind w:left="144"/>
              <w:rPr>
                <w:rFonts w:ascii="Arial" w:hAnsi="Arial" w:cs="Arial"/>
                <w:szCs w:val="20"/>
              </w:rPr>
            </w:pPr>
            <w:r>
              <w:rPr>
                <w:rFonts w:ascii="Arial" w:hAnsi="Arial" w:cs="Arial"/>
              </w:rPr>
              <w:t>Common shares</w:t>
            </w:r>
            <w:r w:rsidR="004A2908">
              <w:rPr>
                <w:rFonts w:ascii="Arial" w:hAnsi="Arial" w:cs="Arial"/>
              </w:rPr>
              <w:t xml:space="preserve"> issued for intangible assets </w:t>
            </w:r>
          </w:p>
        </w:tc>
        <w:tc>
          <w:tcPr>
            <w:tcW w:w="1585" w:type="dxa"/>
            <w:vAlign w:val="bottom"/>
          </w:tcPr>
          <w:p w14:paraId="2CA0E91F" w14:textId="4198F298"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vAlign w:val="bottom"/>
          </w:tcPr>
          <w:p w14:paraId="341C0AA0" w14:textId="1150B84E" w:rsidR="00EC4ECB" w:rsidRPr="00EC4ECB" w:rsidRDefault="00D214C7"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7,480,000</w:t>
            </w:r>
          </w:p>
        </w:tc>
      </w:tr>
      <w:tr w:rsidR="00444871" w:rsidRPr="00EC4ECB" w14:paraId="62C3680E" w14:textId="77777777" w:rsidTr="00562405">
        <w:tc>
          <w:tcPr>
            <w:tcW w:w="5760" w:type="dxa"/>
          </w:tcPr>
          <w:p w14:paraId="7CE26324" w14:textId="404C94C0" w:rsidR="00444871" w:rsidRDefault="00444871" w:rsidP="00444871">
            <w:pPr>
              <w:tabs>
                <w:tab w:val="left" w:pos="7272"/>
                <w:tab w:val="decimal" w:pos="8136"/>
                <w:tab w:val="left" w:pos="8496"/>
                <w:tab w:val="decimal" w:pos="9360"/>
              </w:tabs>
              <w:spacing w:after="0"/>
              <w:ind w:left="144"/>
              <w:rPr>
                <w:rFonts w:ascii="Arial" w:hAnsi="Arial" w:cs="Arial"/>
              </w:rPr>
            </w:pPr>
            <w:r>
              <w:rPr>
                <w:rFonts w:ascii="Arial" w:hAnsi="Arial" w:cs="Arial"/>
              </w:rPr>
              <w:t>Common shares issued for finder’s fees</w:t>
            </w:r>
          </w:p>
        </w:tc>
        <w:tc>
          <w:tcPr>
            <w:tcW w:w="1585" w:type="dxa"/>
            <w:vAlign w:val="bottom"/>
          </w:tcPr>
          <w:p w14:paraId="140245BB" w14:textId="75F219FB" w:rsidR="00444871" w:rsidRPr="00444871" w:rsidRDefault="00444871" w:rsidP="00562405">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127,000</w:t>
            </w:r>
          </w:p>
        </w:tc>
        <w:tc>
          <w:tcPr>
            <w:tcW w:w="1585" w:type="dxa"/>
            <w:vAlign w:val="bottom"/>
          </w:tcPr>
          <w:p w14:paraId="3639CEE8" w14:textId="77777777" w:rsidR="00444871" w:rsidRDefault="00444871" w:rsidP="00562405">
            <w:pPr>
              <w:tabs>
                <w:tab w:val="left" w:pos="7272"/>
                <w:tab w:val="decimal" w:pos="8136"/>
                <w:tab w:val="left" w:pos="8496"/>
                <w:tab w:val="decimal" w:pos="9360"/>
              </w:tabs>
              <w:spacing w:after="0"/>
              <w:ind w:right="52"/>
              <w:jc w:val="right"/>
              <w:rPr>
                <w:rFonts w:ascii="Arial" w:hAnsi="Arial" w:cs="Arial"/>
                <w:szCs w:val="20"/>
              </w:rPr>
            </w:pPr>
            <w:r w:rsidRPr="006D4677">
              <w:rPr>
                <w:rFonts w:ascii="Arial" w:hAnsi="Arial" w:cs="Arial"/>
                <w:szCs w:val="20"/>
              </w:rPr>
              <w:t>–</w:t>
            </w:r>
          </w:p>
        </w:tc>
      </w:tr>
      <w:tr w:rsidR="00EC4ECB" w:rsidRPr="00EC4ECB" w14:paraId="2ED89E32" w14:textId="77777777" w:rsidTr="00D214C7">
        <w:tc>
          <w:tcPr>
            <w:tcW w:w="5760" w:type="dxa"/>
          </w:tcPr>
          <w:p w14:paraId="3A52CDB1" w14:textId="25C4457D" w:rsidR="00EC4ECB" w:rsidRPr="00EC4ECB" w:rsidRDefault="00EC4ECB" w:rsidP="004A2908">
            <w:pPr>
              <w:tabs>
                <w:tab w:val="left" w:pos="7272"/>
                <w:tab w:val="decimal" w:pos="8136"/>
                <w:tab w:val="left" w:pos="8496"/>
                <w:tab w:val="decimal" w:pos="9360"/>
              </w:tabs>
              <w:spacing w:after="0"/>
              <w:ind w:left="144"/>
              <w:rPr>
                <w:rFonts w:ascii="Arial" w:hAnsi="Arial" w:cs="Arial"/>
                <w:szCs w:val="20"/>
              </w:rPr>
            </w:pPr>
            <w:r w:rsidRPr="00EC4ECB">
              <w:rPr>
                <w:rFonts w:ascii="Arial" w:hAnsi="Arial" w:cs="Arial"/>
              </w:rPr>
              <w:t xml:space="preserve">Warrants </w:t>
            </w:r>
            <w:r w:rsidR="00D214C7">
              <w:rPr>
                <w:rFonts w:ascii="Arial" w:hAnsi="Arial" w:cs="Arial"/>
              </w:rPr>
              <w:t>issued</w:t>
            </w:r>
            <w:r w:rsidR="004A2908">
              <w:rPr>
                <w:rFonts w:ascii="Arial" w:hAnsi="Arial" w:cs="Arial"/>
              </w:rPr>
              <w:t xml:space="preserve"> for finder’s fee</w:t>
            </w:r>
          </w:p>
        </w:tc>
        <w:tc>
          <w:tcPr>
            <w:tcW w:w="1585" w:type="dxa"/>
            <w:vAlign w:val="bottom"/>
          </w:tcPr>
          <w:p w14:paraId="15A9C8A9" w14:textId="63DBAE7D" w:rsidR="00EC4ECB"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19,804</w:t>
            </w:r>
          </w:p>
        </w:tc>
        <w:tc>
          <w:tcPr>
            <w:tcW w:w="1585" w:type="dxa"/>
            <w:vAlign w:val="bottom"/>
          </w:tcPr>
          <w:p w14:paraId="2D83A834" w14:textId="43882D22" w:rsidR="00EC4ECB" w:rsidRPr="00EC4ECB" w:rsidRDefault="00CE073D"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174,813</w:t>
            </w:r>
          </w:p>
        </w:tc>
      </w:tr>
      <w:tr w:rsidR="00D214C7" w:rsidRPr="00EC4ECB" w14:paraId="44885030" w14:textId="77777777" w:rsidTr="00EC4ECB">
        <w:tc>
          <w:tcPr>
            <w:tcW w:w="5760" w:type="dxa"/>
            <w:tcBorders>
              <w:bottom w:val="single" w:sz="2" w:space="0" w:color="auto"/>
            </w:tcBorders>
          </w:tcPr>
          <w:p w14:paraId="0C500BB6" w14:textId="6F20E817" w:rsidR="00D214C7" w:rsidRPr="00EC4ECB" w:rsidRDefault="00D214C7" w:rsidP="00D214C7">
            <w:pPr>
              <w:tabs>
                <w:tab w:val="left" w:pos="7272"/>
                <w:tab w:val="decimal" w:pos="8136"/>
                <w:tab w:val="left" w:pos="8496"/>
                <w:tab w:val="decimal" w:pos="9360"/>
              </w:tabs>
              <w:spacing w:after="0"/>
              <w:ind w:left="144"/>
              <w:rPr>
                <w:rFonts w:ascii="Arial" w:hAnsi="Arial" w:cs="Arial"/>
              </w:rPr>
            </w:pPr>
            <w:r>
              <w:rPr>
                <w:rFonts w:ascii="Arial" w:hAnsi="Arial" w:cs="Arial"/>
              </w:rPr>
              <w:t>Beneficial conversion feature related to convertible debentures</w:t>
            </w:r>
          </w:p>
        </w:tc>
        <w:tc>
          <w:tcPr>
            <w:tcW w:w="1585" w:type="dxa"/>
            <w:tcBorders>
              <w:bottom w:val="single" w:sz="2" w:space="0" w:color="auto"/>
            </w:tcBorders>
            <w:vAlign w:val="bottom"/>
          </w:tcPr>
          <w:p w14:paraId="75DE0241" w14:textId="239F8B22" w:rsidR="00D214C7" w:rsidRPr="00444871" w:rsidRDefault="00444871" w:rsidP="00EC4ECB">
            <w:pPr>
              <w:tabs>
                <w:tab w:val="left" w:pos="1170"/>
                <w:tab w:val="left" w:pos="7272"/>
                <w:tab w:val="decimal" w:pos="8136"/>
                <w:tab w:val="left" w:pos="8496"/>
                <w:tab w:val="decimal" w:pos="9360"/>
              </w:tabs>
              <w:spacing w:after="0"/>
              <w:ind w:right="29"/>
              <w:jc w:val="right"/>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61098035" w14:textId="349AE291" w:rsidR="00D214C7" w:rsidRPr="00EC4ECB" w:rsidRDefault="00CE073D" w:rsidP="00EC4ECB">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185,753</w:t>
            </w:r>
          </w:p>
        </w:tc>
      </w:tr>
    </w:tbl>
    <w:p w14:paraId="6855D3B0" w14:textId="77777777" w:rsidR="00AF3DD7"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5E44854D" w14:textId="39D37F47" w:rsidR="00790828" w:rsidRPr="00F60034" w:rsidRDefault="00AF3DD7" w:rsidP="00F15B99">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r w:rsidRPr="000B70C3">
        <w:rPr>
          <w:rFonts w:ascii="Arial" w:hAnsi="Arial" w:cs="Arial"/>
          <w:b/>
          <w:bCs/>
          <w:szCs w:val="20"/>
        </w:rPr>
        <w:t>15</w:t>
      </w:r>
      <w:r w:rsidR="00790828" w:rsidRPr="000B70C3">
        <w:rPr>
          <w:rFonts w:ascii="Arial" w:hAnsi="Arial" w:cs="Arial"/>
          <w:b/>
          <w:bCs/>
          <w:szCs w:val="20"/>
        </w:rPr>
        <w:t>.</w:t>
      </w:r>
      <w:r w:rsidR="00790828" w:rsidRPr="000B70C3">
        <w:rPr>
          <w:rFonts w:ascii="Arial" w:hAnsi="Arial" w:cs="Arial"/>
          <w:b/>
          <w:bCs/>
          <w:szCs w:val="20"/>
        </w:rPr>
        <w:tab/>
        <w:t>Related Party Transactions</w:t>
      </w:r>
    </w:p>
    <w:p w14:paraId="7446C6DC" w14:textId="77777777" w:rsidR="00AF3DD7" w:rsidRDefault="00AF3DD7" w:rsidP="00AF3DD7">
      <w:pPr>
        <w:tabs>
          <w:tab w:val="left" w:pos="432"/>
          <w:tab w:val="left" w:pos="792"/>
        </w:tabs>
        <w:autoSpaceDE w:val="0"/>
        <w:autoSpaceDN w:val="0"/>
        <w:adjustRightInd w:val="0"/>
        <w:spacing w:after="0" w:line="240" w:lineRule="auto"/>
        <w:ind w:left="788"/>
        <w:jc w:val="both"/>
        <w:rPr>
          <w:rFonts w:ascii="Arial" w:hAnsi="Arial" w:cs="Arial"/>
          <w:szCs w:val="20"/>
        </w:rPr>
      </w:pPr>
    </w:p>
    <w:p w14:paraId="1C93CF56" w14:textId="7F8A42F8" w:rsidR="002943F8" w:rsidRDefault="002943F8" w:rsidP="002943F8">
      <w:pPr>
        <w:pStyle w:val="ListParagraph"/>
        <w:numPr>
          <w:ilvl w:val="0"/>
          <w:numId w:val="9"/>
        </w:numPr>
        <w:tabs>
          <w:tab w:val="left" w:pos="432"/>
          <w:tab w:val="left" w:pos="810"/>
        </w:tabs>
        <w:autoSpaceDE w:val="0"/>
        <w:autoSpaceDN w:val="0"/>
        <w:adjustRightInd w:val="0"/>
        <w:spacing w:after="0" w:line="240" w:lineRule="auto"/>
        <w:ind w:left="810"/>
        <w:jc w:val="both"/>
        <w:rPr>
          <w:rFonts w:ascii="Arial" w:hAnsi="Arial" w:cs="Arial"/>
          <w:szCs w:val="20"/>
        </w:rPr>
      </w:pPr>
      <w:r>
        <w:rPr>
          <w:rFonts w:ascii="Arial" w:hAnsi="Arial" w:cs="Arial"/>
          <w:szCs w:val="20"/>
        </w:rPr>
        <w:t>Key Management and Director Compensation</w:t>
      </w:r>
    </w:p>
    <w:p w14:paraId="638850A2" w14:textId="77777777" w:rsidR="002943F8" w:rsidRDefault="002943F8" w:rsidP="002943F8">
      <w:pPr>
        <w:pStyle w:val="ListParagraph"/>
        <w:tabs>
          <w:tab w:val="left" w:pos="432"/>
        </w:tabs>
        <w:autoSpaceDE w:val="0"/>
        <w:autoSpaceDN w:val="0"/>
        <w:adjustRightInd w:val="0"/>
        <w:spacing w:after="0" w:line="240" w:lineRule="auto"/>
        <w:ind w:left="1080"/>
        <w:jc w:val="both"/>
        <w:rPr>
          <w:rFonts w:ascii="Arial" w:hAnsi="Arial" w:cs="Arial"/>
          <w:szCs w:val="20"/>
        </w:rPr>
      </w:pPr>
    </w:p>
    <w:p w14:paraId="7638286A" w14:textId="76EC6A61" w:rsidR="002943F8" w:rsidRPr="002943F8" w:rsidRDefault="002943F8" w:rsidP="00491BB3">
      <w:pPr>
        <w:pStyle w:val="ListParagraph"/>
        <w:tabs>
          <w:tab w:val="left" w:pos="432"/>
        </w:tabs>
        <w:autoSpaceDE w:val="0"/>
        <w:autoSpaceDN w:val="0"/>
        <w:adjustRightInd w:val="0"/>
        <w:spacing w:after="0" w:line="240" w:lineRule="auto"/>
        <w:ind w:left="810"/>
        <w:jc w:val="both"/>
        <w:rPr>
          <w:rFonts w:ascii="Arial" w:hAnsi="Arial" w:cs="Arial"/>
          <w:szCs w:val="20"/>
        </w:rPr>
      </w:pPr>
      <w:r>
        <w:rPr>
          <w:rFonts w:ascii="Arial" w:hAnsi="Arial" w:cs="Arial"/>
          <w:szCs w:val="20"/>
        </w:rPr>
        <w:t>During the three and six months ended July 31, 2019, compensation of key management and directors</w:t>
      </w:r>
      <w:r w:rsidR="00482EFC">
        <w:rPr>
          <w:rFonts w:ascii="Arial" w:hAnsi="Arial" w:cs="Arial"/>
          <w:szCs w:val="20"/>
        </w:rPr>
        <w:t>, including former key management and directors,</w:t>
      </w:r>
      <w:r>
        <w:rPr>
          <w:rFonts w:ascii="Arial" w:hAnsi="Arial" w:cs="Arial"/>
          <w:szCs w:val="20"/>
        </w:rPr>
        <w:t xml:space="preserve"> of the Company totaled $</w:t>
      </w:r>
      <w:r w:rsidR="00482EFC">
        <w:rPr>
          <w:rFonts w:ascii="Arial" w:hAnsi="Arial" w:cs="Arial"/>
          <w:szCs w:val="20"/>
        </w:rPr>
        <w:t>345,518 and $711,986, respectively</w:t>
      </w:r>
      <w:r>
        <w:rPr>
          <w:rFonts w:ascii="Arial" w:hAnsi="Arial" w:cs="Arial"/>
          <w:szCs w:val="20"/>
        </w:rPr>
        <w:t xml:space="preserve"> (three and six months ended July 31, 2018 - $</w:t>
      </w:r>
      <w:r w:rsidR="000B70C3">
        <w:rPr>
          <w:rFonts w:ascii="Arial" w:hAnsi="Arial" w:cs="Arial"/>
          <w:szCs w:val="20"/>
        </w:rPr>
        <w:t>267,288 and $533,678, respectively</w:t>
      </w:r>
      <w:r>
        <w:rPr>
          <w:rFonts w:ascii="Arial" w:hAnsi="Arial" w:cs="Arial"/>
          <w:szCs w:val="20"/>
        </w:rPr>
        <w:t xml:space="preserve">), and consisted of salaries and consulting fees </w:t>
      </w:r>
      <w:r w:rsidR="00482EFC">
        <w:rPr>
          <w:rFonts w:ascii="Arial" w:hAnsi="Arial" w:cs="Arial"/>
          <w:szCs w:val="20"/>
        </w:rPr>
        <w:t>paid in cash and</w:t>
      </w:r>
      <w:r>
        <w:rPr>
          <w:rFonts w:ascii="Arial" w:hAnsi="Arial" w:cs="Arial"/>
          <w:szCs w:val="20"/>
        </w:rPr>
        <w:t xml:space="preserve"> common shares issued or to be approved by the Board of Directors for issuance.</w:t>
      </w:r>
      <w:r w:rsidR="00482EFC">
        <w:rPr>
          <w:rFonts w:ascii="Arial" w:hAnsi="Arial" w:cs="Arial"/>
          <w:szCs w:val="20"/>
        </w:rPr>
        <w:t xml:space="preserve">  </w:t>
      </w:r>
      <w:r>
        <w:rPr>
          <w:rFonts w:ascii="Arial" w:hAnsi="Arial" w:cs="Arial"/>
          <w:szCs w:val="20"/>
        </w:rPr>
        <w:t xml:space="preserve">The Company granted 3,350,000 share purchase options during the three and six months ended July 31, 2019 (three and six months ended </w:t>
      </w:r>
      <w:r w:rsidR="00482EFC">
        <w:rPr>
          <w:rFonts w:ascii="Arial" w:hAnsi="Arial" w:cs="Arial"/>
          <w:szCs w:val="20"/>
        </w:rPr>
        <w:t>July 31, 2018 – nil and nil, respectively) valued at $530,367 to key management and directors.</w:t>
      </w:r>
      <w:r w:rsidR="00491BB3">
        <w:rPr>
          <w:rFonts w:ascii="Arial" w:hAnsi="Arial" w:cs="Arial"/>
          <w:szCs w:val="20"/>
        </w:rPr>
        <w:t xml:space="preserve">  </w:t>
      </w:r>
      <w:r w:rsidR="00491BB3" w:rsidRPr="00491BB3">
        <w:rPr>
          <w:rFonts w:ascii="Arial" w:hAnsi="Arial" w:cs="Arial"/>
          <w:szCs w:val="20"/>
        </w:rPr>
        <w:t>Key management includes those persons having authority</w:t>
      </w:r>
      <w:r w:rsidR="00491BB3">
        <w:rPr>
          <w:rFonts w:ascii="Arial" w:hAnsi="Arial" w:cs="Arial"/>
          <w:szCs w:val="20"/>
        </w:rPr>
        <w:t xml:space="preserve"> </w:t>
      </w:r>
      <w:r w:rsidR="00491BB3" w:rsidRPr="00491BB3">
        <w:rPr>
          <w:rFonts w:ascii="Arial" w:hAnsi="Arial" w:cs="Arial"/>
          <w:szCs w:val="20"/>
        </w:rPr>
        <w:t>and responsibility for planning, directing and controlling the activities, directly or indirectly, of the</w:t>
      </w:r>
      <w:r w:rsidR="00491BB3">
        <w:rPr>
          <w:rFonts w:ascii="Arial" w:hAnsi="Arial" w:cs="Arial"/>
          <w:szCs w:val="20"/>
        </w:rPr>
        <w:t xml:space="preserve"> </w:t>
      </w:r>
      <w:r w:rsidR="00491BB3" w:rsidRPr="00491BB3">
        <w:rPr>
          <w:rFonts w:ascii="Arial" w:hAnsi="Arial" w:cs="Arial"/>
          <w:szCs w:val="20"/>
        </w:rPr>
        <w:t>Company.</w:t>
      </w:r>
    </w:p>
    <w:p w14:paraId="0654AF4E" w14:textId="77777777" w:rsidR="00AF3DD7" w:rsidRDefault="00AF3DD7" w:rsidP="00402C76">
      <w:pPr>
        <w:tabs>
          <w:tab w:val="left" w:pos="432"/>
          <w:tab w:val="left" w:pos="792"/>
        </w:tabs>
        <w:autoSpaceDE w:val="0"/>
        <w:autoSpaceDN w:val="0"/>
        <w:adjustRightInd w:val="0"/>
        <w:spacing w:after="0" w:line="240" w:lineRule="auto"/>
        <w:ind w:left="810"/>
        <w:jc w:val="both"/>
        <w:rPr>
          <w:rFonts w:ascii="Arial" w:hAnsi="Arial" w:cs="Arial"/>
          <w:szCs w:val="20"/>
        </w:rPr>
      </w:pPr>
    </w:p>
    <w:p w14:paraId="31696719" w14:textId="40BF6BC7" w:rsidR="00420D51" w:rsidRPr="000B70C3" w:rsidRDefault="000B70C3" w:rsidP="00402C76">
      <w:pPr>
        <w:tabs>
          <w:tab w:val="left" w:pos="432"/>
          <w:tab w:val="left" w:pos="792"/>
        </w:tabs>
        <w:autoSpaceDE w:val="0"/>
        <w:autoSpaceDN w:val="0"/>
        <w:adjustRightInd w:val="0"/>
        <w:spacing w:after="0" w:line="240" w:lineRule="auto"/>
        <w:ind w:left="810"/>
        <w:jc w:val="both"/>
        <w:rPr>
          <w:rFonts w:ascii="Arial" w:hAnsi="Arial" w:cs="Arial"/>
          <w:szCs w:val="20"/>
        </w:rPr>
      </w:pPr>
      <w:r w:rsidRPr="000B70C3">
        <w:rPr>
          <w:rFonts w:ascii="Arial" w:hAnsi="Arial" w:cs="Arial"/>
          <w:bCs/>
          <w:szCs w:val="20"/>
        </w:rPr>
        <w:t xml:space="preserve">As at </w:t>
      </w:r>
      <w:r>
        <w:rPr>
          <w:rFonts w:ascii="Arial" w:hAnsi="Arial" w:cs="Arial"/>
          <w:bCs/>
          <w:szCs w:val="20"/>
        </w:rPr>
        <w:t>July 31, 2019, the Company owed $57,788 to key management and directors (January 31, 2019 - $</w:t>
      </w:r>
      <w:r>
        <w:rPr>
          <w:rFonts w:ascii="Arial" w:hAnsi="Arial" w:cs="Arial"/>
          <w:lang w:val="fr-FR"/>
        </w:rPr>
        <w:t>330,483; February 1, 2018 - $12,421).</w:t>
      </w:r>
    </w:p>
    <w:p w14:paraId="02CAC441" w14:textId="77777777" w:rsidR="000714B2" w:rsidRPr="002A5577" w:rsidRDefault="000714B2" w:rsidP="00402C76">
      <w:pPr>
        <w:pStyle w:val="ListParagraph"/>
        <w:ind w:left="810"/>
        <w:rPr>
          <w:rFonts w:ascii="Arial" w:hAnsi="Arial" w:cs="Arial"/>
          <w:szCs w:val="20"/>
        </w:rPr>
      </w:pPr>
    </w:p>
    <w:p w14:paraId="16AB148B" w14:textId="497B6F10" w:rsidR="000B70C3" w:rsidRDefault="000B70C3" w:rsidP="00056C41">
      <w:pPr>
        <w:pStyle w:val="ListParagraph"/>
        <w:numPr>
          <w:ilvl w:val="0"/>
          <w:numId w:val="9"/>
        </w:numPr>
        <w:tabs>
          <w:tab w:val="left" w:pos="432"/>
          <w:tab w:val="left" w:pos="792"/>
        </w:tabs>
        <w:autoSpaceDE w:val="0"/>
        <w:autoSpaceDN w:val="0"/>
        <w:adjustRightInd w:val="0"/>
        <w:spacing w:after="0" w:line="240" w:lineRule="auto"/>
        <w:ind w:left="810"/>
        <w:jc w:val="both"/>
        <w:rPr>
          <w:rFonts w:ascii="Arial" w:hAnsi="Arial" w:cs="Arial"/>
          <w:szCs w:val="20"/>
        </w:rPr>
      </w:pPr>
      <w:r>
        <w:rPr>
          <w:rFonts w:ascii="Arial" w:hAnsi="Arial" w:cs="Arial"/>
          <w:szCs w:val="20"/>
        </w:rPr>
        <w:t>Other Related Party Transactions</w:t>
      </w:r>
    </w:p>
    <w:p w14:paraId="3C3FD590" w14:textId="77777777" w:rsidR="000B70C3" w:rsidRDefault="000B70C3" w:rsidP="000B70C3">
      <w:pPr>
        <w:pStyle w:val="ListParagraph"/>
        <w:tabs>
          <w:tab w:val="left" w:pos="432"/>
          <w:tab w:val="left" w:pos="792"/>
        </w:tabs>
        <w:autoSpaceDE w:val="0"/>
        <w:autoSpaceDN w:val="0"/>
        <w:adjustRightInd w:val="0"/>
        <w:spacing w:after="0" w:line="240" w:lineRule="auto"/>
        <w:ind w:left="810"/>
        <w:jc w:val="both"/>
        <w:rPr>
          <w:rFonts w:ascii="Arial" w:hAnsi="Arial" w:cs="Arial"/>
          <w:szCs w:val="20"/>
        </w:rPr>
      </w:pPr>
    </w:p>
    <w:p w14:paraId="23611BB8" w14:textId="6073404D" w:rsidR="00AF3DD7" w:rsidRPr="00BF7373" w:rsidRDefault="00402C76" w:rsidP="000B70C3">
      <w:pPr>
        <w:pStyle w:val="ListParagraph"/>
        <w:tabs>
          <w:tab w:val="left" w:pos="432"/>
          <w:tab w:val="left" w:pos="792"/>
        </w:tabs>
        <w:autoSpaceDE w:val="0"/>
        <w:autoSpaceDN w:val="0"/>
        <w:adjustRightInd w:val="0"/>
        <w:spacing w:after="0" w:line="240" w:lineRule="auto"/>
        <w:ind w:left="810"/>
        <w:jc w:val="both"/>
        <w:rPr>
          <w:rFonts w:ascii="Arial" w:hAnsi="Arial" w:cs="Arial"/>
          <w:szCs w:val="20"/>
        </w:rPr>
      </w:pPr>
      <w:r w:rsidRPr="00402C76">
        <w:rPr>
          <w:rFonts w:ascii="Arial" w:hAnsi="Arial" w:cs="Arial"/>
          <w:szCs w:val="20"/>
        </w:rPr>
        <w:t>On September 12, 2017, the Company entered into a licensing agreement with Altum, a party related by way of common officer, whereby the Company acquired worldwide rights to the BiPhasix™ transdermal drug delivery technology for the development and commercialization of Cannabinoids, Cannabidiol and Tetra</w:t>
      </w:r>
      <w:r w:rsidR="00056C41">
        <w:rPr>
          <w:rFonts w:ascii="Arial" w:hAnsi="Arial" w:cs="Arial"/>
          <w:szCs w:val="20"/>
        </w:rPr>
        <w:t>hydrocannabinol products (Note 7</w:t>
      </w:r>
      <w:r w:rsidRPr="00402C76">
        <w:rPr>
          <w:rFonts w:ascii="Arial" w:hAnsi="Arial" w:cs="Arial"/>
          <w:szCs w:val="20"/>
        </w:rPr>
        <w:t xml:space="preserve">(a)).  As at </w:t>
      </w:r>
      <w:r w:rsidR="00056C41">
        <w:rPr>
          <w:rFonts w:ascii="Arial" w:hAnsi="Arial" w:cs="Arial"/>
          <w:szCs w:val="20"/>
        </w:rPr>
        <w:t>July</w:t>
      </w:r>
      <w:r w:rsidRPr="00402C76">
        <w:rPr>
          <w:rFonts w:ascii="Arial" w:hAnsi="Arial" w:cs="Arial"/>
          <w:szCs w:val="20"/>
        </w:rPr>
        <w:t xml:space="preserve"> 31, 2019, th</w:t>
      </w:r>
      <w:r w:rsidRPr="00BF7373">
        <w:rPr>
          <w:rFonts w:ascii="Arial" w:hAnsi="Arial" w:cs="Arial"/>
          <w:szCs w:val="20"/>
        </w:rPr>
        <w:t>e Company owed Altum $</w:t>
      </w:r>
      <w:r w:rsidR="00056C41" w:rsidRPr="00BF7373">
        <w:rPr>
          <w:rFonts w:ascii="Arial" w:hAnsi="Arial" w:cs="Arial"/>
          <w:szCs w:val="20"/>
        </w:rPr>
        <w:t>nil</w:t>
      </w:r>
      <w:r w:rsidRPr="00BF7373">
        <w:rPr>
          <w:rFonts w:ascii="Arial" w:hAnsi="Arial" w:cs="Arial"/>
          <w:szCs w:val="20"/>
        </w:rPr>
        <w:t xml:space="preserve"> (January 31, 2019 - $48,896</w:t>
      </w:r>
      <w:r w:rsidR="00752543">
        <w:rPr>
          <w:rFonts w:ascii="Arial" w:hAnsi="Arial" w:cs="Arial"/>
          <w:szCs w:val="20"/>
        </w:rPr>
        <w:t>; February 1, 2018 - $nil</w:t>
      </w:r>
      <w:r w:rsidRPr="00BF7373">
        <w:rPr>
          <w:rFonts w:ascii="Arial" w:hAnsi="Arial" w:cs="Arial"/>
          <w:szCs w:val="20"/>
        </w:rPr>
        <w:t xml:space="preserve">) for expenses paid on behalf of the Company.     </w:t>
      </w:r>
    </w:p>
    <w:p w14:paraId="1480B8AC" w14:textId="77777777" w:rsidR="00402C76" w:rsidRPr="00BF7373" w:rsidRDefault="00402C76" w:rsidP="00402C76">
      <w:pPr>
        <w:tabs>
          <w:tab w:val="left" w:pos="432"/>
          <w:tab w:val="left" w:pos="792"/>
        </w:tabs>
        <w:autoSpaceDE w:val="0"/>
        <w:autoSpaceDN w:val="0"/>
        <w:adjustRightInd w:val="0"/>
        <w:spacing w:after="0" w:line="240" w:lineRule="auto"/>
        <w:ind w:left="810"/>
        <w:jc w:val="both"/>
        <w:rPr>
          <w:rFonts w:ascii="Arial" w:hAnsi="Arial" w:cs="Arial"/>
          <w:szCs w:val="20"/>
        </w:rPr>
      </w:pPr>
    </w:p>
    <w:p w14:paraId="1E5950D3" w14:textId="75F201E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2C07FA">
        <w:rPr>
          <w:rFonts w:ascii="Arial" w:hAnsi="Arial" w:cs="Arial"/>
          <w:b/>
          <w:szCs w:val="20"/>
        </w:rPr>
        <w:lastRenderedPageBreak/>
        <w:t>1</w:t>
      </w:r>
      <w:r>
        <w:rPr>
          <w:rFonts w:ascii="Arial" w:hAnsi="Arial" w:cs="Arial"/>
          <w:b/>
          <w:szCs w:val="20"/>
        </w:rPr>
        <w:t>6</w:t>
      </w:r>
      <w:r w:rsidRPr="002C07FA">
        <w:rPr>
          <w:rFonts w:ascii="Arial" w:hAnsi="Arial" w:cs="Arial"/>
          <w:b/>
          <w:szCs w:val="20"/>
        </w:rPr>
        <w:t>.</w:t>
      </w:r>
      <w:r w:rsidRPr="002C07FA">
        <w:rPr>
          <w:rFonts w:ascii="Arial" w:hAnsi="Arial" w:cs="Arial"/>
          <w:b/>
          <w:szCs w:val="20"/>
        </w:rPr>
        <w:tab/>
      </w:r>
      <w:r>
        <w:rPr>
          <w:rFonts w:ascii="Arial" w:hAnsi="Arial" w:cs="Arial"/>
          <w:b/>
          <w:szCs w:val="20"/>
        </w:rPr>
        <w:t>Joint Venture</w:t>
      </w:r>
    </w:p>
    <w:p w14:paraId="637E663F"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C49ACF8" w14:textId="77777777" w:rsidR="00AC7C3C"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On December 17, 2018, the Company entered into a joint venture arrangement whereby the Company holds 50% of the issued and outstanding shares of Pivot-Cartagena JV.  Pivot-Cartagena JV will develop and commercialize cannabis-infused non-alcoholic beverages using the industry expertise of its joint venture partner wi</w:t>
      </w:r>
      <w:r w:rsidR="006E41F5">
        <w:rPr>
          <w:rFonts w:ascii="Arial" w:hAnsi="Arial" w:cs="Arial"/>
          <w:szCs w:val="20"/>
        </w:rPr>
        <w:t>th the Company’s Solumer (Note 7</w:t>
      </w:r>
      <w:r w:rsidRPr="00FF5082">
        <w:rPr>
          <w:rFonts w:ascii="Arial" w:hAnsi="Arial" w:cs="Arial"/>
          <w:szCs w:val="20"/>
        </w:rPr>
        <w:t xml:space="preserve">(b)) and RTIC (Note 4(b)) powderization technologies.  The Company and its joint venture partner each have 50% to the net assets and net income or loss of Pivot-Cartagena JV.  </w:t>
      </w:r>
    </w:p>
    <w:p w14:paraId="572435B3" w14:textId="77777777" w:rsidR="00AC7C3C" w:rsidRDefault="00AC7C3C"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0325768D" w14:textId="217D80D6"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FF5082">
        <w:rPr>
          <w:rFonts w:ascii="Arial" w:hAnsi="Arial" w:cs="Arial"/>
          <w:szCs w:val="20"/>
        </w:rPr>
        <w:t xml:space="preserve">As of </w:t>
      </w:r>
      <w:r w:rsidR="006E41F5">
        <w:rPr>
          <w:rFonts w:ascii="Arial" w:hAnsi="Arial" w:cs="Arial"/>
          <w:szCs w:val="20"/>
        </w:rPr>
        <w:t>July 31</w:t>
      </w:r>
      <w:r w:rsidRPr="00FF5082">
        <w:rPr>
          <w:rFonts w:ascii="Arial" w:hAnsi="Arial" w:cs="Arial"/>
          <w:szCs w:val="20"/>
        </w:rPr>
        <w:t xml:space="preserve">, 2019, the Company has not made any investment related to Pivot-Cartagena JV. During the </w:t>
      </w:r>
      <w:r w:rsidR="00B83303">
        <w:rPr>
          <w:rFonts w:ascii="Arial" w:hAnsi="Arial" w:cs="Arial"/>
          <w:szCs w:val="20"/>
        </w:rPr>
        <w:t xml:space="preserve">three and </w:t>
      </w:r>
      <w:r>
        <w:rPr>
          <w:rFonts w:ascii="Arial" w:hAnsi="Arial" w:cs="Arial"/>
          <w:szCs w:val="20"/>
        </w:rPr>
        <w:t>six</w:t>
      </w:r>
      <w:r w:rsidRPr="00FF5082">
        <w:rPr>
          <w:rFonts w:ascii="Arial" w:hAnsi="Arial" w:cs="Arial"/>
          <w:szCs w:val="20"/>
        </w:rPr>
        <w:t xml:space="preserve"> months ended </w:t>
      </w:r>
      <w:r>
        <w:rPr>
          <w:rFonts w:ascii="Arial" w:hAnsi="Arial" w:cs="Arial"/>
          <w:szCs w:val="20"/>
        </w:rPr>
        <w:t>July 31</w:t>
      </w:r>
      <w:r w:rsidRPr="00FF5082">
        <w:rPr>
          <w:rFonts w:ascii="Arial" w:hAnsi="Arial" w:cs="Arial"/>
          <w:szCs w:val="20"/>
        </w:rPr>
        <w:t>, 2019, there were no balances or transaction</w:t>
      </w:r>
      <w:r>
        <w:rPr>
          <w:rFonts w:ascii="Arial" w:hAnsi="Arial" w:cs="Arial"/>
          <w:szCs w:val="20"/>
        </w:rPr>
        <w:t>s related to Pivot-Cartagena JV.</w:t>
      </w:r>
    </w:p>
    <w:p w14:paraId="6B4DDE81" w14:textId="77777777" w:rsidR="00FF5082" w:rsidRDefault="00FF508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1316FF2" w14:textId="0EE0D1E5"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2C07FA">
        <w:rPr>
          <w:rFonts w:ascii="Arial" w:hAnsi="Arial" w:cs="Arial"/>
          <w:b/>
          <w:szCs w:val="20"/>
        </w:rPr>
        <w:t>1</w:t>
      </w:r>
      <w:r>
        <w:rPr>
          <w:rFonts w:ascii="Arial" w:hAnsi="Arial" w:cs="Arial"/>
          <w:b/>
          <w:szCs w:val="20"/>
        </w:rPr>
        <w:t>7</w:t>
      </w:r>
      <w:r w:rsidRPr="002C07FA">
        <w:rPr>
          <w:rFonts w:ascii="Arial" w:hAnsi="Arial" w:cs="Arial"/>
          <w:b/>
          <w:szCs w:val="20"/>
        </w:rPr>
        <w:t>.</w:t>
      </w:r>
      <w:r w:rsidRPr="002C07FA">
        <w:rPr>
          <w:rFonts w:ascii="Arial" w:hAnsi="Arial" w:cs="Arial"/>
          <w:b/>
          <w:szCs w:val="20"/>
        </w:rPr>
        <w:tab/>
      </w:r>
      <w:r>
        <w:rPr>
          <w:rFonts w:ascii="Arial" w:hAnsi="Arial" w:cs="Arial"/>
          <w:b/>
          <w:szCs w:val="20"/>
        </w:rPr>
        <w:t>Commitments and Contingencies</w:t>
      </w:r>
    </w:p>
    <w:p w14:paraId="10A0995E" w14:textId="77777777" w:rsidR="00FF5082" w:rsidRDefault="00FF5082"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0FBA68F" w14:textId="51FEE525" w:rsidR="00FF5082" w:rsidRDefault="006E41F5"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6E41F5">
        <w:rPr>
          <w:rFonts w:ascii="Arial" w:hAnsi="Arial" w:cs="Arial"/>
          <w:szCs w:val="20"/>
        </w:rPr>
        <w:t xml:space="preserve">In April 2019, the employment of two of the Company’s employees in Pivot Naturals, including the President of Pivot Naturals, which was pursuant to written employment contracts, terminated.  A demand for arbitration has been made by these former employees along with a draft arbitration complaint that alleges claims for breach of the written employment contracts, fraud, illegal retaliation and tortious discharge in violation of public policy seeking, among other things, recovery of  accrued and unpaid salary and wages in the total amount of $213,179 and contractual severance amounts totaling US$475,000 alleged to be due and owing on their alleged involuntary termination, as well as other general and punitive damages.  The Company intends to vigorously defend these claims and file cross-claims against the former employees for breach of contract and related tort claims.  </w:t>
      </w:r>
      <w:r w:rsidR="0015486F" w:rsidRPr="006E41F5">
        <w:rPr>
          <w:rFonts w:ascii="Arial" w:hAnsi="Arial" w:cs="Arial"/>
          <w:szCs w:val="20"/>
        </w:rPr>
        <w:t>In June 2019, the Company paid all accrued and unpaid salary and wages</w:t>
      </w:r>
      <w:r w:rsidR="0015486F">
        <w:rPr>
          <w:rFonts w:ascii="Arial" w:hAnsi="Arial" w:cs="Arial"/>
          <w:szCs w:val="20"/>
        </w:rPr>
        <w:t>, including accrued vacation payable and state wage penalties where applicable,</w:t>
      </w:r>
      <w:r w:rsidR="0015486F" w:rsidRPr="006E41F5">
        <w:rPr>
          <w:rFonts w:ascii="Arial" w:hAnsi="Arial" w:cs="Arial"/>
          <w:szCs w:val="20"/>
        </w:rPr>
        <w:t xml:space="preserve"> to these former employees</w:t>
      </w:r>
      <w:r w:rsidR="0015486F">
        <w:rPr>
          <w:rFonts w:ascii="Arial" w:hAnsi="Arial" w:cs="Arial"/>
          <w:szCs w:val="20"/>
        </w:rPr>
        <w:t xml:space="preserve">.  </w:t>
      </w:r>
      <w:r w:rsidRPr="006E41F5">
        <w:rPr>
          <w:rFonts w:ascii="Arial" w:hAnsi="Arial" w:cs="Arial"/>
          <w:szCs w:val="20"/>
        </w:rPr>
        <w:t xml:space="preserve">The Company has not accrued contractual severance amounts totaling US$475,000 as of </w:t>
      </w:r>
      <w:r>
        <w:rPr>
          <w:rFonts w:ascii="Arial" w:hAnsi="Arial" w:cs="Arial"/>
          <w:szCs w:val="20"/>
        </w:rPr>
        <w:t>July 31</w:t>
      </w:r>
      <w:r w:rsidRPr="006E41F5">
        <w:rPr>
          <w:rFonts w:ascii="Arial" w:hAnsi="Arial" w:cs="Arial"/>
          <w:szCs w:val="20"/>
        </w:rPr>
        <w:t xml:space="preserve">, 2019 as management is not able to assess the likelihood of payment. </w:t>
      </w:r>
      <w:r w:rsidR="00620114">
        <w:rPr>
          <w:rFonts w:ascii="Arial" w:hAnsi="Arial" w:cs="Arial"/>
          <w:szCs w:val="20"/>
        </w:rPr>
        <w:t xml:space="preserve"> </w:t>
      </w:r>
      <w:r w:rsidR="00620114" w:rsidRPr="00620114">
        <w:rPr>
          <w:rFonts w:ascii="Arial" w:hAnsi="Arial" w:cs="Arial"/>
          <w:szCs w:val="20"/>
        </w:rPr>
        <w:t>Additionally, the Company has filed suit in British Columbia against the former President and former Director of Pivot Naturals for declaratory relief and related matters con</w:t>
      </w:r>
      <w:r w:rsidR="00620114">
        <w:rPr>
          <w:rFonts w:ascii="Arial" w:hAnsi="Arial" w:cs="Arial"/>
          <w:szCs w:val="20"/>
        </w:rPr>
        <w:t>cerning control and use of the Company’s a</w:t>
      </w:r>
      <w:r w:rsidR="00620114" w:rsidRPr="00620114">
        <w:rPr>
          <w:rFonts w:ascii="Arial" w:hAnsi="Arial" w:cs="Arial"/>
          <w:szCs w:val="20"/>
        </w:rPr>
        <w:t>ssets</w:t>
      </w:r>
      <w:r w:rsidR="00620114">
        <w:rPr>
          <w:rFonts w:ascii="Arial" w:hAnsi="Arial" w:cs="Arial"/>
          <w:szCs w:val="20"/>
        </w:rPr>
        <w:t>.</w:t>
      </w:r>
    </w:p>
    <w:p w14:paraId="3AA98CFD" w14:textId="77777777" w:rsidR="00620114" w:rsidRDefault="00620114"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1592A9DE" w14:textId="76ED3958" w:rsidR="00620114" w:rsidRPr="00BC3E90" w:rsidRDefault="00620114" w:rsidP="00FF508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BC3E90">
        <w:rPr>
          <w:rFonts w:ascii="Arial" w:hAnsi="Arial" w:cs="Arial"/>
          <w:szCs w:val="20"/>
        </w:rPr>
        <w:t>In September 2019, the Company was served with a claim from Green Stream Botanicals Corp. (“GSB”) for a finder’s fee in the amount of $600,000</w:t>
      </w:r>
      <w:r>
        <w:rPr>
          <w:rFonts w:ascii="Arial" w:hAnsi="Arial" w:cs="Arial"/>
          <w:szCs w:val="20"/>
        </w:rPr>
        <w:t xml:space="preserve"> in relation to the non-brokered private placements totaling $15 million (Note 11(e))</w:t>
      </w:r>
      <w:r w:rsidRPr="00BC3E90">
        <w:rPr>
          <w:rFonts w:ascii="Arial" w:hAnsi="Arial" w:cs="Arial"/>
          <w:szCs w:val="20"/>
        </w:rPr>
        <w:t xml:space="preserve">.  </w:t>
      </w:r>
      <w:r>
        <w:rPr>
          <w:rFonts w:ascii="Arial" w:hAnsi="Arial" w:cs="Arial"/>
          <w:szCs w:val="20"/>
        </w:rPr>
        <w:t>The Company has not accrued this amount as of July 31, 2019 as management is not able to assess the likelihood of payment</w:t>
      </w:r>
      <w:r w:rsidRPr="00BC3E90">
        <w:rPr>
          <w:rFonts w:ascii="Arial" w:hAnsi="Arial" w:cs="Arial"/>
          <w:szCs w:val="20"/>
        </w:rPr>
        <w:t>.</w:t>
      </w:r>
    </w:p>
    <w:p w14:paraId="255DE650" w14:textId="77777777" w:rsidR="00FF5082" w:rsidRDefault="00FF5082"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4CE75A3C" w14:textId="3ADBAD05"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141AEB">
        <w:rPr>
          <w:rFonts w:ascii="Arial" w:hAnsi="Arial" w:cs="Arial"/>
          <w:b/>
          <w:szCs w:val="20"/>
        </w:rPr>
        <w:t>1</w:t>
      </w:r>
      <w:r w:rsidR="00FF5082" w:rsidRPr="00141AEB">
        <w:rPr>
          <w:rFonts w:ascii="Arial" w:hAnsi="Arial" w:cs="Arial"/>
          <w:b/>
          <w:szCs w:val="20"/>
        </w:rPr>
        <w:t>8</w:t>
      </w:r>
      <w:r w:rsidRPr="00141AEB">
        <w:rPr>
          <w:rFonts w:ascii="Arial" w:hAnsi="Arial" w:cs="Arial"/>
          <w:b/>
          <w:szCs w:val="20"/>
        </w:rPr>
        <w:t>.</w:t>
      </w:r>
      <w:r w:rsidRPr="00141AEB">
        <w:rPr>
          <w:rFonts w:ascii="Arial" w:hAnsi="Arial" w:cs="Arial"/>
          <w:b/>
          <w:szCs w:val="20"/>
        </w:rPr>
        <w:tab/>
        <w:t>Operating Segment</w:t>
      </w:r>
    </w:p>
    <w:p w14:paraId="627D9C11" w14:textId="77777777"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307C76B1" w14:textId="0C52A094" w:rsidR="00BD31CE" w:rsidRDefault="00BD31CE"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 operates in one industry segment within </w:t>
      </w:r>
      <w:r w:rsidR="00027230">
        <w:rPr>
          <w:rFonts w:ascii="Arial" w:hAnsi="Arial" w:cs="Arial"/>
          <w:szCs w:val="20"/>
        </w:rPr>
        <w:t>three</w:t>
      </w:r>
      <w:r>
        <w:rPr>
          <w:rFonts w:ascii="Arial" w:hAnsi="Arial" w:cs="Arial"/>
          <w:szCs w:val="20"/>
        </w:rPr>
        <w:t xml:space="preserve"> geographical areas, Canada</w:t>
      </w:r>
      <w:r w:rsidR="00027230">
        <w:rPr>
          <w:rFonts w:ascii="Arial" w:hAnsi="Arial" w:cs="Arial"/>
          <w:szCs w:val="20"/>
        </w:rPr>
        <w:t>, U.S</w:t>
      </w:r>
      <w:r>
        <w:rPr>
          <w:rFonts w:ascii="Arial" w:hAnsi="Arial" w:cs="Arial"/>
          <w:szCs w:val="20"/>
        </w:rPr>
        <w:t xml:space="preserve"> and the </w:t>
      </w:r>
      <w:r w:rsidR="00027230">
        <w:rPr>
          <w:rFonts w:ascii="Arial" w:hAnsi="Arial" w:cs="Arial"/>
          <w:szCs w:val="20"/>
        </w:rPr>
        <w:t>E.U</w:t>
      </w:r>
      <w:r>
        <w:rPr>
          <w:rFonts w:ascii="Arial" w:hAnsi="Arial" w:cs="Arial"/>
          <w:szCs w:val="20"/>
        </w:rPr>
        <w:t>.</w:t>
      </w:r>
    </w:p>
    <w:p w14:paraId="2B0A47F8" w14:textId="77777777" w:rsidR="00850E6C" w:rsidRDefault="00850E6C">
      <w:pPr>
        <w:rPr>
          <w:rFonts w:ascii="Arial" w:hAnsi="Arial" w:cs="Arial"/>
          <w:b/>
          <w:szCs w:val="20"/>
        </w:rPr>
      </w:pPr>
      <w:r>
        <w:rPr>
          <w:rFonts w:ascii="Arial" w:hAnsi="Arial" w:cs="Arial"/>
          <w:b/>
          <w:szCs w:val="20"/>
        </w:rPr>
        <w:br w:type="page"/>
      </w:r>
    </w:p>
    <w:p w14:paraId="47771392" w14:textId="3DD4E2B6" w:rsidR="00850E6C" w:rsidRPr="00850E6C" w:rsidRDefault="00850E6C" w:rsidP="00850E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141AEB">
        <w:rPr>
          <w:rFonts w:ascii="Arial" w:hAnsi="Arial" w:cs="Arial"/>
          <w:b/>
          <w:szCs w:val="20"/>
        </w:rPr>
        <w:lastRenderedPageBreak/>
        <w:t>18.</w:t>
      </w:r>
      <w:r w:rsidRPr="00141AEB">
        <w:rPr>
          <w:rFonts w:ascii="Arial" w:hAnsi="Arial" w:cs="Arial"/>
          <w:b/>
          <w:szCs w:val="20"/>
        </w:rPr>
        <w:tab/>
        <w:t>Operating Segment</w:t>
      </w:r>
      <w:r>
        <w:rPr>
          <w:rFonts w:ascii="Arial" w:hAnsi="Arial" w:cs="Arial"/>
          <w:b/>
          <w:szCs w:val="20"/>
        </w:rPr>
        <w:t xml:space="preserve"> </w:t>
      </w:r>
      <w:r>
        <w:rPr>
          <w:rFonts w:ascii="Arial" w:hAnsi="Arial" w:cs="Arial"/>
          <w:szCs w:val="20"/>
        </w:rPr>
        <w:t>(continued)</w:t>
      </w:r>
    </w:p>
    <w:p w14:paraId="78D2BBAF" w14:textId="77777777" w:rsidR="00850E6C" w:rsidRDefault="00850E6C" w:rsidP="008F39E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tbl>
      <w:tblPr>
        <w:tblW w:w="8820" w:type="dxa"/>
        <w:tblInd w:w="540" w:type="dxa"/>
        <w:tblCellMar>
          <w:left w:w="0" w:type="dxa"/>
          <w:right w:w="0" w:type="dxa"/>
        </w:tblCellMar>
        <w:tblLook w:val="0000" w:firstRow="0" w:lastRow="0" w:firstColumn="0" w:lastColumn="0" w:noHBand="0" w:noVBand="0"/>
      </w:tblPr>
      <w:tblGrid>
        <w:gridCol w:w="3420"/>
        <w:gridCol w:w="1236"/>
        <w:gridCol w:w="1374"/>
        <w:gridCol w:w="1350"/>
        <w:gridCol w:w="1440"/>
      </w:tblGrid>
      <w:tr w:rsidR="00027230" w:rsidRPr="00F60034" w14:paraId="565C124D" w14:textId="77777777" w:rsidTr="00027230">
        <w:tc>
          <w:tcPr>
            <w:tcW w:w="3420" w:type="dxa"/>
            <w:tcBorders>
              <w:bottom w:val="single" w:sz="4" w:space="0" w:color="auto"/>
            </w:tcBorders>
            <w:vAlign w:val="bottom"/>
          </w:tcPr>
          <w:p w14:paraId="78CD7BD3" w14:textId="77777777" w:rsidR="00027230" w:rsidRPr="00F60034" w:rsidRDefault="00027230" w:rsidP="008F39E2">
            <w:pPr>
              <w:spacing w:after="0" w:line="240" w:lineRule="auto"/>
              <w:jc w:val="center"/>
              <w:rPr>
                <w:rStyle w:val="HeadNoteTitle"/>
                <w:rFonts w:cs="Arial"/>
                <w:b w:val="0"/>
                <w:bCs/>
                <w:sz w:val="20"/>
                <w:szCs w:val="20"/>
              </w:rPr>
            </w:pPr>
            <w:r w:rsidRPr="00F60034">
              <w:rPr>
                <w:rFonts w:ascii="Arial" w:hAnsi="Arial" w:cs="Arial"/>
                <w:szCs w:val="20"/>
              </w:rPr>
              <w:fldChar w:fldCharType="begin"/>
            </w:r>
            <w:r w:rsidRPr="00F60034">
              <w:rPr>
                <w:rFonts w:ascii="Arial" w:hAnsi="Arial" w:cs="Arial"/>
                <w:szCs w:val="20"/>
              </w:rPr>
              <w:instrText>ADVANCE \d 5</w:instrText>
            </w:r>
            <w:r w:rsidRPr="00F60034">
              <w:rPr>
                <w:rFonts w:ascii="Arial" w:hAnsi="Arial" w:cs="Arial"/>
                <w:szCs w:val="20"/>
              </w:rPr>
              <w:fldChar w:fldCharType="end"/>
            </w:r>
          </w:p>
        </w:tc>
        <w:tc>
          <w:tcPr>
            <w:tcW w:w="1236" w:type="dxa"/>
            <w:tcBorders>
              <w:bottom w:val="single" w:sz="4" w:space="0" w:color="auto"/>
            </w:tcBorders>
          </w:tcPr>
          <w:p w14:paraId="35D237BC" w14:textId="77777777" w:rsidR="00027230" w:rsidRDefault="00027230" w:rsidP="008F39E2">
            <w:pPr>
              <w:spacing w:after="0" w:line="240" w:lineRule="auto"/>
              <w:jc w:val="center"/>
              <w:rPr>
                <w:rFonts w:ascii="Arial" w:hAnsi="Arial" w:cs="Arial"/>
              </w:rPr>
            </w:pPr>
            <w:r w:rsidRPr="004620AD">
              <w:rPr>
                <w:rFonts w:ascii="Arial" w:hAnsi="Arial" w:cs="Arial"/>
              </w:rPr>
              <w:t>Canada</w:t>
            </w:r>
          </w:p>
          <w:p w14:paraId="7E1455DE" w14:textId="5CB0F406"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374" w:type="dxa"/>
            <w:tcBorders>
              <w:bottom w:val="single" w:sz="4" w:space="0" w:color="auto"/>
            </w:tcBorders>
            <w:tcMar>
              <w:left w:w="0" w:type="dxa"/>
              <w:right w:w="0" w:type="dxa"/>
            </w:tcMar>
          </w:tcPr>
          <w:p w14:paraId="0B8E6406" w14:textId="77777777" w:rsidR="00027230" w:rsidRDefault="00027230" w:rsidP="008F39E2">
            <w:pPr>
              <w:spacing w:after="0" w:line="240" w:lineRule="auto"/>
              <w:jc w:val="center"/>
              <w:rPr>
                <w:rFonts w:ascii="Arial" w:hAnsi="Arial" w:cs="Arial"/>
              </w:rPr>
            </w:pPr>
            <w:r w:rsidRPr="004620AD">
              <w:rPr>
                <w:rFonts w:ascii="Arial" w:hAnsi="Arial" w:cs="Arial"/>
              </w:rPr>
              <w:t>U.S.</w:t>
            </w:r>
          </w:p>
          <w:p w14:paraId="6D2F2E8A" w14:textId="709FE57C" w:rsidR="00027230" w:rsidRPr="004620AD" w:rsidRDefault="00027230" w:rsidP="008F39E2">
            <w:pPr>
              <w:spacing w:after="0" w:line="240" w:lineRule="auto"/>
              <w:jc w:val="center"/>
              <w:rPr>
                <w:rStyle w:val="HeadNoteTitle"/>
                <w:rFonts w:cs="Arial"/>
                <w:b w:val="0"/>
                <w:bCs/>
                <w:sz w:val="20"/>
                <w:szCs w:val="20"/>
              </w:rPr>
            </w:pPr>
            <w:r>
              <w:rPr>
                <w:rFonts w:ascii="Arial" w:hAnsi="Arial" w:cs="Arial"/>
              </w:rPr>
              <w:t>$</w:t>
            </w:r>
          </w:p>
        </w:tc>
        <w:tc>
          <w:tcPr>
            <w:tcW w:w="1350" w:type="dxa"/>
            <w:tcBorders>
              <w:bottom w:val="single" w:sz="4" w:space="0" w:color="auto"/>
            </w:tcBorders>
          </w:tcPr>
          <w:p w14:paraId="39AFA04E" w14:textId="39CB7C77" w:rsidR="00027230" w:rsidRDefault="00027230" w:rsidP="008F39E2">
            <w:pPr>
              <w:spacing w:after="0" w:line="240" w:lineRule="auto"/>
              <w:jc w:val="center"/>
              <w:rPr>
                <w:rFonts w:ascii="Arial" w:hAnsi="Arial" w:cs="Arial"/>
                <w:szCs w:val="20"/>
              </w:rPr>
            </w:pPr>
            <w:r>
              <w:rPr>
                <w:rFonts w:ascii="Arial" w:hAnsi="Arial" w:cs="Arial"/>
                <w:szCs w:val="20"/>
              </w:rPr>
              <w:t>E.U.</w:t>
            </w:r>
          </w:p>
        </w:tc>
        <w:tc>
          <w:tcPr>
            <w:tcW w:w="1440" w:type="dxa"/>
            <w:tcBorders>
              <w:bottom w:val="single" w:sz="4" w:space="0" w:color="auto"/>
            </w:tcBorders>
          </w:tcPr>
          <w:p w14:paraId="4133C5CD" w14:textId="05020612" w:rsidR="00027230" w:rsidRDefault="00027230" w:rsidP="008F39E2">
            <w:pPr>
              <w:spacing w:after="0" w:line="240" w:lineRule="auto"/>
              <w:jc w:val="center"/>
              <w:rPr>
                <w:rFonts w:ascii="Arial" w:hAnsi="Arial" w:cs="Arial"/>
                <w:szCs w:val="20"/>
              </w:rPr>
            </w:pPr>
            <w:r>
              <w:rPr>
                <w:rFonts w:ascii="Arial" w:hAnsi="Arial" w:cs="Arial"/>
                <w:szCs w:val="20"/>
              </w:rPr>
              <w:t>Total</w:t>
            </w:r>
          </w:p>
          <w:p w14:paraId="46195EF1" w14:textId="7A3817C5" w:rsidR="00027230" w:rsidRPr="00F60034" w:rsidRDefault="00027230" w:rsidP="008F39E2">
            <w:pPr>
              <w:spacing w:after="0" w:line="240" w:lineRule="auto"/>
              <w:jc w:val="center"/>
              <w:rPr>
                <w:rFonts w:ascii="Arial" w:hAnsi="Arial" w:cs="Arial"/>
                <w:szCs w:val="20"/>
              </w:rPr>
            </w:pPr>
            <w:r>
              <w:rPr>
                <w:rFonts w:ascii="Arial" w:hAnsi="Arial" w:cs="Arial"/>
                <w:szCs w:val="20"/>
              </w:rPr>
              <w:t>$</w:t>
            </w:r>
          </w:p>
        </w:tc>
      </w:tr>
      <w:tr w:rsidR="00027230" w:rsidRPr="00F60034" w14:paraId="7911EC80" w14:textId="77777777" w:rsidTr="00027230">
        <w:trPr>
          <w:trHeight w:hRule="exact" w:val="115"/>
        </w:trPr>
        <w:tc>
          <w:tcPr>
            <w:tcW w:w="3420" w:type="dxa"/>
            <w:tcBorders>
              <w:top w:val="single" w:sz="4" w:space="0" w:color="auto"/>
            </w:tcBorders>
          </w:tcPr>
          <w:p w14:paraId="2536EA24" w14:textId="77777777" w:rsidR="00027230" w:rsidRPr="00F60034" w:rsidRDefault="00027230" w:rsidP="008F39E2">
            <w:pPr>
              <w:spacing w:after="0" w:line="240" w:lineRule="auto"/>
              <w:rPr>
                <w:rFonts w:ascii="Arial" w:hAnsi="Arial" w:cs="Arial"/>
                <w:szCs w:val="20"/>
              </w:rPr>
            </w:pPr>
          </w:p>
        </w:tc>
        <w:tc>
          <w:tcPr>
            <w:tcW w:w="1236" w:type="dxa"/>
            <w:tcBorders>
              <w:top w:val="single" w:sz="4" w:space="0" w:color="auto"/>
            </w:tcBorders>
          </w:tcPr>
          <w:p w14:paraId="46C13C92"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Borders>
              <w:top w:val="single" w:sz="4" w:space="0" w:color="auto"/>
            </w:tcBorders>
          </w:tcPr>
          <w:p w14:paraId="7E3D908A"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Borders>
              <w:top w:val="single" w:sz="4" w:space="0" w:color="auto"/>
            </w:tcBorders>
          </w:tcPr>
          <w:p w14:paraId="690E8E15"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top w:val="single" w:sz="4" w:space="0" w:color="auto"/>
            </w:tcBorders>
          </w:tcPr>
          <w:p w14:paraId="1ADF06BB" w14:textId="21A599EB"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7A6D2313" w14:textId="77777777" w:rsidTr="00027230">
        <w:tc>
          <w:tcPr>
            <w:tcW w:w="3420" w:type="dxa"/>
          </w:tcPr>
          <w:p w14:paraId="4833DB62" w14:textId="63EA0612" w:rsidR="00027230" w:rsidRPr="004620AD" w:rsidRDefault="00027230" w:rsidP="00040621">
            <w:pPr>
              <w:spacing w:after="0" w:line="240" w:lineRule="auto"/>
              <w:rPr>
                <w:rFonts w:ascii="Arial" w:hAnsi="Arial" w:cs="Arial"/>
                <w:b/>
                <w:szCs w:val="20"/>
              </w:rPr>
            </w:pPr>
            <w:r>
              <w:rPr>
                <w:rFonts w:ascii="Arial" w:hAnsi="Arial" w:cs="Arial"/>
                <w:b/>
                <w:szCs w:val="20"/>
              </w:rPr>
              <w:t>Six months</w:t>
            </w:r>
            <w:r w:rsidRPr="004620AD">
              <w:rPr>
                <w:rFonts w:ascii="Arial" w:hAnsi="Arial" w:cs="Arial"/>
                <w:b/>
                <w:szCs w:val="20"/>
              </w:rPr>
              <w:t xml:space="preserve"> ended </w:t>
            </w:r>
            <w:r>
              <w:rPr>
                <w:rFonts w:ascii="Arial" w:hAnsi="Arial" w:cs="Arial"/>
                <w:b/>
                <w:szCs w:val="20"/>
              </w:rPr>
              <w:t>July</w:t>
            </w:r>
            <w:r w:rsidRPr="004620AD">
              <w:rPr>
                <w:rFonts w:ascii="Arial" w:hAnsi="Arial" w:cs="Arial"/>
                <w:b/>
                <w:szCs w:val="20"/>
              </w:rPr>
              <w:t xml:space="preserve"> </w:t>
            </w:r>
            <w:r>
              <w:rPr>
                <w:rFonts w:ascii="Arial" w:hAnsi="Arial" w:cs="Arial"/>
                <w:b/>
                <w:szCs w:val="20"/>
              </w:rPr>
              <w:t>31, 2019</w:t>
            </w:r>
          </w:p>
        </w:tc>
        <w:tc>
          <w:tcPr>
            <w:tcW w:w="1236" w:type="dxa"/>
            <w:vAlign w:val="bottom"/>
          </w:tcPr>
          <w:p w14:paraId="08741A64" w14:textId="77777777" w:rsidR="00027230" w:rsidRPr="00F60034" w:rsidRDefault="00027230" w:rsidP="00040621">
            <w:pPr>
              <w:pStyle w:val="Header"/>
              <w:tabs>
                <w:tab w:val="left" w:pos="990"/>
              </w:tabs>
              <w:ind w:left="86" w:right="90" w:hanging="86"/>
              <w:jc w:val="right"/>
              <w:rPr>
                <w:rFonts w:ascii="Arial" w:hAnsi="Arial" w:cs="Arial"/>
                <w:szCs w:val="20"/>
              </w:rPr>
            </w:pPr>
          </w:p>
        </w:tc>
        <w:tc>
          <w:tcPr>
            <w:tcW w:w="1374" w:type="dxa"/>
            <w:vAlign w:val="bottom"/>
          </w:tcPr>
          <w:p w14:paraId="6925355C" w14:textId="77777777" w:rsidR="00027230" w:rsidRPr="00F60034" w:rsidRDefault="00027230" w:rsidP="00040621">
            <w:pPr>
              <w:pStyle w:val="Header"/>
              <w:ind w:left="86" w:right="180" w:hanging="86"/>
              <w:jc w:val="right"/>
              <w:rPr>
                <w:rFonts w:ascii="Arial" w:hAnsi="Arial" w:cs="Arial"/>
                <w:szCs w:val="20"/>
              </w:rPr>
            </w:pPr>
          </w:p>
        </w:tc>
        <w:tc>
          <w:tcPr>
            <w:tcW w:w="1350" w:type="dxa"/>
          </w:tcPr>
          <w:p w14:paraId="7EC3BA7A" w14:textId="77777777" w:rsidR="00027230" w:rsidRPr="00F60034" w:rsidRDefault="00027230" w:rsidP="00040621">
            <w:pPr>
              <w:pStyle w:val="Header"/>
              <w:ind w:left="86" w:right="288" w:hanging="86"/>
              <w:jc w:val="right"/>
              <w:rPr>
                <w:rFonts w:ascii="Arial" w:hAnsi="Arial" w:cs="Arial"/>
                <w:szCs w:val="20"/>
              </w:rPr>
            </w:pPr>
          </w:p>
        </w:tc>
        <w:tc>
          <w:tcPr>
            <w:tcW w:w="1440" w:type="dxa"/>
            <w:vAlign w:val="bottom"/>
          </w:tcPr>
          <w:p w14:paraId="537CEBC1" w14:textId="6E6DA0EE" w:rsidR="00027230" w:rsidRPr="00F60034" w:rsidRDefault="00027230" w:rsidP="00040621">
            <w:pPr>
              <w:pStyle w:val="Header"/>
              <w:ind w:left="86" w:right="288" w:hanging="86"/>
              <w:jc w:val="right"/>
              <w:rPr>
                <w:rFonts w:ascii="Arial" w:hAnsi="Arial" w:cs="Arial"/>
                <w:szCs w:val="20"/>
              </w:rPr>
            </w:pPr>
          </w:p>
        </w:tc>
      </w:tr>
      <w:tr w:rsidR="00027230" w:rsidRPr="00F60034" w14:paraId="5EB2226F" w14:textId="77777777" w:rsidTr="00027230">
        <w:tc>
          <w:tcPr>
            <w:tcW w:w="3420" w:type="dxa"/>
          </w:tcPr>
          <w:p w14:paraId="47E7998C"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1AFA5D43" w14:textId="77777777" w:rsidR="00027230" w:rsidRPr="00F60034" w:rsidRDefault="00027230" w:rsidP="00040621">
            <w:pPr>
              <w:pStyle w:val="Header"/>
              <w:tabs>
                <w:tab w:val="left" w:pos="990"/>
              </w:tabs>
              <w:ind w:left="86" w:right="90" w:hanging="86"/>
              <w:jc w:val="right"/>
              <w:rPr>
                <w:rFonts w:ascii="Arial" w:hAnsi="Arial" w:cs="Arial"/>
                <w:szCs w:val="20"/>
              </w:rPr>
            </w:pPr>
            <w:r w:rsidRPr="00F60034">
              <w:rPr>
                <w:rFonts w:ascii="Arial" w:hAnsi="Arial" w:cs="Arial"/>
                <w:szCs w:val="20"/>
              </w:rPr>
              <w:t>–</w:t>
            </w:r>
          </w:p>
        </w:tc>
        <w:tc>
          <w:tcPr>
            <w:tcW w:w="1374" w:type="dxa"/>
            <w:vAlign w:val="bottom"/>
          </w:tcPr>
          <w:p w14:paraId="11D89F2C" w14:textId="77777777" w:rsidR="00027230" w:rsidRPr="00F60034" w:rsidRDefault="00027230" w:rsidP="00040621">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659DB5E9" w14:textId="31DC910D" w:rsidR="00027230" w:rsidRPr="00F60034"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3E5F0791" w14:textId="35D5C971" w:rsidR="00027230"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r>
      <w:tr w:rsidR="00027230" w:rsidRPr="00F60034" w14:paraId="4EB44390" w14:textId="77777777" w:rsidTr="00027230">
        <w:tc>
          <w:tcPr>
            <w:tcW w:w="3420" w:type="dxa"/>
          </w:tcPr>
          <w:p w14:paraId="72DFF794"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1529E141" w14:textId="0E4D5E2E" w:rsidR="00027230" w:rsidRPr="00F60034" w:rsidRDefault="00027230" w:rsidP="00A24C4A">
            <w:pPr>
              <w:pStyle w:val="Header"/>
              <w:tabs>
                <w:tab w:val="left" w:pos="990"/>
              </w:tabs>
              <w:ind w:left="86" w:right="90" w:hanging="86"/>
              <w:jc w:val="right"/>
              <w:rPr>
                <w:rFonts w:ascii="Arial" w:hAnsi="Arial" w:cs="Arial"/>
                <w:szCs w:val="20"/>
              </w:rPr>
            </w:pPr>
            <w:r>
              <w:rPr>
                <w:rFonts w:ascii="Arial" w:hAnsi="Arial" w:cs="Arial"/>
                <w:szCs w:val="20"/>
              </w:rPr>
              <w:t>5,</w:t>
            </w:r>
            <w:r w:rsidR="00F529D2">
              <w:rPr>
                <w:rFonts w:ascii="Arial" w:hAnsi="Arial" w:cs="Arial"/>
                <w:szCs w:val="20"/>
              </w:rPr>
              <w:t>386,</w:t>
            </w:r>
            <w:r w:rsidR="00A24C4A">
              <w:rPr>
                <w:rFonts w:ascii="Arial" w:hAnsi="Arial" w:cs="Arial"/>
                <w:szCs w:val="20"/>
              </w:rPr>
              <w:t>300</w:t>
            </w:r>
          </w:p>
        </w:tc>
        <w:tc>
          <w:tcPr>
            <w:tcW w:w="1374" w:type="dxa"/>
            <w:vAlign w:val="bottom"/>
          </w:tcPr>
          <w:p w14:paraId="02B33117" w14:textId="0DDEF465" w:rsidR="00027230" w:rsidRPr="00F60034" w:rsidRDefault="00F529D2" w:rsidP="00040621">
            <w:pPr>
              <w:pStyle w:val="Header"/>
              <w:ind w:left="86" w:right="180" w:hanging="86"/>
              <w:jc w:val="right"/>
              <w:rPr>
                <w:rFonts w:ascii="Arial" w:hAnsi="Arial" w:cs="Arial"/>
                <w:szCs w:val="20"/>
              </w:rPr>
            </w:pPr>
            <w:r>
              <w:rPr>
                <w:rFonts w:ascii="Arial" w:hAnsi="Arial" w:cs="Arial"/>
                <w:szCs w:val="20"/>
              </w:rPr>
              <w:t>939,020</w:t>
            </w:r>
          </w:p>
        </w:tc>
        <w:tc>
          <w:tcPr>
            <w:tcW w:w="1350" w:type="dxa"/>
          </w:tcPr>
          <w:p w14:paraId="58D42BE0" w14:textId="75B55BAA" w:rsidR="00027230"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2F6EF4DB" w14:textId="3131F86F" w:rsidR="00027230" w:rsidRDefault="00027230" w:rsidP="00A24C4A">
            <w:pPr>
              <w:pStyle w:val="Header"/>
              <w:ind w:left="86" w:right="288" w:hanging="86"/>
              <w:jc w:val="right"/>
              <w:rPr>
                <w:rFonts w:ascii="Arial" w:hAnsi="Arial" w:cs="Arial"/>
                <w:szCs w:val="20"/>
              </w:rPr>
            </w:pPr>
            <w:r>
              <w:rPr>
                <w:rFonts w:ascii="Arial" w:hAnsi="Arial" w:cs="Arial"/>
                <w:szCs w:val="20"/>
              </w:rPr>
              <w:t>6,</w:t>
            </w:r>
            <w:r w:rsidR="00F529D2">
              <w:rPr>
                <w:rFonts w:ascii="Arial" w:hAnsi="Arial" w:cs="Arial"/>
                <w:szCs w:val="20"/>
              </w:rPr>
              <w:t>325,3</w:t>
            </w:r>
            <w:r w:rsidR="00A24C4A">
              <w:rPr>
                <w:rFonts w:ascii="Arial" w:hAnsi="Arial" w:cs="Arial"/>
                <w:szCs w:val="20"/>
              </w:rPr>
              <w:t>20</w:t>
            </w:r>
          </w:p>
        </w:tc>
      </w:tr>
      <w:tr w:rsidR="00027230" w:rsidRPr="00F60034" w14:paraId="22410D27" w14:textId="77777777" w:rsidTr="00027230">
        <w:trPr>
          <w:trHeight w:hRule="exact" w:val="115"/>
        </w:trPr>
        <w:tc>
          <w:tcPr>
            <w:tcW w:w="3420" w:type="dxa"/>
          </w:tcPr>
          <w:p w14:paraId="7490B929" w14:textId="77777777" w:rsidR="00027230" w:rsidRPr="00F60034" w:rsidRDefault="00027230" w:rsidP="00040621">
            <w:pPr>
              <w:spacing w:after="0" w:line="240" w:lineRule="auto"/>
              <w:rPr>
                <w:rFonts w:ascii="Arial" w:hAnsi="Arial" w:cs="Arial"/>
                <w:szCs w:val="20"/>
              </w:rPr>
            </w:pPr>
          </w:p>
        </w:tc>
        <w:tc>
          <w:tcPr>
            <w:tcW w:w="1236" w:type="dxa"/>
          </w:tcPr>
          <w:p w14:paraId="6F1C4F88"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374" w:type="dxa"/>
          </w:tcPr>
          <w:p w14:paraId="2C23F524"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350" w:type="dxa"/>
          </w:tcPr>
          <w:p w14:paraId="5975CBA1"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440" w:type="dxa"/>
          </w:tcPr>
          <w:p w14:paraId="7A802CBB" w14:textId="5EA4203E" w:rsidR="00027230" w:rsidRPr="00F60034" w:rsidRDefault="00027230" w:rsidP="00040621">
            <w:pPr>
              <w:spacing w:after="0" w:line="240" w:lineRule="auto"/>
              <w:ind w:right="29"/>
              <w:jc w:val="right"/>
              <w:rPr>
                <w:rStyle w:val="HeadNoteTitle"/>
                <w:rFonts w:cs="Arial"/>
                <w:b w:val="0"/>
                <w:bCs/>
                <w:sz w:val="20"/>
                <w:szCs w:val="20"/>
              </w:rPr>
            </w:pPr>
          </w:p>
        </w:tc>
      </w:tr>
      <w:tr w:rsidR="00027230" w:rsidRPr="00F60034" w14:paraId="47E0BD64" w14:textId="77777777" w:rsidTr="00027230">
        <w:tc>
          <w:tcPr>
            <w:tcW w:w="3420" w:type="dxa"/>
          </w:tcPr>
          <w:p w14:paraId="34A25787" w14:textId="02404DE9" w:rsidR="00027230" w:rsidRPr="004620AD" w:rsidRDefault="00027230" w:rsidP="00040621">
            <w:pPr>
              <w:spacing w:after="0" w:line="240" w:lineRule="auto"/>
              <w:rPr>
                <w:rFonts w:ascii="Arial" w:hAnsi="Arial" w:cs="Arial"/>
                <w:b/>
                <w:szCs w:val="20"/>
              </w:rPr>
            </w:pPr>
            <w:r>
              <w:rPr>
                <w:rFonts w:ascii="Arial" w:hAnsi="Arial" w:cs="Arial"/>
                <w:b/>
                <w:szCs w:val="20"/>
              </w:rPr>
              <w:t>Six months</w:t>
            </w:r>
            <w:r w:rsidRPr="004620AD">
              <w:rPr>
                <w:rFonts w:ascii="Arial" w:hAnsi="Arial" w:cs="Arial"/>
                <w:b/>
                <w:szCs w:val="20"/>
              </w:rPr>
              <w:t xml:space="preserve"> ended </w:t>
            </w:r>
            <w:r>
              <w:rPr>
                <w:rFonts w:ascii="Arial" w:hAnsi="Arial" w:cs="Arial"/>
                <w:b/>
                <w:szCs w:val="20"/>
              </w:rPr>
              <w:t>July</w:t>
            </w:r>
            <w:r w:rsidRPr="004620AD">
              <w:rPr>
                <w:rFonts w:ascii="Arial" w:hAnsi="Arial" w:cs="Arial"/>
                <w:b/>
                <w:szCs w:val="20"/>
              </w:rPr>
              <w:t xml:space="preserve"> </w:t>
            </w:r>
            <w:r>
              <w:rPr>
                <w:rFonts w:ascii="Arial" w:hAnsi="Arial" w:cs="Arial"/>
                <w:b/>
                <w:szCs w:val="20"/>
              </w:rPr>
              <w:t>31, 2018</w:t>
            </w:r>
          </w:p>
        </w:tc>
        <w:tc>
          <w:tcPr>
            <w:tcW w:w="1236" w:type="dxa"/>
            <w:vAlign w:val="bottom"/>
          </w:tcPr>
          <w:p w14:paraId="53049F06" w14:textId="77777777" w:rsidR="00027230" w:rsidRPr="00F60034" w:rsidRDefault="00027230" w:rsidP="00040621">
            <w:pPr>
              <w:pStyle w:val="Header"/>
              <w:tabs>
                <w:tab w:val="left" w:pos="990"/>
              </w:tabs>
              <w:ind w:left="86" w:right="90" w:hanging="86"/>
              <w:jc w:val="right"/>
              <w:rPr>
                <w:rFonts w:ascii="Arial" w:hAnsi="Arial" w:cs="Arial"/>
                <w:szCs w:val="20"/>
              </w:rPr>
            </w:pPr>
          </w:p>
        </w:tc>
        <w:tc>
          <w:tcPr>
            <w:tcW w:w="1374" w:type="dxa"/>
            <w:vAlign w:val="bottom"/>
          </w:tcPr>
          <w:p w14:paraId="73557FDE" w14:textId="77777777" w:rsidR="00027230" w:rsidRPr="00F60034" w:rsidRDefault="00027230" w:rsidP="00040621">
            <w:pPr>
              <w:pStyle w:val="Header"/>
              <w:ind w:left="86" w:right="180" w:hanging="86"/>
              <w:jc w:val="right"/>
              <w:rPr>
                <w:rFonts w:ascii="Arial" w:hAnsi="Arial" w:cs="Arial"/>
                <w:szCs w:val="20"/>
              </w:rPr>
            </w:pPr>
          </w:p>
        </w:tc>
        <w:tc>
          <w:tcPr>
            <w:tcW w:w="1350" w:type="dxa"/>
          </w:tcPr>
          <w:p w14:paraId="2055824A" w14:textId="77777777" w:rsidR="00027230" w:rsidRPr="00F60034" w:rsidRDefault="00027230" w:rsidP="00040621">
            <w:pPr>
              <w:pStyle w:val="Header"/>
              <w:ind w:left="86" w:right="288" w:hanging="86"/>
              <w:jc w:val="right"/>
              <w:rPr>
                <w:rFonts w:ascii="Arial" w:hAnsi="Arial" w:cs="Arial"/>
                <w:szCs w:val="20"/>
              </w:rPr>
            </w:pPr>
          </w:p>
        </w:tc>
        <w:tc>
          <w:tcPr>
            <w:tcW w:w="1440" w:type="dxa"/>
            <w:vAlign w:val="bottom"/>
          </w:tcPr>
          <w:p w14:paraId="32176DEC" w14:textId="1711C8EA" w:rsidR="00027230" w:rsidRPr="00F60034" w:rsidRDefault="00027230" w:rsidP="00040621">
            <w:pPr>
              <w:pStyle w:val="Header"/>
              <w:ind w:left="86" w:right="288" w:hanging="86"/>
              <w:jc w:val="right"/>
              <w:rPr>
                <w:rFonts w:ascii="Arial" w:hAnsi="Arial" w:cs="Arial"/>
                <w:szCs w:val="20"/>
              </w:rPr>
            </w:pPr>
          </w:p>
        </w:tc>
      </w:tr>
      <w:tr w:rsidR="00027230" w:rsidRPr="00F60034" w14:paraId="3250190C" w14:textId="77777777" w:rsidTr="00027230">
        <w:tc>
          <w:tcPr>
            <w:tcW w:w="3420" w:type="dxa"/>
          </w:tcPr>
          <w:p w14:paraId="13CE8A2F"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7597F347" w14:textId="77777777" w:rsidR="00027230" w:rsidRPr="00F60034" w:rsidRDefault="00027230" w:rsidP="00040621">
            <w:pPr>
              <w:pStyle w:val="Header"/>
              <w:tabs>
                <w:tab w:val="left" w:pos="990"/>
              </w:tabs>
              <w:ind w:left="86" w:right="90" w:hanging="86"/>
              <w:jc w:val="right"/>
              <w:rPr>
                <w:rFonts w:ascii="Arial" w:hAnsi="Arial" w:cs="Arial"/>
                <w:szCs w:val="20"/>
              </w:rPr>
            </w:pPr>
            <w:r w:rsidRPr="00F60034">
              <w:rPr>
                <w:rFonts w:ascii="Arial" w:hAnsi="Arial" w:cs="Arial"/>
                <w:szCs w:val="20"/>
              </w:rPr>
              <w:t>–</w:t>
            </w:r>
          </w:p>
        </w:tc>
        <w:tc>
          <w:tcPr>
            <w:tcW w:w="1374" w:type="dxa"/>
            <w:vAlign w:val="bottom"/>
          </w:tcPr>
          <w:p w14:paraId="615CF290" w14:textId="77777777" w:rsidR="00027230" w:rsidRPr="00F60034" w:rsidRDefault="00027230" w:rsidP="00040621">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008CA46C" w14:textId="498A6E96" w:rsidR="00027230" w:rsidRPr="00F60034"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45D25D3F" w14:textId="0B741D17" w:rsidR="00027230"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r>
      <w:tr w:rsidR="00027230" w:rsidRPr="00F60034" w14:paraId="76C35E8E" w14:textId="77777777" w:rsidTr="00027230">
        <w:tc>
          <w:tcPr>
            <w:tcW w:w="3420" w:type="dxa"/>
          </w:tcPr>
          <w:p w14:paraId="45DDAF0F" w14:textId="77777777" w:rsidR="00027230" w:rsidRPr="00F60034" w:rsidRDefault="00027230" w:rsidP="00040621">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6491BA26" w14:textId="71B939CB" w:rsidR="00027230" w:rsidRPr="00F60034" w:rsidRDefault="00C46748" w:rsidP="00A24C4A">
            <w:pPr>
              <w:pStyle w:val="Header"/>
              <w:tabs>
                <w:tab w:val="left" w:pos="990"/>
              </w:tabs>
              <w:ind w:left="86" w:right="90" w:hanging="86"/>
              <w:jc w:val="right"/>
              <w:rPr>
                <w:rFonts w:ascii="Arial" w:hAnsi="Arial" w:cs="Arial"/>
                <w:szCs w:val="20"/>
              </w:rPr>
            </w:pPr>
            <w:r>
              <w:rPr>
                <w:rFonts w:ascii="Arial" w:hAnsi="Arial" w:cs="Arial"/>
                <w:szCs w:val="20"/>
              </w:rPr>
              <w:t>2,</w:t>
            </w:r>
            <w:r w:rsidR="00BA67BA">
              <w:rPr>
                <w:rFonts w:ascii="Arial" w:hAnsi="Arial" w:cs="Arial"/>
                <w:szCs w:val="20"/>
              </w:rPr>
              <w:t>871,</w:t>
            </w:r>
            <w:r w:rsidR="00A24C4A">
              <w:rPr>
                <w:rFonts w:ascii="Arial" w:hAnsi="Arial" w:cs="Arial"/>
                <w:szCs w:val="20"/>
              </w:rPr>
              <w:t>118</w:t>
            </w:r>
          </w:p>
        </w:tc>
        <w:tc>
          <w:tcPr>
            <w:tcW w:w="1374" w:type="dxa"/>
            <w:vAlign w:val="bottom"/>
          </w:tcPr>
          <w:p w14:paraId="459F2CA1" w14:textId="56E65D22" w:rsidR="00027230" w:rsidRPr="00F60034" w:rsidRDefault="00C46748" w:rsidP="00BA67BA">
            <w:pPr>
              <w:pStyle w:val="Header"/>
              <w:ind w:left="86" w:right="180" w:hanging="86"/>
              <w:jc w:val="right"/>
              <w:rPr>
                <w:rFonts w:ascii="Arial" w:hAnsi="Arial" w:cs="Arial"/>
                <w:szCs w:val="20"/>
              </w:rPr>
            </w:pPr>
            <w:r>
              <w:rPr>
                <w:rFonts w:ascii="Arial" w:hAnsi="Arial" w:cs="Arial"/>
                <w:szCs w:val="20"/>
              </w:rPr>
              <w:t>1,</w:t>
            </w:r>
            <w:r w:rsidR="00BA67BA">
              <w:rPr>
                <w:rFonts w:ascii="Arial" w:hAnsi="Arial" w:cs="Arial"/>
                <w:szCs w:val="20"/>
              </w:rPr>
              <w:t>063,887</w:t>
            </w:r>
          </w:p>
        </w:tc>
        <w:tc>
          <w:tcPr>
            <w:tcW w:w="1350" w:type="dxa"/>
          </w:tcPr>
          <w:p w14:paraId="5B0C944F" w14:textId="5EC144A3" w:rsidR="00027230" w:rsidRDefault="00027230" w:rsidP="00040621">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067FFAC0" w14:textId="4AB1566E" w:rsidR="00027230" w:rsidRDefault="00C46748" w:rsidP="00A24C4A">
            <w:pPr>
              <w:pStyle w:val="Header"/>
              <w:ind w:left="86" w:right="288" w:hanging="86"/>
              <w:jc w:val="right"/>
              <w:rPr>
                <w:rFonts w:ascii="Arial" w:hAnsi="Arial" w:cs="Arial"/>
                <w:szCs w:val="20"/>
              </w:rPr>
            </w:pPr>
            <w:r>
              <w:rPr>
                <w:rFonts w:ascii="Arial" w:hAnsi="Arial" w:cs="Arial"/>
                <w:szCs w:val="20"/>
              </w:rPr>
              <w:t>3,</w:t>
            </w:r>
            <w:r w:rsidR="00A24C4A">
              <w:rPr>
                <w:rFonts w:ascii="Arial" w:hAnsi="Arial" w:cs="Arial"/>
                <w:szCs w:val="20"/>
              </w:rPr>
              <w:t>935,005</w:t>
            </w:r>
          </w:p>
        </w:tc>
      </w:tr>
      <w:tr w:rsidR="00027230" w:rsidRPr="00F60034" w14:paraId="0DE29F91" w14:textId="77777777" w:rsidTr="00027230">
        <w:trPr>
          <w:trHeight w:hRule="exact" w:val="115"/>
        </w:trPr>
        <w:tc>
          <w:tcPr>
            <w:tcW w:w="3420" w:type="dxa"/>
          </w:tcPr>
          <w:p w14:paraId="400F6060" w14:textId="77777777" w:rsidR="00027230" w:rsidRPr="00F60034" w:rsidRDefault="00027230" w:rsidP="00040621">
            <w:pPr>
              <w:spacing w:after="0" w:line="240" w:lineRule="auto"/>
              <w:rPr>
                <w:rFonts w:ascii="Arial" w:hAnsi="Arial" w:cs="Arial"/>
                <w:szCs w:val="20"/>
              </w:rPr>
            </w:pPr>
          </w:p>
        </w:tc>
        <w:tc>
          <w:tcPr>
            <w:tcW w:w="1236" w:type="dxa"/>
          </w:tcPr>
          <w:p w14:paraId="28F12735"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374" w:type="dxa"/>
          </w:tcPr>
          <w:p w14:paraId="4679D80C"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350" w:type="dxa"/>
          </w:tcPr>
          <w:p w14:paraId="530B097D" w14:textId="77777777" w:rsidR="00027230" w:rsidRPr="00F60034" w:rsidRDefault="00027230" w:rsidP="00040621">
            <w:pPr>
              <w:spacing w:after="0" w:line="240" w:lineRule="auto"/>
              <w:ind w:right="29"/>
              <w:jc w:val="right"/>
              <w:rPr>
                <w:rStyle w:val="HeadNoteTitle"/>
                <w:rFonts w:cs="Arial"/>
                <w:b w:val="0"/>
                <w:bCs/>
                <w:sz w:val="20"/>
                <w:szCs w:val="20"/>
              </w:rPr>
            </w:pPr>
          </w:p>
        </w:tc>
        <w:tc>
          <w:tcPr>
            <w:tcW w:w="1440" w:type="dxa"/>
          </w:tcPr>
          <w:p w14:paraId="4B621C40" w14:textId="0CA28D15" w:rsidR="00027230" w:rsidRPr="00F60034" w:rsidRDefault="00027230" w:rsidP="00040621">
            <w:pPr>
              <w:spacing w:after="0" w:line="240" w:lineRule="auto"/>
              <w:ind w:right="29"/>
              <w:jc w:val="right"/>
              <w:rPr>
                <w:rStyle w:val="HeadNoteTitle"/>
                <w:rFonts w:cs="Arial"/>
                <w:b w:val="0"/>
                <w:bCs/>
                <w:sz w:val="20"/>
                <w:szCs w:val="20"/>
              </w:rPr>
            </w:pPr>
          </w:p>
        </w:tc>
      </w:tr>
      <w:tr w:rsidR="00027230" w:rsidRPr="00F60034" w14:paraId="4D00B341" w14:textId="77777777" w:rsidTr="00027230">
        <w:tc>
          <w:tcPr>
            <w:tcW w:w="3420" w:type="dxa"/>
          </w:tcPr>
          <w:p w14:paraId="3FAAF006" w14:textId="301ABE8C" w:rsidR="00027230" w:rsidRPr="004620AD" w:rsidRDefault="00027230" w:rsidP="00027230">
            <w:pPr>
              <w:spacing w:after="0" w:line="240" w:lineRule="auto"/>
              <w:rPr>
                <w:rFonts w:ascii="Arial" w:hAnsi="Arial" w:cs="Arial"/>
                <w:b/>
                <w:szCs w:val="20"/>
              </w:rPr>
            </w:pPr>
            <w:r>
              <w:rPr>
                <w:rFonts w:ascii="Arial" w:hAnsi="Arial" w:cs="Arial"/>
                <w:b/>
                <w:szCs w:val="20"/>
              </w:rPr>
              <w:t>Three months</w:t>
            </w:r>
            <w:r w:rsidRPr="004620AD">
              <w:rPr>
                <w:rFonts w:ascii="Arial" w:hAnsi="Arial" w:cs="Arial"/>
                <w:b/>
                <w:szCs w:val="20"/>
              </w:rPr>
              <w:t xml:space="preserve"> ended </w:t>
            </w:r>
            <w:r>
              <w:rPr>
                <w:rFonts w:ascii="Arial" w:hAnsi="Arial" w:cs="Arial"/>
                <w:b/>
                <w:szCs w:val="20"/>
              </w:rPr>
              <w:t>July</w:t>
            </w:r>
            <w:r w:rsidRPr="004620AD">
              <w:rPr>
                <w:rFonts w:ascii="Arial" w:hAnsi="Arial" w:cs="Arial"/>
                <w:b/>
                <w:szCs w:val="20"/>
              </w:rPr>
              <w:t xml:space="preserve"> </w:t>
            </w:r>
            <w:r>
              <w:rPr>
                <w:rFonts w:ascii="Arial" w:hAnsi="Arial" w:cs="Arial"/>
                <w:b/>
                <w:szCs w:val="20"/>
              </w:rPr>
              <w:t>31, 2019</w:t>
            </w:r>
          </w:p>
        </w:tc>
        <w:tc>
          <w:tcPr>
            <w:tcW w:w="1236" w:type="dxa"/>
            <w:vAlign w:val="bottom"/>
          </w:tcPr>
          <w:p w14:paraId="1BC6E408" w14:textId="0C79CABF"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3826D62E" w14:textId="3763B982" w:rsidR="00027230" w:rsidRPr="00F60034" w:rsidRDefault="00027230" w:rsidP="008F39E2">
            <w:pPr>
              <w:pStyle w:val="Header"/>
              <w:ind w:left="86" w:right="180" w:hanging="86"/>
              <w:jc w:val="right"/>
              <w:rPr>
                <w:rFonts w:ascii="Arial" w:hAnsi="Arial" w:cs="Arial"/>
                <w:szCs w:val="20"/>
              </w:rPr>
            </w:pPr>
          </w:p>
        </w:tc>
        <w:tc>
          <w:tcPr>
            <w:tcW w:w="1350" w:type="dxa"/>
          </w:tcPr>
          <w:p w14:paraId="356721A6"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44F3834B" w14:textId="6977D65A" w:rsidR="00027230" w:rsidRPr="00F60034" w:rsidRDefault="00027230" w:rsidP="008F39E2">
            <w:pPr>
              <w:pStyle w:val="Header"/>
              <w:ind w:left="86" w:right="288" w:hanging="86"/>
              <w:jc w:val="right"/>
              <w:rPr>
                <w:rFonts w:ascii="Arial" w:hAnsi="Arial" w:cs="Arial"/>
                <w:szCs w:val="20"/>
              </w:rPr>
            </w:pPr>
          </w:p>
        </w:tc>
      </w:tr>
      <w:tr w:rsidR="00027230" w:rsidRPr="00F60034" w14:paraId="13594FEB" w14:textId="77777777" w:rsidTr="00027230">
        <w:tc>
          <w:tcPr>
            <w:tcW w:w="3420" w:type="dxa"/>
          </w:tcPr>
          <w:p w14:paraId="2EE9AABE" w14:textId="03211149" w:rsidR="00027230" w:rsidRPr="00F60034" w:rsidRDefault="00027230" w:rsidP="008F39E2">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5548049A" w14:textId="53940B00" w:rsidR="00027230" w:rsidRPr="00F60034" w:rsidRDefault="00027230" w:rsidP="008F39E2">
            <w:pPr>
              <w:pStyle w:val="Header"/>
              <w:tabs>
                <w:tab w:val="left" w:pos="990"/>
              </w:tabs>
              <w:ind w:left="86" w:right="90" w:hanging="86"/>
              <w:jc w:val="right"/>
              <w:rPr>
                <w:rFonts w:ascii="Arial" w:hAnsi="Arial" w:cs="Arial"/>
                <w:szCs w:val="20"/>
              </w:rPr>
            </w:pPr>
            <w:r w:rsidRPr="00F60034">
              <w:rPr>
                <w:rFonts w:ascii="Arial" w:hAnsi="Arial" w:cs="Arial"/>
                <w:szCs w:val="20"/>
              </w:rPr>
              <w:t>–</w:t>
            </w:r>
          </w:p>
        </w:tc>
        <w:tc>
          <w:tcPr>
            <w:tcW w:w="1374" w:type="dxa"/>
            <w:vAlign w:val="bottom"/>
          </w:tcPr>
          <w:p w14:paraId="46E57005" w14:textId="795ACB67"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3F46344F" w14:textId="3772FA61" w:rsidR="00027230" w:rsidRPr="00F60034"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6B07551E" w14:textId="5082A6CF"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r>
      <w:tr w:rsidR="00027230" w:rsidRPr="00F60034" w14:paraId="45B168A7" w14:textId="77777777" w:rsidTr="00027230">
        <w:tc>
          <w:tcPr>
            <w:tcW w:w="3420" w:type="dxa"/>
          </w:tcPr>
          <w:p w14:paraId="645BB320" w14:textId="22590868" w:rsidR="00027230" w:rsidRPr="00F60034" w:rsidRDefault="00027230" w:rsidP="008F39E2">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2CF3BAC7" w14:textId="7324BB91" w:rsidR="00027230" w:rsidRPr="00F60034" w:rsidRDefault="00A24C4A" w:rsidP="008F39E2">
            <w:pPr>
              <w:pStyle w:val="Header"/>
              <w:tabs>
                <w:tab w:val="left" w:pos="990"/>
              </w:tabs>
              <w:ind w:left="86" w:right="90" w:hanging="86"/>
              <w:jc w:val="right"/>
              <w:rPr>
                <w:rFonts w:ascii="Arial" w:hAnsi="Arial" w:cs="Arial"/>
                <w:szCs w:val="20"/>
              </w:rPr>
            </w:pPr>
            <w:r>
              <w:rPr>
                <w:rFonts w:ascii="Arial" w:hAnsi="Arial" w:cs="Arial"/>
                <w:szCs w:val="20"/>
              </w:rPr>
              <w:t>3,957,233</w:t>
            </w:r>
          </w:p>
        </w:tc>
        <w:tc>
          <w:tcPr>
            <w:tcW w:w="1374" w:type="dxa"/>
            <w:vAlign w:val="bottom"/>
          </w:tcPr>
          <w:p w14:paraId="1D512A34" w14:textId="5783757A" w:rsidR="00027230" w:rsidRPr="00F60034" w:rsidRDefault="00A24C4A" w:rsidP="008F39E2">
            <w:pPr>
              <w:pStyle w:val="Header"/>
              <w:ind w:left="86" w:right="180" w:hanging="86"/>
              <w:jc w:val="right"/>
              <w:rPr>
                <w:rFonts w:ascii="Arial" w:hAnsi="Arial" w:cs="Arial"/>
                <w:szCs w:val="20"/>
              </w:rPr>
            </w:pPr>
            <w:r>
              <w:rPr>
                <w:rFonts w:ascii="Arial" w:hAnsi="Arial" w:cs="Arial"/>
                <w:szCs w:val="20"/>
              </w:rPr>
              <w:t>430,494</w:t>
            </w:r>
          </w:p>
        </w:tc>
        <w:tc>
          <w:tcPr>
            <w:tcW w:w="1350" w:type="dxa"/>
          </w:tcPr>
          <w:p w14:paraId="68526B1E" w14:textId="50FC3AEC"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4DCCD26C" w14:textId="71D61AD7" w:rsidR="00027230" w:rsidRDefault="00027230" w:rsidP="00A24C4A">
            <w:pPr>
              <w:pStyle w:val="Header"/>
              <w:ind w:left="86" w:right="288" w:hanging="86"/>
              <w:jc w:val="right"/>
              <w:rPr>
                <w:rFonts w:ascii="Arial" w:hAnsi="Arial" w:cs="Arial"/>
                <w:szCs w:val="20"/>
              </w:rPr>
            </w:pPr>
            <w:r>
              <w:rPr>
                <w:rFonts w:ascii="Arial" w:hAnsi="Arial" w:cs="Arial"/>
                <w:szCs w:val="20"/>
              </w:rPr>
              <w:t>4,</w:t>
            </w:r>
            <w:r w:rsidR="00A24C4A">
              <w:rPr>
                <w:rFonts w:ascii="Arial" w:hAnsi="Arial" w:cs="Arial"/>
                <w:szCs w:val="20"/>
              </w:rPr>
              <w:t>387,727</w:t>
            </w:r>
          </w:p>
        </w:tc>
      </w:tr>
      <w:tr w:rsidR="00027230" w:rsidRPr="00F60034" w14:paraId="587D16A6" w14:textId="77777777" w:rsidTr="00027230">
        <w:trPr>
          <w:trHeight w:hRule="exact" w:val="115"/>
        </w:trPr>
        <w:tc>
          <w:tcPr>
            <w:tcW w:w="3420" w:type="dxa"/>
          </w:tcPr>
          <w:p w14:paraId="4208AC54" w14:textId="77777777" w:rsidR="00027230" w:rsidRPr="00F60034" w:rsidRDefault="00027230" w:rsidP="008F39E2">
            <w:pPr>
              <w:spacing w:after="0" w:line="240" w:lineRule="auto"/>
              <w:rPr>
                <w:rFonts w:ascii="Arial" w:hAnsi="Arial" w:cs="Arial"/>
                <w:szCs w:val="20"/>
              </w:rPr>
            </w:pPr>
          </w:p>
        </w:tc>
        <w:tc>
          <w:tcPr>
            <w:tcW w:w="1236" w:type="dxa"/>
          </w:tcPr>
          <w:p w14:paraId="61C7EE4D"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Pr>
          <w:p w14:paraId="4E0DED5E"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Pr>
          <w:p w14:paraId="1DEFCBA9"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Pr>
          <w:p w14:paraId="0758107C" w14:textId="3CE45077"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4B257F76" w14:textId="77777777" w:rsidTr="00027230">
        <w:tc>
          <w:tcPr>
            <w:tcW w:w="3420" w:type="dxa"/>
          </w:tcPr>
          <w:p w14:paraId="73765A17" w14:textId="1A462E2B" w:rsidR="00027230" w:rsidRPr="004620AD" w:rsidRDefault="00027230" w:rsidP="00027230">
            <w:pPr>
              <w:spacing w:after="0" w:line="240" w:lineRule="auto"/>
              <w:rPr>
                <w:rFonts w:ascii="Arial" w:hAnsi="Arial" w:cs="Arial"/>
                <w:b/>
                <w:szCs w:val="20"/>
              </w:rPr>
            </w:pPr>
            <w:r>
              <w:rPr>
                <w:rFonts w:ascii="Arial" w:hAnsi="Arial" w:cs="Arial"/>
                <w:b/>
                <w:szCs w:val="20"/>
              </w:rPr>
              <w:t>Three months</w:t>
            </w:r>
            <w:r w:rsidRPr="004620AD">
              <w:rPr>
                <w:rFonts w:ascii="Arial" w:hAnsi="Arial" w:cs="Arial"/>
                <w:b/>
                <w:szCs w:val="20"/>
              </w:rPr>
              <w:t xml:space="preserve"> ended </w:t>
            </w:r>
            <w:r>
              <w:rPr>
                <w:rFonts w:ascii="Arial" w:hAnsi="Arial" w:cs="Arial"/>
                <w:b/>
                <w:szCs w:val="20"/>
              </w:rPr>
              <w:t>July</w:t>
            </w:r>
            <w:r w:rsidRPr="004620AD">
              <w:rPr>
                <w:rFonts w:ascii="Arial" w:hAnsi="Arial" w:cs="Arial"/>
                <w:b/>
                <w:szCs w:val="20"/>
              </w:rPr>
              <w:t xml:space="preserve"> </w:t>
            </w:r>
            <w:r>
              <w:rPr>
                <w:rFonts w:ascii="Arial" w:hAnsi="Arial" w:cs="Arial"/>
                <w:b/>
                <w:szCs w:val="20"/>
              </w:rPr>
              <w:t>31, 2018</w:t>
            </w:r>
          </w:p>
        </w:tc>
        <w:tc>
          <w:tcPr>
            <w:tcW w:w="1236" w:type="dxa"/>
            <w:vAlign w:val="bottom"/>
          </w:tcPr>
          <w:p w14:paraId="1E6B266F" w14:textId="77777777"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0FAE3064" w14:textId="77777777" w:rsidR="00027230" w:rsidRPr="00F60034" w:rsidRDefault="00027230" w:rsidP="008F39E2">
            <w:pPr>
              <w:pStyle w:val="Header"/>
              <w:ind w:left="86" w:right="180" w:hanging="86"/>
              <w:jc w:val="right"/>
              <w:rPr>
                <w:rFonts w:ascii="Arial" w:hAnsi="Arial" w:cs="Arial"/>
                <w:szCs w:val="20"/>
              </w:rPr>
            </w:pPr>
          </w:p>
        </w:tc>
        <w:tc>
          <w:tcPr>
            <w:tcW w:w="1350" w:type="dxa"/>
          </w:tcPr>
          <w:p w14:paraId="1DC559A4"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28832B6B" w14:textId="1364D17D" w:rsidR="00027230" w:rsidRPr="00F60034" w:rsidRDefault="00027230" w:rsidP="008F39E2">
            <w:pPr>
              <w:pStyle w:val="Header"/>
              <w:ind w:left="86" w:right="288" w:hanging="86"/>
              <w:jc w:val="right"/>
              <w:rPr>
                <w:rFonts w:ascii="Arial" w:hAnsi="Arial" w:cs="Arial"/>
                <w:szCs w:val="20"/>
              </w:rPr>
            </w:pPr>
          </w:p>
        </w:tc>
      </w:tr>
      <w:tr w:rsidR="00027230" w:rsidRPr="00F60034" w14:paraId="4C582511" w14:textId="77777777" w:rsidTr="00027230">
        <w:tc>
          <w:tcPr>
            <w:tcW w:w="3420" w:type="dxa"/>
          </w:tcPr>
          <w:p w14:paraId="7897B8AA" w14:textId="77777777" w:rsidR="00027230" w:rsidRPr="00F60034" w:rsidRDefault="00027230" w:rsidP="008F39E2">
            <w:pPr>
              <w:spacing w:after="0" w:line="240" w:lineRule="auto"/>
              <w:ind w:left="180"/>
              <w:rPr>
                <w:rFonts w:ascii="Arial" w:hAnsi="Arial" w:cs="Arial"/>
                <w:szCs w:val="20"/>
              </w:rPr>
            </w:pPr>
            <w:r>
              <w:rPr>
                <w:rFonts w:ascii="Arial" w:hAnsi="Arial" w:cs="Arial"/>
                <w:szCs w:val="20"/>
              </w:rPr>
              <w:t>Revenue</w:t>
            </w:r>
          </w:p>
        </w:tc>
        <w:tc>
          <w:tcPr>
            <w:tcW w:w="1236" w:type="dxa"/>
            <w:vAlign w:val="bottom"/>
          </w:tcPr>
          <w:p w14:paraId="6F945A0D" w14:textId="77777777" w:rsidR="00027230" w:rsidRPr="00F60034" w:rsidRDefault="00027230" w:rsidP="008F39E2">
            <w:pPr>
              <w:pStyle w:val="Header"/>
              <w:tabs>
                <w:tab w:val="left" w:pos="990"/>
              </w:tabs>
              <w:ind w:left="86" w:right="90" w:hanging="86"/>
              <w:jc w:val="right"/>
              <w:rPr>
                <w:rFonts w:ascii="Arial" w:hAnsi="Arial" w:cs="Arial"/>
                <w:szCs w:val="20"/>
              </w:rPr>
            </w:pPr>
            <w:r w:rsidRPr="00F60034">
              <w:rPr>
                <w:rFonts w:ascii="Arial" w:hAnsi="Arial" w:cs="Arial"/>
                <w:szCs w:val="20"/>
              </w:rPr>
              <w:t>–</w:t>
            </w:r>
          </w:p>
        </w:tc>
        <w:tc>
          <w:tcPr>
            <w:tcW w:w="1374" w:type="dxa"/>
            <w:vAlign w:val="bottom"/>
          </w:tcPr>
          <w:p w14:paraId="294F8E26" w14:textId="77777777"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7BBCE062" w14:textId="776D47D9" w:rsidR="00027230" w:rsidRPr="00F60034"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6C0D1128" w14:textId="370CA904"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r>
      <w:tr w:rsidR="00027230" w:rsidRPr="00F60034" w14:paraId="7F23C1E5" w14:textId="77777777" w:rsidTr="00027230">
        <w:tc>
          <w:tcPr>
            <w:tcW w:w="3420" w:type="dxa"/>
          </w:tcPr>
          <w:p w14:paraId="6C92C8A0" w14:textId="77777777" w:rsidR="00027230" w:rsidRPr="00F60034" w:rsidRDefault="00027230" w:rsidP="008F39E2">
            <w:pPr>
              <w:spacing w:after="0" w:line="240" w:lineRule="auto"/>
              <w:ind w:left="180"/>
              <w:rPr>
                <w:rFonts w:ascii="Arial" w:hAnsi="Arial" w:cs="Arial"/>
                <w:szCs w:val="20"/>
              </w:rPr>
            </w:pPr>
            <w:r>
              <w:rPr>
                <w:rFonts w:ascii="Arial" w:hAnsi="Arial" w:cs="Arial"/>
                <w:szCs w:val="20"/>
              </w:rPr>
              <w:t>Net loss</w:t>
            </w:r>
          </w:p>
        </w:tc>
        <w:tc>
          <w:tcPr>
            <w:tcW w:w="1236" w:type="dxa"/>
            <w:vAlign w:val="bottom"/>
          </w:tcPr>
          <w:p w14:paraId="56279EF4" w14:textId="7D4D9CF1" w:rsidR="00027230" w:rsidRPr="00F60034" w:rsidRDefault="00BA67BA" w:rsidP="00A24C4A">
            <w:pPr>
              <w:pStyle w:val="Header"/>
              <w:tabs>
                <w:tab w:val="left" w:pos="990"/>
              </w:tabs>
              <w:ind w:left="86" w:right="90" w:hanging="86"/>
              <w:jc w:val="right"/>
              <w:rPr>
                <w:rFonts w:ascii="Arial" w:hAnsi="Arial" w:cs="Arial"/>
                <w:szCs w:val="20"/>
              </w:rPr>
            </w:pPr>
            <w:r>
              <w:rPr>
                <w:rFonts w:ascii="Arial" w:hAnsi="Arial" w:cs="Arial"/>
                <w:szCs w:val="20"/>
              </w:rPr>
              <w:t>1,012,</w:t>
            </w:r>
            <w:r w:rsidR="00A24C4A">
              <w:rPr>
                <w:rFonts w:ascii="Arial" w:hAnsi="Arial" w:cs="Arial"/>
                <w:szCs w:val="20"/>
              </w:rPr>
              <w:t>365</w:t>
            </w:r>
          </w:p>
        </w:tc>
        <w:tc>
          <w:tcPr>
            <w:tcW w:w="1374" w:type="dxa"/>
            <w:vAlign w:val="bottom"/>
          </w:tcPr>
          <w:p w14:paraId="4909E828" w14:textId="23044C56" w:rsidR="00027230" w:rsidRPr="00F60034" w:rsidRDefault="00BA67BA" w:rsidP="008F39E2">
            <w:pPr>
              <w:pStyle w:val="Header"/>
              <w:ind w:left="86" w:right="180" w:hanging="86"/>
              <w:jc w:val="right"/>
              <w:rPr>
                <w:rFonts w:ascii="Arial" w:hAnsi="Arial" w:cs="Arial"/>
                <w:szCs w:val="20"/>
              </w:rPr>
            </w:pPr>
            <w:r>
              <w:rPr>
                <w:rFonts w:ascii="Arial" w:hAnsi="Arial" w:cs="Arial"/>
                <w:szCs w:val="20"/>
              </w:rPr>
              <w:t>832,753</w:t>
            </w:r>
          </w:p>
        </w:tc>
        <w:tc>
          <w:tcPr>
            <w:tcW w:w="1350" w:type="dxa"/>
          </w:tcPr>
          <w:p w14:paraId="45736B1A" w14:textId="366A410D"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1C1C277E" w14:textId="49F515C7" w:rsidR="00027230" w:rsidRDefault="00C46748" w:rsidP="00A24C4A">
            <w:pPr>
              <w:pStyle w:val="Header"/>
              <w:ind w:left="86" w:right="288" w:hanging="86"/>
              <w:jc w:val="right"/>
              <w:rPr>
                <w:rFonts w:ascii="Arial" w:hAnsi="Arial" w:cs="Arial"/>
                <w:szCs w:val="20"/>
              </w:rPr>
            </w:pPr>
            <w:r>
              <w:rPr>
                <w:rFonts w:ascii="Arial" w:hAnsi="Arial" w:cs="Arial"/>
                <w:szCs w:val="20"/>
              </w:rPr>
              <w:t>1,</w:t>
            </w:r>
            <w:r w:rsidR="00BA67BA">
              <w:rPr>
                <w:rFonts w:ascii="Arial" w:hAnsi="Arial" w:cs="Arial"/>
                <w:szCs w:val="20"/>
              </w:rPr>
              <w:t>845,</w:t>
            </w:r>
            <w:r w:rsidR="00A24C4A">
              <w:rPr>
                <w:rFonts w:ascii="Arial" w:hAnsi="Arial" w:cs="Arial"/>
                <w:szCs w:val="20"/>
              </w:rPr>
              <w:t>118</w:t>
            </w:r>
          </w:p>
        </w:tc>
      </w:tr>
      <w:tr w:rsidR="00027230" w:rsidRPr="00F60034" w14:paraId="76EDB045" w14:textId="77777777" w:rsidTr="00027230">
        <w:trPr>
          <w:trHeight w:hRule="exact" w:val="115"/>
        </w:trPr>
        <w:tc>
          <w:tcPr>
            <w:tcW w:w="3420" w:type="dxa"/>
          </w:tcPr>
          <w:p w14:paraId="19D26614" w14:textId="77777777" w:rsidR="00027230" w:rsidRPr="00F60034" w:rsidRDefault="00027230" w:rsidP="008F39E2">
            <w:pPr>
              <w:spacing w:after="0" w:line="240" w:lineRule="auto"/>
              <w:rPr>
                <w:rFonts w:ascii="Arial" w:hAnsi="Arial" w:cs="Arial"/>
                <w:szCs w:val="20"/>
              </w:rPr>
            </w:pPr>
          </w:p>
        </w:tc>
        <w:tc>
          <w:tcPr>
            <w:tcW w:w="1236" w:type="dxa"/>
          </w:tcPr>
          <w:p w14:paraId="37A2D8B8"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Pr>
          <w:p w14:paraId="7D60E14F"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Pr>
          <w:p w14:paraId="7FCEC08F"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Pr>
          <w:p w14:paraId="08B08512" w14:textId="77E0A2B4"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05978CCC" w14:textId="77777777" w:rsidTr="00027230">
        <w:tc>
          <w:tcPr>
            <w:tcW w:w="3420" w:type="dxa"/>
          </w:tcPr>
          <w:p w14:paraId="56541378" w14:textId="12D6C9B3" w:rsidR="00027230" w:rsidRPr="004620AD" w:rsidRDefault="00027230" w:rsidP="006E41F5">
            <w:pPr>
              <w:spacing w:after="0" w:line="240" w:lineRule="auto"/>
              <w:rPr>
                <w:rFonts w:ascii="Arial" w:hAnsi="Arial" w:cs="Arial"/>
                <w:b/>
                <w:szCs w:val="20"/>
              </w:rPr>
            </w:pPr>
            <w:r w:rsidRPr="00027230">
              <w:rPr>
                <w:rFonts w:ascii="Arial" w:hAnsi="Arial" w:cs="Arial"/>
                <w:b/>
                <w:szCs w:val="20"/>
              </w:rPr>
              <w:t>As at July 31, 2019</w:t>
            </w:r>
          </w:p>
        </w:tc>
        <w:tc>
          <w:tcPr>
            <w:tcW w:w="1236" w:type="dxa"/>
            <w:vAlign w:val="bottom"/>
          </w:tcPr>
          <w:p w14:paraId="727BD827" w14:textId="77777777" w:rsidR="00027230" w:rsidRPr="00F60034" w:rsidRDefault="00027230" w:rsidP="00824168">
            <w:pPr>
              <w:pStyle w:val="Header"/>
              <w:tabs>
                <w:tab w:val="left" w:pos="990"/>
              </w:tabs>
              <w:ind w:left="86" w:right="90" w:hanging="86"/>
              <w:jc w:val="right"/>
              <w:rPr>
                <w:rFonts w:ascii="Arial" w:hAnsi="Arial" w:cs="Arial"/>
                <w:szCs w:val="20"/>
              </w:rPr>
            </w:pPr>
          </w:p>
        </w:tc>
        <w:tc>
          <w:tcPr>
            <w:tcW w:w="1374" w:type="dxa"/>
            <w:vAlign w:val="bottom"/>
          </w:tcPr>
          <w:p w14:paraId="14205026" w14:textId="77777777" w:rsidR="00027230" w:rsidRPr="00F60034" w:rsidRDefault="00027230" w:rsidP="00824168">
            <w:pPr>
              <w:pStyle w:val="Header"/>
              <w:ind w:left="86" w:right="180" w:hanging="86"/>
              <w:jc w:val="right"/>
              <w:rPr>
                <w:rFonts w:ascii="Arial" w:hAnsi="Arial" w:cs="Arial"/>
                <w:szCs w:val="20"/>
              </w:rPr>
            </w:pPr>
          </w:p>
        </w:tc>
        <w:tc>
          <w:tcPr>
            <w:tcW w:w="1350" w:type="dxa"/>
          </w:tcPr>
          <w:p w14:paraId="0C4E402A" w14:textId="77777777" w:rsidR="00027230" w:rsidRPr="00F60034" w:rsidRDefault="00027230" w:rsidP="00824168">
            <w:pPr>
              <w:pStyle w:val="Header"/>
              <w:ind w:left="86" w:right="288" w:hanging="86"/>
              <w:jc w:val="right"/>
              <w:rPr>
                <w:rFonts w:ascii="Arial" w:hAnsi="Arial" w:cs="Arial"/>
                <w:szCs w:val="20"/>
              </w:rPr>
            </w:pPr>
          </w:p>
        </w:tc>
        <w:tc>
          <w:tcPr>
            <w:tcW w:w="1440" w:type="dxa"/>
            <w:vAlign w:val="bottom"/>
          </w:tcPr>
          <w:p w14:paraId="36AF7E93" w14:textId="195FD3D5" w:rsidR="00027230" w:rsidRPr="00F60034" w:rsidRDefault="00027230" w:rsidP="00824168">
            <w:pPr>
              <w:pStyle w:val="Header"/>
              <w:ind w:left="86" w:right="288" w:hanging="86"/>
              <w:jc w:val="right"/>
              <w:rPr>
                <w:rFonts w:ascii="Arial" w:hAnsi="Arial" w:cs="Arial"/>
                <w:szCs w:val="20"/>
              </w:rPr>
            </w:pPr>
          </w:p>
        </w:tc>
      </w:tr>
      <w:tr w:rsidR="00027230" w:rsidRPr="00F60034" w14:paraId="7EB50F6D" w14:textId="77777777" w:rsidTr="00027230">
        <w:tc>
          <w:tcPr>
            <w:tcW w:w="3420" w:type="dxa"/>
          </w:tcPr>
          <w:p w14:paraId="220114D9"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1E899F27" w14:textId="4146A423" w:rsidR="00027230" w:rsidRPr="00F60034" w:rsidRDefault="00027230" w:rsidP="00EC1BCE">
            <w:pPr>
              <w:pStyle w:val="Header"/>
              <w:tabs>
                <w:tab w:val="left" w:pos="990"/>
              </w:tabs>
              <w:ind w:left="86" w:right="90" w:hanging="86"/>
              <w:jc w:val="right"/>
              <w:rPr>
                <w:rFonts w:ascii="Arial" w:hAnsi="Arial" w:cs="Arial"/>
                <w:szCs w:val="20"/>
              </w:rPr>
            </w:pPr>
            <w:r>
              <w:rPr>
                <w:rFonts w:ascii="Arial" w:hAnsi="Arial" w:cs="Arial"/>
                <w:szCs w:val="20"/>
              </w:rPr>
              <w:t>8,</w:t>
            </w:r>
            <w:r w:rsidR="00EC1BCE">
              <w:rPr>
                <w:rFonts w:ascii="Arial" w:hAnsi="Arial" w:cs="Arial"/>
                <w:szCs w:val="20"/>
              </w:rPr>
              <w:t>645,787</w:t>
            </w:r>
          </w:p>
        </w:tc>
        <w:tc>
          <w:tcPr>
            <w:tcW w:w="1374" w:type="dxa"/>
            <w:vAlign w:val="bottom"/>
          </w:tcPr>
          <w:p w14:paraId="20AB583D" w14:textId="37417748" w:rsidR="00027230" w:rsidRPr="00F60034" w:rsidRDefault="00027230" w:rsidP="00EC1BCE">
            <w:pPr>
              <w:pStyle w:val="Header"/>
              <w:ind w:left="86" w:right="180" w:hanging="86"/>
              <w:jc w:val="right"/>
              <w:rPr>
                <w:rFonts w:ascii="Arial" w:hAnsi="Arial" w:cs="Arial"/>
                <w:szCs w:val="20"/>
              </w:rPr>
            </w:pPr>
            <w:r>
              <w:rPr>
                <w:rFonts w:ascii="Arial" w:hAnsi="Arial" w:cs="Arial"/>
                <w:szCs w:val="20"/>
              </w:rPr>
              <w:t>7,</w:t>
            </w:r>
            <w:r w:rsidR="00EC1BCE">
              <w:rPr>
                <w:rFonts w:ascii="Arial" w:hAnsi="Arial" w:cs="Arial"/>
                <w:szCs w:val="20"/>
              </w:rPr>
              <w:t>841,987</w:t>
            </w:r>
          </w:p>
        </w:tc>
        <w:tc>
          <w:tcPr>
            <w:tcW w:w="1350" w:type="dxa"/>
          </w:tcPr>
          <w:p w14:paraId="7159A521" w14:textId="491B2EAE" w:rsidR="00027230" w:rsidRDefault="00027230" w:rsidP="00824168">
            <w:pPr>
              <w:pStyle w:val="Header"/>
              <w:ind w:left="86" w:right="288" w:hanging="86"/>
              <w:jc w:val="right"/>
              <w:rPr>
                <w:rFonts w:ascii="Arial" w:hAnsi="Arial" w:cs="Arial"/>
                <w:szCs w:val="20"/>
              </w:rPr>
            </w:pPr>
            <w:r>
              <w:rPr>
                <w:rFonts w:ascii="Arial" w:hAnsi="Arial" w:cs="Arial"/>
                <w:szCs w:val="20"/>
              </w:rPr>
              <w:t>1,441,600</w:t>
            </w:r>
          </w:p>
        </w:tc>
        <w:tc>
          <w:tcPr>
            <w:tcW w:w="1440" w:type="dxa"/>
            <w:vAlign w:val="bottom"/>
          </w:tcPr>
          <w:p w14:paraId="6864D10F" w14:textId="64F988F7" w:rsidR="00027230" w:rsidRDefault="00027230" w:rsidP="00EC1BCE">
            <w:pPr>
              <w:pStyle w:val="Header"/>
              <w:ind w:left="86" w:right="288" w:hanging="86"/>
              <w:jc w:val="right"/>
              <w:rPr>
                <w:rFonts w:ascii="Arial" w:hAnsi="Arial" w:cs="Arial"/>
                <w:szCs w:val="20"/>
              </w:rPr>
            </w:pPr>
            <w:r>
              <w:rPr>
                <w:rFonts w:ascii="Arial" w:hAnsi="Arial" w:cs="Arial"/>
                <w:szCs w:val="20"/>
              </w:rPr>
              <w:t>17,</w:t>
            </w:r>
            <w:r w:rsidR="00EC1BCE">
              <w:rPr>
                <w:rFonts w:ascii="Arial" w:hAnsi="Arial" w:cs="Arial"/>
                <w:szCs w:val="20"/>
              </w:rPr>
              <w:t>929,374</w:t>
            </w:r>
          </w:p>
        </w:tc>
      </w:tr>
      <w:tr w:rsidR="00027230" w:rsidRPr="00F60034" w14:paraId="300B7A65" w14:textId="77777777" w:rsidTr="00027230">
        <w:tc>
          <w:tcPr>
            <w:tcW w:w="3420" w:type="dxa"/>
          </w:tcPr>
          <w:p w14:paraId="031DC6C8" w14:textId="77777777" w:rsidR="00027230" w:rsidRPr="00F60034" w:rsidRDefault="00027230" w:rsidP="00824168">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285F95A3" w14:textId="756A772D" w:rsidR="00027230" w:rsidRPr="00F60034" w:rsidRDefault="00027230" w:rsidP="00824168">
            <w:pPr>
              <w:pStyle w:val="Header"/>
              <w:tabs>
                <w:tab w:val="left" w:pos="990"/>
              </w:tabs>
              <w:ind w:left="86" w:right="90" w:hanging="86"/>
              <w:jc w:val="right"/>
              <w:rPr>
                <w:rFonts w:ascii="Arial" w:hAnsi="Arial" w:cs="Arial"/>
                <w:szCs w:val="20"/>
              </w:rPr>
            </w:pPr>
            <w:r>
              <w:rPr>
                <w:rFonts w:ascii="Arial" w:hAnsi="Arial" w:cs="Arial"/>
                <w:szCs w:val="20"/>
              </w:rPr>
              <w:t>516,222</w:t>
            </w:r>
          </w:p>
        </w:tc>
        <w:tc>
          <w:tcPr>
            <w:tcW w:w="1374" w:type="dxa"/>
            <w:vAlign w:val="bottom"/>
          </w:tcPr>
          <w:p w14:paraId="75FC63C8" w14:textId="1B468CB5" w:rsidR="00027230" w:rsidRPr="00F60034" w:rsidRDefault="00027230" w:rsidP="00824168">
            <w:pPr>
              <w:pStyle w:val="Header"/>
              <w:ind w:left="86" w:right="180" w:hanging="86"/>
              <w:jc w:val="right"/>
              <w:rPr>
                <w:rFonts w:ascii="Arial" w:hAnsi="Arial" w:cs="Arial"/>
                <w:szCs w:val="20"/>
              </w:rPr>
            </w:pPr>
            <w:r>
              <w:rPr>
                <w:rFonts w:ascii="Arial" w:hAnsi="Arial" w:cs="Arial"/>
                <w:szCs w:val="20"/>
              </w:rPr>
              <w:t>856,742</w:t>
            </w:r>
          </w:p>
        </w:tc>
        <w:tc>
          <w:tcPr>
            <w:tcW w:w="1350" w:type="dxa"/>
          </w:tcPr>
          <w:p w14:paraId="63768372" w14:textId="3E194D24" w:rsidR="00027230" w:rsidRDefault="00027230" w:rsidP="00824168">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6E8CF121" w14:textId="1720E178" w:rsidR="00027230" w:rsidRDefault="00027230" w:rsidP="00824168">
            <w:pPr>
              <w:pStyle w:val="Header"/>
              <w:ind w:left="86" w:right="288" w:hanging="86"/>
              <w:jc w:val="right"/>
              <w:rPr>
                <w:rFonts w:ascii="Arial" w:hAnsi="Arial" w:cs="Arial"/>
                <w:szCs w:val="20"/>
              </w:rPr>
            </w:pPr>
            <w:r>
              <w:rPr>
                <w:rFonts w:ascii="Arial" w:hAnsi="Arial" w:cs="Arial"/>
                <w:szCs w:val="20"/>
              </w:rPr>
              <w:t>1,372,964</w:t>
            </w:r>
          </w:p>
        </w:tc>
      </w:tr>
      <w:tr w:rsidR="00027230" w:rsidRPr="00F60034" w14:paraId="64D73C41" w14:textId="77777777" w:rsidTr="00027230">
        <w:trPr>
          <w:trHeight w:hRule="exact" w:val="115"/>
        </w:trPr>
        <w:tc>
          <w:tcPr>
            <w:tcW w:w="3420" w:type="dxa"/>
          </w:tcPr>
          <w:p w14:paraId="57F57D20" w14:textId="77777777" w:rsidR="00027230" w:rsidRPr="00F60034" w:rsidRDefault="00027230" w:rsidP="00824168">
            <w:pPr>
              <w:spacing w:after="0" w:line="240" w:lineRule="auto"/>
              <w:rPr>
                <w:rFonts w:ascii="Arial" w:hAnsi="Arial" w:cs="Arial"/>
                <w:szCs w:val="20"/>
              </w:rPr>
            </w:pPr>
          </w:p>
        </w:tc>
        <w:tc>
          <w:tcPr>
            <w:tcW w:w="1236" w:type="dxa"/>
          </w:tcPr>
          <w:p w14:paraId="7FCE205E" w14:textId="77777777" w:rsidR="00027230" w:rsidRPr="00F60034" w:rsidRDefault="00027230" w:rsidP="00824168">
            <w:pPr>
              <w:spacing w:after="0" w:line="240" w:lineRule="auto"/>
              <w:ind w:right="29"/>
              <w:jc w:val="right"/>
              <w:rPr>
                <w:rStyle w:val="HeadNoteTitle"/>
                <w:rFonts w:cs="Arial"/>
                <w:b w:val="0"/>
                <w:bCs/>
                <w:sz w:val="20"/>
                <w:szCs w:val="20"/>
              </w:rPr>
            </w:pPr>
          </w:p>
        </w:tc>
        <w:tc>
          <w:tcPr>
            <w:tcW w:w="1374" w:type="dxa"/>
          </w:tcPr>
          <w:p w14:paraId="21BCBDFF" w14:textId="77777777" w:rsidR="00027230" w:rsidRPr="00F60034" w:rsidRDefault="00027230" w:rsidP="00824168">
            <w:pPr>
              <w:spacing w:after="0" w:line="240" w:lineRule="auto"/>
              <w:ind w:right="29"/>
              <w:jc w:val="right"/>
              <w:rPr>
                <w:rStyle w:val="HeadNoteTitle"/>
                <w:rFonts w:cs="Arial"/>
                <w:b w:val="0"/>
                <w:bCs/>
                <w:sz w:val="20"/>
                <w:szCs w:val="20"/>
              </w:rPr>
            </w:pPr>
          </w:p>
        </w:tc>
        <w:tc>
          <w:tcPr>
            <w:tcW w:w="1350" w:type="dxa"/>
          </w:tcPr>
          <w:p w14:paraId="3CD7BEE5" w14:textId="77777777" w:rsidR="00027230" w:rsidRPr="00F60034" w:rsidRDefault="00027230" w:rsidP="00824168">
            <w:pPr>
              <w:spacing w:after="0" w:line="240" w:lineRule="auto"/>
              <w:ind w:right="29"/>
              <w:jc w:val="right"/>
              <w:rPr>
                <w:rStyle w:val="HeadNoteTitle"/>
                <w:rFonts w:cs="Arial"/>
                <w:b w:val="0"/>
                <w:bCs/>
                <w:sz w:val="20"/>
                <w:szCs w:val="20"/>
              </w:rPr>
            </w:pPr>
          </w:p>
        </w:tc>
        <w:tc>
          <w:tcPr>
            <w:tcW w:w="1440" w:type="dxa"/>
          </w:tcPr>
          <w:p w14:paraId="60D19F40" w14:textId="549D97DC" w:rsidR="00027230" w:rsidRPr="00F60034" w:rsidRDefault="00027230" w:rsidP="00824168">
            <w:pPr>
              <w:spacing w:after="0" w:line="240" w:lineRule="auto"/>
              <w:ind w:right="29"/>
              <w:jc w:val="right"/>
              <w:rPr>
                <w:rStyle w:val="HeadNoteTitle"/>
                <w:rFonts w:cs="Arial"/>
                <w:b w:val="0"/>
                <w:bCs/>
                <w:sz w:val="20"/>
                <w:szCs w:val="20"/>
              </w:rPr>
            </w:pPr>
          </w:p>
        </w:tc>
      </w:tr>
      <w:tr w:rsidR="00027230" w:rsidRPr="00F60034" w14:paraId="4645888C" w14:textId="77777777" w:rsidTr="00027230">
        <w:tc>
          <w:tcPr>
            <w:tcW w:w="3420" w:type="dxa"/>
          </w:tcPr>
          <w:p w14:paraId="51DAC195" w14:textId="201E7E33" w:rsidR="00027230" w:rsidRPr="004620AD" w:rsidRDefault="00027230" w:rsidP="008F39E2">
            <w:pPr>
              <w:spacing w:after="0" w:line="240" w:lineRule="auto"/>
              <w:rPr>
                <w:rFonts w:ascii="Arial" w:hAnsi="Arial" w:cs="Arial"/>
                <w:b/>
                <w:szCs w:val="20"/>
              </w:rPr>
            </w:pPr>
            <w:r w:rsidRPr="004620AD">
              <w:rPr>
                <w:rFonts w:ascii="Arial" w:hAnsi="Arial" w:cs="Arial"/>
                <w:b/>
                <w:szCs w:val="20"/>
              </w:rPr>
              <w:t>As at January 31, 2019</w:t>
            </w:r>
          </w:p>
        </w:tc>
        <w:tc>
          <w:tcPr>
            <w:tcW w:w="1236" w:type="dxa"/>
            <w:vAlign w:val="bottom"/>
          </w:tcPr>
          <w:p w14:paraId="504164D1" w14:textId="1A37E1EE"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77C59125" w14:textId="6CE3165D" w:rsidR="00027230" w:rsidRPr="00F60034" w:rsidRDefault="00027230" w:rsidP="008F39E2">
            <w:pPr>
              <w:pStyle w:val="Header"/>
              <w:ind w:left="86" w:right="180" w:hanging="86"/>
              <w:jc w:val="right"/>
              <w:rPr>
                <w:rFonts w:ascii="Arial" w:hAnsi="Arial" w:cs="Arial"/>
                <w:szCs w:val="20"/>
              </w:rPr>
            </w:pPr>
          </w:p>
        </w:tc>
        <w:tc>
          <w:tcPr>
            <w:tcW w:w="1350" w:type="dxa"/>
          </w:tcPr>
          <w:p w14:paraId="48C44285"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715E35DE" w14:textId="3BC32737" w:rsidR="00027230" w:rsidRPr="00F60034" w:rsidRDefault="00027230" w:rsidP="008F39E2">
            <w:pPr>
              <w:pStyle w:val="Header"/>
              <w:ind w:left="86" w:right="288" w:hanging="86"/>
              <w:jc w:val="right"/>
              <w:rPr>
                <w:rFonts w:ascii="Arial" w:hAnsi="Arial" w:cs="Arial"/>
                <w:szCs w:val="20"/>
              </w:rPr>
            </w:pPr>
          </w:p>
        </w:tc>
      </w:tr>
      <w:tr w:rsidR="00027230" w:rsidRPr="00F60034" w14:paraId="5FC2EB8D" w14:textId="77777777" w:rsidTr="00027230">
        <w:tc>
          <w:tcPr>
            <w:tcW w:w="3420" w:type="dxa"/>
          </w:tcPr>
          <w:p w14:paraId="74944949" w14:textId="7E761CBD" w:rsidR="00027230" w:rsidRPr="00F60034" w:rsidRDefault="00027230" w:rsidP="008F39E2">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77CC5AF8" w14:textId="2359F5B9" w:rsidR="00027230" w:rsidRPr="00F60034" w:rsidRDefault="00023821" w:rsidP="009D70DA">
            <w:pPr>
              <w:pStyle w:val="Header"/>
              <w:tabs>
                <w:tab w:val="left" w:pos="990"/>
              </w:tabs>
              <w:ind w:left="86" w:right="90" w:hanging="86"/>
              <w:jc w:val="right"/>
              <w:rPr>
                <w:rFonts w:ascii="Arial" w:hAnsi="Arial" w:cs="Arial"/>
                <w:szCs w:val="20"/>
              </w:rPr>
            </w:pPr>
            <w:r>
              <w:rPr>
                <w:rFonts w:ascii="Arial" w:hAnsi="Arial" w:cs="Arial"/>
                <w:szCs w:val="20"/>
              </w:rPr>
              <w:t>1,</w:t>
            </w:r>
            <w:r w:rsidR="009D70DA">
              <w:rPr>
                <w:rFonts w:ascii="Arial" w:hAnsi="Arial" w:cs="Arial"/>
                <w:szCs w:val="20"/>
              </w:rPr>
              <w:t>458,343</w:t>
            </w:r>
          </w:p>
        </w:tc>
        <w:tc>
          <w:tcPr>
            <w:tcW w:w="1374" w:type="dxa"/>
            <w:vAlign w:val="bottom"/>
          </w:tcPr>
          <w:p w14:paraId="75CADA32" w14:textId="0C425BDB" w:rsidR="00027230" w:rsidRPr="00F60034" w:rsidRDefault="009D70DA" w:rsidP="008F39E2">
            <w:pPr>
              <w:pStyle w:val="Header"/>
              <w:ind w:left="86" w:right="180" w:hanging="86"/>
              <w:jc w:val="right"/>
              <w:rPr>
                <w:rFonts w:ascii="Arial" w:hAnsi="Arial" w:cs="Arial"/>
                <w:szCs w:val="20"/>
              </w:rPr>
            </w:pPr>
            <w:r>
              <w:rPr>
                <w:rFonts w:ascii="Arial" w:hAnsi="Arial" w:cs="Arial"/>
                <w:szCs w:val="20"/>
              </w:rPr>
              <w:t>8,259,690</w:t>
            </w:r>
          </w:p>
        </w:tc>
        <w:tc>
          <w:tcPr>
            <w:tcW w:w="1350" w:type="dxa"/>
          </w:tcPr>
          <w:p w14:paraId="18D66632" w14:textId="6BB12CD3"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0221A4FB" w14:textId="7CA7D59A" w:rsidR="00027230" w:rsidRDefault="009D70DA" w:rsidP="00023821">
            <w:pPr>
              <w:pStyle w:val="Header"/>
              <w:ind w:left="86" w:right="288" w:hanging="86"/>
              <w:jc w:val="right"/>
              <w:rPr>
                <w:rFonts w:ascii="Arial" w:hAnsi="Arial" w:cs="Arial"/>
                <w:szCs w:val="20"/>
              </w:rPr>
            </w:pPr>
            <w:r>
              <w:rPr>
                <w:rFonts w:ascii="Arial" w:hAnsi="Arial" w:cs="Arial"/>
                <w:szCs w:val="20"/>
              </w:rPr>
              <w:t>9,718,033</w:t>
            </w:r>
          </w:p>
        </w:tc>
      </w:tr>
      <w:tr w:rsidR="00027230" w:rsidRPr="00F60034" w14:paraId="71DADAF9" w14:textId="77777777" w:rsidTr="00027230">
        <w:tc>
          <w:tcPr>
            <w:tcW w:w="3420" w:type="dxa"/>
          </w:tcPr>
          <w:p w14:paraId="53D36D2B" w14:textId="2F5CE7DD" w:rsidR="00027230" w:rsidRPr="00F60034" w:rsidRDefault="00027230" w:rsidP="008F39E2">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710FFF82" w14:textId="409EB3B0" w:rsidR="00027230" w:rsidRPr="00F60034" w:rsidRDefault="009D70DA" w:rsidP="00023821">
            <w:pPr>
              <w:pStyle w:val="Header"/>
              <w:tabs>
                <w:tab w:val="left" w:pos="990"/>
              </w:tabs>
              <w:ind w:left="86" w:right="90" w:hanging="86"/>
              <w:jc w:val="right"/>
              <w:rPr>
                <w:rFonts w:ascii="Arial" w:hAnsi="Arial" w:cs="Arial"/>
                <w:szCs w:val="20"/>
              </w:rPr>
            </w:pPr>
            <w:r>
              <w:rPr>
                <w:rFonts w:ascii="Arial" w:hAnsi="Arial" w:cs="Arial"/>
                <w:szCs w:val="20"/>
              </w:rPr>
              <w:t>4,999,244</w:t>
            </w:r>
          </w:p>
        </w:tc>
        <w:tc>
          <w:tcPr>
            <w:tcW w:w="1374" w:type="dxa"/>
            <w:vAlign w:val="bottom"/>
          </w:tcPr>
          <w:p w14:paraId="0DCA05DB" w14:textId="28748E48" w:rsidR="00027230" w:rsidRPr="00F60034" w:rsidRDefault="009D70DA" w:rsidP="008F39E2">
            <w:pPr>
              <w:pStyle w:val="Header"/>
              <w:ind w:left="86" w:right="180" w:hanging="86"/>
              <w:jc w:val="right"/>
              <w:rPr>
                <w:rFonts w:ascii="Arial" w:hAnsi="Arial" w:cs="Arial"/>
                <w:szCs w:val="20"/>
              </w:rPr>
            </w:pPr>
            <w:r>
              <w:rPr>
                <w:rFonts w:ascii="Arial" w:hAnsi="Arial" w:cs="Arial"/>
                <w:szCs w:val="20"/>
              </w:rPr>
              <w:t>1,219,176</w:t>
            </w:r>
          </w:p>
        </w:tc>
        <w:tc>
          <w:tcPr>
            <w:tcW w:w="1350" w:type="dxa"/>
          </w:tcPr>
          <w:p w14:paraId="582DFCAA" w14:textId="07119730"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1A4F5E21" w14:textId="4F3F96D0" w:rsidR="00027230" w:rsidRDefault="009D70DA" w:rsidP="00023821">
            <w:pPr>
              <w:pStyle w:val="Header"/>
              <w:ind w:left="86" w:right="288" w:hanging="86"/>
              <w:jc w:val="right"/>
              <w:rPr>
                <w:rFonts w:ascii="Arial" w:hAnsi="Arial" w:cs="Arial"/>
                <w:szCs w:val="20"/>
              </w:rPr>
            </w:pPr>
            <w:r>
              <w:rPr>
                <w:rFonts w:ascii="Arial" w:hAnsi="Arial" w:cs="Arial"/>
                <w:szCs w:val="20"/>
              </w:rPr>
              <w:t>6,218,420</w:t>
            </w:r>
          </w:p>
        </w:tc>
      </w:tr>
      <w:tr w:rsidR="00027230" w:rsidRPr="00F60034" w14:paraId="516C9AF3" w14:textId="77777777" w:rsidTr="00027230">
        <w:trPr>
          <w:trHeight w:hRule="exact" w:val="115"/>
        </w:trPr>
        <w:tc>
          <w:tcPr>
            <w:tcW w:w="3420" w:type="dxa"/>
          </w:tcPr>
          <w:p w14:paraId="421D2188" w14:textId="77777777" w:rsidR="00027230" w:rsidRPr="00F60034" w:rsidRDefault="00027230" w:rsidP="008F39E2">
            <w:pPr>
              <w:spacing w:after="0" w:line="240" w:lineRule="auto"/>
              <w:rPr>
                <w:rFonts w:ascii="Arial" w:hAnsi="Arial" w:cs="Arial"/>
                <w:szCs w:val="20"/>
              </w:rPr>
            </w:pPr>
          </w:p>
        </w:tc>
        <w:tc>
          <w:tcPr>
            <w:tcW w:w="1236" w:type="dxa"/>
          </w:tcPr>
          <w:p w14:paraId="729C379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Pr>
          <w:p w14:paraId="6E0CBBB8"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Pr>
          <w:p w14:paraId="60120E0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Pr>
          <w:p w14:paraId="798A8065" w14:textId="7742FDDD" w:rsidR="00027230" w:rsidRPr="00F60034" w:rsidRDefault="00027230" w:rsidP="008F39E2">
            <w:pPr>
              <w:spacing w:after="0" w:line="240" w:lineRule="auto"/>
              <w:ind w:right="29"/>
              <w:jc w:val="right"/>
              <w:rPr>
                <w:rStyle w:val="HeadNoteTitle"/>
                <w:rFonts w:cs="Arial"/>
                <w:b w:val="0"/>
                <w:bCs/>
                <w:sz w:val="20"/>
                <w:szCs w:val="20"/>
              </w:rPr>
            </w:pPr>
          </w:p>
        </w:tc>
      </w:tr>
      <w:tr w:rsidR="00027230" w:rsidRPr="00F60034" w14:paraId="6F7E124B" w14:textId="77777777" w:rsidTr="00027230">
        <w:tc>
          <w:tcPr>
            <w:tcW w:w="3420" w:type="dxa"/>
          </w:tcPr>
          <w:p w14:paraId="4E814AA5" w14:textId="675522A1" w:rsidR="00027230" w:rsidRPr="004620AD" w:rsidRDefault="00027230" w:rsidP="006E41F5">
            <w:pPr>
              <w:spacing w:after="0" w:line="240" w:lineRule="auto"/>
              <w:rPr>
                <w:rFonts w:ascii="Arial" w:hAnsi="Arial" w:cs="Arial"/>
                <w:b/>
                <w:szCs w:val="20"/>
              </w:rPr>
            </w:pPr>
            <w:r w:rsidRPr="004620AD">
              <w:rPr>
                <w:rFonts w:ascii="Arial" w:hAnsi="Arial" w:cs="Arial"/>
                <w:b/>
                <w:szCs w:val="20"/>
              </w:rPr>
              <w:t xml:space="preserve">As at </w:t>
            </w:r>
            <w:r>
              <w:rPr>
                <w:rFonts w:ascii="Arial" w:hAnsi="Arial" w:cs="Arial"/>
                <w:b/>
                <w:szCs w:val="20"/>
              </w:rPr>
              <w:t>February 1,</w:t>
            </w:r>
            <w:r w:rsidRPr="004620AD">
              <w:rPr>
                <w:rFonts w:ascii="Arial" w:hAnsi="Arial" w:cs="Arial"/>
                <w:b/>
                <w:szCs w:val="20"/>
              </w:rPr>
              <w:t xml:space="preserve"> 2</w:t>
            </w:r>
            <w:r>
              <w:rPr>
                <w:rFonts w:ascii="Arial" w:hAnsi="Arial" w:cs="Arial"/>
                <w:b/>
                <w:szCs w:val="20"/>
              </w:rPr>
              <w:t>018</w:t>
            </w:r>
          </w:p>
        </w:tc>
        <w:tc>
          <w:tcPr>
            <w:tcW w:w="1236" w:type="dxa"/>
            <w:vAlign w:val="bottom"/>
          </w:tcPr>
          <w:p w14:paraId="51198B22" w14:textId="77777777" w:rsidR="00027230" w:rsidRPr="00F60034" w:rsidRDefault="00027230" w:rsidP="008F39E2">
            <w:pPr>
              <w:pStyle w:val="Header"/>
              <w:tabs>
                <w:tab w:val="left" w:pos="990"/>
              </w:tabs>
              <w:ind w:left="86" w:right="90" w:hanging="86"/>
              <w:jc w:val="right"/>
              <w:rPr>
                <w:rFonts w:ascii="Arial" w:hAnsi="Arial" w:cs="Arial"/>
                <w:szCs w:val="20"/>
              </w:rPr>
            </w:pPr>
          </w:p>
        </w:tc>
        <w:tc>
          <w:tcPr>
            <w:tcW w:w="1374" w:type="dxa"/>
            <w:vAlign w:val="bottom"/>
          </w:tcPr>
          <w:p w14:paraId="5BFB8678" w14:textId="77777777" w:rsidR="00027230" w:rsidRPr="00F60034" w:rsidRDefault="00027230" w:rsidP="008F39E2">
            <w:pPr>
              <w:pStyle w:val="Header"/>
              <w:ind w:left="86" w:right="180" w:hanging="86"/>
              <w:jc w:val="right"/>
              <w:rPr>
                <w:rFonts w:ascii="Arial" w:hAnsi="Arial" w:cs="Arial"/>
                <w:szCs w:val="20"/>
              </w:rPr>
            </w:pPr>
          </w:p>
        </w:tc>
        <w:tc>
          <w:tcPr>
            <w:tcW w:w="1350" w:type="dxa"/>
          </w:tcPr>
          <w:p w14:paraId="14BA7340" w14:textId="77777777" w:rsidR="00027230" w:rsidRPr="00F60034" w:rsidRDefault="00027230" w:rsidP="008F39E2">
            <w:pPr>
              <w:pStyle w:val="Header"/>
              <w:ind w:left="86" w:right="288" w:hanging="86"/>
              <w:jc w:val="right"/>
              <w:rPr>
                <w:rFonts w:ascii="Arial" w:hAnsi="Arial" w:cs="Arial"/>
                <w:szCs w:val="20"/>
              </w:rPr>
            </w:pPr>
          </w:p>
        </w:tc>
        <w:tc>
          <w:tcPr>
            <w:tcW w:w="1440" w:type="dxa"/>
            <w:vAlign w:val="bottom"/>
          </w:tcPr>
          <w:p w14:paraId="5B6291BE" w14:textId="2FB02CFB" w:rsidR="00027230" w:rsidRPr="00F60034" w:rsidRDefault="00027230" w:rsidP="008F39E2">
            <w:pPr>
              <w:pStyle w:val="Header"/>
              <w:ind w:left="86" w:right="288" w:hanging="86"/>
              <w:jc w:val="right"/>
              <w:rPr>
                <w:rFonts w:ascii="Arial" w:hAnsi="Arial" w:cs="Arial"/>
                <w:szCs w:val="20"/>
              </w:rPr>
            </w:pPr>
          </w:p>
        </w:tc>
      </w:tr>
      <w:tr w:rsidR="00027230" w:rsidRPr="00F60034" w14:paraId="34626B96" w14:textId="77777777" w:rsidTr="00027230">
        <w:trPr>
          <w:trHeight w:val="135"/>
        </w:trPr>
        <w:tc>
          <w:tcPr>
            <w:tcW w:w="3420" w:type="dxa"/>
          </w:tcPr>
          <w:p w14:paraId="5290B324" w14:textId="67FEB470" w:rsidR="00027230" w:rsidRPr="00F60034" w:rsidRDefault="00027230" w:rsidP="008F39E2">
            <w:pPr>
              <w:spacing w:after="0" w:line="240" w:lineRule="auto"/>
              <w:ind w:left="180"/>
              <w:rPr>
                <w:rFonts w:ascii="Arial" w:hAnsi="Arial" w:cs="Arial"/>
                <w:szCs w:val="20"/>
              </w:rPr>
            </w:pPr>
            <w:r>
              <w:rPr>
                <w:rFonts w:ascii="Arial" w:hAnsi="Arial" w:cs="Arial"/>
                <w:szCs w:val="20"/>
              </w:rPr>
              <w:t>Total assets</w:t>
            </w:r>
          </w:p>
        </w:tc>
        <w:tc>
          <w:tcPr>
            <w:tcW w:w="1236" w:type="dxa"/>
            <w:vAlign w:val="bottom"/>
          </w:tcPr>
          <w:p w14:paraId="14355B80" w14:textId="75953D40" w:rsidR="00027230" w:rsidRPr="00F60034" w:rsidRDefault="00027230" w:rsidP="008F39E2">
            <w:pPr>
              <w:pStyle w:val="Header"/>
              <w:tabs>
                <w:tab w:val="left" w:pos="990"/>
              </w:tabs>
              <w:ind w:left="86" w:right="90" w:hanging="86"/>
              <w:jc w:val="right"/>
              <w:rPr>
                <w:rFonts w:ascii="Arial" w:hAnsi="Arial" w:cs="Arial"/>
                <w:szCs w:val="20"/>
              </w:rPr>
            </w:pPr>
            <w:r>
              <w:rPr>
                <w:rFonts w:ascii="Arial" w:hAnsi="Arial" w:cs="Arial"/>
                <w:szCs w:val="20"/>
              </w:rPr>
              <w:t>471,826</w:t>
            </w:r>
          </w:p>
        </w:tc>
        <w:tc>
          <w:tcPr>
            <w:tcW w:w="1374" w:type="dxa"/>
            <w:vAlign w:val="bottom"/>
          </w:tcPr>
          <w:p w14:paraId="5E03F4CC" w14:textId="77777777"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7D718841" w14:textId="48E1BBB8"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58D311E5" w14:textId="4FE41E77" w:rsidR="00027230" w:rsidRDefault="00027230" w:rsidP="008F39E2">
            <w:pPr>
              <w:pStyle w:val="Header"/>
              <w:ind w:left="86" w:right="288" w:hanging="86"/>
              <w:jc w:val="right"/>
              <w:rPr>
                <w:rFonts w:ascii="Arial" w:hAnsi="Arial" w:cs="Arial"/>
                <w:szCs w:val="20"/>
              </w:rPr>
            </w:pPr>
            <w:r>
              <w:rPr>
                <w:rFonts w:ascii="Arial" w:hAnsi="Arial" w:cs="Arial"/>
                <w:szCs w:val="20"/>
              </w:rPr>
              <w:t>471,826</w:t>
            </w:r>
          </w:p>
        </w:tc>
      </w:tr>
      <w:tr w:rsidR="00027230" w:rsidRPr="00F60034" w14:paraId="42BF8AFE" w14:textId="77777777" w:rsidTr="00027230">
        <w:tc>
          <w:tcPr>
            <w:tcW w:w="3420" w:type="dxa"/>
          </w:tcPr>
          <w:p w14:paraId="3EC63AD3" w14:textId="5A0F4C5C" w:rsidR="00027230" w:rsidRPr="00F60034" w:rsidRDefault="00027230" w:rsidP="008F39E2">
            <w:pPr>
              <w:spacing w:after="0" w:line="240" w:lineRule="auto"/>
              <w:ind w:left="180"/>
              <w:rPr>
                <w:rFonts w:ascii="Arial" w:hAnsi="Arial" w:cs="Arial"/>
                <w:szCs w:val="20"/>
              </w:rPr>
            </w:pPr>
            <w:r>
              <w:rPr>
                <w:rFonts w:ascii="Arial" w:hAnsi="Arial" w:cs="Arial"/>
                <w:szCs w:val="20"/>
              </w:rPr>
              <w:t>Total liabilities</w:t>
            </w:r>
          </w:p>
        </w:tc>
        <w:tc>
          <w:tcPr>
            <w:tcW w:w="1236" w:type="dxa"/>
            <w:vAlign w:val="bottom"/>
          </w:tcPr>
          <w:p w14:paraId="55CB889E" w14:textId="521C8DA5" w:rsidR="00027230" w:rsidRPr="00F60034" w:rsidRDefault="00027230" w:rsidP="008F39E2">
            <w:pPr>
              <w:pStyle w:val="Header"/>
              <w:tabs>
                <w:tab w:val="left" w:pos="990"/>
              </w:tabs>
              <w:ind w:left="86" w:right="90" w:hanging="86"/>
              <w:jc w:val="right"/>
              <w:rPr>
                <w:rFonts w:ascii="Arial" w:hAnsi="Arial" w:cs="Arial"/>
                <w:szCs w:val="20"/>
              </w:rPr>
            </w:pPr>
            <w:r>
              <w:rPr>
                <w:rFonts w:ascii="Arial" w:hAnsi="Arial" w:cs="Arial"/>
                <w:szCs w:val="20"/>
              </w:rPr>
              <w:t>527,618</w:t>
            </w:r>
          </w:p>
        </w:tc>
        <w:tc>
          <w:tcPr>
            <w:tcW w:w="1374" w:type="dxa"/>
            <w:vAlign w:val="bottom"/>
          </w:tcPr>
          <w:p w14:paraId="7C44F8AD" w14:textId="5F034976" w:rsidR="00027230" w:rsidRPr="00F60034" w:rsidRDefault="00027230" w:rsidP="008F39E2">
            <w:pPr>
              <w:pStyle w:val="Header"/>
              <w:ind w:left="86" w:right="180" w:hanging="86"/>
              <w:jc w:val="right"/>
              <w:rPr>
                <w:rFonts w:ascii="Arial" w:hAnsi="Arial" w:cs="Arial"/>
                <w:szCs w:val="20"/>
              </w:rPr>
            </w:pPr>
            <w:r w:rsidRPr="00F60034">
              <w:rPr>
                <w:rFonts w:ascii="Arial" w:hAnsi="Arial" w:cs="Arial"/>
                <w:szCs w:val="20"/>
              </w:rPr>
              <w:t>–</w:t>
            </w:r>
          </w:p>
        </w:tc>
        <w:tc>
          <w:tcPr>
            <w:tcW w:w="1350" w:type="dxa"/>
          </w:tcPr>
          <w:p w14:paraId="187626C8" w14:textId="16EB4CED" w:rsidR="00027230" w:rsidRDefault="00027230" w:rsidP="008F39E2">
            <w:pPr>
              <w:pStyle w:val="Header"/>
              <w:ind w:left="86" w:right="288" w:hanging="86"/>
              <w:jc w:val="right"/>
              <w:rPr>
                <w:rFonts w:ascii="Arial" w:hAnsi="Arial" w:cs="Arial"/>
                <w:szCs w:val="20"/>
              </w:rPr>
            </w:pPr>
            <w:r w:rsidRPr="00F60034">
              <w:rPr>
                <w:rFonts w:ascii="Arial" w:hAnsi="Arial" w:cs="Arial"/>
                <w:szCs w:val="20"/>
              </w:rPr>
              <w:t>–</w:t>
            </w:r>
          </w:p>
        </w:tc>
        <w:tc>
          <w:tcPr>
            <w:tcW w:w="1440" w:type="dxa"/>
            <w:vAlign w:val="bottom"/>
          </w:tcPr>
          <w:p w14:paraId="7D04F889" w14:textId="07851B54" w:rsidR="00027230" w:rsidRDefault="00027230" w:rsidP="008F39E2">
            <w:pPr>
              <w:pStyle w:val="Header"/>
              <w:ind w:left="86" w:right="288" w:hanging="86"/>
              <w:jc w:val="right"/>
              <w:rPr>
                <w:rFonts w:ascii="Arial" w:hAnsi="Arial" w:cs="Arial"/>
                <w:szCs w:val="20"/>
              </w:rPr>
            </w:pPr>
            <w:r>
              <w:rPr>
                <w:rFonts w:ascii="Arial" w:hAnsi="Arial" w:cs="Arial"/>
                <w:szCs w:val="20"/>
              </w:rPr>
              <w:t>527,618</w:t>
            </w:r>
          </w:p>
        </w:tc>
      </w:tr>
      <w:tr w:rsidR="00027230" w:rsidRPr="00F60034" w14:paraId="707A89E6" w14:textId="77777777" w:rsidTr="00027230">
        <w:trPr>
          <w:trHeight w:hRule="exact" w:val="115"/>
        </w:trPr>
        <w:tc>
          <w:tcPr>
            <w:tcW w:w="3420" w:type="dxa"/>
            <w:tcBorders>
              <w:bottom w:val="single" w:sz="2" w:space="0" w:color="auto"/>
            </w:tcBorders>
          </w:tcPr>
          <w:p w14:paraId="740F6B21" w14:textId="77777777" w:rsidR="00027230" w:rsidRPr="00F60034" w:rsidRDefault="00027230" w:rsidP="008F39E2">
            <w:pPr>
              <w:spacing w:after="0" w:line="240" w:lineRule="auto"/>
              <w:rPr>
                <w:rFonts w:ascii="Arial" w:hAnsi="Arial" w:cs="Arial"/>
                <w:szCs w:val="20"/>
              </w:rPr>
            </w:pPr>
          </w:p>
        </w:tc>
        <w:tc>
          <w:tcPr>
            <w:tcW w:w="1236" w:type="dxa"/>
            <w:tcBorders>
              <w:bottom w:val="single" w:sz="2" w:space="0" w:color="auto"/>
            </w:tcBorders>
          </w:tcPr>
          <w:p w14:paraId="0E8DC7C1"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74" w:type="dxa"/>
            <w:tcBorders>
              <w:bottom w:val="single" w:sz="2" w:space="0" w:color="auto"/>
            </w:tcBorders>
          </w:tcPr>
          <w:p w14:paraId="7034E6D7"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350" w:type="dxa"/>
            <w:tcBorders>
              <w:bottom w:val="single" w:sz="2" w:space="0" w:color="auto"/>
            </w:tcBorders>
          </w:tcPr>
          <w:p w14:paraId="191FCE30" w14:textId="77777777" w:rsidR="00027230" w:rsidRPr="00F60034" w:rsidRDefault="00027230" w:rsidP="008F39E2">
            <w:pPr>
              <w:spacing w:after="0" w:line="240" w:lineRule="auto"/>
              <w:ind w:right="29"/>
              <w:jc w:val="right"/>
              <w:rPr>
                <w:rStyle w:val="HeadNoteTitle"/>
                <w:rFonts w:cs="Arial"/>
                <w:b w:val="0"/>
                <w:bCs/>
                <w:sz w:val="20"/>
                <w:szCs w:val="20"/>
              </w:rPr>
            </w:pPr>
          </w:p>
        </w:tc>
        <w:tc>
          <w:tcPr>
            <w:tcW w:w="1440" w:type="dxa"/>
            <w:tcBorders>
              <w:bottom w:val="single" w:sz="2" w:space="0" w:color="auto"/>
            </w:tcBorders>
          </w:tcPr>
          <w:p w14:paraId="3888BAFF" w14:textId="07BA8227" w:rsidR="00027230" w:rsidRPr="00F60034" w:rsidRDefault="00027230" w:rsidP="008F39E2">
            <w:pPr>
              <w:spacing w:after="0" w:line="240" w:lineRule="auto"/>
              <w:ind w:right="29"/>
              <w:jc w:val="right"/>
              <w:rPr>
                <w:rStyle w:val="HeadNoteTitle"/>
                <w:rFonts w:cs="Arial"/>
                <w:b w:val="0"/>
                <w:bCs/>
                <w:sz w:val="20"/>
                <w:szCs w:val="20"/>
              </w:rPr>
            </w:pPr>
          </w:p>
        </w:tc>
      </w:tr>
    </w:tbl>
    <w:p w14:paraId="4477C57E" w14:textId="77777777" w:rsidR="00850E6C" w:rsidRDefault="00850E6C"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43C8B5C" w14:textId="268F5039" w:rsidR="00A219A1" w:rsidRDefault="00A219A1"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2C07FA">
        <w:rPr>
          <w:rFonts w:ascii="Arial" w:hAnsi="Arial" w:cs="Arial"/>
          <w:b/>
          <w:szCs w:val="20"/>
        </w:rPr>
        <w:t>1</w:t>
      </w:r>
      <w:r w:rsidR="00FF5082">
        <w:rPr>
          <w:rFonts w:ascii="Arial" w:hAnsi="Arial" w:cs="Arial"/>
          <w:b/>
          <w:szCs w:val="20"/>
        </w:rPr>
        <w:t>9</w:t>
      </w:r>
      <w:r w:rsidRPr="002C07FA">
        <w:rPr>
          <w:rFonts w:ascii="Arial" w:hAnsi="Arial" w:cs="Arial"/>
          <w:b/>
          <w:szCs w:val="20"/>
        </w:rPr>
        <w:t>.</w:t>
      </w:r>
      <w:r w:rsidRPr="002C07FA">
        <w:rPr>
          <w:rFonts w:ascii="Arial" w:hAnsi="Arial" w:cs="Arial"/>
          <w:b/>
          <w:szCs w:val="20"/>
        </w:rPr>
        <w:tab/>
      </w:r>
      <w:r>
        <w:rPr>
          <w:rFonts w:ascii="Arial" w:hAnsi="Arial" w:cs="Arial"/>
          <w:b/>
          <w:szCs w:val="20"/>
        </w:rPr>
        <w:t>Management</w:t>
      </w:r>
      <w:r w:rsidR="00554D4C">
        <w:rPr>
          <w:rFonts w:ascii="Arial" w:hAnsi="Arial" w:cs="Arial"/>
          <w:b/>
          <w:szCs w:val="20"/>
        </w:rPr>
        <w:t xml:space="preserve"> of Financial Risk</w:t>
      </w:r>
    </w:p>
    <w:p w14:paraId="65C9F139"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0E62685C" w14:textId="2BB0CB3D" w:rsidR="00554D4C"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Company’s financial instruments are exposed to certain risks, including credit risk, interest rate risk, liquidity risk and </w:t>
      </w:r>
      <w:r w:rsidR="00EA65FB">
        <w:rPr>
          <w:rFonts w:ascii="Arial" w:hAnsi="Arial" w:cs="Arial"/>
          <w:szCs w:val="20"/>
        </w:rPr>
        <w:t>currency</w:t>
      </w:r>
      <w:r>
        <w:rPr>
          <w:rFonts w:ascii="Arial" w:hAnsi="Arial" w:cs="Arial"/>
          <w:szCs w:val="20"/>
        </w:rPr>
        <w:t xml:space="preserve"> risk.</w:t>
      </w:r>
    </w:p>
    <w:p w14:paraId="76FB11DC" w14:textId="77777777" w:rsidR="00A93EB0" w:rsidRDefault="00A93EB0" w:rsidP="00554D4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42E8F24E" w14:textId="7CCB779E"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Credit risk</w:t>
      </w:r>
    </w:p>
    <w:p w14:paraId="6256296C"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2EACA221" w14:textId="112F3648" w:rsidR="00A93EB0" w:rsidRDefault="00A93EB0" w:rsidP="00DB7415">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Credit risk is the risk of loss if a customer or third party to a financial instrument fails to meet its contractual obligations.  The Company’s cash is held through reputable financial institutions in Canada and the U.S.  The Company’s amounts receivable consists of Goods and Services Tax due from the</w:t>
      </w:r>
      <w:r w:rsidR="00C21FEB">
        <w:rPr>
          <w:rFonts w:ascii="Arial" w:hAnsi="Arial" w:cs="Arial"/>
          <w:szCs w:val="20"/>
        </w:rPr>
        <w:t xml:space="preserve"> federal government of Canada. </w:t>
      </w:r>
      <w:r w:rsidR="00DB7415">
        <w:rPr>
          <w:rFonts w:ascii="Arial" w:hAnsi="Arial" w:cs="Arial"/>
          <w:szCs w:val="20"/>
        </w:rPr>
        <w:t>The carrying amount of cash</w:t>
      </w:r>
      <w:r w:rsidR="00DB7415" w:rsidRPr="00DB7415">
        <w:rPr>
          <w:rFonts w:ascii="Arial" w:hAnsi="Arial" w:cs="Arial"/>
          <w:szCs w:val="20"/>
        </w:rPr>
        <w:t xml:space="preserve"> and amounts</w:t>
      </w:r>
      <w:r w:rsidR="00DB7415">
        <w:rPr>
          <w:rFonts w:ascii="Arial" w:hAnsi="Arial" w:cs="Arial"/>
          <w:szCs w:val="20"/>
        </w:rPr>
        <w:t xml:space="preserve"> </w:t>
      </w:r>
      <w:r w:rsidR="00DB7415" w:rsidRPr="00DB7415">
        <w:rPr>
          <w:rFonts w:ascii="Arial" w:hAnsi="Arial" w:cs="Arial"/>
          <w:szCs w:val="20"/>
        </w:rPr>
        <w:t xml:space="preserve">receivable represent the </w:t>
      </w:r>
      <w:r w:rsidR="00D05E2A">
        <w:rPr>
          <w:rFonts w:ascii="Arial" w:hAnsi="Arial" w:cs="Arial"/>
          <w:szCs w:val="20"/>
        </w:rPr>
        <w:t>maximum exposure to credit risk.  A</w:t>
      </w:r>
      <w:r w:rsidR="00DB7415" w:rsidRPr="00DB7415">
        <w:rPr>
          <w:rFonts w:ascii="Arial" w:hAnsi="Arial" w:cs="Arial"/>
          <w:szCs w:val="20"/>
        </w:rPr>
        <w:t xml:space="preserve">s at </w:t>
      </w:r>
      <w:r w:rsidR="00C21FEB">
        <w:rPr>
          <w:rFonts w:ascii="Arial" w:hAnsi="Arial" w:cs="Arial"/>
          <w:szCs w:val="20"/>
        </w:rPr>
        <w:t>July 31</w:t>
      </w:r>
      <w:r w:rsidR="00DB7415" w:rsidRPr="00DB7415">
        <w:rPr>
          <w:rFonts w:ascii="Arial" w:hAnsi="Arial" w:cs="Arial"/>
          <w:szCs w:val="20"/>
        </w:rPr>
        <w:t>, 2019, this amounted to $</w:t>
      </w:r>
      <w:r w:rsidR="00D05E2A">
        <w:rPr>
          <w:rFonts w:ascii="Arial" w:hAnsi="Arial" w:cs="Arial"/>
          <w:szCs w:val="20"/>
        </w:rPr>
        <w:t>7,384,1</w:t>
      </w:r>
      <w:r w:rsidR="00C21FEB">
        <w:rPr>
          <w:rFonts w:ascii="Arial" w:hAnsi="Arial" w:cs="Arial"/>
          <w:szCs w:val="20"/>
        </w:rPr>
        <w:t>91</w:t>
      </w:r>
      <w:r w:rsidR="006E41F5">
        <w:rPr>
          <w:rFonts w:ascii="Arial" w:hAnsi="Arial" w:cs="Arial"/>
          <w:szCs w:val="20"/>
        </w:rPr>
        <w:t xml:space="preserve"> (</w:t>
      </w:r>
      <w:r w:rsidR="00E60B54">
        <w:rPr>
          <w:rFonts w:ascii="Arial" w:hAnsi="Arial" w:cs="Arial"/>
          <w:szCs w:val="20"/>
        </w:rPr>
        <w:t>January 31, 2019 - $</w:t>
      </w:r>
      <w:r w:rsidR="00C21FEB">
        <w:rPr>
          <w:rFonts w:ascii="Arial" w:hAnsi="Arial" w:cs="Arial"/>
          <w:szCs w:val="20"/>
        </w:rPr>
        <w:t>119,289</w:t>
      </w:r>
      <w:r w:rsidR="00E60B54">
        <w:rPr>
          <w:rFonts w:ascii="Arial" w:hAnsi="Arial" w:cs="Arial"/>
          <w:szCs w:val="20"/>
        </w:rPr>
        <w:t>; February 1, 2018 - $</w:t>
      </w:r>
      <w:r w:rsidR="00C21FEB">
        <w:rPr>
          <w:rFonts w:ascii="Arial" w:hAnsi="Arial" w:cs="Arial"/>
          <w:szCs w:val="20"/>
        </w:rPr>
        <w:t>84,426)</w:t>
      </w:r>
      <w:r w:rsidR="00E60B54">
        <w:rPr>
          <w:rFonts w:ascii="Arial" w:hAnsi="Arial" w:cs="Arial"/>
          <w:szCs w:val="20"/>
        </w:rPr>
        <w:t>.</w:t>
      </w:r>
    </w:p>
    <w:p w14:paraId="0ED97AAE"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484417B6" w14:textId="60FB2466" w:rsidR="00A93EB0" w:rsidRDefault="00A93EB0"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Interest rate risk</w:t>
      </w:r>
    </w:p>
    <w:p w14:paraId="1DB05697" w14:textId="77777777"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10F6AA29" w14:textId="702EB41E" w:rsidR="00A93EB0" w:rsidRDefault="00A93EB0"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Interest rate risk is the risk that fair values of future cash flows of a financial instrument will fluctuate because of changes in market interest rates.  The Company is</w:t>
      </w:r>
      <w:r w:rsidR="00E60B54">
        <w:rPr>
          <w:rFonts w:ascii="Arial" w:hAnsi="Arial" w:cs="Arial"/>
          <w:szCs w:val="20"/>
        </w:rPr>
        <w:t xml:space="preserve"> not</w:t>
      </w:r>
      <w:r>
        <w:rPr>
          <w:rFonts w:ascii="Arial" w:hAnsi="Arial" w:cs="Arial"/>
          <w:szCs w:val="20"/>
        </w:rPr>
        <w:t xml:space="preserve"> exposed to interest rate risk</w:t>
      </w:r>
      <w:r w:rsidR="00AF3F1A">
        <w:rPr>
          <w:rFonts w:ascii="Arial" w:hAnsi="Arial" w:cs="Arial"/>
          <w:szCs w:val="20"/>
        </w:rPr>
        <w:t>.</w:t>
      </w:r>
    </w:p>
    <w:p w14:paraId="5BE74B34" w14:textId="77777777" w:rsidR="00D97DF6" w:rsidRDefault="00D97DF6" w:rsidP="00D97D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56190D5D" w14:textId="77777777" w:rsidR="00850E6C" w:rsidRDefault="00850E6C">
      <w:pPr>
        <w:rPr>
          <w:rFonts w:ascii="Arial" w:hAnsi="Arial" w:cs="Arial"/>
          <w:b/>
          <w:szCs w:val="20"/>
        </w:rPr>
      </w:pPr>
      <w:r>
        <w:rPr>
          <w:rFonts w:ascii="Arial" w:hAnsi="Arial" w:cs="Arial"/>
          <w:b/>
          <w:szCs w:val="20"/>
        </w:rPr>
        <w:br w:type="page"/>
      </w:r>
    </w:p>
    <w:p w14:paraId="699C84B8" w14:textId="785E5613" w:rsidR="00850E6C" w:rsidRPr="00850E6C" w:rsidRDefault="00850E6C" w:rsidP="00850E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sidRPr="002C07FA">
        <w:rPr>
          <w:rFonts w:ascii="Arial" w:hAnsi="Arial" w:cs="Arial"/>
          <w:b/>
          <w:szCs w:val="20"/>
        </w:rPr>
        <w:lastRenderedPageBreak/>
        <w:t>1</w:t>
      </w:r>
      <w:r>
        <w:rPr>
          <w:rFonts w:ascii="Arial" w:hAnsi="Arial" w:cs="Arial"/>
          <w:b/>
          <w:szCs w:val="20"/>
        </w:rPr>
        <w:t>9</w:t>
      </w:r>
      <w:r w:rsidRPr="002C07FA">
        <w:rPr>
          <w:rFonts w:ascii="Arial" w:hAnsi="Arial" w:cs="Arial"/>
          <w:b/>
          <w:szCs w:val="20"/>
        </w:rPr>
        <w:t>.</w:t>
      </w:r>
      <w:r w:rsidRPr="002C07FA">
        <w:rPr>
          <w:rFonts w:ascii="Arial" w:hAnsi="Arial" w:cs="Arial"/>
          <w:b/>
          <w:szCs w:val="20"/>
        </w:rPr>
        <w:tab/>
      </w:r>
      <w:r>
        <w:rPr>
          <w:rFonts w:ascii="Arial" w:hAnsi="Arial" w:cs="Arial"/>
          <w:b/>
          <w:szCs w:val="20"/>
        </w:rPr>
        <w:t xml:space="preserve">Management of Financial Risk </w:t>
      </w:r>
      <w:r>
        <w:rPr>
          <w:rFonts w:ascii="Arial" w:hAnsi="Arial" w:cs="Arial"/>
          <w:szCs w:val="20"/>
        </w:rPr>
        <w:t>(continued)</w:t>
      </w:r>
    </w:p>
    <w:p w14:paraId="54555B4D" w14:textId="77777777" w:rsidR="00850E6C" w:rsidRDefault="00850E6C" w:rsidP="00D97DF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70B045B6" w14:textId="6398E369" w:rsidR="00AF3F1A" w:rsidRDefault="00AF3F1A"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Liquidity risk</w:t>
      </w:r>
    </w:p>
    <w:p w14:paraId="7269E591" w14:textId="77777777"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7B59172C" w14:textId="27457101" w:rsidR="00AF3F1A" w:rsidRDefault="00AF3F1A" w:rsidP="00AF3F1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AF3F1A">
        <w:rPr>
          <w:rFonts w:ascii="Arial" w:hAnsi="Arial" w:cs="Arial"/>
          <w:szCs w:val="20"/>
        </w:rPr>
        <w:t xml:space="preserve">Liquidity risk is the risk that the Company will not be able to meet is financial obligations as they come due.  The Company </w:t>
      </w:r>
      <w:r>
        <w:rPr>
          <w:rFonts w:ascii="Arial" w:hAnsi="Arial" w:cs="Arial"/>
          <w:szCs w:val="20"/>
        </w:rPr>
        <w:t>manages liquidity risk through the management o</w:t>
      </w:r>
      <w:r w:rsidR="00E60B54">
        <w:rPr>
          <w:rFonts w:ascii="Arial" w:hAnsi="Arial" w:cs="Arial"/>
          <w:szCs w:val="20"/>
        </w:rPr>
        <w:t>f its capital structure (Note 20</w:t>
      </w:r>
      <w:r>
        <w:rPr>
          <w:rFonts w:ascii="Arial" w:hAnsi="Arial" w:cs="Arial"/>
          <w:szCs w:val="20"/>
        </w:rPr>
        <w:t>)</w:t>
      </w:r>
      <w:r w:rsidRPr="00AF3F1A">
        <w:rPr>
          <w:rFonts w:ascii="Arial" w:hAnsi="Arial" w:cs="Arial"/>
          <w:szCs w:val="20"/>
        </w:rPr>
        <w:t>.</w:t>
      </w:r>
      <w:r>
        <w:rPr>
          <w:rFonts w:ascii="Arial" w:hAnsi="Arial" w:cs="Arial"/>
          <w:szCs w:val="20"/>
        </w:rPr>
        <w:t xml:space="preserve">  </w:t>
      </w:r>
      <w:r w:rsidRPr="00AF3F1A">
        <w:rPr>
          <w:rFonts w:ascii="Arial" w:hAnsi="Arial" w:cs="Arial"/>
          <w:szCs w:val="20"/>
        </w:rPr>
        <w:t>Accounts payable and accrued liabilities</w:t>
      </w:r>
      <w:r w:rsidR="00E60B54">
        <w:rPr>
          <w:rFonts w:ascii="Arial" w:hAnsi="Arial" w:cs="Arial"/>
          <w:szCs w:val="20"/>
        </w:rPr>
        <w:t xml:space="preserve"> and due to related parties </w:t>
      </w:r>
      <w:r w:rsidRPr="00AF3F1A">
        <w:rPr>
          <w:rFonts w:ascii="Arial" w:hAnsi="Arial" w:cs="Arial"/>
          <w:szCs w:val="20"/>
        </w:rPr>
        <w:t>are due within the current operating period</w:t>
      </w:r>
      <w:r w:rsidR="00EA65FB">
        <w:rPr>
          <w:rFonts w:ascii="Arial" w:hAnsi="Arial" w:cs="Arial"/>
          <w:szCs w:val="20"/>
        </w:rPr>
        <w:t>.</w:t>
      </w:r>
    </w:p>
    <w:p w14:paraId="123E8E75" w14:textId="77777777" w:rsidR="00E92D5A" w:rsidRDefault="00E92D5A" w:rsidP="00E92D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19096073" w14:textId="05C4CBE4" w:rsidR="00EA65FB" w:rsidRDefault="00EA65FB" w:rsidP="00CF1342">
      <w:pPr>
        <w:pStyle w:val="ListParagraph"/>
        <w:numPr>
          <w:ilvl w:val="0"/>
          <w:numId w:val="3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szCs w:val="20"/>
        </w:rPr>
        <w:t>Currency risk</w:t>
      </w:r>
    </w:p>
    <w:p w14:paraId="7210B38B" w14:textId="77777777"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69CEAEFC" w14:textId="139C810B" w:rsidR="00EA65FB" w:rsidRDefault="00EA65FB" w:rsidP="00EA65FB">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sidRPr="00EA65FB">
        <w:rPr>
          <w:rFonts w:ascii="Arial" w:hAnsi="Arial" w:cs="Arial"/>
          <w:szCs w:val="20"/>
        </w:rPr>
        <w:t>Currency risk is the risk of loss due to fluctuation of foreign exchange rates and the effects of these fluctuations on foreign currency denominated mon</w:t>
      </w:r>
      <w:r>
        <w:rPr>
          <w:rFonts w:ascii="Arial" w:hAnsi="Arial" w:cs="Arial"/>
          <w:szCs w:val="20"/>
        </w:rPr>
        <w:t>etary assets and liabilities.  The Company is not exposed to significant currency risk as the parent entity and subsidiaries primarily transact in their functional currencies.  The Company does not invest in derivatives to mitigate these risks.</w:t>
      </w:r>
    </w:p>
    <w:p w14:paraId="2C0CC91C" w14:textId="55A4CF2C" w:rsidR="00A219A1" w:rsidRDefault="00A219A1" w:rsidP="00A93EB0">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b/>
          <w:szCs w:val="20"/>
        </w:rPr>
      </w:pPr>
    </w:p>
    <w:p w14:paraId="1B0046E5" w14:textId="2ADF4C63" w:rsidR="00A219A1" w:rsidRDefault="00FF5082" w:rsidP="00A219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Pr>
          <w:rFonts w:ascii="Arial" w:hAnsi="Arial" w:cs="Arial"/>
          <w:b/>
          <w:szCs w:val="20"/>
        </w:rPr>
        <w:t>20</w:t>
      </w:r>
      <w:r w:rsidR="00A219A1" w:rsidRPr="002C07FA">
        <w:rPr>
          <w:rFonts w:ascii="Arial" w:hAnsi="Arial" w:cs="Arial"/>
          <w:b/>
          <w:szCs w:val="20"/>
        </w:rPr>
        <w:t>.</w:t>
      </w:r>
      <w:r w:rsidR="00A219A1" w:rsidRPr="002C07FA">
        <w:rPr>
          <w:rFonts w:ascii="Arial" w:hAnsi="Arial" w:cs="Arial"/>
          <w:b/>
          <w:szCs w:val="20"/>
        </w:rPr>
        <w:tab/>
      </w:r>
      <w:r w:rsidR="00A219A1">
        <w:rPr>
          <w:rFonts w:ascii="Arial" w:hAnsi="Arial" w:cs="Arial"/>
          <w:b/>
          <w:szCs w:val="20"/>
        </w:rPr>
        <w:t>Management of Capital</w:t>
      </w:r>
    </w:p>
    <w:p w14:paraId="4772D272"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44ADD817" w14:textId="7A93DC46" w:rsidR="00A219A1"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Company’s objectives when managing capital are to safeguard the Company’s ability to continue as a going concern in order to pursue the </w:t>
      </w:r>
      <w:r w:rsidRPr="007B5B1C">
        <w:rPr>
          <w:rFonts w:ascii="Arial" w:hAnsi="Arial" w:cs="Arial"/>
          <w:szCs w:val="20"/>
        </w:rPr>
        <w:t>development and commercialization of patented, differentiated and premium quality cannabinoid-based nutraceuticals and pharmaceuticals</w:t>
      </w:r>
      <w:r>
        <w:rPr>
          <w:rFonts w:ascii="Arial" w:hAnsi="Arial" w:cs="Arial"/>
          <w:szCs w:val="20"/>
        </w:rPr>
        <w:t xml:space="preserve">, and to maintain a flexible capital structure.  The Company considers its capital to be its </w:t>
      </w:r>
      <w:r w:rsidR="00E60B54">
        <w:rPr>
          <w:rFonts w:ascii="Arial" w:hAnsi="Arial" w:cs="Arial"/>
          <w:szCs w:val="20"/>
        </w:rPr>
        <w:t>shareholders’</w:t>
      </w:r>
      <w:r>
        <w:rPr>
          <w:rFonts w:ascii="Arial" w:hAnsi="Arial" w:cs="Arial"/>
          <w:szCs w:val="20"/>
        </w:rPr>
        <w:t xml:space="preserve"> equity.</w:t>
      </w:r>
    </w:p>
    <w:p w14:paraId="5A839C1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55F7EFE5" w14:textId="0CBDD292"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Pr>
          <w:rFonts w:ascii="Arial" w:hAnsi="Arial" w:cs="Arial"/>
          <w:szCs w:val="20"/>
        </w:rPr>
        <w:t xml:space="preserve">The Company manages its capital structure and makes adjustments to it in light of changes in economic conditions and the risk characteristics of its assets.  To maintain or adjust its capital structure, the Company may issue new common </w:t>
      </w:r>
      <w:r w:rsidR="00F07391">
        <w:rPr>
          <w:rFonts w:ascii="Arial" w:hAnsi="Arial" w:cs="Arial"/>
          <w:szCs w:val="20"/>
        </w:rPr>
        <w:t>shares</w:t>
      </w:r>
      <w:r>
        <w:rPr>
          <w:rFonts w:ascii="Arial" w:hAnsi="Arial" w:cs="Arial"/>
          <w:szCs w:val="20"/>
        </w:rPr>
        <w:t xml:space="preserve"> or debenture, acquire or dispose of assets or adjust the amount of cash.</w:t>
      </w:r>
    </w:p>
    <w:p w14:paraId="1EBB9000" w14:textId="77777777" w:rsid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p>
    <w:p w14:paraId="1C900A26" w14:textId="211CBBD9" w:rsidR="007B5B1C" w:rsidRPr="007B5B1C" w:rsidRDefault="007B5B1C" w:rsidP="007B5B1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450"/>
        <w:jc w:val="both"/>
        <w:rPr>
          <w:rFonts w:ascii="Arial" w:hAnsi="Arial" w:cs="Arial"/>
          <w:szCs w:val="20"/>
        </w:rPr>
      </w:pPr>
      <w:r w:rsidRPr="007B5B1C">
        <w:rPr>
          <w:rFonts w:ascii="Arial" w:hAnsi="Arial" w:cs="Arial"/>
          <w:szCs w:val="20"/>
        </w:rPr>
        <w:t>In order to facilitate the management of its capital requirements, the Company prepares expenditure budgets that are updated as necessary depending on various factors, including successful capital deployment and general industry conditions.  In order to maximize ongoing development efforts, the Company does not pay out dividends.</w:t>
      </w:r>
      <w:r>
        <w:rPr>
          <w:rFonts w:ascii="Arial" w:hAnsi="Arial" w:cs="Arial"/>
          <w:szCs w:val="20"/>
        </w:rPr>
        <w:t xml:space="preserve"> There are no external restrictions on the Company’s capital.</w:t>
      </w:r>
    </w:p>
    <w:p w14:paraId="018C0C12" w14:textId="77777777" w:rsidR="00A219A1" w:rsidRDefault="00A219A1"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202A6993" w14:textId="57B4AD71" w:rsidR="00E3748C" w:rsidRDefault="00BD31CE"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1704A9">
        <w:rPr>
          <w:rFonts w:ascii="Arial" w:hAnsi="Arial" w:cs="Arial"/>
          <w:b/>
          <w:szCs w:val="20"/>
        </w:rPr>
        <w:t>2</w:t>
      </w:r>
      <w:r w:rsidR="00FF5082" w:rsidRPr="001704A9">
        <w:rPr>
          <w:rFonts w:ascii="Arial" w:hAnsi="Arial" w:cs="Arial"/>
          <w:b/>
          <w:szCs w:val="20"/>
        </w:rPr>
        <w:t>1</w:t>
      </w:r>
      <w:r w:rsidR="00E3748C" w:rsidRPr="001704A9">
        <w:rPr>
          <w:rFonts w:ascii="Arial" w:hAnsi="Arial" w:cs="Arial"/>
          <w:b/>
          <w:szCs w:val="20"/>
        </w:rPr>
        <w:t>.</w:t>
      </w:r>
      <w:r w:rsidR="00E3748C" w:rsidRPr="001704A9">
        <w:rPr>
          <w:rFonts w:ascii="Arial" w:hAnsi="Arial" w:cs="Arial"/>
          <w:b/>
          <w:szCs w:val="20"/>
        </w:rPr>
        <w:tab/>
        <w:t>Events</w:t>
      </w:r>
      <w:r w:rsidR="00012E41" w:rsidRPr="001704A9">
        <w:rPr>
          <w:rFonts w:ascii="Arial" w:hAnsi="Arial" w:cs="Arial"/>
          <w:b/>
          <w:szCs w:val="20"/>
        </w:rPr>
        <w:t xml:space="preserve"> After the Reporting Date</w:t>
      </w:r>
    </w:p>
    <w:p w14:paraId="03933425" w14:textId="77777777" w:rsidR="00C174F9" w:rsidRDefault="00C174F9" w:rsidP="00F15B9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6226A49A" w14:textId="52C27333" w:rsidR="00716A93" w:rsidRDefault="00716A93" w:rsidP="001704A9">
      <w:pPr>
        <w:pStyle w:val="ListParagraph"/>
        <w:numPr>
          <w:ilvl w:val="0"/>
          <w:numId w:val="3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 xml:space="preserve">On August 30, 2019, 200,000 share purchase options with exercise price of $1.67 </w:t>
      </w:r>
      <w:r w:rsidR="00BC3E90">
        <w:rPr>
          <w:rFonts w:ascii="Arial" w:hAnsi="Arial" w:cs="Arial"/>
          <w:szCs w:val="20"/>
        </w:rPr>
        <w:t xml:space="preserve">and 2,000,000 share purchase options with exercise price of US$0.70 </w:t>
      </w:r>
      <w:r>
        <w:rPr>
          <w:rFonts w:ascii="Arial" w:hAnsi="Arial" w:cs="Arial"/>
          <w:szCs w:val="20"/>
        </w:rPr>
        <w:t>forfeited.</w:t>
      </w:r>
    </w:p>
    <w:p w14:paraId="04C5FAA9" w14:textId="77777777" w:rsidR="00716A93" w:rsidRDefault="00716A93" w:rsidP="00716A93">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p>
    <w:p w14:paraId="5C39E9C0" w14:textId="6531CA13" w:rsidR="00A841E0" w:rsidRDefault="00A841E0" w:rsidP="001704A9">
      <w:pPr>
        <w:pStyle w:val="ListParagraph"/>
        <w:numPr>
          <w:ilvl w:val="0"/>
          <w:numId w:val="3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ind w:left="810"/>
        <w:jc w:val="both"/>
        <w:rPr>
          <w:rFonts w:ascii="Arial" w:hAnsi="Arial" w:cs="Arial"/>
          <w:szCs w:val="20"/>
        </w:rPr>
      </w:pPr>
      <w:r>
        <w:rPr>
          <w:rFonts w:ascii="Arial" w:hAnsi="Arial" w:cs="Arial"/>
          <w:szCs w:val="20"/>
        </w:rPr>
        <w:t xml:space="preserve">On </w:t>
      </w:r>
      <w:r w:rsidR="001704A9">
        <w:rPr>
          <w:rFonts w:ascii="Arial" w:hAnsi="Arial" w:cs="Arial"/>
          <w:szCs w:val="20"/>
        </w:rPr>
        <w:t>September</w:t>
      </w:r>
      <w:r>
        <w:rPr>
          <w:rFonts w:ascii="Arial" w:hAnsi="Arial" w:cs="Arial"/>
          <w:szCs w:val="20"/>
        </w:rPr>
        <w:t xml:space="preserve"> 5, 2019,</w:t>
      </w:r>
      <w:r w:rsidR="001704A9">
        <w:rPr>
          <w:rFonts w:ascii="Arial" w:hAnsi="Arial" w:cs="Arial"/>
          <w:szCs w:val="20"/>
        </w:rPr>
        <w:t xml:space="preserve"> the Company entered into a</w:t>
      </w:r>
      <w:r>
        <w:rPr>
          <w:rFonts w:ascii="Arial" w:hAnsi="Arial" w:cs="Arial"/>
          <w:szCs w:val="20"/>
        </w:rPr>
        <w:t xml:space="preserve"> </w:t>
      </w:r>
      <w:r w:rsidR="001704A9" w:rsidRPr="001704A9">
        <w:rPr>
          <w:rFonts w:ascii="Arial" w:hAnsi="Arial" w:cs="Arial"/>
          <w:szCs w:val="20"/>
        </w:rPr>
        <w:t xml:space="preserve">binding letter of intent to acquire 51% of iAmHealth, an online nutraceutical distribution and sales platform serving the </w:t>
      </w:r>
      <w:r w:rsidR="001704A9">
        <w:rPr>
          <w:rFonts w:ascii="Arial" w:hAnsi="Arial" w:cs="Arial"/>
          <w:szCs w:val="20"/>
        </w:rPr>
        <w:t>European Union</w:t>
      </w:r>
      <w:r w:rsidR="001704A9" w:rsidRPr="001704A9">
        <w:rPr>
          <w:rFonts w:ascii="Arial" w:hAnsi="Arial" w:cs="Arial"/>
          <w:szCs w:val="20"/>
        </w:rPr>
        <w:t xml:space="preserve"> market</w:t>
      </w:r>
      <w:r w:rsidR="001704A9">
        <w:rPr>
          <w:rFonts w:ascii="Arial" w:hAnsi="Arial" w:cs="Arial"/>
          <w:szCs w:val="20"/>
        </w:rPr>
        <w:t>.  Upon closing of the acquisition, the Company will issue common shares equivalent to €50,000.</w:t>
      </w:r>
    </w:p>
    <w:p w14:paraId="56FBFB58" w14:textId="77777777" w:rsidR="00A841E0" w:rsidRPr="00A841E0" w:rsidRDefault="00A841E0" w:rsidP="00A841E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p>
    <w:p w14:paraId="4F5408A2" w14:textId="533CE048" w:rsidR="00012E41" w:rsidRPr="00012E41" w:rsidRDefault="00BD31CE"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r w:rsidRPr="003A3456">
        <w:rPr>
          <w:rFonts w:ascii="Arial" w:hAnsi="Arial" w:cs="Arial"/>
          <w:b/>
          <w:szCs w:val="20"/>
        </w:rPr>
        <w:t>2</w:t>
      </w:r>
      <w:r w:rsidR="00FF5082" w:rsidRPr="003A3456">
        <w:rPr>
          <w:rFonts w:ascii="Arial" w:hAnsi="Arial" w:cs="Arial"/>
          <w:b/>
          <w:szCs w:val="20"/>
        </w:rPr>
        <w:t>2</w:t>
      </w:r>
      <w:r w:rsidR="00012E41" w:rsidRPr="003A3456">
        <w:rPr>
          <w:rFonts w:ascii="Arial" w:hAnsi="Arial" w:cs="Arial"/>
          <w:b/>
          <w:szCs w:val="20"/>
        </w:rPr>
        <w:t>.</w:t>
      </w:r>
      <w:r w:rsidR="00012E41" w:rsidRPr="003A3456">
        <w:rPr>
          <w:rFonts w:ascii="Arial" w:hAnsi="Arial" w:cs="Arial"/>
          <w:b/>
          <w:szCs w:val="20"/>
        </w:rPr>
        <w:tab/>
        <w:t>Transition to IFRS</w:t>
      </w:r>
    </w:p>
    <w:p w14:paraId="65DC0026" w14:textId="77777777" w:rsidR="00012E41" w:rsidRPr="00012E41" w:rsidRDefault="00012E41" w:rsidP="00012E4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b/>
          <w:szCs w:val="20"/>
        </w:rPr>
      </w:pPr>
    </w:p>
    <w:p w14:paraId="65CE77C1" w14:textId="1C692A53" w:rsidR="007B5B1C" w:rsidRDefault="00020199" w:rsidP="007B5B1C">
      <w:pPr>
        <w:pStyle w:val="ListParagraph"/>
        <w:spacing w:after="0" w:line="240" w:lineRule="auto"/>
        <w:ind w:left="450" w:right="75"/>
        <w:jc w:val="both"/>
        <w:rPr>
          <w:rFonts w:ascii="Arial" w:hAnsi="Arial" w:cs="Arial"/>
          <w:szCs w:val="20"/>
        </w:rPr>
      </w:pPr>
      <w:r>
        <w:rPr>
          <w:rFonts w:ascii="Arial" w:hAnsi="Arial" w:cs="Arial"/>
          <w:szCs w:val="20"/>
        </w:rPr>
        <w:t xml:space="preserve">These are the Company’s first </w:t>
      </w:r>
      <w:r w:rsidR="003E1BD6">
        <w:rPr>
          <w:rFonts w:ascii="Arial" w:hAnsi="Arial" w:cs="Arial"/>
          <w:szCs w:val="20"/>
        </w:rPr>
        <w:t xml:space="preserve">condensed </w:t>
      </w:r>
      <w:r>
        <w:rPr>
          <w:rFonts w:ascii="Arial" w:hAnsi="Arial" w:cs="Arial"/>
          <w:szCs w:val="20"/>
        </w:rPr>
        <w:t>consolidated interim financial statements prepared in accordance with IFRS</w:t>
      </w:r>
      <w:r w:rsidR="007B5B1C" w:rsidRPr="007B5B1C">
        <w:rPr>
          <w:rFonts w:ascii="Arial" w:hAnsi="Arial" w:cs="Arial"/>
          <w:szCs w:val="20"/>
        </w:rPr>
        <w:t>.</w:t>
      </w:r>
      <w:r>
        <w:rPr>
          <w:rFonts w:ascii="Arial" w:hAnsi="Arial" w:cs="Arial"/>
          <w:szCs w:val="20"/>
        </w:rPr>
        <w:t xml:space="preserve">  </w:t>
      </w:r>
    </w:p>
    <w:p w14:paraId="144AC626" w14:textId="77777777" w:rsidR="00020199" w:rsidRDefault="00020199" w:rsidP="007B5B1C">
      <w:pPr>
        <w:pStyle w:val="ListParagraph"/>
        <w:spacing w:after="0" w:line="240" w:lineRule="auto"/>
        <w:ind w:left="450" w:right="75"/>
        <w:jc w:val="both"/>
        <w:rPr>
          <w:rFonts w:ascii="Arial" w:hAnsi="Arial" w:cs="Arial"/>
          <w:szCs w:val="20"/>
        </w:rPr>
      </w:pPr>
    </w:p>
    <w:p w14:paraId="0440E894" w14:textId="77777777" w:rsidR="00BC3E90" w:rsidRDefault="00BC3E90">
      <w:pPr>
        <w:rPr>
          <w:rFonts w:ascii="Arial" w:hAnsi="Arial" w:cs="Arial"/>
          <w:b/>
          <w:szCs w:val="20"/>
        </w:rPr>
      </w:pPr>
      <w:r>
        <w:rPr>
          <w:rFonts w:ascii="Arial" w:hAnsi="Arial" w:cs="Arial"/>
          <w:b/>
          <w:szCs w:val="20"/>
        </w:rPr>
        <w:br w:type="page"/>
      </w:r>
    </w:p>
    <w:p w14:paraId="2BDDD3E1" w14:textId="781622C5" w:rsidR="00BC3E90" w:rsidRPr="008F39E2" w:rsidRDefault="00BC3E90" w:rsidP="00BC3E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bookmarkStart w:id="0" w:name="_GoBack"/>
      <w:bookmarkEnd w:id="0"/>
      <w:r>
        <w:rPr>
          <w:rFonts w:ascii="Arial" w:hAnsi="Arial" w:cs="Arial"/>
          <w:b/>
          <w:szCs w:val="20"/>
        </w:rPr>
        <w:lastRenderedPageBreak/>
        <w:t>22</w:t>
      </w:r>
      <w:r w:rsidRPr="00012E41">
        <w:rPr>
          <w:rFonts w:ascii="Arial" w:hAnsi="Arial" w:cs="Arial"/>
          <w:b/>
          <w:szCs w:val="20"/>
        </w:rPr>
        <w:t>.</w:t>
      </w:r>
      <w:r w:rsidRPr="00012E41">
        <w:rPr>
          <w:rFonts w:ascii="Arial" w:hAnsi="Arial" w:cs="Arial"/>
          <w:b/>
          <w:szCs w:val="20"/>
        </w:rPr>
        <w:tab/>
      </w:r>
      <w:r>
        <w:rPr>
          <w:rFonts w:ascii="Arial" w:hAnsi="Arial" w:cs="Arial"/>
          <w:b/>
          <w:szCs w:val="20"/>
        </w:rPr>
        <w:t xml:space="preserve">Transition to IFRS </w:t>
      </w:r>
      <w:r>
        <w:rPr>
          <w:rFonts w:ascii="Arial" w:hAnsi="Arial" w:cs="Arial"/>
          <w:szCs w:val="20"/>
        </w:rPr>
        <w:t>(continued)</w:t>
      </w:r>
    </w:p>
    <w:p w14:paraId="00D2A3AD" w14:textId="77777777" w:rsidR="00BC3E90" w:rsidRDefault="00BC3E90" w:rsidP="007B5B1C">
      <w:pPr>
        <w:pStyle w:val="ListParagraph"/>
        <w:spacing w:after="0" w:line="240" w:lineRule="auto"/>
        <w:ind w:left="450" w:right="75"/>
        <w:jc w:val="both"/>
        <w:rPr>
          <w:rFonts w:ascii="Arial" w:hAnsi="Arial" w:cs="Arial"/>
          <w:szCs w:val="20"/>
        </w:rPr>
      </w:pPr>
    </w:p>
    <w:p w14:paraId="0A962C96" w14:textId="09896448" w:rsidR="00020199" w:rsidRDefault="00020199" w:rsidP="007B5B1C">
      <w:pPr>
        <w:pStyle w:val="ListParagraph"/>
        <w:spacing w:after="0" w:line="240" w:lineRule="auto"/>
        <w:ind w:left="450" w:right="75"/>
        <w:jc w:val="both"/>
        <w:rPr>
          <w:rFonts w:ascii="Arial" w:hAnsi="Arial" w:cs="Arial"/>
          <w:szCs w:val="20"/>
        </w:rPr>
      </w:pPr>
      <w:r>
        <w:rPr>
          <w:rFonts w:ascii="Arial" w:hAnsi="Arial" w:cs="Arial"/>
          <w:szCs w:val="20"/>
        </w:rPr>
        <w:t>The accounting policies set out in Note 2 have been consistently applied in preparing the interim financial statements for the three and six months ended July 31, 2019, the comparative information presented in these interim financial statements for both three and six months ended July 31, 2018 and year ended January 31, 2019, and in the preparation of an opening IFRS statement of financial position at February 1, 2018 (“Transition Date”).</w:t>
      </w:r>
    </w:p>
    <w:p w14:paraId="3FD520BF" w14:textId="77777777" w:rsidR="00020199" w:rsidRDefault="00020199" w:rsidP="007B5B1C">
      <w:pPr>
        <w:pStyle w:val="ListParagraph"/>
        <w:spacing w:after="0" w:line="240" w:lineRule="auto"/>
        <w:ind w:left="450" w:right="75"/>
        <w:jc w:val="both"/>
        <w:rPr>
          <w:rFonts w:ascii="Arial" w:hAnsi="Arial" w:cs="Arial"/>
          <w:szCs w:val="20"/>
        </w:rPr>
      </w:pPr>
    </w:p>
    <w:p w14:paraId="6E5614E1" w14:textId="785FAD91" w:rsidR="00020199"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In preparing its opening </w:t>
      </w:r>
      <w:r>
        <w:rPr>
          <w:rFonts w:ascii="Arial" w:hAnsi="Arial" w:cs="Arial"/>
          <w:szCs w:val="20"/>
        </w:rPr>
        <w:t xml:space="preserve">and comparative </w:t>
      </w:r>
      <w:r w:rsidRPr="00020199">
        <w:rPr>
          <w:rFonts w:ascii="Arial" w:hAnsi="Arial" w:cs="Arial"/>
          <w:szCs w:val="20"/>
        </w:rPr>
        <w:t xml:space="preserve">IFRS statement of financial position, </w:t>
      </w:r>
      <w:r>
        <w:rPr>
          <w:rFonts w:ascii="Arial" w:hAnsi="Arial" w:cs="Arial"/>
          <w:szCs w:val="20"/>
        </w:rPr>
        <w:t>the Company</w:t>
      </w:r>
      <w:r w:rsidRPr="00020199">
        <w:rPr>
          <w:rFonts w:ascii="Arial" w:hAnsi="Arial" w:cs="Arial"/>
          <w:szCs w:val="20"/>
        </w:rPr>
        <w:t xml:space="preserve"> has adjusted amounts reported</w:t>
      </w:r>
      <w:r>
        <w:rPr>
          <w:rFonts w:ascii="Arial" w:hAnsi="Arial" w:cs="Arial"/>
          <w:szCs w:val="20"/>
        </w:rPr>
        <w:t xml:space="preserve"> </w:t>
      </w:r>
      <w:r w:rsidRPr="00020199">
        <w:rPr>
          <w:rFonts w:ascii="Arial" w:hAnsi="Arial" w:cs="Arial"/>
          <w:szCs w:val="20"/>
        </w:rPr>
        <w:t xml:space="preserve">previously in financial statements prepared in accordance with </w:t>
      </w:r>
      <w:r>
        <w:rPr>
          <w:rFonts w:ascii="Arial" w:hAnsi="Arial" w:cs="Arial"/>
          <w:szCs w:val="20"/>
        </w:rPr>
        <w:t>U.S.</w:t>
      </w:r>
      <w:r w:rsidRPr="00020199">
        <w:rPr>
          <w:rFonts w:ascii="Arial" w:hAnsi="Arial" w:cs="Arial"/>
          <w:szCs w:val="20"/>
        </w:rPr>
        <w:t xml:space="preserve"> GAAP</w:t>
      </w:r>
      <w:r>
        <w:rPr>
          <w:rFonts w:ascii="Arial" w:hAnsi="Arial" w:cs="Arial"/>
          <w:szCs w:val="20"/>
        </w:rPr>
        <w:t xml:space="preserve"> (“U.S.</w:t>
      </w:r>
      <w:r w:rsidRPr="00020199">
        <w:rPr>
          <w:rFonts w:ascii="Arial" w:hAnsi="Arial" w:cs="Arial"/>
          <w:szCs w:val="20"/>
        </w:rPr>
        <w:t xml:space="preserve"> GAAP</w:t>
      </w:r>
      <w:r>
        <w:rPr>
          <w:rFonts w:ascii="Arial" w:hAnsi="Arial" w:cs="Arial"/>
          <w:szCs w:val="20"/>
        </w:rPr>
        <w:t>”</w:t>
      </w:r>
      <w:r w:rsidRPr="00020199">
        <w:rPr>
          <w:rFonts w:ascii="Arial" w:hAnsi="Arial" w:cs="Arial"/>
          <w:szCs w:val="20"/>
        </w:rPr>
        <w:t>). Explanations</w:t>
      </w:r>
      <w:r>
        <w:rPr>
          <w:rFonts w:ascii="Arial" w:hAnsi="Arial" w:cs="Arial"/>
          <w:szCs w:val="20"/>
        </w:rPr>
        <w:t xml:space="preserve"> </w:t>
      </w:r>
      <w:r w:rsidRPr="00020199">
        <w:rPr>
          <w:rFonts w:ascii="Arial" w:hAnsi="Arial" w:cs="Arial"/>
          <w:szCs w:val="20"/>
        </w:rPr>
        <w:t xml:space="preserve">of how the transition from </w:t>
      </w:r>
      <w:r>
        <w:rPr>
          <w:rFonts w:ascii="Arial" w:hAnsi="Arial" w:cs="Arial"/>
          <w:szCs w:val="20"/>
        </w:rPr>
        <w:t>U.S.</w:t>
      </w:r>
      <w:r w:rsidRPr="00020199">
        <w:rPr>
          <w:rFonts w:ascii="Arial" w:hAnsi="Arial" w:cs="Arial"/>
          <w:szCs w:val="20"/>
        </w:rPr>
        <w:t xml:space="preserve"> GAAP to IFRS has affected the Company’s equity and its</w:t>
      </w:r>
      <w:r>
        <w:rPr>
          <w:rFonts w:ascii="Arial" w:hAnsi="Arial" w:cs="Arial"/>
          <w:szCs w:val="20"/>
        </w:rPr>
        <w:t xml:space="preserve"> </w:t>
      </w:r>
      <w:r w:rsidRPr="00020199">
        <w:rPr>
          <w:rFonts w:ascii="Arial" w:hAnsi="Arial" w:cs="Arial"/>
          <w:szCs w:val="20"/>
        </w:rPr>
        <w:t>comprehensive income (loss) are set out in the following reconciliations and the notes that accompany them.</w:t>
      </w:r>
    </w:p>
    <w:p w14:paraId="275CFDB0" w14:textId="77777777" w:rsidR="00020199" w:rsidRDefault="00020199" w:rsidP="00020199">
      <w:pPr>
        <w:pStyle w:val="ListParagraph"/>
        <w:spacing w:after="0" w:line="240" w:lineRule="auto"/>
        <w:ind w:left="450" w:right="75"/>
        <w:jc w:val="both"/>
        <w:rPr>
          <w:rFonts w:ascii="Arial" w:hAnsi="Arial" w:cs="Arial"/>
          <w:szCs w:val="20"/>
        </w:rPr>
      </w:pPr>
    </w:p>
    <w:p w14:paraId="357D10A5" w14:textId="1DF9F51F" w:rsidR="00020199" w:rsidRPr="007B5B1C"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The changes made to the consolidated statements of income (loss), comprehensive income (loss) and the</w:t>
      </w:r>
      <w:r>
        <w:rPr>
          <w:rFonts w:ascii="Arial" w:hAnsi="Arial" w:cs="Arial"/>
          <w:szCs w:val="20"/>
        </w:rPr>
        <w:t xml:space="preserve"> </w:t>
      </w:r>
      <w:r w:rsidRPr="00020199">
        <w:rPr>
          <w:rFonts w:ascii="Arial" w:hAnsi="Arial" w:cs="Arial"/>
          <w:szCs w:val="20"/>
        </w:rPr>
        <w:t>consolidated statements of financial position have resulted in reclassification of various amounts on the</w:t>
      </w:r>
      <w:r>
        <w:rPr>
          <w:rFonts w:ascii="Arial" w:hAnsi="Arial" w:cs="Arial"/>
          <w:szCs w:val="20"/>
        </w:rPr>
        <w:t xml:space="preserve"> </w:t>
      </w:r>
      <w:r w:rsidRPr="00020199">
        <w:rPr>
          <w:rFonts w:ascii="Arial" w:hAnsi="Arial" w:cs="Arial"/>
          <w:szCs w:val="20"/>
        </w:rPr>
        <w:t>statements of cash flows, however as there have been no changes to the net cash flows, no reconciliations</w:t>
      </w:r>
      <w:r>
        <w:rPr>
          <w:rFonts w:ascii="Arial" w:hAnsi="Arial" w:cs="Arial"/>
          <w:szCs w:val="20"/>
        </w:rPr>
        <w:t xml:space="preserve"> </w:t>
      </w:r>
      <w:r w:rsidRPr="00020199">
        <w:rPr>
          <w:rFonts w:ascii="Arial" w:hAnsi="Arial" w:cs="Arial"/>
          <w:szCs w:val="20"/>
        </w:rPr>
        <w:t>have been prepared.</w:t>
      </w:r>
    </w:p>
    <w:p w14:paraId="3CD5017A" w14:textId="77777777" w:rsidR="007B5B1C" w:rsidRPr="007B5B1C" w:rsidRDefault="007B5B1C" w:rsidP="007B5B1C">
      <w:pPr>
        <w:pStyle w:val="ListParagraph"/>
        <w:spacing w:after="0" w:line="240" w:lineRule="auto"/>
        <w:ind w:left="450" w:right="75"/>
        <w:jc w:val="both"/>
        <w:rPr>
          <w:rFonts w:ascii="Arial" w:hAnsi="Arial" w:cs="Arial"/>
          <w:szCs w:val="20"/>
        </w:rPr>
      </w:pPr>
    </w:p>
    <w:p w14:paraId="52A68168" w14:textId="76D8E57C" w:rsidR="007B5B1C" w:rsidRPr="007B5B1C"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Pursuant to IFRS 1, </w:t>
      </w:r>
      <w:r>
        <w:rPr>
          <w:rFonts w:ascii="Arial" w:hAnsi="Arial" w:cs="Arial"/>
          <w:szCs w:val="20"/>
        </w:rPr>
        <w:t xml:space="preserve">the Company </w:t>
      </w:r>
      <w:r w:rsidRPr="00020199">
        <w:rPr>
          <w:rFonts w:ascii="Arial" w:hAnsi="Arial" w:cs="Arial"/>
          <w:szCs w:val="20"/>
        </w:rPr>
        <w:t>has</w:t>
      </w:r>
      <w:r>
        <w:rPr>
          <w:rFonts w:ascii="Arial" w:hAnsi="Arial" w:cs="Arial"/>
          <w:szCs w:val="20"/>
        </w:rPr>
        <w:t xml:space="preserve"> </w:t>
      </w:r>
      <w:r w:rsidRPr="00020199">
        <w:rPr>
          <w:rFonts w:ascii="Arial" w:hAnsi="Arial" w:cs="Arial"/>
          <w:szCs w:val="20"/>
        </w:rPr>
        <w:t>applied IFRS on a retrospective basis, subject to the following relevant mandatory exceptions and voluntary</w:t>
      </w:r>
      <w:r>
        <w:rPr>
          <w:rFonts w:ascii="Arial" w:hAnsi="Arial" w:cs="Arial"/>
          <w:szCs w:val="20"/>
        </w:rPr>
        <w:t xml:space="preserve"> </w:t>
      </w:r>
      <w:r w:rsidRPr="00020199">
        <w:rPr>
          <w:rFonts w:ascii="Arial" w:hAnsi="Arial" w:cs="Arial"/>
          <w:szCs w:val="20"/>
        </w:rPr>
        <w:t>exemptions to retrospective application of IFRS.</w:t>
      </w:r>
      <w:r w:rsidR="007B5B1C" w:rsidRPr="007B5B1C">
        <w:rPr>
          <w:rFonts w:ascii="Arial" w:hAnsi="Arial" w:cs="Arial"/>
          <w:szCs w:val="20"/>
        </w:rPr>
        <w:t xml:space="preserve">  </w:t>
      </w:r>
    </w:p>
    <w:p w14:paraId="58BF55AF" w14:textId="77777777" w:rsidR="007B5B1C" w:rsidRDefault="007B5B1C" w:rsidP="007B5B1C">
      <w:pPr>
        <w:pStyle w:val="ListParagraph"/>
        <w:spacing w:after="0" w:line="240" w:lineRule="auto"/>
        <w:ind w:left="450" w:right="75"/>
        <w:jc w:val="both"/>
        <w:rPr>
          <w:rFonts w:ascii="Arial" w:hAnsi="Arial" w:cs="Arial"/>
          <w:szCs w:val="20"/>
        </w:rPr>
      </w:pPr>
    </w:p>
    <w:p w14:paraId="2482257C" w14:textId="6532B662" w:rsidR="007B5B1C" w:rsidRDefault="00020199" w:rsidP="007B5B1C">
      <w:pPr>
        <w:pStyle w:val="ListParagraph"/>
        <w:spacing w:after="0" w:line="240" w:lineRule="auto"/>
        <w:ind w:left="450" w:right="75"/>
        <w:jc w:val="both"/>
        <w:rPr>
          <w:rFonts w:ascii="Arial" w:hAnsi="Arial" w:cs="Arial"/>
          <w:szCs w:val="20"/>
        </w:rPr>
      </w:pPr>
      <w:r>
        <w:rPr>
          <w:rFonts w:ascii="Arial" w:hAnsi="Arial" w:cs="Arial"/>
          <w:szCs w:val="20"/>
        </w:rPr>
        <w:t xml:space="preserve">The Company </w:t>
      </w:r>
      <w:r w:rsidRPr="00020199">
        <w:rPr>
          <w:rFonts w:ascii="Arial" w:hAnsi="Arial" w:cs="Arial"/>
          <w:szCs w:val="20"/>
        </w:rPr>
        <w:t>has applied the following mandatory exceptions in its first IFRS financial statements:</w:t>
      </w:r>
    </w:p>
    <w:p w14:paraId="658BAB09" w14:textId="77777777" w:rsidR="00020199" w:rsidRDefault="00020199" w:rsidP="007B5B1C">
      <w:pPr>
        <w:pStyle w:val="ListParagraph"/>
        <w:spacing w:after="0" w:line="240" w:lineRule="auto"/>
        <w:ind w:left="450" w:right="75"/>
        <w:jc w:val="both"/>
        <w:rPr>
          <w:rFonts w:ascii="Arial" w:hAnsi="Arial" w:cs="Arial"/>
          <w:szCs w:val="20"/>
        </w:rPr>
      </w:pPr>
    </w:p>
    <w:p w14:paraId="6E36AD7D" w14:textId="21038B9A" w:rsidR="00020199" w:rsidRPr="00020199" w:rsidRDefault="00020199" w:rsidP="007B5B1C">
      <w:pPr>
        <w:pStyle w:val="ListParagraph"/>
        <w:spacing w:after="0" w:line="240" w:lineRule="auto"/>
        <w:ind w:left="450" w:right="75"/>
        <w:jc w:val="both"/>
        <w:rPr>
          <w:rFonts w:ascii="Arial" w:hAnsi="Arial" w:cs="Arial"/>
          <w:szCs w:val="20"/>
          <w:u w:val="single"/>
        </w:rPr>
      </w:pPr>
      <w:r>
        <w:rPr>
          <w:rFonts w:ascii="Arial" w:hAnsi="Arial" w:cs="Arial"/>
          <w:szCs w:val="20"/>
          <w:u w:val="single"/>
        </w:rPr>
        <w:t>Estimates</w:t>
      </w:r>
    </w:p>
    <w:p w14:paraId="5929D28A" w14:textId="1D129DA6" w:rsidR="00020199" w:rsidRDefault="00020199" w:rsidP="007B5B1C">
      <w:pPr>
        <w:pStyle w:val="ListParagraph"/>
        <w:spacing w:after="0" w:line="240" w:lineRule="auto"/>
        <w:ind w:left="450" w:right="75"/>
        <w:jc w:val="both"/>
        <w:rPr>
          <w:rFonts w:ascii="Arial" w:hAnsi="Arial" w:cs="Arial"/>
          <w:szCs w:val="20"/>
        </w:rPr>
      </w:pPr>
      <w:r w:rsidRPr="00020199">
        <w:rPr>
          <w:rFonts w:ascii="Arial" w:hAnsi="Arial" w:cs="Arial"/>
          <w:szCs w:val="20"/>
        </w:rPr>
        <w:t>In accordance with IFRS 1, an entity’s estimates under IFRS at the date of transition to IFRS must be consistent with estimates made for the same date under previous GAAP unless there is objective evidence that those estimates were made in error.  The Company’s IFRS estimates as at the Transition Date are consistent with its U.S. GAAP estimates as at that date.</w:t>
      </w:r>
    </w:p>
    <w:p w14:paraId="73102C7F" w14:textId="77777777" w:rsidR="00020199" w:rsidRPr="007B5B1C" w:rsidRDefault="00020199" w:rsidP="007B5B1C">
      <w:pPr>
        <w:pStyle w:val="ListParagraph"/>
        <w:spacing w:after="0" w:line="240" w:lineRule="auto"/>
        <w:ind w:left="450" w:right="75"/>
        <w:jc w:val="both"/>
        <w:rPr>
          <w:rFonts w:ascii="Arial" w:hAnsi="Arial" w:cs="Arial"/>
          <w:szCs w:val="20"/>
        </w:rPr>
      </w:pPr>
    </w:p>
    <w:p w14:paraId="2E2247E2" w14:textId="1049E00F" w:rsidR="007B5B1C" w:rsidRPr="00020199" w:rsidRDefault="00020199" w:rsidP="00020199">
      <w:pPr>
        <w:pStyle w:val="ListParagraph"/>
        <w:spacing w:after="0" w:line="240" w:lineRule="auto"/>
        <w:ind w:left="450" w:right="75"/>
        <w:jc w:val="both"/>
        <w:rPr>
          <w:rFonts w:ascii="Arial" w:hAnsi="Arial" w:cs="Arial"/>
          <w:szCs w:val="20"/>
        </w:rPr>
      </w:pPr>
      <w:r w:rsidRPr="00020199">
        <w:rPr>
          <w:rFonts w:ascii="Arial" w:hAnsi="Arial" w:cs="Arial"/>
          <w:szCs w:val="20"/>
        </w:rPr>
        <w:t xml:space="preserve">In accordance with IFRS 1, </w:t>
      </w:r>
      <w:r>
        <w:rPr>
          <w:rFonts w:ascii="Arial" w:hAnsi="Arial" w:cs="Arial"/>
          <w:szCs w:val="20"/>
        </w:rPr>
        <w:t>the Company</w:t>
      </w:r>
      <w:r w:rsidRPr="00020199">
        <w:rPr>
          <w:rFonts w:ascii="Arial" w:hAnsi="Arial" w:cs="Arial"/>
          <w:szCs w:val="20"/>
        </w:rPr>
        <w:t xml:space="preserve"> has applied the following voluntary exemptions in the</w:t>
      </w:r>
      <w:r>
        <w:rPr>
          <w:rFonts w:ascii="Arial" w:hAnsi="Arial" w:cs="Arial"/>
          <w:szCs w:val="20"/>
        </w:rPr>
        <w:t xml:space="preserve"> </w:t>
      </w:r>
      <w:r w:rsidRPr="00020199">
        <w:rPr>
          <w:rFonts w:ascii="Arial" w:hAnsi="Arial" w:cs="Arial"/>
          <w:szCs w:val="20"/>
        </w:rPr>
        <w:t xml:space="preserve">conversion from </w:t>
      </w:r>
      <w:r>
        <w:rPr>
          <w:rFonts w:ascii="Arial" w:hAnsi="Arial" w:cs="Arial"/>
          <w:szCs w:val="20"/>
        </w:rPr>
        <w:t>U.S.</w:t>
      </w:r>
      <w:r w:rsidRPr="00020199">
        <w:rPr>
          <w:rFonts w:ascii="Arial" w:hAnsi="Arial" w:cs="Arial"/>
          <w:szCs w:val="20"/>
        </w:rPr>
        <w:t xml:space="preserve"> GAAP to IFRS</w:t>
      </w:r>
      <w:r w:rsidR="007B5B1C" w:rsidRPr="00020199">
        <w:rPr>
          <w:rFonts w:ascii="Arial" w:hAnsi="Arial" w:cs="Arial"/>
          <w:szCs w:val="20"/>
        </w:rPr>
        <w:t>:</w:t>
      </w:r>
    </w:p>
    <w:p w14:paraId="742C8689" w14:textId="77777777" w:rsidR="007B5B1C" w:rsidRPr="007B5B1C" w:rsidRDefault="007B5B1C" w:rsidP="007B5B1C">
      <w:pPr>
        <w:pStyle w:val="ListParagraph"/>
        <w:spacing w:after="0" w:line="240" w:lineRule="auto"/>
        <w:ind w:left="450" w:right="75"/>
        <w:jc w:val="both"/>
        <w:rPr>
          <w:rFonts w:ascii="Arial" w:hAnsi="Arial" w:cs="Arial"/>
          <w:szCs w:val="20"/>
        </w:rPr>
      </w:pPr>
    </w:p>
    <w:p w14:paraId="6B322303" w14:textId="34228A02" w:rsidR="007B5B1C" w:rsidRPr="00241B10" w:rsidRDefault="007B5B1C" w:rsidP="007C0FF2">
      <w:pPr>
        <w:pStyle w:val="ListParagraph"/>
        <w:spacing w:after="0" w:line="240" w:lineRule="auto"/>
        <w:ind w:left="900" w:right="75" w:hanging="450"/>
        <w:jc w:val="both"/>
        <w:rPr>
          <w:rFonts w:ascii="Arial" w:hAnsi="Arial" w:cs="Arial"/>
          <w:szCs w:val="20"/>
          <w:u w:val="single"/>
        </w:rPr>
      </w:pPr>
      <w:r w:rsidRPr="00241B10">
        <w:rPr>
          <w:rFonts w:ascii="Arial" w:hAnsi="Arial" w:cs="Arial"/>
          <w:szCs w:val="20"/>
          <w:u w:val="single"/>
        </w:rPr>
        <w:t>Business combinations</w:t>
      </w:r>
    </w:p>
    <w:p w14:paraId="384FDBDB" w14:textId="4482B765" w:rsidR="007B5B1C" w:rsidRPr="007B5B1C" w:rsidRDefault="00241B10" w:rsidP="00241B10">
      <w:pPr>
        <w:pStyle w:val="ListParagraph"/>
        <w:spacing w:after="0" w:line="240" w:lineRule="auto"/>
        <w:ind w:left="450" w:right="75"/>
        <w:jc w:val="both"/>
        <w:rPr>
          <w:rFonts w:ascii="Arial" w:hAnsi="Arial" w:cs="Arial"/>
          <w:szCs w:val="20"/>
        </w:rPr>
      </w:pPr>
      <w:r>
        <w:rPr>
          <w:rFonts w:ascii="Arial" w:hAnsi="Arial" w:cs="Arial"/>
          <w:szCs w:val="20"/>
        </w:rPr>
        <w:t>I</w:t>
      </w:r>
      <w:r w:rsidR="007B5B1C" w:rsidRPr="007B5B1C">
        <w:rPr>
          <w:rFonts w:ascii="Arial" w:hAnsi="Arial" w:cs="Arial"/>
          <w:szCs w:val="20"/>
        </w:rPr>
        <w:t xml:space="preserve">FRS 1 indicates that a first-time adopter may elect not to apply IFRS 3 Business Combinations retrospectively to business combinations that occurred before the date of transition to IFRS.  The Company has elected to apply IFRS 3 to only those business combinations that occurred on or after the Transition Date and such business combinations have not been restated.  As a result of this election, no adjustments were required to the Company’s </w:t>
      </w:r>
      <w:r w:rsidR="007C0FF2">
        <w:rPr>
          <w:rFonts w:ascii="Arial" w:hAnsi="Arial" w:cs="Arial"/>
          <w:szCs w:val="20"/>
        </w:rPr>
        <w:t xml:space="preserve">consolidated </w:t>
      </w:r>
      <w:r w:rsidR="007B5B1C" w:rsidRPr="007B5B1C">
        <w:rPr>
          <w:rFonts w:ascii="Arial" w:hAnsi="Arial" w:cs="Arial"/>
          <w:szCs w:val="20"/>
        </w:rPr>
        <w:t>statement of financial position as at the Transition Date.</w:t>
      </w:r>
    </w:p>
    <w:p w14:paraId="6AB241E3" w14:textId="77777777" w:rsidR="007B5B1C" w:rsidRDefault="007B5B1C" w:rsidP="007B5B1C">
      <w:pPr>
        <w:pStyle w:val="ListParagraph"/>
        <w:spacing w:after="0" w:line="240" w:lineRule="auto"/>
        <w:ind w:left="450" w:right="75"/>
        <w:jc w:val="both"/>
        <w:rPr>
          <w:rFonts w:ascii="Arial" w:hAnsi="Arial" w:cs="Arial"/>
          <w:szCs w:val="20"/>
        </w:rPr>
      </w:pPr>
    </w:p>
    <w:p w14:paraId="53969FCB" w14:textId="68520760" w:rsidR="007B5B1C" w:rsidRPr="00241B10" w:rsidRDefault="007B5B1C" w:rsidP="007C0FF2">
      <w:pPr>
        <w:pStyle w:val="ListParagraph"/>
        <w:spacing w:after="0" w:line="240" w:lineRule="auto"/>
        <w:ind w:left="900" w:right="75" w:hanging="450"/>
        <w:jc w:val="both"/>
        <w:rPr>
          <w:rFonts w:ascii="Arial" w:hAnsi="Arial" w:cs="Arial"/>
          <w:szCs w:val="20"/>
          <w:u w:val="single"/>
        </w:rPr>
      </w:pPr>
      <w:r w:rsidRPr="00241B10">
        <w:rPr>
          <w:rFonts w:ascii="Arial" w:hAnsi="Arial" w:cs="Arial"/>
          <w:szCs w:val="20"/>
          <w:u w:val="single"/>
        </w:rPr>
        <w:t>Share-based payment transactions</w:t>
      </w:r>
    </w:p>
    <w:p w14:paraId="5D2963DE" w14:textId="77777777" w:rsidR="007B5B1C" w:rsidRPr="007B5B1C" w:rsidRDefault="007B5B1C" w:rsidP="00241B10">
      <w:pPr>
        <w:pStyle w:val="ListParagraph"/>
        <w:spacing w:after="0" w:line="240" w:lineRule="auto"/>
        <w:ind w:left="450" w:right="75"/>
        <w:jc w:val="both"/>
        <w:rPr>
          <w:rFonts w:ascii="Arial" w:hAnsi="Arial" w:cs="Arial"/>
          <w:szCs w:val="20"/>
        </w:rPr>
      </w:pPr>
      <w:r w:rsidRPr="007B5B1C">
        <w:rPr>
          <w:rFonts w:ascii="Arial" w:hAnsi="Arial" w:cs="Arial"/>
          <w:szCs w:val="20"/>
        </w:rPr>
        <w:t>IFRS 1 encourages, but does not require, first-time adopters to apply IFRS 2 Share-based Payment to equity instruments that were granted on or before November 7, 2002, or equity instruments that were granted subsequent to November 7, 2002 and vested before the later of the date of transition to IFRS and January 1, 2005.  The Company has elected not to apply IFRS 2 to awards that vested prior to the Transition Date.</w:t>
      </w:r>
    </w:p>
    <w:p w14:paraId="17E926E0" w14:textId="77777777" w:rsidR="007B5B1C" w:rsidRDefault="007B5B1C" w:rsidP="007B5B1C">
      <w:pPr>
        <w:pStyle w:val="ListParagraph"/>
        <w:spacing w:after="0" w:line="240" w:lineRule="auto"/>
        <w:ind w:left="450" w:right="75"/>
        <w:jc w:val="both"/>
        <w:rPr>
          <w:rFonts w:ascii="Arial" w:hAnsi="Arial" w:cs="Arial"/>
          <w:szCs w:val="20"/>
        </w:rPr>
      </w:pPr>
    </w:p>
    <w:p w14:paraId="2DF1EA55" w14:textId="70563655" w:rsidR="00241B10" w:rsidRPr="007B5B1C" w:rsidRDefault="00241B10" w:rsidP="00241B10">
      <w:pPr>
        <w:pStyle w:val="ListParagraph"/>
        <w:spacing w:after="0" w:line="240" w:lineRule="auto"/>
        <w:ind w:left="450" w:right="75"/>
        <w:jc w:val="both"/>
        <w:rPr>
          <w:rFonts w:ascii="Arial" w:hAnsi="Arial" w:cs="Arial"/>
          <w:szCs w:val="20"/>
        </w:rPr>
      </w:pPr>
      <w:r w:rsidRPr="00241B10">
        <w:rPr>
          <w:rFonts w:ascii="Arial" w:hAnsi="Arial" w:cs="Arial"/>
          <w:szCs w:val="20"/>
        </w:rPr>
        <w:t>The Company has not elected to adopt the remaining voluntary exemptions under IFRS 1 or has</w:t>
      </w:r>
      <w:r>
        <w:rPr>
          <w:rFonts w:ascii="Arial" w:hAnsi="Arial" w:cs="Arial"/>
          <w:szCs w:val="20"/>
        </w:rPr>
        <w:t xml:space="preserve"> </w:t>
      </w:r>
      <w:r w:rsidRPr="00241B10">
        <w:rPr>
          <w:rFonts w:ascii="Arial" w:hAnsi="Arial" w:cs="Arial"/>
          <w:szCs w:val="20"/>
        </w:rPr>
        <w:t>determined that they do not apply to the Company</w:t>
      </w:r>
      <w:r>
        <w:rPr>
          <w:rFonts w:ascii="Arial" w:hAnsi="Arial" w:cs="Arial"/>
          <w:szCs w:val="20"/>
        </w:rPr>
        <w:t>.</w:t>
      </w:r>
    </w:p>
    <w:p w14:paraId="63E262F3" w14:textId="77777777" w:rsidR="00AC7C3C" w:rsidRDefault="00AC7C3C" w:rsidP="007B5B1C">
      <w:pPr>
        <w:pStyle w:val="ListParagraph"/>
        <w:spacing w:after="0" w:line="240" w:lineRule="auto"/>
        <w:ind w:left="450" w:right="75"/>
        <w:jc w:val="both"/>
        <w:rPr>
          <w:rFonts w:ascii="Arial" w:hAnsi="Arial" w:cs="Arial"/>
          <w:szCs w:val="20"/>
          <w:u w:val="single"/>
        </w:rPr>
      </w:pPr>
    </w:p>
    <w:p w14:paraId="5D1FA44F" w14:textId="77777777" w:rsidR="009E7452" w:rsidRDefault="009E7452">
      <w:pPr>
        <w:rPr>
          <w:rFonts w:ascii="Arial" w:hAnsi="Arial" w:cs="Arial"/>
          <w:b/>
          <w:szCs w:val="20"/>
        </w:rPr>
      </w:pPr>
      <w:r>
        <w:rPr>
          <w:rFonts w:ascii="Arial" w:hAnsi="Arial" w:cs="Arial"/>
          <w:b/>
          <w:szCs w:val="20"/>
        </w:rPr>
        <w:br w:type="page"/>
      </w:r>
    </w:p>
    <w:p w14:paraId="40F9BA96" w14:textId="4777E1D6" w:rsidR="009E7452" w:rsidRPr="008F39E2" w:rsidRDefault="009E7452" w:rsidP="009E745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0" w:line="240" w:lineRule="auto"/>
        <w:jc w:val="both"/>
        <w:rPr>
          <w:rFonts w:ascii="Arial" w:hAnsi="Arial" w:cs="Arial"/>
          <w:szCs w:val="20"/>
        </w:rPr>
      </w:pPr>
      <w:r>
        <w:rPr>
          <w:rFonts w:ascii="Arial" w:hAnsi="Arial" w:cs="Arial"/>
          <w:b/>
          <w:szCs w:val="20"/>
        </w:rPr>
        <w:lastRenderedPageBreak/>
        <w:t>22</w:t>
      </w:r>
      <w:r w:rsidRPr="00012E41">
        <w:rPr>
          <w:rFonts w:ascii="Arial" w:hAnsi="Arial" w:cs="Arial"/>
          <w:b/>
          <w:szCs w:val="20"/>
        </w:rPr>
        <w:t>.</w:t>
      </w:r>
      <w:r w:rsidRPr="00012E41">
        <w:rPr>
          <w:rFonts w:ascii="Arial" w:hAnsi="Arial" w:cs="Arial"/>
          <w:b/>
          <w:szCs w:val="20"/>
        </w:rPr>
        <w:tab/>
      </w:r>
      <w:r>
        <w:rPr>
          <w:rFonts w:ascii="Arial" w:hAnsi="Arial" w:cs="Arial"/>
          <w:b/>
          <w:szCs w:val="20"/>
        </w:rPr>
        <w:t xml:space="preserve">Transition to IFRS </w:t>
      </w:r>
      <w:r>
        <w:rPr>
          <w:rFonts w:ascii="Arial" w:hAnsi="Arial" w:cs="Arial"/>
          <w:szCs w:val="20"/>
        </w:rPr>
        <w:t>(continued)</w:t>
      </w:r>
    </w:p>
    <w:p w14:paraId="799E1788" w14:textId="77777777" w:rsidR="009E7452" w:rsidRDefault="009E7452" w:rsidP="007B5B1C">
      <w:pPr>
        <w:pStyle w:val="ListParagraph"/>
        <w:spacing w:after="0" w:line="240" w:lineRule="auto"/>
        <w:ind w:left="450" w:right="75"/>
        <w:jc w:val="both"/>
        <w:rPr>
          <w:rFonts w:ascii="Arial" w:hAnsi="Arial" w:cs="Arial"/>
          <w:szCs w:val="20"/>
          <w:u w:val="single"/>
        </w:rPr>
      </w:pPr>
    </w:p>
    <w:p w14:paraId="1EB6D0E9" w14:textId="47DC3698" w:rsidR="00241B10" w:rsidRDefault="00241B10" w:rsidP="007B5B1C">
      <w:pPr>
        <w:pStyle w:val="ListParagraph"/>
        <w:spacing w:after="0" w:line="240" w:lineRule="auto"/>
        <w:ind w:left="450" w:right="75"/>
        <w:jc w:val="both"/>
        <w:rPr>
          <w:rFonts w:ascii="Arial" w:hAnsi="Arial" w:cs="Arial"/>
          <w:b/>
          <w:szCs w:val="20"/>
        </w:rPr>
      </w:pPr>
      <w:r w:rsidRPr="00241B10">
        <w:rPr>
          <w:rFonts w:ascii="Arial" w:hAnsi="Arial" w:cs="Arial"/>
          <w:b/>
          <w:szCs w:val="20"/>
        </w:rPr>
        <w:t>Reconciliation of equity</w:t>
      </w:r>
    </w:p>
    <w:tbl>
      <w:tblPr>
        <w:tblW w:w="8895" w:type="dxa"/>
        <w:tblInd w:w="450" w:type="dxa"/>
        <w:tblLayout w:type="fixed"/>
        <w:tblCellMar>
          <w:left w:w="0" w:type="dxa"/>
          <w:bottom w:w="29" w:type="dxa"/>
          <w:right w:w="0" w:type="dxa"/>
        </w:tblCellMar>
        <w:tblLook w:val="0000" w:firstRow="0" w:lastRow="0" w:firstColumn="0" w:lastColumn="0" w:noHBand="0" w:noVBand="0"/>
      </w:tblPr>
      <w:tblGrid>
        <w:gridCol w:w="4140"/>
        <w:gridCol w:w="1585"/>
        <w:gridCol w:w="1585"/>
        <w:gridCol w:w="1585"/>
      </w:tblGrid>
      <w:tr w:rsidR="00241B10" w:rsidRPr="006D4677" w14:paraId="09CA31E3" w14:textId="77777777" w:rsidTr="00241B10">
        <w:tc>
          <w:tcPr>
            <w:tcW w:w="4140" w:type="dxa"/>
            <w:tcBorders>
              <w:bottom w:val="single" w:sz="2" w:space="0" w:color="auto"/>
            </w:tcBorders>
            <w:vAlign w:val="bottom"/>
          </w:tcPr>
          <w:p w14:paraId="1507E50B" w14:textId="77777777" w:rsidR="00241B10" w:rsidRPr="006D4677" w:rsidRDefault="00241B10" w:rsidP="00241B10">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69AF4C15" w14:textId="503B62CE" w:rsidR="00241B10" w:rsidRPr="00444871" w:rsidRDefault="00241B10" w:rsidP="00241B10">
            <w:pPr>
              <w:spacing w:after="0" w:line="240" w:lineRule="auto"/>
              <w:jc w:val="center"/>
              <w:rPr>
                <w:rFonts w:ascii="Arial" w:hAnsi="Arial" w:cs="Arial"/>
                <w:szCs w:val="20"/>
              </w:rPr>
            </w:pPr>
            <w:r>
              <w:rPr>
                <w:rFonts w:ascii="Arial" w:hAnsi="Arial" w:cs="Arial"/>
                <w:szCs w:val="20"/>
              </w:rPr>
              <w:t>January</w:t>
            </w:r>
            <w:r w:rsidRPr="00444871">
              <w:rPr>
                <w:rFonts w:ascii="Arial" w:hAnsi="Arial" w:cs="Arial"/>
                <w:szCs w:val="20"/>
              </w:rPr>
              <w:t xml:space="preserve"> 31,</w:t>
            </w:r>
          </w:p>
          <w:p w14:paraId="0506AA88" w14:textId="77777777" w:rsidR="00241B10" w:rsidRPr="00444871" w:rsidRDefault="00241B10" w:rsidP="00241B10">
            <w:pPr>
              <w:spacing w:after="0" w:line="240" w:lineRule="auto"/>
              <w:jc w:val="center"/>
              <w:rPr>
                <w:rFonts w:ascii="Arial" w:hAnsi="Arial" w:cs="Arial"/>
                <w:szCs w:val="20"/>
              </w:rPr>
            </w:pPr>
            <w:r w:rsidRPr="00444871">
              <w:rPr>
                <w:rFonts w:ascii="Arial" w:hAnsi="Arial" w:cs="Arial"/>
                <w:szCs w:val="20"/>
              </w:rPr>
              <w:t>2019</w:t>
            </w:r>
          </w:p>
          <w:p w14:paraId="7EB86B6F" w14:textId="6BC8E245" w:rsidR="00241B10" w:rsidRPr="00444871" w:rsidRDefault="00241B10" w:rsidP="00241B10">
            <w:pPr>
              <w:spacing w:after="0" w:line="240" w:lineRule="auto"/>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6AEA84A0" w14:textId="4EED3FE1" w:rsidR="00241B10" w:rsidRPr="00444871" w:rsidRDefault="00241B10" w:rsidP="00241B10">
            <w:pPr>
              <w:spacing w:after="0" w:line="240" w:lineRule="auto"/>
              <w:jc w:val="center"/>
              <w:rPr>
                <w:rFonts w:ascii="Arial" w:hAnsi="Arial" w:cs="Arial"/>
                <w:szCs w:val="20"/>
              </w:rPr>
            </w:pPr>
            <w:r w:rsidRPr="00444871">
              <w:rPr>
                <w:rFonts w:ascii="Arial" w:hAnsi="Arial" w:cs="Arial"/>
                <w:szCs w:val="20"/>
              </w:rPr>
              <w:t>July 31,</w:t>
            </w:r>
          </w:p>
          <w:p w14:paraId="41EEDFB7" w14:textId="6DA86D9E" w:rsidR="00241B10" w:rsidRPr="00444871" w:rsidRDefault="00241B10" w:rsidP="00241B10">
            <w:pPr>
              <w:spacing w:after="0" w:line="240" w:lineRule="auto"/>
              <w:jc w:val="center"/>
              <w:rPr>
                <w:rFonts w:ascii="Arial" w:hAnsi="Arial" w:cs="Arial"/>
                <w:szCs w:val="20"/>
              </w:rPr>
            </w:pPr>
            <w:r>
              <w:rPr>
                <w:rFonts w:ascii="Arial" w:hAnsi="Arial" w:cs="Arial"/>
                <w:szCs w:val="20"/>
              </w:rPr>
              <w:t>2018</w:t>
            </w:r>
          </w:p>
          <w:p w14:paraId="04095769" w14:textId="77777777" w:rsidR="00241B10" w:rsidRPr="00444871" w:rsidRDefault="00241B10" w:rsidP="00241B10">
            <w:pPr>
              <w:tabs>
                <w:tab w:val="left" w:pos="7272"/>
                <w:tab w:val="decimal" w:pos="8136"/>
                <w:tab w:val="left" w:pos="8496"/>
                <w:tab w:val="decimal" w:pos="9360"/>
              </w:tabs>
              <w:spacing w:after="0"/>
              <w:ind w:right="29"/>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26246BB4" w14:textId="6C1745A1" w:rsidR="00241B10" w:rsidRDefault="00241B10" w:rsidP="00241B10">
            <w:pPr>
              <w:spacing w:after="0" w:line="240" w:lineRule="auto"/>
              <w:jc w:val="center"/>
              <w:rPr>
                <w:rFonts w:ascii="Arial" w:hAnsi="Arial" w:cs="Arial"/>
                <w:szCs w:val="20"/>
              </w:rPr>
            </w:pPr>
            <w:r>
              <w:rPr>
                <w:rFonts w:ascii="Arial" w:hAnsi="Arial" w:cs="Arial"/>
                <w:szCs w:val="20"/>
              </w:rPr>
              <w:t>February 1,</w:t>
            </w:r>
          </w:p>
          <w:p w14:paraId="53D73177" w14:textId="46B6002D" w:rsidR="00241B10" w:rsidRPr="00EC4ECB" w:rsidRDefault="00241B10" w:rsidP="00241B10">
            <w:pPr>
              <w:spacing w:after="0" w:line="240" w:lineRule="auto"/>
              <w:jc w:val="center"/>
              <w:rPr>
                <w:rFonts w:ascii="Arial" w:hAnsi="Arial" w:cs="Arial"/>
                <w:szCs w:val="20"/>
              </w:rPr>
            </w:pPr>
            <w:r>
              <w:rPr>
                <w:rFonts w:ascii="Arial" w:hAnsi="Arial" w:cs="Arial"/>
                <w:szCs w:val="20"/>
              </w:rPr>
              <w:t>2018</w:t>
            </w:r>
          </w:p>
          <w:p w14:paraId="5E44A065" w14:textId="77777777" w:rsidR="00241B10" w:rsidRPr="00EC4ECB" w:rsidRDefault="00241B10" w:rsidP="00241B10">
            <w:pPr>
              <w:tabs>
                <w:tab w:val="left" w:pos="7272"/>
                <w:tab w:val="decimal" w:pos="8136"/>
                <w:tab w:val="left" w:pos="8496"/>
                <w:tab w:val="decimal" w:pos="9360"/>
              </w:tabs>
              <w:spacing w:after="0"/>
              <w:ind w:right="29"/>
              <w:jc w:val="center"/>
              <w:rPr>
                <w:rFonts w:ascii="Arial" w:hAnsi="Arial" w:cs="Arial"/>
                <w:szCs w:val="20"/>
              </w:rPr>
            </w:pPr>
            <w:r w:rsidRPr="00EC4ECB">
              <w:rPr>
                <w:rFonts w:ascii="Arial" w:hAnsi="Arial" w:cs="Arial"/>
                <w:szCs w:val="20"/>
              </w:rPr>
              <w:t>$</w:t>
            </w:r>
          </w:p>
        </w:tc>
      </w:tr>
      <w:tr w:rsidR="00241B10" w:rsidRPr="006D4677" w14:paraId="65E015F7" w14:textId="77777777" w:rsidTr="00241B10">
        <w:tc>
          <w:tcPr>
            <w:tcW w:w="4140" w:type="dxa"/>
            <w:tcBorders>
              <w:top w:val="single" w:sz="2" w:space="0" w:color="auto"/>
            </w:tcBorders>
            <w:vAlign w:val="bottom"/>
          </w:tcPr>
          <w:p w14:paraId="2CE89A39" w14:textId="0191855D" w:rsidR="00241B10" w:rsidRPr="006D4677" w:rsidRDefault="00241B10" w:rsidP="00241B10">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Equity under U.S. GAAP</w:t>
            </w:r>
          </w:p>
        </w:tc>
        <w:tc>
          <w:tcPr>
            <w:tcW w:w="1585" w:type="dxa"/>
            <w:tcBorders>
              <w:top w:val="single" w:sz="2" w:space="0" w:color="auto"/>
            </w:tcBorders>
          </w:tcPr>
          <w:p w14:paraId="554EAEB4" w14:textId="63E5F55C" w:rsidR="00241B10" w:rsidRPr="00444871"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3,509,632</w:t>
            </w:r>
          </w:p>
        </w:tc>
        <w:tc>
          <w:tcPr>
            <w:tcW w:w="1585" w:type="dxa"/>
            <w:tcBorders>
              <w:top w:val="single" w:sz="2" w:space="0" w:color="auto"/>
            </w:tcBorders>
          </w:tcPr>
          <w:p w14:paraId="72713E7E" w14:textId="0802BB58" w:rsidR="00241B10" w:rsidRPr="00444871"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4,325,034</w:t>
            </w:r>
          </w:p>
        </w:tc>
        <w:tc>
          <w:tcPr>
            <w:tcW w:w="1585" w:type="dxa"/>
            <w:tcBorders>
              <w:top w:val="single" w:sz="2" w:space="0" w:color="auto"/>
            </w:tcBorders>
          </w:tcPr>
          <w:p w14:paraId="7D77540B" w14:textId="0D984770" w:rsidR="00241B10" w:rsidRPr="006D4677"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(55,792)</w:t>
            </w:r>
          </w:p>
        </w:tc>
      </w:tr>
      <w:tr w:rsidR="00241B10" w:rsidRPr="006D4677" w14:paraId="7C47E1A5" w14:textId="77777777" w:rsidTr="00241B10">
        <w:tc>
          <w:tcPr>
            <w:tcW w:w="4140" w:type="dxa"/>
            <w:vAlign w:val="bottom"/>
          </w:tcPr>
          <w:p w14:paraId="6603B7FF" w14:textId="05F9F1F9" w:rsidR="00241B10" w:rsidRPr="006D4677" w:rsidRDefault="00241B10" w:rsidP="00241B10">
            <w:pPr>
              <w:tabs>
                <w:tab w:val="left" w:pos="7272"/>
                <w:tab w:val="decimal" w:pos="8136"/>
                <w:tab w:val="left" w:pos="8496"/>
                <w:tab w:val="decimal" w:pos="9360"/>
              </w:tabs>
              <w:spacing w:after="0"/>
              <w:rPr>
                <w:rFonts w:ascii="Arial" w:hAnsi="Arial" w:cs="Arial"/>
                <w:szCs w:val="20"/>
              </w:rPr>
            </w:pPr>
            <w:r>
              <w:rPr>
                <w:rFonts w:ascii="Arial" w:hAnsi="Arial" w:cs="Arial"/>
                <w:szCs w:val="20"/>
              </w:rPr>
              <w:t>IFRS adjustments to equity</w:t>
            </w:r>
            <w:r w:rsidRPr="006D4677">
              <w:rPr>
                <w:rFonts w:ascii="Arial" w:hAnsi="Arial" w:cs="Arial"/>
                <w:szCs w:val="20"/>
              </w:rPr>
              <w:t>:</w:t>
            </w:r>
          </w:p>
        </w:tc>
        <w:tc>
          <w:tcPr>
            <w:tcW w:w="1585" w:type="dxa"/>
          </w:tcPr>
          <w:p w14:paraId="710D6B6D" w14:textId="77777777" w:rsidR="00241B10" w:rsidRPr="00444871" w:rsidRDefault="00241B10" w:rsidP="00241B10">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37B68F99" w14:textId="3B601B8B" w:rsidR="00241B10" w:rsidRPr="00444871" w:rsidRDefault="00241B10" w:rsidP="00241B10">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71AFB1E0" w14:textId="77777777" w:rsidR="00241B10" w:rsidRPr="006D4677" w:rsidRDefault="00241B10" w:rsidP="00241B10">
            <w:pPr>
              <w:tabs>
                <w:tab w:val="left" w:pos="7272"/>
                <w:tab w:val="decimal" w:pos="8136"/>
                <w:tab w:val="left" w:pos="8496"/>
                <w:tab w:val="decimal" w:pos="9360"/>
              </w:tabs>
              <w:spacing w:after="0"/>
              <w:ind w:right="29"/>
              <w:jc w:val="right"/>
              <w:rPr>
                <w:rFonts w:ascii="Arial" w:hAnsi="Arial" w:cs="Arial"/>
                <w:szCs w:val="20"/>
              </w:rPr>
            </w:pPr>
          </w:p>
        </w:tc>
      </w:tr>
      <w:tr w:rsidR="00241B10" w:rsidRPr="00EC4ECB" w14:paraId="7C1A596A" w14:textId="77777777" w:rsidTr="00241B10">
        <w:tc>
          <w:tcPr>
            <w:tcW w:w="4140" w:type="dxa"/>
          </w:tcPr>
          <w:p w14:paraId="6CA88022" w14:textId="2D9500D6" w:rsidR="00241B10" w:rsidRPr="00EC4ECB" w:rsidRDefault="00241B10" w:rsidP="00241B10">
            <w:pPr>
              <w:tabs>
                <w:tab w:val="left" w:pos="7272"/>
                <w:tab w:val="decimal" w:pos="8136"/>
                <w:tab w:val="left" w:pos="8496"/>
                <w:tab w:val="decimal" w:pos="9360"/>
              </w:tabs>
              <w:spacing w:after="0"/>
              <w:ind w:left="144"/>
              <w:rPr>
                <w:rFonts w:ascii="Arial" w:hAnsi="Arial" w:cs="Arial"/>
                <w:szCs w:val="20"/>
              </w:rPr>
            </w:pPr>
            <w:r>
              <w:rPr>
                <w:rFonts w:ascii="Arial" w:hAnsi="Arial" w:cs="Arial"/>
              </w:rPr>
              <w:t>Leases</w:t>
            </w:r>
            <w:r w:rsidR="00172BB0">
              <w:rPr>
                <w:rFonts w:ascii="Arial" w:hAnsi="Arial" w:cs="Arial"/>
              </w:rPr>
              <w:t xml:space="preserve"> </w:t>
            </w:r>
            <w:r w:rsidR="00713140">
              <w:rPr>
                <w:rFonts w:ascii="Arial" w:hAnsi="Arial" w:cs="Arial"/>
              </w:rPr>
              <w:t>(Note 22</w:t>
            </w:r>
            <w:r w:rsidR="00172BB0">
              <w:rPr>
                <w:rFonts w:ascii="Arial" w:hAnsi="Arial" w:cs="Arial"/>
              </w:rPr>
              <w:t>(a)</w:t>
            </w:r>
            <w:r w:rsidR="00713140">
              <w:rPr>
                <w:rFonts w:ascii="Arial" w:hAnsi="Arial" w:cs="Arial"/>
              </w:rPr>
              <w:t>)</w:t>
            </w:r>
          </w:p>
        </w:tc>
        <w:tc>
          <w:tcPr>
            <w:tcW w:w="1585" w:type="dxa"/>
            <w:vAlign w:val="bottom"/>
          </w:tcPr>
          <w:p w14:paraId="4C61979A" w14:textId="722807DA"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(61,122)</w:t>
            </w:r>
          </w:p>
        </w:tc>
        <w:tc>
          <w:tcPr>
            <w:tcW w:w="1585" w:type="dxa"/>
            <w:vAlign w:val="bottom"/>
          </w:tcPr>
          <w:p w14:paraId="174888AC" w14:textId="2D424834"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(9,756)</w:t>
            </w:r>
          </w:p>
        </w:tc>
        <w:tc>
          <w:tcPr>
            <w:tcW w:w="1585" w:type="dxa"/>
            <w:vAlign w:val="bottom"/>
          </w:tcPr>
          <w:p w14:paraId="54AFECC0" w14:textId="6C9E0290" w:rsidR="00241B10" w:rsidRPr="00EC4ECB" w:rsidRDefault="00241B10" w:rsidP="00241B10">
            <w:pPr>
              <w:tabs>
                <w:tab w:val="left" w:pos="7272"/>
                <w:tab w:val="decimal" w:pos="8136"/>
                <w:tab w:val="left" w:pos="8496"/>
                <w:tab w:val="decimal" w:pos="9360"/>
              </w:tabs>
              <w:spacing w:after="0"/>
              <w:ind w:right="52"/>
              <w:jc w:val="right"/>
              <w:rPr>
                <w:rFonts w:ascii="Arial" w:hAnsi="Arial" w:cs="Arial"/>
                <w:szCs w:val="20"/>
              </w:rPr>
            </w:pPr>
            <w:r w:rsidRPr="00444871">
              <w:rPr>
                <w:rFonts w:ascii="Arial" w:hAnsi="Arial" w:cs="Arial"/>
                <w:szCs w:val="20"/>
              </w:rPr>
              <w:t>–</w:t>
            </w:r>
          </w:p>
        </w:tc>
      </w:tr>
      <w:tr w:rsidR="00241B10" w:rsidRPr="00EC4ECB" w14:paraId="2120DA2B" w14:textId="77777777" w:rsidTr="00241B10">
        <w:tc>
          <w:tcPr>
            <w:tcW w:w="4140" w:type="dxa"/>
            <w:tcBorders>
              <w:bottom w:val="single" w:sz="4" w:space="0" w:color="auto"/>
            </w:tcBorders>
          </w:tcPr>
          <w:p w14:paraId="19E52548" w14:textId="3E663CD5" w:rsidR="00241B10" w:rsidRPr="00EC4ECB" w:rsidRDefault="00172BB0" w:rsidP="00713140">
            <w:pPr>
              <w:tabs>
                <w:tab w:val="left" w:pos="7272"/>
                <w:tab w:val="decimal" w:pos="8136"/>
                <w:tab w:val="left" w:pos="8496"/>
                <w:tab w:val="decimal" w:pos="9360"/>
              </w:tabs>
              <w:spacing w:after="0"/>
              <w:ind w:left="144"/>
              <w:rPr>
                <w:rFonts w:ascii="Arial" w:hAnsi="Arial" w:cs="Arial"/>
                <w:szCs w:val="20"/>
              </w:rPr>
            </w:pPr>
            <w:r>
              <w:rPr>
                <w:rFonts w:ascii="Arial" w:hAnsi="Arial" w:cs="Arial"/>
              </w:rPr>
              <w:t>Convertible debentures</w:t>
            </w:r>
            <w:r w:rsidR="00713140">
              <w:rPr>
                <w:rFonts w:ascii="Arial" w:hAnsi="Arial" w:cs="Arial"/>
              </w:rPr>
              <w:t xml:space="preserve"> (Note 22</w:t>
            </w:r>
            <w:r>
              <w:rPr>
                <w:rFonts w:ascii="Arial" w:hAnsi="Arial" w:cs="Arial"/>
              </w:rPr>
              <w:t>(b)</w:t>
            </w:r>
            <w:r w:rsidR="00713140">
              <w:rPr>
                <w:rFonts w:ascii="Arial" w:hAnsi="Arial" w:cs="Arial"/>
              </w:rPr>
              <w:t>)</w:t>
            </w:r>
          </w:p>
        </w:tc>
        <w:tc>
          <w:tcPr>
            <w:tcW w:w="1585" w:type="dxa"/>
            <w:tcBorders>
              <w:bottom w:val="single" w:sz="4" w:space="0" w:color="auto"/>
            </w:tcBorders>
            <w:vAlign w:val="bottom"/>
          </w:tcPr>
          <w:p w14:paraId="7DA2949B" w14:textId="038AB673"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51,103</w:t>
            </w:r>
          </w:p>
        </w:tc>
        <w:tc>
          <w:tcPr>
            <w:tcW w:w="1585" w:type="dxa"/>
            <w:tcBorders>
              <w:bottom w:val="single" w:sz="4" w:space="0" w:color="auto"/>
            </w:tcBorders>
            <w:vAlign w:val="bottom"/>
          </w:tcPr>
          <w:p w14:paraId="06D3F2AF" w14:textId="1835DB4B" w:rsidR="00241B10" w:rsidRPr="00444871" w:rsidRDefault="00172BB0" w:rsidP="00241B1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89,024</w:t>
            </w:r>
          </w:p>
        </w:tc>
        <w:tc>
          <w:tcPr>
            <w:tcW w:w="1585" w:type="dxa"/>
            <w:tcBorders>
              <w:bottom w:val="single" w:sz="4" w:space="0" w:color="auto"/>
            </w:tcBorders>
            <w:vAlign w:val="bottom"/>
          </w:tcPr>
          <w:p w14:paraId="0C11C78B" w14:textId="02C25747" w:rsidR="00241B10" w:rsidRPr="00EC4ECB" w:rsidRDefault="00241B10" w:rsidP="00241B10">
            <w:pPr>
              <w:tabs>
                <w:tab w:val="left" w:pos="7272"/>
                <w:tab w:val="decimal" w:pos="8136"/>
                <w:tab w:val="left" w:pos="8496"/>
                <w:tab w:val="decimal" w:pos="9360"/>
              </w:tabs>
              <w:spacing w:after="0"/>
              <w:ind w:right="52"/>
              <w:jc w:val="right"/>
              <w:rPr>
                <w:rFonts w:ascii="Arial" w:hAnsi="Arial" w:cs="Arial"/>
                <w:szCs w:val="20"/>
              </w:rPr>
            </w:pPr>
            <w:r w:rsidRPr="00444871">
              <w:rPr>
                <w:rFonts w:ascii="Arial" w:hAnsi="Arial" w:cs="Arial"/>
                <w:szCs w:val="20"/>
              </w:rPr>
              <w:t>–</w:t>
            </w:r>
          </w:p>
        </w:tc>
      </w:tr>
      <w:tr w:rsidR="00241B10" w:rsidRPr="006D4677" w14:paraId="7AD29D67" w14:textId="77777777" w:rsidTr="00241B10">
        <w:tc>
          <w:tcPr>
            <w:tcW w:w="4140" w:type="dxa"/>
            <w:tcBorders>
              <w:top w:val="single" w:sz="4" w:space="0" w:color="auto"/>
              <w:bottom w:val="single" w:sz="4" w:space="0" w:color="auto"/>
            </w:tcBorders>
            <w:vAlign w:val="bottom"/>
          </w:tcPr>
          <w:p w14:paraId="24E5563A" w14:textId="7A4EB9C4" w:rsidR="00241B10" w:rsidRPr="006D4677" w:rsidRDefault="00241B10" w:rsidP="00241B10">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Total IFRS adjustments to equity</w:t>
            </w:r>
          </w:p>
        </w:tc>
        <w:tc>
          <w:tcPr>
            <w:tcW w:w="1585" w:type="dxa"/>
            <w:tcBorders>
              <w:top w:val="single" w:sz="4" w:space="0" w:color="auto"/>
              <w:bottom w:val="single" w:sz="4" w:space="0" w:color="auto"/>
            </w:tcBorders>
          </w:tcPr>
          <w:p w14:paraId="0D29A46C" w14:textId="371E2C12" w:rsidR="00241B10" w:rsidRPr="00444871" w:rsidRDefault="00172BB0" w:rsidP="00172BB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(10,019)</w:t>
            </w:r>
          </w:p>
        </w:tc>
        <w:tc>
          <w:tcPr>
            <w:tcW w:w="1585" w:type="dxa"/>
            <w:tcBorders>
              <w:top w:val="single" w:sz="4" w:space="0" w:color="auto"/>
              <w:bottom w:val="single" w:sz="4" w:space="0" w:color="auto"/>
            </w:tcBorders>
          </w:tcPr>
          <w:p w14:paraId="1195834D" w14:textId="652A7E85" w:rsidR="00241B10" w:rsidRPr="00444871" w:rsidRDefault="00172BB0" w:rsidP="00241B1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79,268</w:t>
            </w:r>
          </w:p>
        </w:tc>
        <w:tc>
          <w:tcPr>
            <w:tcW w:w="1585" w:type="dxa"/>
            <w:tcBorders>
              <w:top w:val="single" w:sz="4" w:space="0" w:color="auto"/>
              <w:bottom w:val="single" w:sz="4" w:space="0" w:color="auto"/>
            </w:tcBorders>
          </w:tcPr>
          <w:p w14:paraId="2FDAE010" w14:textId="3026A1B1" w:rsidR="00241B10" w:rsidRPr="006D4677" w:rsidRDefault="00241B10" w:rsidP="00241B10">
            <w:pPr>
              <w:tabs>
                <w:tab w:val="left" w:pos="7272"/>
                <w:tab w:val="decimal" w:pos="8136"/>
                <w:tab w:val="left" w:pos="8496"/>
                <w:tab w:val="decimal" w:pos="9360"/>
              </w:tabs>
              <w:spacing w:before="120" w:after="0"/>
              <w:ind w:right="29"/>
              <w:jc w:val="right"/>
              <w:rPr>
                <w:rFonts w:ascii="Arial" w:hAnsi="Arial" w:cs="Arial"/>
                <w:szCs w:val="20"/>
              </w:rPr>
            </w:pPr>
            <w:r w:rsidRPr="00444871">
              <w:rPr>
                <w:rFonts w:ascii="Arial" w:hAnsi="Arial" w:cs="Arial"/>
                <w:szCs w:val="20"/>
              </w:rPr>
              <w:t>–</w:t>
            </w:r>
          </w:p>
        </w:tc>
      </w:tr>
      <w:tr w:rsidR="00241B10" w:rsidRPr="00EC4ECB" w14:paraId="5B3137BD" w14:textId="77777777" w:rsidTr="00241B10">
        <w:tc>
          <w:tcPr>
            <w:tcW w:w="4140" w:type="dxa"/>
            <w:tcBorders>
              <w:top w:val="single" w:sz="4" w:space="0" w:color="auto"/>
              <w:bottom w:val="single" w:sz="12" w:space="0" w:color="auto"/>
            </w:tcBorders>
          </w:tcPr>
          <w:p w14:paraId="4E9CCF76" w14:textId="036666E9" w:rsidR="00241B10" w:rsidRPr="00EC4ECB" w:rsidRDefault="00241B10" w:rsidP="00241B10">
            <w:pPr>
              <w:tabs>
                <w:tab w:val="left" w:pos="7272"/>
                <w:tab w:val="decimal" w:pos="8136"/>
                <w:tab w:val="left" w:pos="8496"/>
                <w:tab w:val="decimal" w:pos="9360"/>
              </w:tabs>
              <w:spacing w:before="120" w:after="0"/>
              <w:rPr>
                <w:rFonts w:ascii="Arial" w:hAnsi="Arial" w:cs="Arial"/>
              </w:rPr>
            </w:pPr>
            <w:r>
              <w:rPr>
                <w:rFonts w:ascii="Arial" w:hAnsi="Arial" w:cs="Arial"/>
              </w:rPr>
              <w:t>Total equity under IFRS</w:t>
            </w:r>
          </w:p>
        </w:tc>
        <w:tc>
          <w:tcPr>
            <w:tcW w:w="1585" w:type="dxa"/>
            <w:tcBorders>
              <w:top w:val="single" w:sz="4" w:space="0" w:color="auto"/>
              <w:bottom w:val="single" w:sz="12" w:space="0" w:color="auto"/>
            </w:tcBorders>
            <w:vAlign w:val="bottom"/>
          </w:tcPr>
          <w:p w14:paraId="557026EB" w14:textId="21537BC3" w:rsidR="00241B10" w:rsidRPr="00444871" w:rsidRDefault="00172BB0" w:rsidP="00241B10">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3,499,613</w:t>
            </w:r>
          </w:p>
        </w:tc>
        <w:tc>
          <w:tcPr>
            <w:tcW w:w="1585" w:type="dxa"/>
            <w:tcBorders>
              <w:top w:val="single" w:sz="4" w:space="0" w:color="auto"/>
              <w:bottom w:val="single" w:sz="12" w:space="0" w:color="auto"/>
            </w:tcBorders>
            <w:vAlign w:val="bottom"/>
          </w:tcPr>
          <w:p w14:paraId="70CFCA51" w14:textId="40803EF8" w:rsidR="00241B10" w:rsidRPr="00444871" w:rsidRDefault="00172BB0" w:rsidP="00241B10">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4,404,302</w:t>
            </w:r>
          </w:p>
        </w:tc>
        <w:tc>
          <w:tcPr>
            <w:tcW w:w="1585" w:type="dxa"/>
            <w:tcBorders>
              <w:top w:val="single" w:sz="4" w:space="0" w:color="auto"/>
              <w:bottom w:val="single" w:sz="12" w:space="0" w:color="auto"/>
            </w:tcBorders>
            <w:vAlign w:val="bottom"/>
          </w:tcPr>
          <w:p w14:paraId="6E916734" w14:textId="5E0DEB94" w:rsidR="00241B10" w:rsidRPr="00EC4ECB" w:rsidRDefault="00241B10" w:rsidP="00241B10">
            <w:pPr>
              <w:tabs>
                <w:tab w:val="left" w:pos="7272"/>
                <w:tab w:val="decimal" w:pos="8136"/>
                <w:tab w:val="left" w:pos="8496"/>
                <w:tab w:val="decimal" w:pos="9360"/>
              </w:tabs>
              <w:spacing w:before="120" w:after="0"/>
              <w:ind w:right="52"/>
              <w:jc w:val="right"/>
              <w:rPr>
                <w:rFonts w:ascii="Arial" w:hAnsi="Arial" w:cs="Arial"/>
                <w:szCs w:val="20"/>
              </w:rPr>
            </w:pPr>
            <w:r>
              <w:rPr>
                <w:rFonts w:ascii="Arial" w:hAnsi="Arial" w:cs="Arial"/>
                <w:szCs w:val="20"/>
              </w:rPr>
              <w:t>(55,792)</w:t>
            </w:r>
          </w:p>
        </w:tc>
      </w:tr>
    </w:tbl>
    <w:p w14:paraId="0A3445A0" w14:textId="77777777" w:rsidR="00241B10" w:rsidRDefault="00241B10" w:rsidP="00241B10">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ind w:left="432" w:hanging="432"/>
        <w:jc w:val="both"/>
        <w:rPr>
          <w:rFonts w:ascii="Arial" w:hAnsi="Arial" w:cs="Arial"/>
          <w:b/>
          <w:bCs/>
          <w:szCs w:val="20"/>
        </w:rPr>
      </w:pPr>
    </w:p>
    <w:p w14:paraId="3AC683A0" w14:textId="78F12C4A" w:rsidR="007F24B8" w:rsidRDefault="00172BB0" w:rsidP="007F24B8">
      <w:pPr>
        <w:spacing w:after="0" w:line="240" w:lineRule="auto"/>
        <w:ind w:left="450" w:right="75"/>
        <w:jc w:val="both"/>
        <w:rPr>
          <w:rFonts w:ascii="Arial" w:hAnsi="Arial" w:cs="Arial"/>
          <w:szCs w:val="20"/>
          <w:lang w:eastAsia="en-CA"/>
        </w:rPr>
      </w:pPr>
      <w:r w:rsidRPr="00241B10">
        <w:rPr>
          <w:rFonts w:ascii="Arial" w:hAnsi="Arial" w:cs="Arial"/>
          <w:b/>
          <w:szCs w:val="20"/>
        </w:rPr>
        <w:t xml:space="preserve">Reconciliation of </w:t>
      </w:r>
      <w:r>
        <w:rPr>
          <w:rFonts w:ascii="Arial" w:hAnsi="Arial" w:cs="Arial"/>
          <w:b/>
          <w:szCs w:val="20"/>
        </w:rPr>
        <w:t>comprehensive loss</w:t>
      </w:r>
    </w:p>
    <w:tbl>
      <w:tblPr>
        <w:tblW w:w="8895" w:type="dxa"/>
        <w:tblInd w:w="450" w:type="dxa"/>
        <w:tblLayout w:type="fixed"/>
        <w:tblCellMar>
          <w:left w:w="0" w:type="dxa"/>
          <w:bottom w:w="29" w:type="dxa"/>
          <w:right w:w="0" w:type="dxa"/>
        </w:tblCellMar>
        <w:tblLook w:val="0000" w:firstRow="0" w:lastRow="0" w:firstColumn="0" w:lastColumn="0" w:noHBand="0" w:noVBand="0"/>
      </w:tblPr>
      <w:tblGrid>
        <w:gridCol w:w="4140"/>
        <w:gridCol w:w="1585"/>
        <w:gridCol w:w="1585"/>
        <w:gridCol w:w="1585"/>
      </w:tblGrid>
      <w:tr w:rsidR="00172BB0" w:rsidRPr="006D4677" w14:paraId="27E09C0E" w14:textId="77777777" w:rsidTr="00677109">
        <w:tc>
          <w:tcPr>
            <w:tcW w:w="4140" w:type="dxa"/>
            <w:tcBorders>
              <w:bottom w:val="single" w:sz="2" w:space="0" w:color="auto"/>
            </w:tcBorders>
            <w:vAlign w:val="bottom"/>
          </w:tcPr>
          <w:p w14:paraId="5ADD545C" w14:textId="77777777" w:rsidR="00172BB0" w:rsidRPr="006D4677" w:rsidRDefault="00172BB0" w:rsidP="00677109">
            <w:pPr>
              <w:tabs>
                <w:tab w:val="left" w:pos="7272"/>
                <w:tab w:val="decimal" w:pos="8136"/>
                <w:tab w:val="left" w:pos="8496"/>
                <w:tab w:val="decimal" w:pos="9360"/>
              </w:tabs>
              <w:spacing w:after="0"/>
              <w:rPr>
                <w:rFonts w:ascii="Arial" w:hAnsi="Arial" w:cs="Arial"/>
                <w:szCs w:val="20"/>
              </w:rPr>
            </w:pPr>
          </w:p>
        </w:tc>
        <w:tc>
          <w:tcPr>
            <w:tcW w:w="1585" w:type="dxa"/>
            <w:tcBorders>
              <w:bottom w:val="single" w:sz="2" w:space="0" w:color="auto"/>
            </w:tcBorders>
            <w:vAlign w:val="bottom"/>
          </w:tcPr>
          <w:p w14:paraId="7D800101" w14:textId="60E8B9A5" w:rsidR="00172BB0" w:rsidRDefault="00172BB0" w:rsidP="00677109">
            <w:pPr>
              <w:spacing w:after="0" w:line="240" w:lineRule="auto"/>
              <w:jc w:val="center"/>
              <w:rPr>
                <w:rFonts w:ascii="Arial" w:hAnsi="Arial" w:cs="Arial"/>
                <w:szCs w:val="20"/>
              </w:rPr>
            </w:pPr>
            <w:r>
              <w:rPr>
                <w:rFonts w:ascii="Arial" w:hAnsi="Arial" w:cs="Arial"/>
                <w:szCs w:val="20"/>
              </w:rPr>
              <w:t>Year Ended</w:t>
            </w:r>
          </w:p>
          <w:p w14:paraId="77FA3BDD" w14:textId="77777777" w:rsidR="00172BB0" w:rsidRPr="00444871" w:rsidRDefault="00172BB0" w:rsidP="00677109">
            <w:pPr>
              <w:spacing w:after="0" w:line="240" w:lineRule="auto"/>
              <w:jc w:val="center"/>
              <w:rPr>
                <w:rFonts w:ascii="Arial" w:hAnsi="Arial" w:cs="Arial"/>
                <w:szCs w:val="20"/>
              </w:rPr>
            </w:pPr>
            <w:r>
              <w:rPr>
                <w:rFonts w:ascii="Arial" w:hAnsi="Arial" w:cs="Arial"/>
                <w:szCs w:val="20"/>
              </w:rPr>
              <w:t>January</w:t>
            </w:r>
            <w:r w:rsidRPr="00444871">
              <w:rPr>
                <w:rFonts w:ascii="Arial" w:hAnsi="Arial" w:cs="Arial"/>
                <w:szCs w:val="20"/>
              </w:rPr>
              <w:t xml:space="preserve"> 31,</w:t>
            </w:r>
          </w:p>
          <w:p w14:paraId="55D78372" w14:textId="77777777" w:rsidR="00172BB0" w:rsidRPr="00444871" w:rsidRDefault="00172BB0" w:rsidP="00677109">
            <w:pPr>
              <w:spacing w:after="0" w:line="240" w:lineRule="auto"/>
              <w:jc w:val="center"/>
              <w:rPr>
                <w:rFonts w:ascii="Arial" w:hAnsi="Arial" w:cs="Arial"/>
                <w:szCs w:val="20"/>
              </w:rPr>
            </w:pPr>
            <w:r w:rsidRPr="00444871">
              <w:rPr>
                <w:rFonts w:ascii="Arial" w:hAnsi="Arial" w:cs="Arial"/>
                <w:szCs w:val="20"/>
              </w:rPr>
              <w:t>2019</w:t>
            </w:r>
          </w:p>
          <w:p w14:paraId="47DA977D" w14:textId="77777777" w:rsidR="00172BB0" w:rsidRPr="00444871" w:rsidRDefault="00172BB0" w:rsidP="00677109">
            <w:pPr>
              <w:spacing w:after="0" w:line="240" w:lineRule="auto"/>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5B26D0F2" w14:textId="77777777" w:rsidR="00172BB0" w:rsidRDefault="00172BB0" w:rsidP="00677109">
            <w:pPr>
              <w:spacing w:after="0" w:line="240" w:lineRule="auto"/>
              <w:jc w:val="center"/>
              <w:rPr>
                <w:rFonts w:ascii="Arial" w:hAnsi="Arial" w:cs="Arial"/>
                <w:szCs w:val="20"/>
              </w:rPr>
            </w:pPr>
          </w:p>
          <w:p w14:paraId="354824F1" w14:textId="2693BB4F" w:rsidR="00172BB0" w:rsidRDefault="00172BB0" w:rsidP="00677109">
            <w:pPr>
              <w:spacing w:after="0" w:line="240" w:lineRule="auto"/>
              <w:jc w:val="center"/>
              <w:rPr>
                <w:rFonts w:ascii="Arial" w:hAnsi="Arial" w:cs="Arial"/>
                <w:szCs w:val="20"/>
              </w:rPr>
            </w:pPr>
            <w:r>
              <w:rPr>
                <w:rFonts w:ascii="Arial" w:hAnsi="Arial" w:cs="Arial"/>
                <w:szCs w:val="20"/>
              </w:rPr>
              <w:t>Six Months</w:t>
            </w:r>
          </w:p>
          <w:p w14:paraId="70BA27FB" w14:textId="77777777" w:rsidR="00172BB0" w:rsidRDefault="00172BB0" w:rsidP="00677109">
            <w:pPr>
              <w:spacing w:after="0" w:line="240" w:lineRule="auto"/>
              <w:jc w:val="center"/>
              <w:rPr>
                <w:rFonts w:ascii="Arial" w:hAnsi="Arial" w:cs="Arial"/>
                <w:szCs w:val="20"/>
              </w:rPr>
            </w:pPr>
            <w:r>
              <w:rPr>
                <w:rFonts w:ascii="Arial" w:hAnsi="Arial" w:cs="Arial"/>
                <w:szCs w:val="20"/>
              </w:rPr>
              <w:t>Ended</w:t>
            </w:r>
          </w:p>
          <w:p w14:paraId="27F25F8B" w14:textId="3B02AD2B" w:rsidR="00172BB0" w:rsidRPr="00444871" w:rsidRDefault="00172BB0" w:rsidP="00677109">
            <w:pPr>
              <w:spacing w:after="0" w:line="240" w:lineRule="auto"/>
              <w:jc w:val="center"/>
              <w:rPr>
                <w:rFonts w:ascii="Arial" w:hAnsi="Arial" w:cs="Arial"/>
                <w:szCs w:val="20"/>
              </w:rPr>
            </w:pPr>
            <w:r w:rsidRPr="00444871">
              <w:rPr>
                <w:rFonts w:ascii="Arial" w:hAnsi="Arial" w:cs="Arial"/>
                <w:szCs w:val="20"/>
              </w:rPr>
              <w:t>July 31,</w:t>
            </w:r>
          </w:p>
          <w:p w14:paraId="184815C4" w14:textId="77777777" w:rsidR="00172BB0" w:rsidRPr="00444871" w:rsidRDefault="00172BB0" w:rsidP="00677109">
            <w:pPr>
              <w:spacing w:after="0" w:line="240" w:lineRule="auto"/>
              <w:jc w:val="center"/>
              <w:rPr>
                <w:rFonts w:ascii="Arial" w:hAnsi="Arial" w:cs="Arial"/>
                <w:szCs w:val="20"/>
              </w:rPr>
            </w:pPr>
            <w:r>
              <w:rPr>
                <w:rFonts w:ascii="Arial" w:hAnsi="Arial" w:cs="Arial"/>
                <w:szCs w:val="20"/>
              </w:rPr>
              <w:t>2018</w:t>
            </w:r>
          </w:p>
          <w:p w14:paraId="2077B182" w14:textId="77777777" w:rsidR="00172BB0" w:rsidRPr="00444871" w:rsidRDefault="00172BB0" w:rsidP="00677109">
            <w:pPr>
              <w:tabs>
                <w:tab w:val="left" w:pos="7272"/>
                <w:tab w:val="decimal" w:pos="8136"/>
                <w:tab w:val="left" w:pos="8496"/>
                <w:tab w:val="decimal" w:pos="9360"/>
              </w:tabs>
              <w:spacing w:after="0"/>
              <w:ind w:right="29"/>
              <w:jc w:val="center"/>
              <w:rPr>
                <w:rFonts w:ascii="Arial" w:hAnsi="Arial" w:cs="Arial"/>
                <w:szCs w:val="20"/>
              </w:rPr>
            </w:pPr>
            <w:r w:rsidRPr="00444871">
              <w:rPr>
                <w:rFonts w:ascii="Arial" w:hAnsi="Arial" w:cs="Arial"/>
                <w:szCs w:val="20"/>
              </w:rPr>
              <w:t>$</w:t>
            </w:r>
          </w:p>
        </w:tc>
        <w:tc>
          <w:tcPr>
            <w:tcW w:w="1585" w:type="dxa"/>
            <w:tcBorders>
              <w:bottom w:val="single" w:sz="2" w:space="0" w:color="auto"/>
            </w:tcBorders>
            <w:vAlign w:val="bottom"/>
          </w:tcPr>
          <w:p w14:paraId="2A5017AA" w14:textId="4D0B1328" w:rsidR="00172BB0" w:rsidRDefault="00172BB0" w:rsidP="00677109">
            <w:pPr>
              <w:spacing w:after="0" w:line="240" w:lineRule="auto"/>
              <w:jc w:val="center"/>
              <w:rPr>
                <w:rFonts w:ascii="Arial" w:hAnsi="Arial" w:cs="Arial"/>
                <w:szCs w:val="20"/>
              </w:rPr>
            </w:pPr>
            <w:r>
              <w:rPr>
                <w:rFonts w:ascii="Arial" w:hAnsi="Arial" w:cs="Arial"/>
                <w:szCs w:val="20"/>
              </w:rPr>
              <w:t>Three Months</w:t>
            </w:r>
          </w:p>
          <w:p w14:paraId="3CEAD374" w14:textId="0E05CC2A" w:rsidR="00172BB0" w:rsidRDefault="00172BB0" w:rsidP="00677109">
            <w:pPr>
              <w:spacing w:after="0" w:line="240" w:lineRule="auto"/>
              <w:jc w:val="center"/>
              <w:rPr>
                <w:rFonts w:ascii="Arial" w:hAnsi="Arial" w:cs="Arial"/>
                <w:szCs w:val="20"/>
              </w:rPr>
            </w:pPr>
            <w:r>
              <w:rPr>
                <w:rFonts w:ascii="Arial" w:hAnsi="Arial" w:cs="Arial"/>
                <w:szCs w:val="20"/>
              </w:rPr>
              <w:t>Ended</w:t>
            </w:r>
          </w:p>
          <w:p w14:paraId="0F7626CD" w14:textId="23D8EEE2" w:rsidR="00172BB0" w:rsidRDefault="00172BB0" w:rsidP="00677109">
            <w:pPr>
              <w:spacing w:after="0" w:line="240" w:lineRule="auto"/>
              <w:jc w:val="center"/>
              <w:rPr>
                <w:rFonts w:ascii="Arial" w:hAnsi="Arial" w:cs="Arial"/>
                <w:szCs w:val="20"/>
              </w:rPr>
            </w:pPr>
            <w:r>
              <w:rPr>
                <w:rFonts w:ascii="Arial" w:hAnsi="Arial" w:cs="Arial"/>
                <w:szCs w:val="20"/>
              </w:rPr>
              <w:t>July 31,</w:t>
            </w:r>
          </w:p>
          <w:p w14:paraId="545111EB" w14:textId="3FBC2373" w:rsidR="00172BB0" w:rsidRPr="00EC4ECB" w:rsidRDefault="00172BB0" w:rsidP="00677109">
            <w:pPr>
              <w:spacing w:after="0" w:line="240" w:lineRule="auto"/>
              <w:jc w:val="center"/>
              <w:rPr>
                <w:rFonts w:ascii="Arial" w:hAnsi="Arial" w:cs="Arial"/>
                <w:szCs w:val="20"/>
              </w:rPr>
            </w:pPr>
            <w:r>
              <w:rPr>
                <w:rFonts w:ascii="Arial" w:hAnsi="Arial" w:cs="Arial"/>
                <w:szCs w:val="20"/>
              </w:rPr>
              <w:t>2018</w:t>
            </w:r>
          </w:p>
          <w:p w14:paraId="5DA8981E" w14:textId="77777777" w:rsidR="00172BB0" w:rsidRPr="00EC4ECB" w:rsidRDefault="00172BB0" w:rsidP="00677109">
            <w:pPr>
              <w:tabs>
                <w:tab w:val="left" w:pos="7272"/>
                <w:tab w:val="decimal" w:pos="8136"/>
                <w:tab w:val="left" w:pos="8496"/>
                <w:tab w:val="decimal" w:pos="9360"/>
              </w:tabs>
              <w:spacing w:after="0"/>
              <w:ind w:right="29"/>
              <w:jc w:val="center"/>
              <w:rPr>
                <w:rFonts w:ascii="Arial" w:hAnsi="Arial" w:cs="Arial"/>
                <w:szCs w:val="20"/>
              </w:rPr>
            </w:pPr>
            <w:r w:rsidRPr="00EC4ECB">
              <w:rPr>
                <w:rFonts w:ascii="Arial" w:hAnsi="Arial" w:cs="Arial"/>
                <w:szCs w:val="20"/>
              </w:rPr>
              <w:t>$</w:t>
            </w:r>
          </w:p>
        </w:tc>
      </w:tr>
      <w:tr w:rsidR="00172BB0" w:rsidRPr="006D4677" w14:paraId="445436DA" w14:textId="77777777" w:rsidTr="00677109">
        <w:tc>
          <w:tcPr>
            <w:tcW w:w="4140" w:type="dxa"/>
            <w:tcBorders>
              <w:top w:val="single" w:sz="2" w:space="0" w:color="auto"/>
            </w:tcBorders>
            <w:vAlign w:val="bottom"/>
          </w:tcPr>
          <w:p w14:paraId="6ECF80CD" w14:textId="03ED48C2" w:rsidR="00172BB0" w:rsidRPr="006D4677" w:rsidRDefault="00172BB0" w:rsidP="00677109">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Comprehensive loss under U.S. GAAP</w:t>
            </w:r>
          </w:p>
        </w:tc>
        <w:tc>
          <w:tcPr>
            <w:tcW w:w="1585" w:type="dxa"/>
            <w:tcBorders>
              <w:top w:val="single" w:sz="2" w:space="0" w:color="auto"/>
            </w:tcBorders>
          </w:tcPr>
          <w:p w14:paraId="298D2FC3" w14:textId="75389DED" w:rsidR="00172BB0" w:rsidRPr="00444871" w:rsidRDefault="00172BB0" w:rsidP="00677109">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9,022,942</w:t>
            </w:r>
          </w:p>
        </w:tc>
        <w:tc>
          <w:tcPr>
            <w:tcW w:w="1585" w:type="dxa"/>
            <w:tcBorders>
              <w:top w:val="single" w:sz="2" w:space="0" w:color="auto"/>
            </w:tcBorders>
          </w:tcPr>
          <w:p w14:paraId="286E05E9" w14:textId="1404FAFB" w:rsidR="00172BB0" w:rsidRPr="00444871" w:rsidRDefault="00DC2FC0" w:rsidP="0037016A">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3,866,</w:t>
            </w:r>
            <w:r w:rsidR="0037016A">
              <w:rPr>
                <w:rFonts w:ascii="Arial" w:hAnsi="Arial" w:cs="Arial"/>
                <w:szCs w:val="20"/>
              </w:rPr>
              <w:t>255</w:t>
            </w:r>
          </w:p>
        </w:tc>
        <w:tc>
          <w:tcPr>
            <w:tcW w:w="1585" w:type="dxa"/>
            <w:tcBorders>
              <w:top w:val="single" w:sz="2" w:space="0" w:color="auto"/>
            </w:tcBorders>
          </w:tcPr>
          <w:p w14:paraId="1FE58CB8" w14:textId="78E875AC" w:rsidR="00172BB0" w:rsidRPr="006D4677" w:rsidRDefault="00DC2FC0" w:rsidP="005045E3">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1,796,</w:t>
            </w:r>
            <w:r w:rsidR="005045E3">
              <w:rPr>
                <w:rFonts w:ascii="Arial" w:hAnsi="Arial" w:cs="Arial"/>
                <w:szCs w:val="20"/>
              </w:rPr>
              <w:t>485</w:t>
            </w:r>
          </w:p>
        </w:tc>
      </w:tr>
      <w:tr w:rsidR="00172BB0" w:rsidRPr="006D4677" w14:paraId="79E9F92C" w14:textId="77777777" w:rsidTr="00677109">
        <w:tc>
          <w:tcPr>
            <w:tcW w:w="4140" w:type="dxa"/>
            <w:vAlign w:val="bottom"/>
          </w:tcPr>
          <w:p w14:paraId="6DC91206" w14:textId="77777777" w:rsidR="00172BB0" w:rsidRPr="006D4677" w:rsidRDefault="00172BB0" w:rsidP="00677109">
            <w:pPr>
              <w:tabs>
                <w:tab w:val="left" w:pos="7272"/>
                <w:tab w:val="decimal" w:pos="8136"/>
                <w:tab w:val="left" w:pos="8496"/>
                <w:tab w:val="decimal" w:pos="9360"/>
              </w:tabs>
              <w:spacing w:after="0"/>
              <w:rPr>
                <w:rFonts w:ascii="Arial" w:hAnsi="Arial" w:cs="Arial"/>
                <w:szCs w:val="20"/>
              </w:rPr>
            </w:pPr>
            <w:r>
              <w:rPr>
                <w:rFonts w:ascii="Arial" w:hAnsi="Arial" w:cs="Arial"/>
                <w:szCs w:val="20"/>
              </w:rPr>
              <w:t>IFRS adjustments to equity</w:t>
            </w:r>
            <w:r w:rsidRPr="006D4677">
              <w:rPr>
                <w:rFonts w:ascii="Arial" w:hAnsi="Arial" w:cs="Arial"/>
                <w:szCs w:val="20"/>
              </w:rPr>
              <w:t>:</w:t>
            </w:r>
          </w:p>
        </w:tc>
        <w:tc>
          <w:tcPr>
            <w:tcW w:w="1585" w:type="dxa"/>
          </w:tcPr>
          <w:p w14:paraId="55C55F4C" w14:textId="77777777" w:rsidR="00172BB0" w:rsidRPr="00444871" w:rsidRDefault="00172BB0" w:rsidP="00677109">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0FE5CED6" w14:textId="77777777" w:rsidR="00172BB0" w:rsidRPr="00444871" w:rsidRDefault="00172BB0" w:rsidP="00677109">
            <w:pPr>
              <w:tabs>
                <w:tab w:val="left" w:pos="7272"/>
                <w:tab w:val="decimal" w:pos="8136"/>
                <w:tab w:val="left" w:pos="8496"/>
                <w:tab w:val="decimal" w:pos="9360"/>
              </w:tabs>
              <w:spacing w:after="0"/>
              <w:ind w:right="29"/>
              <w:jc w:val="right"/>
              <w:rPr>
                <w:rFonts w:ascii="Arial" w:hAnsi="Arial" w:cs="Arial"/>
                <w:szCs w:val="20"/>
              </w:rPr>
            </w:pPr>
          </w:p>
        </w:tc>
        <w:tc>
          <w:tcPr>
            <w:tcW w:w="1585" w:type="dxa"/>
          </w:tcPr>
          <w:p w14:paraId="7E3CB49D" w14:textId="77777777" w:rsidR="00172BB0" w:rsidRPr="006D4677" w:rsidRDefault="00172BB0" w:rsidP="00677109">
            <w:pPr>
              <w:tabs>
                <w:tab w:val="left" w:pos="7272"/>
                <w:tab w:val="decimal" w:pos="8136"/>
                <w:tab w:val="left" w:pos="8496"/>
                <w:tab w:val="decimal" w:pos="9360"/>
              </w:tabs>
              <w:spacing w:after="0"/>
              <w:ind w:right="29"/>
              <w:jc w:val="right"/>
              <w:rPr>
                <w:rFonts w:ascii="Arial" w:hAnsi="Arial" w:cs="Arial"/>
                <w:szCs w:val="20"/>
              </w:rPr>
            </w:pPr>
          </w:p>
        </w:tc>
      </w:tr>
      <w:tr w:rsidR="00172BB0" w:rsidRPr="00EC4ECB" w14:paraId="085B4CA7" w14:textId="77777777" w:rsidTr="00677109">
        <w:tc>
          <w:tcPr>
            <w:tcW w:w="4140" w:type="dxa"/>
          </w:tcPr>
          <w:p w14:paraId="2008FCDB" w14:textId="3F2AAF21" w:rsidR="00172BB0" w:rsidRPr="00EC4ECB" w:rsidRDefault="00172BB0" w:rsidP="00677109">
            <w:pPr>
              <w:tabs>
                <w:tab w:val="left" w:pos="7272"/>
                <w:tab w:val="decimal" w:pos="8136"/>
                <w:tab w:val="left" w:pos="8496"/>
                <w:tab w:val="decimal" w:pos="9360"/>
              </w:tabs>
              <w:spacing w:after="0"/>
              <w:ind w:left="144"/>
              <w:rPr>
                <w:rFonts w:ascii="Arial" w:hAnsi="Arial" w:cs="Arial"/>
                <w:szCs w:val="20"/>
              </w:rPr>
            </w:pPr>
            <w:r>
              <w:rPr>
                <w:rFonts w:ascii="Arial" w:hAnsi="Arial" w:cs="Arial"/>
              </w:rPr>
              <w:t xml:space="preserve">Leases </w:t>
            </w:r>
            <w:r w:rsidR="003D40ED">
              <w:rPr>
                <w:rFonts w:ascii="Arial" w:hAnsi="Arial" w:cs="Arial"/>
              </w:rPr>
              <w:t>(Note 22</w:t>
            </w:r>
            <w:r>
              <w:rPr>
                <w:rFonts w:ascii="Arial" w:hAnsi="Arial" w:cs="Arial"/>
              </w:rPr>
              <w:t>(a)</w:t>
            </w:r>
            <w:r w:rsidR="003D40ED">
              <w:rPr>
                <w:rFonts w:ascii="Arial" w:hAnsi="Arial" w:cs="Arial"/>
              </w:rPr>
              <w:t>)</w:t>
            </w:r>
          </w:p>
        </w:tc>
        <w:tc>
          <w:tcPr>
            <w:tcW w:w="1585" w:type="dxa"/>
            <w:vAlign w:val="bottom"/>
          </w:tcPr>
          <w:p w14:paraId="13D91861" w14:textId="627A8371" w:rsidR="00172BB0" w:rsidRPr="00444871" w:rsidRDefault="00172BB0" w:rsidP="009E6943">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61,122</w:t>
            </w:r>
          </w:p>
        </w:tc>
        <w:tc>
          <w:tcPr>
            <w:tcW w:w="1585" w:type="dxa"/>
            <w:vAlign w:val="bottom"/>
          </w:tcPr>
          <w:p w14:paraId="0A890B45" w14:textId="56E7FA46" w:rsidR="00172BB0" w:rsidRPr="00444871" w:rsidRDefault="00172BB0" w:rsidP="00DC2FC0">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9,756</w:t>
            </w:r>
          </w:p>
        </w:tc>
        <w:tc>
          <w:tcPr>
            <w:tcW w:w="1585" w:type="dxa"/>
            <w:vAlign w:val="bottom"/>
          </w:tcPr>
          <w:p w14:paraId="46821B3A" w14:textId="64B85DFB" w:rsidR="00172BB0" w:rsidRPr="00EC4ECB" w:rsidRDefault="00DC2FC0" w:rsidP="00677109">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9,756</w:t>
            </w:r>
          </w:p>
        </w:tc>
      </w:tr>
      <w:tr w:rsidR="00172BB0" w:rsidRPr="00EC4ECB" w14:paraId="669F0B45" w14:textId="77777777" w:rsidTr="00677109">
        <w:tc>
          <w:tcPr>
            <w:tcW w:w="4140" w:type="dxa"/>
            <w:tcBorders>
              <w:bottom w:val="single" w:sz="4" w:space="0" w:color="auto"/>
            </w:tcBorders>
          </w:tcPr>
          <w:p w14:paraId="31984835" w14:textId="32AD359C" w:rsidR="00172BB0" w:rsidRPr="00EC4ECB" w:rsidRDefault="00172BB0" w:rsidP="00677109">
            <w:pPr>
              <w:tabs>
                <w:tab w:val="left" w:pos="7272"/>
                <w:tab w:val="decimal" w:pos="8136"/>
                <w:tab w:val="left" w:pos="8496"/>
                <w:tab w:val="decimal" w:pos="9360"/>
              </w:tabs>
              <w:spacing w:after="0"/>
              <w:ind w:left="144"/>
              <w:rPr>
                <w:rFonts w:ascii="Arial" w:hAnsi="Arial" w:cs="Arial"/>
                <w:szCs w:val="20"/>
              </w:rPr>
            </w:pPr>
            <w:r>
              <w:rPr>
                <w:rFonts w:ascii="Arial" w:hAnsi="Arial" w:cs="Arial"/>
              </w:rPr>
              <w:t xml:space="preserve">Convertible debentures </w:t>
            </w:r>
            <w:r w:rsidR="003D40ED">
              <w:rPr>
                <w:rFonts w:ascii="Arial" w:hAnsi="Arial" w:cs="Arial"/>
              </w:rPr>
              <w:t>(Note 22</w:t>
            </w:r>
            <w:r>
              <w:rPr>
                <w:rFonts w:ascii="Arial" w:hAnsi="Arial" w:cs="Arial"/>
              </w:rPr>
              <w:t>(b</w:t>
            </w:r>
            <w:r w:rsidR="003D40ED">
              <w:rPr>
                <w:rFonts w:ascii="Arial" w:hAnsi="Arial" w:cs="Arial"/>
              </w:rPr>
              <w:t>)</w:t>
            </w:r>
            <w:r>
              <w:rPr>
                <w:rFonts w:ascii="Arial" w:hAnsi="Arial" w:cs="Arial"/>
              </w:rPr>
              <w:t>)</w:t>
            </w:r>
          </w:p>
        </w:tc>
        <w:tc>
          <w:tcPr>
            <w:tcW w:w="1585" w:type="dxa"/>
            <w:tcBorders>
              <w:bottom w:val="single" w:sz="4" w:space="0" w:color="auto"/>
            </w:tcBorders>
            <w:vAlign w:val="bottom"/>
          </w:tcPr>
          <w:p w14:paraId="3A16F32B" w14:textId="111182A9" w:rsidR="00172BB0" w:rsidRPr="00444871" w:rsidRDefault="00172BB0" w:rsidP="00677109">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43,560</w:t>
            </w:r>
          </w:p>
        </w:tc>
        <w:tc>
          <w:tcPr>
            <w:tcW w:w="1585" w:type="dxa"/>
            <w:tcBorders>
              <w:bottom w:val="single" w:sz="4" w:space="0" w:color="auto"/>
            </w:tcBorders>
            <w:vAlign w:val="bottom"/>
          </w:tcPr>
          <w:p w14:paraId="1D7B9144" w14:textId="2DA95E4F" w:rsidR="00172BB0" w:rsidRPr="00444871" w:rsidRDefault="00DC2FC0" w:rsidP="005A2885">
            <w:pPr>
              <w:tabs>
                <w:tab w:val="left" w:pos="1170"/>
                <w:tab w:val="left" w:pos="7272"/>
                <w:tab w:val="decimal" w:pos="8136"/>
                <w:tab w:val="left" w:pos="8496"/>
                <w:tab w:val="decimal" w:pos="9360"/>
              </w:tabs>
              <w:spacing w:after="0"/>
              <w:ind w:right="29"/>
              <w:jc w:val="right"/>
              <w:rPr>
                <w:rFonts w:ascii="Arial" w:hAnsi="Arial" w:cs="Arial"/>
                <w:szCs w:val="20"/>
              </w:rPr>
            </w:pPr>
            <w:r>
              <w:rPr>
                <w:rFonts w:ascii="Arial" w:hAnsi="Arial" w:cs="Arial"/>
                <w:szCs w:val="20"/>
              </w:rPr>
              <w:t>5,6</w:t>
            </w:r>
            <w:r w:rsidR="005A2885">
              <w:rPr>
                <w:rFonts w:ascii="Arial" w:hAnsi="Arial" w:cs="Arial"/>
                <w:szCs w:val="20"/>
              </w:rPr>
              <w:t>96</w:t>
            </w:r>
          </w:p>
        </w:tc>
        <w:tc>
          <w:tcPr>
            <w:tcW w:w="1585" w:type="dxa"/>
            <w:tcBorders>
              <w:bottom w:val="single" w:sz="4" w:space="0" w:color="auto"/>
            </w:tcBorders>
            <w:vAlign w:val="bottom"/>
          </w:tcPr>
          <w:p w14:paraId="28808C9C" w14:textId="7B86F43D" w:rsidR="00172BB0" w:rsidRPr="00EC4ECB" w:rsidRDefault="005045E3" w:rsidP="005A2885">
            <w:pPr>
              <w:tabs>
                <w:tab w:val="left" w:pos="7272"/>
                <w:tab w:val="decimal" w:pos="8136"/>
                <w:tab w:val="left" w:pos="8496"/>
                <w:tab w:val="decimal" w:pos="9360"/>
              </w:tabs>
              <w:spacing w:after="0"/>
              <w:ind w:right="52"/>
              <w:jc w:val="right"/>
              <w:rPr>
                <w:rFonts w:ascii="Arial" w:hAnsi="Arial" w:cs="Arial"/>
                <w:szCs w:val="20"/>
              </w:rPr>
            </w:pPr>
            <w:r>
              <w:rPr>
                <w:rFonts w:ascii="Arial" w:hAnsi="Arial" w:cs="Arial"/>
                <w:szCs w:val="20"/>
              </w:rPr>
              <w:t>20,</w:t>
            </w:r>
            <w:r w:rsidR="005A2885">
              <w:rPr>
                <w:rFonts w:ascii="Arial" w:hAnsi="Arial" w:cs="Arial"/>
                <w:szCs w:val="20"/>
              </w:rPr>
              <w:t>685</w:t>
            </w:r>
          </w:p>
        </w:tc>
      </w:tr>
      <w:tr w:rsidR="00172BB0" w:rsidRPr="006D4677" w14:paraId="45913635" w14:textId="77777777" w:rsidTr="00677109">
        <w:tc>
          <w:tcPr>
            <w:tcW w:w="4140" w:type="dxa"/>
            <w:tcBorders>
              <w:top w:val="single" w:sz="4" w:space="0" w:color="auto"/>
              <w:bottom w:val="single" w:sz="4" w:space="0" w:color="auto"/>
            </w:tcBorders>
            <w:vAlign w:val="bottom"/>
          </w:tcPr>
          <w:p w14:paraId="7E8044A8" w14:textId="77777777" w:rsidR="00172BB0" w:rsidRPr="006D4677" w:rsidRDefault="00172BB0" w:rsidP="00677109">
            <w:pPr>
              <w:tabs>
                <w:tab w:val="left" w:pos="7272"/>
                <w:tab w:val="decimal" w:pos="8136"/>
                <w:tab w:val="left" w:pos="8496"/>
                <w:tab w:val="decimal" w:pos="9360"/>
              </w:tabs>
              <w:spacing w:before="120" w:after="0"/>
              <w:rPr>
                <w:rFonts w:ascii="Arial" w:hAnsi="Arial" w:cs="Arial"/>
                <w:szCs w:val="20"/>
              </w:rPr>
            </w:pPr>
            <w:r>
              <w:rPr>
                <w:rFonts w:ascii="Arial" w:hAnsi="Arial" w:cs="Arial"/>
                <w:szCs w:val="20"/>
              </w:rPr>
              <w:t>Total IFRS adjustments to equity</w:t>
            </w:r>
          </w:p>
        </w:tc>
        <w:tc>
          <w:tcPr>
            <w:tcW w:w="1585" w:type="dxa"/>
            <w:tcBorders>
              <w:top w:val="single" w:sz="4" w:space="0" w:color="auto"/>
              <w:bottom w:val="single" w:sz="4" w:space="0" w:color="auto"/>
            </w:tcBorders>
          </w:tcPr>
          <w:p w14:paraId="19D6E522" w14:textId="67CE437E" w:rsidR="00172BB0" w:rsidRPr="00444871" w:rsidRDefault="00172BB0" w:rsidP="00172BB0">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104,682</w:t>
            </w:r>
          </w:p>
        </w:tc>
        <w:tc>
          <w:tcPr>
            <w:tcW w:w="1585" w:type="dxa"/>
            <w:tcBorders>
              <w:top w:val="single" w:sz="4" w:space="0" w:color="auto"/>
              <w:bottom w:val="single" w:sz="4" w:space="0" w:color="auto"/>
            </w:tcBorders>
          </w:tcPr>
          <w:p w14:paraId="642105D1" w14:textId="39912AED" w:rsidR="00172BB0" w:rsidRPr="00444871" w:rsidRDefault="00DC2FC0" w:rsidP="005A2885">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15,</w:t>
            </w:r>
            <w:r w:rsidR="005A2885">
              <w:rPr>
                <w:rFonts w:ascii="Arial" w:hAnsi="Arial" w:cs="Arial"/>
                <w:szCs w:val="20"/>
              </w:rPr>
              <w:t>452</w:t>
            </w:r>
          </w:p>
        </w:tc>
        <w:tc>
          <w:tcPr>
            <w:tcW w:w="1585" w:type="dxa"/>
            <w:tcBorders>
              <w:top w:val="single" w:sz="4" w:space="0" w:color="auto"/>
              <w:bottom w:val="single" w:sz="4" w:space="0" w:color="auto"/>
            </w:tcBorders>
          </w:tcPr>
          <w:p w14:paraId="61E9132B" w14:textId="076AD22C" w:rsidR="00172BB0" w:rsidRPr="006D4677" w:rsidRDefault="005045E3" w:rsidP="005A2885">
            <w:pPr>
              <w:tabs>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30,</w:t>
            </w:r>
            <w:r w:rsidR="005A2885">
              <w:rPr>
                <w:rFonts w:ascii="Arial" w:hAnsi="Arial" w:cs="Arial"/>
                <w:szCs w:val="20"/>
              </w:rPr>
              <w:t>441</w:t>
            </w:r>
          </w:p>
        </w:tc>
      </w:tr>
      <w:tr w:rsidR="00172BB0" w:rsidRPr="00EC4ECB" w14:paraId="3A49CF76" w14:textId="77777777" w:rsidTr="00677109">
        <w:tc>
          <w:tcPr>
            <w:tcW w:w="4140" w:type="dxa"/>
            <w:tcBorders>
              <w:top w:val="single" w:sz="4" w:space="0" w:color="auto"/>
              <w:bottom w:val="single" w:sz="12" w:space="0" w:color="auto"/>
            </w:tcBorders>
          </w:tcPr>
          <w:p w14:paraId="6ED96412" w14:textId="77777777" w:rsidR="00172BB0" w:rsidRPr="00EC4ECB" w:rsidRDefault="00172BB0" w:rsidP="00677109">
            <w:pPr>
              <w:tabs>
                <w:tab w:val="left" w:pos="7272"/>
                <w:tab w:val="decimal" w:pos="8136"/>
                <w:tab w:val="left" w:pos="8496"/>
                <w:tab w:val="decimal" w:pos="9360"/>
              </w:tabs>
              <w:spacing w:before="120" w:after="0"/>
              <w:rPr>
                <w:rFonts w:ascii="Arial" w:hAnsi="Arial" w:cs="Arial"/>
              </w:rPr>
            </w:pPr>
            <w:r>
              <w:rPr>
                <w:rFonts w:ascii="Arial" w:hAnsi="Arial" w:cs="Arial"/>
              </w:rPr>
              <w:t>Total equity under IFRS</w:t>
            </w:r>
          </w:p>
        </w:tc>
        <w:tc>
          <w:tcPr>
            <w:tcW w:w="1585" w:type="dxa"/>
            <w:tcBorders>
              <w:top w:val="single" w:sz="4" w:space="0" w:color="auto"/>
              <w:bottom w:val="single" w:sz="12" w:space="0" w:color="auto"/>
            </w:tcBorders>
            <w:vAlign w:val="bottom"/>
          </w:tcPr>
          <w:p w14:paraId="24E0F80F" w14:textId="2E02EAC9" w:rsidR="00172BB0" w:rsidRPr="00444871" w:rsidRDefault="00172BB0" w:rsidP="00677109">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9,127,624</w:t>
            </w:r>
          </w:p>
        </w:tc>
        <w:tc>
          <w:tcPr>
            <w:tcW w:w="1585" w:type="dxa"/>
            <w:tcBorders>
              <w:top w:val="single" w:sz="4" w:space="0" w:color="auto"/>
              <w:bottom w:val="single" w:sz="12" w:space="0" w:color="auto"/>
            </w:tcBorders>
            <w:vAlign w:val="bottom"/>
          </w:tcPr>
          <w:p w14:paraId="6599121E" w14:textId="3624E687" w:rsidR="00172BB0" w:rsidRPr="00444871" w:rsidRDefault="00DC2FC0" w:rsidP="005A2885">
            <w:pPr>
              <w:tabs>
                <w:tab w:val="left" w:pos="1170"/>
                <w:tab w:val="left" w:pos="7272"/>
                <w:tab w:val="decimal" w:pos="8136"/>
                <w:tab w:val="left" w:pos="8496"/>
                <w:tab w:val="decimal" w:pos="9360"/>
              </w:tabs>
              <w:spacing w:before="120" w:after="0"/>
              <w:ind w:right="29"/>
              <w:jc w:val="right"/>
              <w:rPr>
                <w:rFonts w:ascii="Arial" w:hAnsi="Arial" w:cs="Arial"/>
                <w:szCs w:val="20"/>
              </w:rPr>
            </w:pPr>
            <w:r>
              <w:rPr>
                <w:rFonts w:ascii="Arial" w:hAnsi="Arial" w:cs="Arial"/>
                <w:szCs w:val="20"/>
              </w:rPr>
              <w:t>3,881,</w:t>
            </w:r>
            <w:r w:rsidR="005A2885">
              <w:rPr>
                <w:rFonts w:ascii="Arial" w:hAnsi="Arial" w:cs="Arial"/>
                <w:szCs w:val="20"/>
              </w:rPr>
              <w:t>707</w:t>
            </w:r>
          </w:p>
        </w:tc>
        <w:tc>
          <w:tcPr>
            <w:tcW w:w="1585" w:type="dxa"/>
            <w:tcBorders>
              <w:top w:val="single" w:sz="4" w:space="0" w:color="auto"/>
              <w:bottom w:val="single" w:sz="12" w:space="0" w:color="auto"/>
            </w:tcBorders>
            <w:vAlign w:val="bottom"/>
          </w:tcPr>
          <w:p w14:paraId="3C58EB5B" w14:textId="4E040443" w:rsidR="00172BB0" w:rsidRPr="00EC4ECB" w:rsidRDefault="00DC2FC0" w:rsidP="005A2885">
            <w:pPr>
              <w:tabs>
                <w:tab w:val="left" w:pos="7272"/>
                <w:tab w:val="decimal" w:pos="8136"/>
                <w:tab w:val="left" w:pos="8496"/>
                <w:tab w:val="decimal" w:pos="9360"/>
              </w:tabs>
              <w:spacing w:before="120" w:after="0"/>
              <w:ind w:right="52"/>
              <w:jc w:val="right"/>
              <w:rPr>
                <w:rFonts w:ascii="Arial" w:hAnsi="Arial" w:cs="Arial"/>
                <w:szCs w:val="20"/>
              </w:rPr>
            </w:pPr>
            <w:r>
              <w:rPr>
                <w:rFonts w:ascii="Arial" w:hAnsi="Arial" w:cs="Arial"/>
                <w:szCs w:val="20"/>
              </w:rPr>
              <w:t>1,</w:t>
            </w:r>
            <w:r w:rsidR="005045E3">
              <w:rPr>
                <w:rFonts w:ascii="Arial" w:hAnsi="Arial" w:cs="Arial"/>
                <w:szCs w:val="20"/>
              </w:rPr>
              <w:t>826,</w:t>
            </w:r>
            <w:r w:rsidR="005A2885">
              <w:rPr>
                <w:rFonts w:ascii="Arial" w:hAnsi="Arial" w:cs="Arial"/>
                <w:szCs w:val="20"/>
              </w:rPr>
              <w:t>926</w:t>
            </w:r>
          </w:p>
        </w:tc>
      </w:tr>
    </w:tbl>
    <w:p w14:paraId="18AF78B7" w14:textId="77777777" w:rsidR="00241B10" w:rsidRDefault="00241B10" w:rsidP="007F24B8">
      <w:pPr>
        <w:spacing w:after="0" w:line="240" w:lineRule="auto"/>
        <w:ind w:left="450" w:right="75"/>
        <w:jc w:val="both"/>
        <w:rPr>
          <w:rFonts w:ascii="Arial" w:hAnsi="Arial" w:cs="Arial"/>
          <w:szCs w:val="20"/>
          <w:lang w:eastAsia="en-CA"/>
        </w:rPr>
      </w:pPr>
    </w:p>
    <w:p w14:paraId="2E1C589C" w14:textId="229BEA4C" w:rsidR="00172BB0" w:rsidRDefault="00172BB0" w:rsidP="00172BB0">
      <w:pPr>
        <w:spacing w:after="0" w:line="240" w:lineRule="auto"/>
        <w:ind w:left="450" w:right="75"/>
        <w:jc w:val="both"/>
        <w:rPr>
          <w:rFonts w:ascii="Arial" w:hAnsi="Arial" w:cs="Arial"/>
          <w:szCs w:val="20"/>
          <w:lang w:eastAsia="en-CA"/>
        </w:rPr>
      </w:pPr>
      <w:r>
        <w:rPr>
          <w:rFonts w:ascii="Arial" w:hAnsi="Arial" w:cs="Arial"/>
          <w:b/>
          <w:szCs w:val="20"/>
        </w:rPr>
        <w:t>Notes to the reconciliations</w:t>
      </w:r>
    </w:p>
    <w:p w14:paraId="6CB46498" w14:textId="77777777" w:rsidR="007F24B8" w:rsidRDefault="007F24B8" w:rsidP="007F24B8">
      <w:pPr>
        <w:spacing w:after="0" w:line="240" w:lineRule="auto"/>
        <w:ind w:left="450" w:right="75"/>
        <w:jc w:val="both"/>
        <w:rPr>
          <w:rFonts w:ascii="Arial" w:hAnsi="Arial" w:cs="Arial"/>
          <w:szCs w:val="20"/>
          <w:lang w:eastAsia="en-CA"/>
        </w:rPr>
      </w:pPr>
    </w:p>
    <w:p w14:paraId="5278302A" w14:textId="73576AE9" w:rsidR="00172BB0" w:rsidRDefault="00172BB0" w:rsidP="007F24B8">
      <w:pPr>
        <w:spacing w:after="0" w:line="240" w:lineRule="auto"/>
        <w:ind w:left="450" w:right="75"/>
        <w:jc w:val="both"/>
        <w:rPr>
          <w:rFonts w:ascii="Arial" w:hAnsi="Arial" w:cs="Arial"/>
          <w:szCs w:val="20"/>
          <w:lang w:eastAsia="en-CA"/>
        </w:rPr>
      </w:pPr>
      <w:r>
        <w:rPr>
          <w:rFonts w:ascii="Arial" w:hAnsi="Arial" w:cs="Arial"/>
          <w:szCs w:val="20"/>
          <w:lang w:eastAsia="en-CA"/>
        </w:rPr>
        <w:t>The following notes should be read in conjunction with the accounting policies contained in Note 2.</w:t>
      </w:r>
    </w:p>
    <w:p w14:paraId="7BAD5C49" w14:textId="77777777" w:rsidR="00172BB0" w:rsidRDefault="00172BB0" w:rsidP="007F24B8">
      <w:pPr>
        <w:spacing w:after="0" w:line="240" w:lineRule="auto"/>
        <w:ind w:left="450" w:right="75"/>
        <w:jc w:val="both"/>
        <w:rPr>
          <w:rFonts w:ascii="Arial" w:hAnsi="Arial" w:cs="Arial"/>
          <w:szCs w:val="20"/>
          <w:lang w:eastAsia="en-CA"/>
        </w:rPr>
      </w:pPr>
    </w:p>
    <w:p w14:paraId="44BA4F3C" w14:textId="538A9FE9"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Leases</w:t>
      </w:r>
    </w:p>
    <w:p w14:paraId="004433F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3F8F0865" w14:textId="45A6CE1F" w:rsidR="00210B4A" w:rsidRDefault="00210B4A" w:rsidP="00172BB0">
      <w:pPr>
        <w:pStyle w:val="ListParagraph"/>
        <w:spacing w:after="0" w:line="240" w:lineRule="auto"/>
        <w:ind w:left="810" w:right="75"/>
        <w:jc w:val="both"/>
        <w:rPr>
          <w:rFonts w:ascii="Arial" w:hAnsi="Arial" w:cs="Arial"/>
          <w:szCs w:val="20"/>
          <w:lang w:eastAsia="en-CA"/>
        </w:rPr>
      </w:pPr>
      <w:r>
        <w:rPr>
          <w:rFonts w:ascii="Arial" w:hAnsi="Arial" w:cs="Arial"/>
          <w:szCs w:val="20"/>
          <w:lang w:eastAsia="en-CA"/>
        </w:rPr>
        <w:t xml:space="preserve">Under U.S. GAAP, the Company </w:t>
      </w:r>
      <w:r w:rsidR="004A2A4F" w:rsidRPr="004A2A4F">
        <w:rPr>
          <w:rFonts w:ascii="Arial" w:hAnsi="Arial" w:cs="Arial"/>
          <w:szCs w:val="20"/>
          <w:lang w:eastAsia="en-CA"/>
        </w:rPr>
        <w:t>adopted ASC 842</w:t>
      </w:r>
      <w:r w:rsidR="004A2A4F">
        <w:rPr>
          <w:rFonts w:ascii="Arial" w:hAnsi="Arial" w:cs="Arial"/>
          <w:szCs w:val="20"/>
          <w:lang w:eastAsia="en-CA"/>
        </w:rPr>
        <w:t>, Leases,</w:t>
      </w:r>
      <w:r w:rsidR="004A2A4F" w:rsidRPr="004A2A4F">
        <w:rPr>
          <w:rFonts w:ascii="Arial" w:hAnsi="Arial" w:cs="Arial"/>
          <w:szCs w:val="20"/>
          <w:lang w:eastAsia="en-CA"/>
        </w:rPr>
        <w:t xml:space="preserve"> using the modified retrospective transition approach, which applies the provisions of the new guidance at the effective date without adjusting the comparative periods presented.</w:t>
      </w:r>
      <w:r w:rsidR="004A2A4F">
        <w:rPr>
          <w:rFonts w:ascii="Arial" w:hAnsi="Arial" w:cs="Arial"/>
          <w:szCs w:val="20"/>
          <w:lang w:eastAsia="en-CA"/>
        </w:rPr>
        <w:t xml:space="preserve">  Under IFRS, the Company is required to recognize ROU assets and lease liabilities as at its Transition Date.   </w:t>
      </w:r>
    </w:p>
    <w:p w14:paraId="0825A04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2682F54D" w14:textId="1F14D6C5" w:rsidR="00172BB0" w:rsidRDefault="00172BB0" w:rsidP="00172BB0">
      <w:pPr>
        <w:pStyle w:val="ListParagraph"/>
        <w:numPr>
          <w:ilvl w:val="0"/>
          <w:numId w:val="41"/>
        </w:numPr>
        <w:spacing w:after="0" w:line="240" w:lineRule="auto"/>
        <w:ind w:right="75"/>
        <w:jc w:val="both"/>
        <w:rPr>
          <w:rFonts w:ascii="Arial" w:hAnsi="Arial" w:cs="Arial"/>
          <w:szCs w:val="20"/>
          <w:lang w:eastAsia="en-CA"/>
        </w:rPr>
      </w:pPr>
      <w:r>
        <w:rPr>
          <w:rFonts w:ascii="Arial" w:hAnsi="Arial" w:cs="Arial"/>
          <w:szCs w:val="20"/>
          <w:lang w:eastAsia="en-CA"/>
        </w:rPr>
        <w:t>Convertible debentures</w:t>
      </w:r>
    </w:p>
    <w:p w14:paraId="21F069BA" w14:textId="77777777" w:rsidR="00172BB0" w:rsidRDefault="00172BB0" w:rsidP="00172BB0">
      <w:pPr>
        <w:pStyle w:val="ListParagraph"/>
        <w:spacing w:after="0" w:line="240" w:lineRule="auto"/>
        <w:ind w:left="810" w:right="75"/>
        <w:jc w:val="both"/>
        <w:rPr>
          <w:rFonts w:ascii="Arial" w:hAnsi="Arial" w:cs="Arial"/>
          <w:szCs w:val="20"/>
          <w:lang w:eastAsia="en-CA"/>
        </w:rPr>
      </w:pPr>
    </w:p>
    <w:p w14:paraId="19334BD8" w14:textId="50DB482A" w:rsidR="004A2A4F" w:rsidRDefault="004A2A4F" w:rsidP="00172BB0">
      <w:pPr>
        <w:pStyle w:val="ListParagraph"/>
        <w:spacing w:after="0" w:line="240" w:lineRule="auto"/>
        <w:ind w:left="810" w:right="75"/>
        <w:jc w:val="both"/>
        <w:rPr>
          <w:rFonts w:ascii="Arial" w:hAnsi="Arial" w:cs="Arial"/>
          <w:szCs w:val="20"/>
          <w:lang w:eastAsia="en-CA"/>
        </w:rPr>
      </w:pPr>
      <w:r>
        <w:rPr>
          <w:rFonts w:ascii="Arial" w:hAnsi="Arial" w:cs="Arial"/>
          <w:szCs w:val="20"/>
          <w:lang w:eastAsia="en-CA"/>
        </w:rPr>
        <w:t xml:space="preserve">Under U.S. GAAP, the Company </w:t>
      </w:r>
      <w:r w:rsidR="00F8083D">
        <w:rPr>
          <w:rFonts w:ascii="Arial" w:hAnsi="Arial" w:cs="Arial"/>
          <w:szCs w:val="20"/>
          <w:lang w:eastAsia="en-CA"/>
        </w:rPr>
        <w:t xml:space="preserve">classified the balance of its convertible debentures as liabilities.  </w:t>
      </w:r>
      <w:r w:rsidR="00DC6304">
        <w:rPr>
          <w:rFonts w:ascii="Arial" w:hAnsi="Arial" w:cs="Arial"/>
          <w:szCs w:val="20"/>
          <w:lang w:eastAsia="en-CA"/>
        </w:rPr>
        <w:t>The Company evaluated its convertible debentures under IFRS and determined that a residual amount is required to be assigned to an equity component.</w:t>
      </w:r>
    </w:p>
    <w:sectPr w:rsidR="004A2A4F" w:rsidSect="00BD7C8A">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35F09" w14:textId="77777777" w:rsidR="00886237" w:rsidRDefault="00886237" w:rsidP="00EC6AEA">
      <w:pPr>
        <w:spacing w:after="0" w:line="240" w:lineRule="auto"/>
      </w:pPr>
      <w:r>
        <w:separator/>
      </w:r>
    </w:p>
  </w:endnote>
  <w:endnote w:type="continuationSeparator" w:id="0">
    <w:p w14:paraId="14E1E9DD" w14:textId="77777777" w:rsidR="00886237" w:rsidRDefault="00886237" w:rsidP="00EC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717459"/>
      <w:docPartObj>
        <w:docPartGallery w:val="Page Numbers (Bottom of Page)"/>
        <w:docPartUnique/>
      </w:docPartObj>
    </w:sdtPr>
    <w:sdtEndPr>
      <w:rPr>
        <w:noProof/>
      </w:rPr>
    </w:sdtEndPr>
    <w:sdtContent>
      <w:p w14:paraId="4BBB99D9" w14:textId="77777777" w:rsidR="00620114" w:rsidRDefault="00620114">
        <w:pPr>
          <w:pStyle w:val="Footer"/>
          <w:jc w:val="center"/>
        </w:pPr>
        <w:r>
          <w:fldChar w:fldCharType="begin"/>
        </w:r>
        <w:r>
          <w:instrText xml:space="preserve"> PAGE   \* MERGEFORMAT </w:instrText>
        </w:r>
        <w:r>
          <w:fldChar w:fldCharType="separate"/>
        </w:r>
        <w:r w:rsidR="00BC3E90">
          <w:rPr>
            <w:noProof/>
          </w:rPr>
          <w:t>30</w:t>
        </w:r>
        <w:r>
          <w:rPr>
            <w:noProof/>
          </w:rPr>
          <w:fldChar w:fldCharType="end"/>
        </w:r>
      </w:p>
    </w:sdtContent>
  </w:sdt>
  <w:p w14:paraId="7709FDEF" w14:textId="77777777" w:rsidR="00620114" w:rsidRPr="00F01FF6" w:rsidRDefault="0062011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DA278" w14:textId="77777777" w:rsidR="00886237" w:rsidRDefault="00886237" w:rsidP="00EC6AEA">
      <w:pPr>
        <w:spacing w:after="0" w:line="240" w:lineRule="auto"/>
        <w:rPr>
          <w:noProof/>
        </w:rPr>
      </w:pPr>
      <w:r>
        <w:rPr>
          <w:noProof/>
        </w:rPr>
        <w:separator/>
      </w:r>
    </w:p>
  </w:footnote>
  <w:footnote w:type="continuationSeparator" w:id="0">
    <w:p w14:paraId="37338555" w14:textId="77777777" w:rsidR="00886237" w:rsidRDefault="00886237" w:rsidP="00EC6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8604" w14:textId="77777777" w:rsidR="00620114" w:rsidRPr="00956F25" w:rsidRDefault="00620114" w:rsidP="00790828">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1D90" w14:textId="77777777" w:rsidR="00620114" w:rsidRPr="00431E7F" w:rsidRDefault="00620114" w:rsidP="00790828">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DCB1" w14:textId="77777777" w:rsidR="00620114" w:rsidRPr="00F81AE0" w:rsidRDefault="00620114"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
        <w:bCs/>
        <w:sz w:val="24"/>
        <w:szCs w:val="24"/>
      </w:rPr>
    </w:pPr>
    <w:r>
      <w:rPr>
        <w:rFonts w:ascii="Arial" w:hAnsi="Arial" w:cs="Arial"/>
        <w:b/>
        <w:bCs/>
        <w:sz w:val="24"/>
      </w:rPr>
      <w:t>PIVOT</w:t>
    </w:r>
    <w:r w:rsidRPr="009F3026">
      <w:rPr>
        <w:rFonts w:ascii="Arial" w:hAnsi="Arial" w:cs="Arial"/>
        <w:b/>
        <w:bCs/>
        <w:sz w:val="24"/>
      </w:rPr>
      <w:t xml:space="preserve"> PHARMACEUTICALS INC.</w:t>
    </w:r>
  </w:p>
  <w:p w14:paraId="54C429F9" w14:textId="77777777" w:rsidR="00620114" w:rsidRPr="00F81AE0" w:rsidRDefault="00620114"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sidRPr="00F81AE0">
      <w:rPr>
        <w:rFonts w:ascii="Arial" w:hAnsi="Arial" w:cs="Arial"/>
        <w:bCs/>
        <w:szCs w:val="20"/>
      </w:rPr>
      <w:t xml:space="preserve">Notes to the </w:t>
    </w:r>
    <w:r>
      <w:rPr>
        <w:rFonts w:ascii="Arial" w:hAnsi="Arial" w:cs="Arial"/>
        <w:bCs/>
        <w:szCs w:val="20"/>
      </w:rPr>
      <w:t xml:space="preserve">Condensed Consolidated Interim </w:t>
    </w:r>
    <w:r w:rsidRPr="00F81AE0">
      <w:rPr>
        <w:rFonts w:ascii="Arial" w:hAnsi="Arial" w:cs="Arial"/>
        <w:bCs/>
        <w:szCs w:val="20"/>
      </w:rPr>
      <w:t>Financial Statements</w:t>
    </w:r>
    <w:r>
      <w:rPr>
        <w:rFonts w:ascii="Arial" w:hAnsi="Arial" w:cs="Arial"/>
        <w:bCs/>
        <w:szCs w:val="20"/>
      </w:rPr>
      <w:t xml:space="preserve"> (Unaudited)</w:t>
    </w:r>
  </w:p>
  <w:p w14:paraId="048B0DBA" w14:textId="77777777" w:rsidR="00620114" w:rsidRPr="00F81AE0" w:rsidRDefault="00620114" w:rsidP="00E138AF">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spacing w:after="0" w:line="240" w:lineRule="auto"/>
      <w:jc w:val="both"/>
      <w:rPr>
        <w:rFonts w:ascii="Arial" w:hAnsi="Arial" w:cs="Arial"/>
        <w:bCs/>
        <w:szCs w:val="20"/>
      </w:rPr>
    </w:pPr>
    <w:r>
      <w:rPr>
        <w:rFonts w:ascii="Arial" w:hAnsi="Arial" w:cs="Arial"/>
        <w:bCs/>
        <w:szCs w:val="20"/>
      </w:rPr>
      <w:t>Three and six months</w:t>
    </w:r>
    <w:r w:rsidRPr="00F81AE0">
      <w:rPr>
        <w:rFonts w:ascii="Arial" w:hAnsi="Arial" w:cs="Arial"/>
        <w:bCs/>
        <w:szCs w:val="20"/>
      </w:rPr>
      <w:t xml:space="preserve"> ended </w:t>
    </w:r>
    <w:r>
      <w:rPr>
        <w:rFonts w:ascii="Arial" w:hAnsi="Arial" w:cs="Arial"/>
        <w:bCs/>
        <w:szCs w:val="20"/>
      </w:rPr>
      <w:t>July 31, 2019</w:t>
    </w:r>
  </w:p>
  <w:p w14:paraId="659A4AFF" w14:textId="77777777" w:rsidR="00620114" w:rsidRDefault="00620114" w:rsidP="00E138AF">
    <w:pPr>
      <w:pStyle w:val="Header"/>
      <w:rPr>
        <w:rFonts w:ascii="Arial" w:hAnsi="Arial" w:cs="Arial"/>
        <w:bCs/>
        <w:szCs w:val="20"/>
      </w:rPr>
    </w:pPr>
    <w:r w:rsidRPr="00F81AE0">
      <w:rPr>
        <w:rFonts w:ascii="Arial" w:hAnsi="Arial" w:cs="Arial"/>
        <w:bCs/>
        <w:szCs w:val="20"/>
      </w:rPr>
      <w:t xml:space="preserve">(Expressed in </w:t>
    </w:r>
    <w:r>
      <w:rPr>
        <w:rFonts w:ascii="Arial" w:hAnsi="Arial" w:cs="Arial"/>
        <w:bCs/>
        <w:szCs w:val="20"/>
      </w:rPr>
      <w:t>Canadian</w:t>
    </w:r>
    <w:r w:rsidRPr="00F81AE0">
      <w:rPr>
        <w:rFonts w:ascii="Arial" w:hAnsi="Arial" w:cs="Arial"/>
        <w:bCs/>
        <w:szCs w:val="20"/>
      </w:rPr>
      <w:t xml:space="preserve"> dollars)</w:t>
    </w:r>
  </w:p>
  <w:p w14:paraId="1D2FE158" w14:textId="77777777" w:rsidR="00620114" w:rsidRPr="00431E7F" w:rsidRDefault="00620114" w:rsidP="00790828">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620E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514AC5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C0471C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2CCDB9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7E2A83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9849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664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2DC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6C30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2E0E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C7A6E"/>
    <w:multiLevelType w:val="hybridMultilevel"/>
    <w:tmpl w:val="3F24D9CE"/>
    <w:lvl w:ilvl="0" w:tplc="6270F6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1" w15:restartNumberingAfterBreak="0">
    <w:nsid w:val="0BCC4BC5"/>
    <w:multiLevelType w:val="hybridMultilevel"/>
    <w:tmpl w:val="68029ABA"/>
    <w:lvl w:ilvl="0" w:tplc="4F76EEEC">
      <w:start w:val="1"/>
      <w:numFmt w:val="lowerLetter"/>
      <w:lvlText w:val="(%1)"/>
      <w:lvlJc w:val="left"/>
      <w:pPr>
        <w:tabs>
          <w:tab w:val="num" w:pos="1620"/>
        </w:tabs>
        <w:ind w:left="1620" w:hanging="360"/>
      </w:pPr>
      <w:rPr>
        <w:rFonts w:cs="Times New Roman" w:hint="default"/>
      </w:rPr>
    </w:lvl>
    <w:lvl w:ilvl="1" w:tplc="A70AA5E8">
      <w:start w:val="10"/>
      <w:numFmt w:val="decimal"/>
      <w:lvlText w:val="%2."/>
      <w:lvlJc w:val="left"/>
      <w:pPr>
        <w:tabs>
          <w:tab w:val="num" w:pos="2052"/>
        </w:tabs>
        <w:ind w:left="2052" w:hanging="360"/>
      </w:pPr>
      <w:rPr>
        <w:rFonts w:cs="Times New Roman" w:hint="default"/>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2" w15:restartNumberingAfterBreak="0">
    <w:nsid w:val="17B53720"/>
    <w:multiLevelType w:val="hybridMultilevel"/>
    <w:tmpl w:val="53043132"/>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1A17105F"/>
    <w:multiLevelType w:val="hybridMultilevel"/>
    <w:tmpl w:val="5D4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176A0"/>
    <w:multiLevelType w:val="hybridMultilevel"/>
    <w:tmpl w:val="91363390"/>
    <w:lvl w:ilvl="0" w:tplc="4FC00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73499"/>
    <w:multiLevelType w:val="hybridMultilevel"/>
    <w:tmpl w:val="2A9C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3808FE"/>
    <w:multiLevelType w:val="hybridMultilevel"/>
    <w:tmpl w:val="4D4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718F7"/>
    <w:multiLevelType w:val="hybridMultilevel"/>
    <w:tmpl w:val="1F7A151A"/>
    <w:lvl w:ilvl="0" w:tplc="E138C98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3483165"/>
    <w:multiLevelType w:val="hybridMultilevel"/>
    <w:tmpl w:val="8224FED0"/>
    <w:lvl w:ilvl="0" w:tplc="B49069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8D407A9"/>
    <w:multiLevelType w:val="hybridMultilevel"/>
    <w:tmpl w:val="3B28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8152C"/>
    <w:multiLevelType w:val="hybridMultilevel"/>
    <w:tmpl w:val="E94CC8C8"/>
    <w:lvl w:ilvl="0" w:tplc="709A27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A0376ED"/>
    <w:multiLevelType w:val="hybridMultilevel"/>
    <w:tmpl w:val="67CA0C4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2" w15:restartNumberingAfterBreak="0">
    <w:nsid w:val="2A391A8D"/>
    <w:multiLevelType w:val="hybridMultilevel"/>
    <w:tmpl w:val="93800542"/>
    <w:lvl w:ilvl="0" w:tplc="7848B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13BD7"/>
    <w:multiLevelType w:val="hybridMultilevel"/>
    <w:tmpl w:val="12C0BEBA"/>
    <w:lvl w:ilvl="0" w:tplc="56FC8E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D70658D"/>
    <w:multiLevelType w:val="hybridMultilevel"/>
    <w:tmpl w:val="3FA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92DE1"/>
    <w:multiLevelType w:val="hybridMultilevel"/>
    <w:tmpl w:val="1FE0436A"/>
    <w:lvl w:ilvl="0" w:tplc="E144A79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6" w15:restartNumberingAfterBreak="0">
    <w:nsid w:val="31BA5E9E"/>
    <w:multiLevelType w:val="hybridMultilevel"/>
    <w:tmpl w:val="85D6E2B8"/>
    <w:lvl w:ilvl="0" w:tplc="C8DAEFA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78A7065"/>
    <w:multiLevelType w:val="hybridMultilevel"/>
    <w:tmpl w:val="334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0D798E"/>
    <w:multiLevelType w:val="hybridMultilevel"/>
    <w:tmpl w:val="40C2A73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9" w15:restartNumberingAfterBreak="0">
    <w:nsid w:val="38D1632C"/>
    <w:multiLevelType w:val="hybridMultilevel"/>
    <w:tmpl w:val="D6F8A242"/>
    <w:lvl w:ilvl="0" w:tplc="DA24370E">
      <w:start w:val="5"/>
      <w:numFmt w:val="lowerLetter"/>
      <w:lvlText w:val="(%1)"/>
      <w:lvlJc w:val="left"/>
      <w:pPr>
        <w:ind w:left="792" w:hanging="360"/>
      </w:pPr>
      <w:rPr>
        <w:rFonts w:cs="Times New Roman" w:hint="default"/>
      </w:rPr>
    </w:lvl>
    <w:lvl w:ilvl="1" w:tplc="8042EE18">
      <w:start w:val="2"/>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CA2D8A"/>
    <w:multiLevelType w:val="hybridMultilevel"/>
    <w:tmpl w:val="A04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55D79"/>
    <w:multiLevelType w:val="hybridMultilevel"/>
    <w:tmpl w:val="8D36BDBC"/>
    <w:lvl w:ilvl="0" w:tplc="2DEE62CC">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2" w15:restartNumberingAfterBreak="0">
    <w:nsid w:val="3E922DAC"/>
    <w:multiLevelType w:val="hybridMultilevel"/>
    <w:tmpl w:val="4076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82BCA"/>
    <w:multiLevelType w:val="hybridMultilevel"/>
    <w:tmpl w:val="03842394"/>
    <w:lvl w:ilvl="0" w:tplc="E79CFC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21355"/>
    <w:multiLevelType w:val="hybridMultilevel"/>
    <w:tmpl w:val="EA94DEB0"/>
    <w:lvl w:ilvl="0" w:tplc="937A54C8">
      <w:start w:val="1"/>
      <w:numFmt w:val="lowerLetter"/>
      <w:lvlText w:val="(%1)"/>
      <w:lvlJc w:val="left"/>
      <w:pPr>
        <w:ind w:left="842" w:hanging="396"/>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4F6236D9"/>
    <w:multiLevelType w:val="hybridMultilevel"/>
    <w:tmpl w:val="C58E8F8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6" w15:restartNumberingAfterBreak="0">
    <w:nsid w:val="513F31F4"/>
    <w:multiLevelType w:val="hybridMultilevel"/>
    <w:tmpl w:val="59662B1C"/>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7" w15:restartNumberingAfterBreak="0">
    <w:nsid w:val="5D60073E"/>
    <w:multiLevelType w:val="hybridMultilevel"/>
    <w:tmpl w:val="99EC93CE"/>
    <w:lvl w:ilvl="0" w:tplc="F634B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611282"/>
    <w:multiLevelType w:val="hybridMultilevel"/>
    <w:tmpl w:val="8BBACF16"/>
    <w:lvl w:ilvl="0" w:tplc="FFFADF5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74523B1D"/>
    <w:multiLevelType w:val="hybridMultilevel"/>
    <w:tmpl w:val="990E3D42"/>
    <w:lvl w:ilvl="0" w:tplc="E4CC16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0" w15:restartNumberingAfterBreak="0">
    <w:nsid w:val="74886420"/>
    <w:multiLevelType w:val="hybridMultilevel"/>
    <w:tmpl w:val="45AE99F8"/>
    <w:lvl w:ilvl="0" w:tplc="F9F25A16">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41" w15:restartNumberingAfterBreak="0">
    <w:nsid w:val="77857F26"/>
    <w:multiLevelType w:val="hybridMultilevel"/>
    <w:tmpl w:val="33467F14"/>
    <w:lvl w:ilvl="0" w:tplc="9612BC08">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10"/>
  </w:num>
  <w:num w:numId="2">
    <w:abstractNumId w:val="33"/>
  </w:num>
  <w:num w:numId="3">
    <w:abstractNumId w:val="28"/>
  </w:num>
  <w:num w:numId="4">
    <w:abstractNumId w:val="39"/>
  </w:num>
  <w:num w:numId="5">
    <w:abstractNumId w:val="25"/>
  </w:num>
  <w:num w:numId="6">
    <w:abstractNumId w:val="41"/>
  </w:num>
  <w:num w:numId="7">
    <w:abstractNumId w:val="38"/>
  </w:num>
  <w:num w:numId="8">
    <w:abstractNumId w:val="3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4"/>
  </w:num>
  <w:num w:numId="22">
    <w:abstractNumId w:val="32"/>
  </w:num>
  <w:num w:numId="23">
    <w:abstractNumId w:val="22"/>
  </w:num>
  <w:num w:numId="24">
    <w:abstractNumId w:val="30"/>
  </w:num>
  <w:num w:numId="25">
    <w:abstractNumId w:val="27"/>
  </w:num>
  <w:num w:numId="26">
    <w:abstractNumId w:val="19"/>
  </w:num>
  <w:num w:numId="27">
    <w:abstractNumId w:val="15"/>
  </w:num>
  <w:num w:numId="28">
    <w:abstractNumId w:val="13"/>
  </w:num>
  <w:num w:numId="29">
    <w:abstractNumId w:val="21"/>
  </w:num>
  <w:num w:numId="30">
    <w:abstractNumId w:val="35"/>
  </w:num>
  <w:num w:numId="31">
    <w:abstractNumId w:val="37"/>
  </w:num>
  <w:num w:numId="32">
    <w:abstractNumId w:val="17"/>
  </w:num>
  <w:num w:numId="33">
    <w:abstractNumId w:val="34"/>
  </w:num>
  <w:num w:numId="34">
    <w:abstractNumId w:val="14"/>
  </w:num>
  <w:num w:numId="35">
    <w:abstractNumId w:val="23"/>
  </w:num>
  <w:num w:numId="36">
    <w:abstractNumId w:val="40"/>
  </w:num>
  <w:num w:numId="37">
    <w:abstractNumId w:val="36"/>
  </w:num>
  <w:num w:numId="38">
    <w:abstractNumId w:val="29"/>
  </w:num>
  <w:num w:numId="39">
    <w:abstractNumId w:val="26"/>
  </w:num>
  <w:num w:numId="40">
    <w:abstractNumId w:val="16"/>
  </w:num>
  <w:num w:numId="41">
    <w:abstractNumId w:val="18"/>
  </w:num>
  <w:num w:numId="42">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EA"/>
    <w:rsid w:val="00000339"/>
    <w:rsid w:val="0000091E"/>
    <w:rsid w:val="000030D9"/>
    <w:rsid w:val="00003A43"/>
    <w:rsid w:val="00005F13"/>
    <w:rsid w:val="00006301"/>
    <w:rsid w:val="00006861"/>
    <w:rsid w:val="00006C19"/>
    <w:rsid w:val="00007823"/>
    <w:rsid w:val="00010277"/>
    <w:rsid w:val="00011D39"/>
    <w:rsid w:val="00012E41"/>
    <w:rsid w:val="00015176"/>
    <w:rsid w:val="00020199"/>
    <w:rsid w:val="0002044C"/>
    <w:rsid w:val="00023502"/>
    <w:rsid w:val="00023821"/>
    <w:rsid w:val="00027230"/>
    <w:rsid w:val="00033D06"/>
    <w:rsid w:val="000359C6"/>
    <w:rsid w:val="00040621"/>
    <w:rsid w:val="0004100F"/>
    <w:rsid w:val="00044EC7"/>
    <w:rsid w:val="00045254"/>
    <w:rsid w:val="00046282"/>
    <w:rsid w:val="00046C6A"/>
    <w:rsid w:val="00050398"/>
    <w:rsid w:val="000503C5"/>
    <w:rsid w:val="000505C1"/>
    <w:rsid w:val="00050A32"/>
    <w:rsid w:val="00052783"/>
    <w:rsid w:val="00052907"/>
    <w:rsid w:val="0005379A"/>
    <w:rsid w:val="0005598A"/>
    <w:rsid w:val="00056C41"/>
    <w:rsid w:val="000621E8"/>
    <w:rsid w:val="000645D8"/>
    <w:rsid w:val="000649C4"/>
    <w:rsid w:val="00064E39"/>
    <w:rsid w:val="00065843"/>
    <w:rsid w:val="00067D79"/>
    <w:rsid w:val="0007122C"/>
    <w:rsid w:val="000714B2"/>
    <w:rsid w:val="000719ED"/>
    <w:rsid w:val="00072396"/>
    <w:rsid w:val="0007294D"/>
    <w:rsid w:val="00073DC2"/>
    <w:rsid w:val="00076864"/>
    <w:rsid w:val="00081A2B"/>
    <w:rsid w:val="00082D54"/>
    <w:rsid w:val="00082D5F"/>
    <w:rsid w:val="000857B2"/>
    <w:rsid w:val="000871B8"/>
    <w:rsid w:val="000879A7"/>
    <w:rsid w:val="00087D4F"/>
    <w:rsid w:val="000905CC"/>
    <w:rsid w:val="0009219F"/>
    <w:rsid w:val="00094D28"/>
    <w:rsid w:val="00097619"/>
    <w:rsid w:val="00097BC0"/>
    <w:rsid w:val="000A03D4"/>
    <w:rsid w:val="000A04A1"/>
    <w:rsid w:val="000A31FC"/>
    <w:rsid w:val="000A512E"/>
    <w:rsid w:val="000A5F3F"/>
    <w:rsid w:val="000A6CA9"/>
    <w:rsid w:val="000A7712"/>
    <w:rsid w:val="000B086F"/>
    <w:rsid w:val="000B1002"/>
    <w:rsid w:val="000B6283"/>
    <w:rsid w:val="000B70C3"/>
    <w:rsid w:val="000B735A"/>
    <w:rsid w:val="000B745C"/>
    <w:rsid w:val="000B7BAD"/>
    <w:rsid w:val="000C0253"/>
    <w:rsid w:val="000C0A6F"/>
    <w:rsid w:val="000C1816"/>
    <w:rsid w:val="000C1ABF"/>
    <w:rsid w:val="000C2904"/>
    <w:rsid w:val="000C3F6E"/>
    <w:rsid w:val="000C3FBA"/>
    <w:rsid w:val="000C5D5D"/>
    <w:rsid w:val="000C652B"/>
    <w:rsid w:val="000C7C43"/>
    <w:rsid w:val="000D067E"/>
    <w:rsid w:val="000D52F8"/>
    <w:rsid w:val="000D5591"/>
    <w:rsid w:val="000D6933"/>
    <w:rsid w:val="000D6DE6"/>
    <w:rsid w:val="000D7E8A"/>
    <w:rsid w:val="000E00BF"/>
    <w:rsid w:val="000E054E"/>
    <w:rsid w:val="000E1ED1"/>
    <w:rsid w:val="000E4AC4"/>
    <w:rsid w:val="000E4D35"/>
    <w:rsid w:val="000E65F4"/>
    <w:rsid w:val="000F1B4E"/>
    <w:rsid w:val="000F4278"/>
    <w:rsid w:val="000F5611"/>
    <w:rsid w:val="00101C2E"/>
    <w:rsid w:val="00106BAE"/>
    <w:rsid w:val="001135F5"/>
    <w:rsid w:val="00114F87"/>
    <w:rsid w:val="00115CE0"/>
    <w:rsid w:val="00116C80"/>
    <w:rsid w:val="00116DA9"/>
    <w:rsid w:val="00120F4C"/>
    <w:rsid w:val="00124321"/>
    <w:rsid w:val="0012455C"/>
    <w:rsid w:val="0012713A"/>
    <w:rsid w:val="001276E2"/>
    <w:rsid w:val="00130402"/>
    <w:rsid w:val="00134CF6"/>
    <w:rsid w:val="00141AEB"/>
    <w:rsid w:val="00142D92"/>
    <w:rsid w:val="00144BB0"/>
    <w:rsid w:val="001460A2"/>
    <w:rsid w:val="0014748B"/>
    <w:rsid w:val="001475D5"/>
    <w:rsid w:val="00150E99"/>
    <w:rsid w:val="00154604"/>
    <w:rsid w:val="0015486F"/>
    <w:rsid w:val="00156184"/>
    <w:rsid w:val="00157022"/>
    <w:rsid w:val="00157C2E"/>
    <w:rsid w:val="001600B5"/>
    <w:rsid w:val="00160540"/>
    <w:rsid w:val="00161751"/>
    <w:rsid w:val="0016277F"/>
    <w:rsid w:val="0016383B"/>
    <w:rsid w:val="00163E9C"/>
    <w:rsid w:val="001704A9"/>
    <w:rsid w:val="00170927"/>
    <w:rsid w:val="00172193"/>
    <w:rsid w:val="00172BB0"/>
    <w:rsid w:val="001741C2"/>
    <w:rsid w:val="0017508D"/>
    <w:rsid w:val="001760F7"/>
    <w:rsid w:val="00180C0E"/>
    <w:rsid w:val="00181AEB"/>
    <w:rsid w:val="0018207D"/>
    <w:rsid w:val="00185473"/>
    <w:rsid w:val="00186C74"/>
    <w:rsid w:val="00187785"/>
    <w:rsid w:val="00190BAA"/>
    <w:rsid w:val="00192CBC"/>
    <w:rsid w:val="0019407B"/>
    <w:rsid w:val="00194A15"/>
    <w:rsid w:val="00196CF2"/>
    <w:rsid w:val="001A051C"/>
    <w:rsid w:val="001A0D50"/>
    <w:rsid w:val="001A1300"/>
    <w:rsid w:val="001A1A63"/>
    <w:rsid w:val="001A2022"/>
    <w:rsid w:val="001A230A"/>
    <w:rsid w:val="001A3B5B"/>
    <w:rsid w:val="001A588C"/>
    <w:rsid w:val="001A5DCA"/>
    <w:rsid w:val="001B00F0"/>
    <w:rsid w:val="001B2362"/>
    <w:rsid w:val="001B2D5E"/>
    <w:rsid w:val="001B321B"/>
    <w:rsid w:val="001B369C"/>
    <w:rsid w:val="001B4793"/>
    <w:rsid w:val="001B791A"/>
    <w:rsid w:val="001B7B70"/>
    <w:rsid w:val="001C0B64"/>
    <w:rsid w:val="001C19D4"/>
    <w:rsid w:val="001C41AF"/>
    <w:rsid w:val="001C50E4"/>
    <w:rsid w:val="001C5CA7"/>
    <w:rsid w:val="001C5F07"/>
    <w:rsid w:val="001D0259"/>
    <w:rsid w:val="001D0C05"/>
    <w:rsid w:val="001D1EF9"/>
    <w:rsid w:val="001D4C2A"/>
    <w:rsid w:val="001D529F"/>
    <w:rsid w:val="001D5728"/>
    <w:rsid w:val="001E2113"/>
    <w:rsid w:val="001E2D2E"/>
    <w:rsid w:val="001E6154"/>
    <w:rsid w:val="001F13E0"/>
    <w:rsid w:val="001F23CE"/>
    <w:rsid w:val="001F3769"/>
    <w:rsid w:val="001F500E"/>
    <w:rsid w:val="0020050E"/>
    <w:rsid w:val="0020072D"/>
    <w:rsid w:val="002055A7"/>
    <w:rsid w:val="00206CFB"/>
    <w:rsid w:val="002079B5"/>
    <w:rsid w:val="00210B4A"/>
    <w:rsid w:val="00214FD0"/>
    <w:rsid w:val="00215D5C"/>
    <w:rsid w:val="00215DB8"/>
    <w:rsid w:val="00216126"/>
    <w:rsid w:val="0022262B"/>
    <w:rsid w:val="002233ED"/>
    <w:rsid w:val="00223D67"/>
    <w:rsid w:val="00224C63"/>
    <w:rsid w:val="00231071"/>
    <w:rsid w:val="00232BF1"/>
    <w:rsid w:val="00235786"/>
    <w:rsid w:val="0023615C"/>
    <w:rsid w:val="00241B10"/>
    <w:rsid w:val="00243230"/>
    <w:rsid w:val="002436F7"/>
    <w:rsid w:val="0024523C"/>
    <w:rsid w:val="00245FCC"/>
    <w:rsid w:val="002460B7"/>
    <w:rsid w:val="0024793E"/>
    <w:rsid w:val="00251406"/>
    <w:rsid w:val="00253C0E"/>
    <w:rsid w:val="002605DD"/>
    <w:rsid w:val="002605F4"/>
    <w:rsid w:val="00260A8B"/>
    <w:rsid w:val="00262405"/>
    <w:rsid w:val="002632E9"/>
    <w:rsid w:val="002638D5"/>
    <w:rsid w:val="00265BCD"/>
    <w:rsid w:val="00266525"/>
    <w:rsid w:val="00267D4E"/>
    <w:rsid w:val="00271193"/>
    <w:rsid w:val="00271367"/>
    <w:rsid w:val="00272E40"/>
    <w:rsid w:val="0027526D"/>
    <w:rsid w:val="0028265B"/>
    <w:rsid w:val="002839C5"/>
    <w:rsid w:val="00283E48"/>
    <w:rsid w:val="00284032"/>
    <w:rsid w:val="002877D7"/>
    <w:rsid w:val="002903B8"/>
    <w:rsid w:val="002910AC"/>
    <w:rsid w:val="0029273C"/>
    <w:rsid w:val="00292B0D"/>
    <w:rsid w:val="00294022"/>
    <w:rsid w:val="0029433C"/>
    <w:rsid w:val="002943F8"/>
    <w:rsid w:val="002956D7"/>
    <w:rsid w:val="002973ED"/>
    <w:rsid w:val="002A3767"/>
    <w:rsid w:val="002A45FC"/>
    <w:rsid w:val="002A52EA"/>
    <w:rsid w:val="002A5577"/>
    <w:rsid w:val="002A6A1E"/>
    <w:rsid w:val="002B17E4"/>
    <w:rsid w:val="002B2A75"/>
    <w:rsid w:val="002B3324"/>
    <w:rsid w:val="002B3E36"/>
    <w:rsid w:val="002B4E7C"/>
    <w:rsid w:val="002B6B28"/>
    <w:rsid w:val="002C07FA"/>
    <w:rsid w:val="002C27FB"/>
    <w:rsid w:val="002C29B0"/>
    <w:rsid w:val="002C6254"/>
    <w:rsid w:val="002C689B"/>
    <w:rsid w:val="002C75FF"/>
    <w:rsid w:val="002C7CE1"/>
    <w:rsid w:val="002D1AA7"/>
    <w:rsid w:val="002D2039"/>
    <w:rsid w:val="002D31F4"/>
    <w:rsid w:val="002D72CC"/>
    <w:rsid w:val="002E070C"/>
    <w:rsid w:val="002E1DC1"/>
    <w:rsid w:val="002E23AB"/>
    <w:rsid w:val="002E464B"/>
    <w:rsid w:val="002E4E43"/>
    <w:rsid w:val="002E64C0"/>
    <w:rsid w:val="002E68AF"/>
    <w:rsid w:val="002E7FF0"/>
    <w:rsid w:val="002F1000"/>
    <w:rsid w:val="002F4983"/>
    <w:rsid w:val="002F6504"/>
    <w:rsid w:val="002F67B0"/>
    <w:rsid w:val="002F6967"/>
    <w:rsid w:val="00300468"/>
    <w:rsid w:val="00301B70"/>
    <w:rsid w:val="00302750"/>
    <w:rsid w:val="0030276B"/>
    <w:rsid w:val="003029CF"/>
    <w:rsid w:val="00302F03"/>
    <w:rsid w:val="00305088"/>
    <w:rsid w:val="0031096E"/>
    <w:rsid w:val="00311BCA"/>
    <w:rsid w:val="0031268E"/>
    <w:rsid w:val="00315B0D"/>
    <w:rsid w:val="0031658C"/>
    <w:rsid w:val="00320A49"/>
    <w:rsid w:val="00320D7D"/>
    <w:rsid w:val="00321182"/>
    <w:rsid w:val="003225E6"/>
    <w:rsid w:val="00324652"/>
    <w:rsid w:val="003247F2"/>
    <w:rsid w:val="00331DD0"/>
    <w:rsid w:val="003412A9"/>
    <w:rsid w:val="0034139B"/>
    <w:rsid w:val="00341411"/>
    <w:rsid w:val="00341942"/>
    <w:rsid w:val="00341EF3"/>
    <w:rsid w:val="00342F50"/>
    <w:rsid w:val="0034301C"/>
    <w:rsid w:val="00343874"/>
    <w:rsid w:val="00345447"/>
    <w:rsid w:val="0034568B"/>
    <w:rsid w:val="003546BF"/>
    <w:rsid w:val="00357C18"/>
    <w:rsid w:val="00360B15"/>
    <w:rsid w:val="0036401C"/>
    <w:rsid w:val="00364E20"/>
    <w:rsid w:val="003667AE"/>
    <w:rsid w:val="0037016A"/>
    <w:rsid w:val="00370EC4"/>
    <w:rsid w:val="003723A3"/>
    <w:rsid w:val="00372FE1"/>
    <w:rsid w:val="00374BAF"/>
    <w:rsid w:val="0037534F"/>
    <w:rsid w:val="003753BF"/>
    <w:rsid w:val="0037662D"/>
    <w:rsid w:val="003815CD"/>
    <w:rsid w:val="00385742"/>
    <w:rsid w:val="00385FE5"/>
    <w:rsid w:val="003861B1"/>
    <w:rsid w:val="003868F0"/>
    <w:rsid w:val="00387E42"/>
    <w:rsid w:val="003920EF"/>
    <w:rsid w:val="00392C6B"/>
    <w:rsid w:val="00394535"/>
    <w:rsid w:val="00395B54"/>
    <w:rsid w:val="00395C2C"/>
    <w:rsid w:val="00396C15"/>
    <w:rsid w:val="0039749D"/>
    <w:rsid w:val="00397EA0"/>
    <w:rsid w:val="00397EDD"/>
    <w:rsid w:val="003A01F2"/>
    <w:rsid w:val="003A0E6B"/>
    <w:rsid w:val="003A1B9E"/>
    <w:rsid w:val="003A1CD6"/>
    <w:rsid w:val="003A3437"/>
    <w:rsid w:val="003A3456"/>
    <w:rsid w:val="003A3A45"/>
    <w:rsid w:val="003A5972"/>
    <w:rsid w:val="003B06E0"/>
    <w:rsid w:val="003B1236"/>
    <w:rsid w:val="003B2100"/>
    <w:rsid w:val="003B24BC"/>
    <w:rsid w:val="003B31FD"/>
    <w:rsid w:val="003B3721"/>
    <w:rsid w:val="003B4911"/>
    <w:rsid w:val="003B4BF1"/>
    <w:rsid w:val="003B5961"/>
    <w:rsid w:val="003B5BAA"/>
    <w:rsid w:val="003B5C21"/>
    <w:rsid w:val="003B5D19"/>
    <w:rsid w:val="003C037F"/>
    <w:rsid w:val="003C0B9C"/>
    <w:rsid w:val="003C0E77"/>
    <w:rsid w:val="003C2629"/>
    <w:rsid w:val="003C2EBF"/>
    <w:rsid w:val="003C2EF4"/>
    <w:rsid w:val="003C420B"/>
    <w:rsid w:val="003C621C"/>
    <w:rsid w:val="003C6FED"/>
    <w:rsid w:val="003D40ED"/>
    <w:rsid w:val="003D43D8"/>
    <w:rsid w:val="003D4476"/>
    <w:rsid w:val="003D5206"/>
    <w:rsid w:val="003D5D40"/>
    <w:rsid w:val="003D61F8"/>
    <w:rsid w:val="003E0637"/>
    <w:rsid w:val="003E1BD6"/>
    <w:rsid w:val="003E1DBC"/>
    <w:rsid w:val="003E31AE"/>
    <w:rsid w:val="003E6446"/>
    <w:rsid w:val="003E7327"/>
    <w:rsid w:val="003E7448"/>
    <w:rsid w:val="003F33F4"/>
    <w:rsid w:val="003F3B26"/>
    <w:rsid w:val="003F632A"/>
    <w:rsid w:val="00402ACB"/>
    <w:rsid w:val="00402C76"/>
    <w:rsid w:val="00403313"/>
    <w:rsid w:val="00403BDC"/>
    <w:rsid w:val="00404408"/>
    <w:rsid w:val="00404DC6"/>
    <w:rsid w:val="004056B2"/>
    <w:rsid w:val="00406100"/>
    <w:rsid w:val="00410E8F"/>
    <w:rsid w:val="0041197B"/>
    <w:rsid w:val="004138D7"/>
    <w:rsid w:val="00420755"/>
    <w:rsid w:val="00420D51"/>
    <w:rsid w:val="00422076"/>
    <w:rsid w:val="004238C2"/>
    <w:rsid w:val="004252DF"/>
    <w:rsid w:val="0043029C"/>
    <w:rsid w:val="004327B3"/>
    <w:rsid w:val="00433008"/>
    <w:rsid w:val="00435246"/>
    <w:rsid w:val="004361C5"/>
    <w:rsid w:val="00444871"/>
    <w:rsid w:val="0044517B"/>
    <w:rsid w:val="00445C11"/>
    <w:rsid w:val="00446E47"/>
    <w:rsid w:val="00450193"/>
    <w:rsid w:val="0045032F"/>
    <w:rsid w:val="00450DF5"/>
    <w:rsid w:val="00452E02"/>
    <w:rsid w:val="00453961"/>
    <w:rsid w:val="00455009"/>
    <w:rsid w:val="0045723A"/>
    <w:rsid w:val="00457384"/>
    <w:rsid w:val="0046105F"/>
    <w:rsid w:val="00461E57"/>
    <w:rsid w:val="004620AD"/>
    <w:rsid w:val="00462C06"/>
    <w:rsid w:val="00462EBD"/>
    <w:rsid w:val="004652D5"/>
    <w:rsid w:val="00472163"/>
    <w:rsid w:val="00472772"/>
    <w:rsid w:val="004759B5"/>
    <w:rsid w:val="00476E9B"/>
    <w:rsid w:val="00482EFC"/>
    <w:rsid w:val="00484678"/>
    <w:rsid w:val="00484DEE"/>
    <w:rsid w:val="00485EAB"/>
    <w:rsid w:val="00491BB3"/>
    <w:rsid w:val="004934F9"/>
    <w:rsid w:val="00493E8E"/>
    <w:rsid w:val="00494A17"/>
    <w:rsid w:val="004956A3"/>
    <w:rsid w:val="00495B39"/>
    <w:rsid w:val="00497709"/>
    <w:rsid w:val="004A171F"/>
    <w:rsid w:val="004A2908"/>
    <w:rsid w:val="004A2A4F"/>
    <w:rsid w:val="004A379A"/>
    <w:rsid w:val="004A40E8"/>
    <w:rsid w:val="004A733F"/>
    <w:rsid w:val="004B0073"/>
    <w:rsid w:val="004B01A5"/>
    <w:rsid w:val="004B1F41"/>
    <w:rsid w:val="004B6CC5"/>
    <w:rsid w:val="004C11DF"/>
    <w:rsid w:val="004C644B"/>
    <w:rsid w:val="004C7DE6"/>
    <w:rsid w:val="004D11B9"/>
    <w:rsid w:val="004D1EB1"/>
    <w:rsid w:val="004D3755"/>
    <w:rsid w:val="004D6B34"/>
    <w:rsid w:val="004D7D3E"/>
    <w:rsid w:val="004E5AFC"/>
    <w:rsid w:val="004E7D66"/>
    <w:rsid w:val="004F1F64"/>
    <w:rsid w:val="004F1F79"/>
    <w:rsid w:val="004F51E9"/>
    <w:rsid w:val="004F5A64"/>
    <w:rsid w:val="004F6910"/>
    <w:rsid w:val="0050081F"/>
    <w:rsid w:val="00503CB4"/>
    <w:rsid w:val="00503CC5"/>
    <w:rsid w:val="005045E3"/>
    <w:rsid w:val="0050541C"/>
    <w:rsid w:val="00506758"/>
    <w:rsid w:val="00511CCF"/>
    <w:rsid w:val="00513759"/>
    <w:rsid w:val="00513FDA"/>
    <w:rsid w:val="00514FCC"/>
    <w:rsid w:val="00516896"/>
    <w:rsid w:val="00516E17"/>
    <w:rsid w:val="00517DED"/>
    <w:rsid w:val="0052113E"/>
    <w:rsid w:val="00522A9F"/>
    <w:rsid w:val="00523241"/>
    <w:rsid w:val="00524166"/>
    <w:rsid w:val="00524627"/>
    <w:rsid w:val="00525CC5"/>
    <w:rsid w:val="00527C2A"/>
    <w:rsid w:val="00530B99"/>
    <w:rsid w:val="0053178D"/>
    <w:rsid w:val="00535B7A"/>
    <w:rsid w:val="00535EBA"/>
    <w:rsid w:val="0053697F"/>
    <w:rsid w:val="0054049E"/>
    <w:rsid w:val="00540DEF"/>
    <w:rsid w:val="0054646E"/>
    <w:rsid w:val="005464FE"/>
    <w:rsid w:val="0055499D"/>
    <w:rsid w:val="00554D4C"/>
    <w:rsid w:val="00554F43"/>
    <w:rsid w:val="00555018"/>
    <w:rsid w:val="00555362"/>
    <w:rsid w:val="005554B3"/>
    <w:rsid w:val="00562405"/>
    <w:rsid w:val="0056368C"/>
    <w:rsid w:val="005639E1"/>
    <w:rsid w:val="00564285"/>
    <w:rsid w:val="00565487"/>
    <w:rsid w:val="005703D6"/>
    <w:rsid w:val="005703EE"/>
    <w:rsid w:val="005711BE"/>
    <w:rsid w:val="005714D2"/>
    <w:rsid w:val="0057255B"/>
    <w:rsid w:val="00572F2E"/>
    <w:rsid w:val="00574DB0"/>
    <w:rsid w:val="00577329"/>
    <w:rsid w:val="005778E8"/>
    <w:rsid w:val="00580723"/>
    <w:rsid w:val="0058159E"/>
    <w:rsid w:val="00582BB6"/>
    <w:rsid w:val="00586475"/>
    <w:rsid w:val="005870D5"/>
    <w:rsid w:val="00587B35"/>
    <w:rsid w:val="00593156"/>
    <w:rsid w:val="00593478"/>
    <w:rsid w:val="0059369D"/>
    <w:rsid w:val="00594F90"/>
    <w:rsid w:val="005958EA"/>
    <w:rsid w:val="005959CC"/>
    <w:rsid w:val="00596259"/>
    <w:rsid w:val="005979B3"/>
    <w:rsid w:val="005A2885"/>
    <w:rsid w:val="005A5201"/>
    <w:rsid w:val="005A56C1"/>
    <w:rsid w:val="005A62CA"/>
    <w:rsid w:val="005A75EF"/>
    <w:rsid w:val="005A7687"/>
    <w:rsid w:val="005B2329"/>
    <w:rsid w:val="005B4DB3"/>
    <w:rsid w:val="005B6A90"/>
    <w:rsid w:val="005C278F"/>
    <w:rsid w:val="005C4628"/>
    <w:rsid w:val="005C6FC1"/>
    <w:rsid w:val="005D1DE5"/>
    <w:rsid w:val="005D24AE"/>
    <w:rsid w:val="005D32E6"/>
    <w:rsid w:val="005D3D9E"/>
    <w:rsid w:val="005D3F93"/>
    <w:rsid w:val="005D5605"/>
    <w:rsid w:val="005D5D4C"/>
    <w:rsid w:val="005E1695"/>
    <w:rsid w:val="005E7A4B"/>
    <w:rsid w:val="005F3B6F"/>
    <w:rsid w:val="005F40A9"/>
    <w:rsid w:val="005F6D78"/>
    <w:rsid w:val="006000E2"/>
    <w:rsid w:val="006001E6"/>
    <w:rsid w:val="00602051"/>
    <w:rsid w:val="006023CF"/>
    <w:rsid w:val="00606F5E"/>
    <w:rsid w:val="0061036C"/>
    <w:rsid w:val="00612687"/>
    <w:rsid w:val="006156BF"/>
    <w:rsid w:val="00620114"/>
    <w:rsid w:val="006205FE"/>
    <w:rsid w:val="00623A81"/>
    <w:rsid w:val="00625239"/>
    <w:rsid w:val="006302B5"/>
    <w:rsid w:val="0063107F"/>
    <w:rsid w:val="006312E7"/>
    <w:rsid w:val="0063154E"/>
    <w:rsid w:val="00631D2B"/>
    <w:rsid w:val="00632F00"/>
    <w:rsid w:val="006359BD"/>
    <w:rsid w:val="00640699"/>
    <w:rsid w:val="006411C6"/>
    <w:rsid w:val="00642C03"/>
    <w:rsid w:val="00642D24"/>
    <w:rsid w:val="00642D88"/>
    <w:rsid w:val="00643996"/>
    <w:rsid w:val="00646E7B"/>
    <w:rsid w:val="00651D30"/>
    <w:rsid w:val="006540B0"/>
    <w:rsid w:val="00656C85"/>
    <w:rsid w:val="00657E91"/>
    <w:rsid w:val="00660EBC"/>
    <w:rsid w:val="00660F61"/>
    <w:rsid w:val="00664E69"/>
    <w:rsid w:val="00665E66"/>
    <w:rsid w:val="00670337"/>
    <w:rsid w:val="006711D0"/>
    <w:rsid w:val="00672D4B"/>
    <w:rsid w:val="00673291"/>
    <w:rsid w:val="006743C8"/>
    <w:rsid w:val="00674DA2"/>
    <w:rsid w:val="0067672B"/>
    <w:rsid w:val="00676829"/>
    <w:rsid w:val="00677109"/>
    <w:rsid w:val="00681427"/>
    <w:rsid w:val="00681D49"/>
    <w:rsid w:val="00682227"/>
    <w:rsid w:val="00682C3D"/>
    <w:rsid w:val="00692D89"/>
    <w:rsid w:val="00693D43"/>
    <w:rsid w:val="00694BDE"/>
    <w:rsid w:val="00694CE2"/>
    <w:rsid w:val="0069516C"/>
    <w:rsid w:val="0069656F"/>
    <w:rsid w:val="00697A08"/>
    <w:rsid w:val="006A1EFE"/>
    <w:rsid w:val="006A20DB"/>
    <w:rsid w:val="006A45A3"/>
    <w:rsid w:val="006A49BC"/>
    <w:rsid w:val="006A4B4B"/>
    <w:rsid w:val="006A5B48"/>
    <w:rsid w:val="006A60D9"/>
    <w:rsid w:val="006A62FC"/>
    <w:rsid w:val="006A7714"/>
    <w:rsid w:val="006A7FBA"/>
    <w:rsid w:val="006B025F"/>
    <w:rsid w:val="006B3B01"/>
    <w:rsid w:val="006B66DE"/>
    <w:rsid w:val="006C2D6B"/>
    <w:rsid w:val="006C4211"/>
    <w:rsid w:val="006C69B1"/>
    <w:rsid w:val="006C6EA8"/>
    <w:rsid w:val="006D090D"/>
    <w:rsid w:val="006D252E"/>
    <w:rsid w:val="006D2AE1"/>
    <w:rsid w:val="006D37F0"/>
    <w:rsid w:val="006D43F0"/>
    <w:rsid w:val="006D4677"/>
    <w:rsid w:val="006D51E4"/>
    <w:rsid w:val="006E0977"/>
    <w:rsid w:val="006E132F"/>
    <w:rsid w:val="006E41F5"/>
    <w:rsid w:val="006E53A3"/>
    <w:rsid w:val="006E562B"/>
    <w:rsid w:val="006E6A6F"/>
    <w:rsid w:val="006E6BF8"/>
    <w:rsid w:val="006E7B16"/>
    <w:rsid w:val="006F1C18"/>
    <w:rsid w:val="006F1E57"/>
    <w:rsid w:val="006F2C52"/>
    <w:rsid w:val="006F321B"/>
    <w:rsid w:val="006F3E07"/>
    <w:rsid w:val="006F4590"/>
    <w:rsid w:val="006F4C0B"/>
    <w:rsid w:val="006F5BA4"/>
    <w:rsid w:val="006F6436"/>
    <w:rsid w:val="006F7479"/>
    <w:rsid w:val="00700F14"/>
    <w:rsid w:val="0070129B"/>
    <w:rsid w:val="007019E2"/>
    <w:rsid w:val="00702982"/>
    <w:rsid w:val="00702F45"/>
    <w:rsid w:val="007059A3"/>
    <w:rsid w:val="00705A2C"/>
    <w:rsid w:val="00705A65"/>
    <w:rsid w:val="0070656C"/>
    <w:rsid w:val="00710303"/>
    <w:rsid w:val="00710430"/>
    <w:rsid w:val="0071111A"/>
    <w:rsid w:val="00712A8E"/>
    <w:rsid w:val="00713140"/>
    <w:rsid w:val="00714A27"/>
    <w:rsid w:val="00714B3F"/>
    <w:rsid w:val="00716A93"/>
    <w:rsid w:val="00720186"/>
    <w:rsid w:val="00722614"/>
    <w:rsid w:val="0072347F"/>
    <w:rsid w:val="00726904"/>
    <w:rsid w:val="00726B3F"/>
    <w:rsid w:val="007277DB"/>
    <w:rsid w:val="0073018E"/>
    <w:rsid w:val="007315E5"/>
    <w:rsid w:val="00731D7B"/>
    <w:rsid w:val="0073421F"/>
    <w:rsid w:val="00734962"/>
    <w:rsid w:val="007349F0"/>
    <w:rsid w:val="00737529"/>
    <w:rsid w:val="00744CF4"/>
    <w:rsid w:val="007453A0"/>
    <w:rsid w:val="00745B10"/>
    <w:rsid w:val="007464E3"/>
    <w:rsid w:val="00747374"/>
    <w:rsid w:val="00752543"/>
    <w:rsid w:val="00757533"/>
    <w:rsid w:val="007579A3"/>
    <w:rsid w:val="0076087B"/>
    <w:rsid w:val="00760AFC"/>
    <w:rsid w:val="007619C6"/>
    <w:rsid w:val="00761C2B"/>
    <w:rsid w:val="007704E5"/>
    <w:rsid w:val="00770C01"/>
    <w:rsid w:val="00770F59"/>
    <w:rsid w:val="00771D71"/>
    <w:rsid w:val="00772195"/>
    <w:rsid w:val="007754B3"/>
    <w:rsid w:val="00777544"/>
    <w:rsid w:val="00781945"/>
    <w:rsid w:val="00781D03"/>
    <w:rsid w:val="00784916"/>
    <w:rsid w:val="007858FD"/>
    <w:rsid w:val="007874B5"/>
    <w:rsid w:val="00787613"/>
    <w:rsid w:val="00790828"/>
    <w:rsid w:val="0079093C"/>
    <w:rsid w:val="00791122"/>
    <w:rsid w:val="00792169"/>
    <w:rsid w:val="00794E9B"/>
    <w:rsid w:val="00795B15"/>
    <w:rsid w:val="00797DFA"/>
    <w:rsid w:val="007A088D"/>
    <w:rsid w:val="007A44BD"/>
    <w:rsid w:val="007A5CAC"/>
    <w:rsid w:val="007A72F6"/>
    <w:rsid w:val="007A78C8"/>
    <w:rsid w:val="007B06B3"/>
    <w:rsid w:val="007B1E9D"/>
    <w:rsid w:val="007B24D9"/>
    <w:rsid w:val="007B4037"/>
    <w:rsid w:val="007B5092"/>
    <w:rsid w:val="007B5B1C"/>
    <w:rsid w:val="007B696A"/>
    <w:rsid w:val="007B6ECB"/>
    <w:rsid w:val="007C015C"/>
    <w:rsid w:val="007C09AB"/>
    <w:rsid w:val="007C0E97"/>
    <w:rsid w:val="007C0FF2"/>
    <w:rsid w:val="007C61F6"/>
    <w:rsid w:val="007D0ABA"/>
    <w:rsid w:val="007D3DF9"/>
    <w:rsid w:val="007D5845"/>
    <w:rsid w:val="007D64AD"/>
    <w:rsid w:val="007D67BA"/>
    <w:rsid w:val="007D7A5A"/>
    <w:rsid w:val="007E1951"/>
    <w:rsid w:val="007E341C"/>
    <w:rsid w:val="007E41F2"/>
    <w:rsid w:val="007E4DDA"/>
    <w:rsid w:val="007E6179"/>
    <w:rsid w:val="007F1A74"/>
    <w:rsid w:val="007F24B8"/>
    <w:rsid w:val="007F2E91"/>
    <w:rsid w:val="007F3ABF"/>
    <w:rsid w:val="007F66A0"/>
    <w:rsid w:val="0080303F"/>
    <w:rsid w:val="0080444B"/>
    <w:rsid w:val="00805889"/>
    <w:rsid w:val="00805F91"/>
    <w:rsid w:val="00810F54"/>
    <w:rsid w:val="00811FD0"/>
    <w:rsid w:val="008122BD"/>
    <w:rsid w:val="00813C15"/>
    <w:rsid w:val="008141E9"/>
    <w:rsid w:val="0081697A"/>
    <w:rsid w:val="00817468"/>
    <w:rsid w:val="0082150A"/>
    <w:rsid w:val="00824168"/>
    <w:rsid w:val="00824EC0"/>
    <w:rsid w:val="0082773C"/>
    <w:rsid w:val="00833CE1"/>
    <w:rsid w:val="00834EBC"/>
    <w:rsid w:val="00836E93"/>
    <w:rsid w:val="00840854"/>
    <w:rsid w:val="00841294"/>
    <w:rsid w:val="00843670"/>
    <w:rsid w:val="00843FBB"/>
    <w:rsid w:val="008444E7"/>
    <w:rsid w:val="00846028"/>
    <w:rsid w:val="00847138"/>
    <w:rsid w:val="00847420"/>
    <w:rsid w:val="00850E6C"/>
    <w:rsid w:val="00853DAA"/>
    <w:rsid w:val="00856618"/>
    <w:rsid w:val="008568A1"/>
    <w:rsid w:val="00860687"/>
    <w:rsid w:val="00860822"/>
    <w:rsid w:val="008614A7"/>
    <w:rsid w:val="008627E3"/>
    <w:rsid w:val="00862D99"/>
    <w:rsid w:val="00864115"/>
    <w:rsid w:val="0086532E"/>
    <w:rsid w:val="008653A8"/>
    <w:rsid w:val="00866D6E"/>
    <w:rsid w:val="00867219"/>
    <w:rsid w:val="00871308"/>
    <w:rsid w:val="00873380"/>
    <w:rsid w:val="00874039"/>
    <w:rsid w:val="0087441E"/>
    <w:rsid w:val="00882382"/>
    <w:rsid w:val="0088319F"/>
    <w:rsid w:val="00886237"/>
    <w:rsid w:val="00891675"/>
    <w:rsid w:val="00891AC3"/>
    <w:rsid w:val="008920C4"/>
    <w:rsid w:val="00894AEA"/>
    <w:rsid w:val="00894F02"/>
    <w:rsid w:val="0089508D"/>
    <w:rsid w:val="008A0385"/>
    <w:rsid w:val="008A07DF"/>
    <w:rsid w:val="008A3BDB"/>
    <w:rsid w:val="008A54C4"/>
    <w:rsid w:val="008A5808"/>
    <w:rsid w:val="008A59C6"/>
    <w:rsid w:val="008B1D74"/>
    <w:rsid w:val="008B2A71"/>
    <w:rsid w:val="008B346B"/>
    <w:rsid w:val="008B41B2"/>
    <w:rsid w:val="008B4AE2"/>
    <w:rsid w:val="008B680A"/>
    <w:rsid w:val="008B765A"/>
    <w:rsid w:val="008B790A"/>
    <w:rsid w:val="008C08DD"/>
    <w:rsid w:val="008C20CE"/>
    <w:rsid w:val="008C28D9"/>
    <w:rsid w:val="008C2EE6"/>
    <w:rsid w:val="008C2FE3"/>
    <w:rsid w:val="008D0916"/>
    <w:rsid w:val="008D203D"/>
    <w:rsid w:val="008D2F66"/>
    <w:rsid w:val="008D393E"/>
    <w:rsid w:val="008D4D05"/>
    <w:rsid w:val="008D7E2C"/>
    <w:rsid w:val="008E0B92"/>
    <w:rsid w:val="008E2BE7"/>
    <w:rsid w:val="008E2C02"/>
    <w:rsid w:val="008E54EB"/>
    <w:rsid w:val="008E5D99"/>
    <w:rsid w:val="008E7C6B"/>
    <w:rsid w:val="008F1521"/>
    <w:rsid w:val="008F19B3"/>
    <w:rsid w:val="008F2B20"/>
    <w:rsid w:val="008F39E2"/>
    <w:rsid w:val="008F3B5C"/>
    <w:rsid w:val="008F5904"/>
    <w:rsid w:val="008F71AC"/>
    <w:rsid w:val="008F7CD3"/>
    <w:rsid w:val="00900307"/>
    <w:rsid w:val="00900ADD"/>
    <w:rsid w:val="00904B26"/>
    <w:rsid w:val="009055E5"/>
    <w:rsid w:val="009129D8"/>
    <w:rsid w:val="0091336D"/>
    <w:rsid w:val="0091420C"/>
    <w:rsid w:val="009157AB"/>
    <w:rsid w:val="00915DE4"/>
    <w:rsid w:val="009177B9"/>
    <w:rsid w:val="0092260C"/>
    <w:rsid w:val="0092358E"/>
    <w:rsid w:val="009239C3"/>
    <w:rsid w:val="00925A93"/>
    <w:rsid w:val="00925D9E"/>
    <w:rsid w:val="009262C7"/>
    <w:rsid w:val="009311A9"/>
    <w:rsid w:val="009336BE"/>
    <w:rsid w:val="009358AC"/>
    <w:rsid w:val="00935A84"/>
    <w:rsid w:val="0093678E"/>
    <w:rsid w:val="009408D2"/>
    <w:rsid w:val="00940D23"/>
    <w:rsid w:val="00944358"/>
    <w:rsid w:val="00951E06"/>
    <w:rsid w:val="00952559"/>
    <w:rsid w:val="0095449C"/>
    <w:rsid w:val="00954C03"/>
    <w:rsid w:val="00954E2C"/>
    <w:rsid w:val="0095501B"/>
    <w:rsid w:val="009556AF"/>
    <w:rsid w:val="00955AE4"/>
    <w:rsid w:val="00962455"/>
    <w:rsid w:val="00962B04"/>
    <w:rsid w:val="00962F71"/>
    <w:rsid w:val="009630D4"/>
    <w:rsid w:val="00970592"/>
    <w:rsid w:val="00971CE3"/>
    <w:rsid w:val="00973A32"/>
    <w:rsid w:val="00974068"/>
    <w:rsid w:val="009768E1"/>
    <w:rsid w:val="00981CF0"/>
    <w:rsid w:val="009833A0"/>
    <w:rsid w:val="00983DC2"/>
    <w:rsid w:val="00983F3F"/>
    <w:rsid w:val="009858B0"/>
    <w:rsid w:val="009859D7"/>
    <w:rsid w:val="00985FCA"/>
    <w:rsid w:val="009862B6"/>
    <w:rsid w:val="0098731C"/>
    <w:rsid w:val="00987A88"/>
    <w:rsid w:val="00991E5D"/>
    <w:rsid w:val="00995E1A"/>
    <w:rsid w:val="009A08B3"/>
    <w:rsid w:val="009A3250"/>
    <w:rsid w:val="009A42BC"/>
    <w:rsid w:val="009A5CC8"/>
    <w:rsid w:val="009B0C97"/>
    <w:rsid w:val="009B15FB"/>
    <w:rsid w:val="009B31E5"/>
    <w:rsid w:val="009B3244"/>
    <w:rsid w:val="009B6E57"/>
    <w:rsid w:val="009B6F21"/>
    <w:rsid w:val="009C016B"/>
    <w:rsid w:val="009C11EC"/>
    <w:rsid w:val="009C184A"/>
    <w:rsid w:val="009C23BE"/>
    <w:rsid w:val="009C2547"/>
    <w:rsid w:val="009C5E2C"/>
    <w:rsid w:val="009C6082"/>
    <w:rsid w:val="009C60FD"/>
    <w:rsid w:val="009C715B"/>
    <w:rsid w:val="009D40F3"/>
    <w:rsid w:val="009D4AE5"/>
    <w:rsid w:val="009D514A"/>
    <w:rsid w:val="009D5A2F"/>
    <w:rsid w:val="009D5ACB"/>
    <w:rsid w:val="009D70DA"/>
    <w:rsid w:val="009E4CAD"/>
    <w:rsid w:val="009E6759"/>
    <w:rsid w:val="009E6943"/>
    <w:rsid w:val="009E6C52"/>
    <w:rsid w:val="009E7452"/>
    <w:rsid w:val="009F51CD"/>
    <w:rsid w:val="009F5892"/>
    <w:rsid w:val="009F6105"/>
    <w:rsid w:val="009F7170"/>
    <w:rsid w:val="009F77A7"/>
    <w:rsid w:val="009F7875"/>
    <w:rsid w:val="00A00BE3"/>
    <w:rsid w:val="00A02721"/>
    <w:rsid w:val="00A0313B"/>
    <w:rsid w:val="00A07A8B"/>
    <w:rsid w:val="00A103FD"/>
    <w:rsid w:val="00A13032"/>
    <w:rsid w:val="00A204B5"/>
    <w:rsid w:val="00A219A1"/>
    <w:rsid w:val="00A24C4A"/>
    <w:rsid w:val="00A27C03"/>
    <w:rsid w:val="00A30227"/>
    <w:rsid w:val="00A30C3D"/>
    <w:rsid w:val="00A30D0E"/>
    <w:rsid w:val="00A322D9"/>
    <w:rsid w:val="00A326AF"/>
    <w:rsid w:val="00A32B84"/>
    <w:rsid w:val="00A44919"/>
    <w:rsid w:val="00A4493F"/>
    <w:rsid w:val="00A4553B"/>
    <w:rsid w:val="00A503DB"/>
    <w:rsid w:val="00A514F4"/>
    <w:rsid w:val="00A53447"/>
    <w:rsid w:val="00A549E2"/>
    <w:rsid w:val="00A54D86"/>
    <w:rsid w:val="00A560B2"/>
    <w:rsid w:val="00A573EE"/>
    <w:rsid w:val="00A57DA7"/>
    <w:rsid w:val="00A6008E"/>
    <w:rsid w:val="00A619C7"/>
    <w:rsid w:val="00A626A4"/>
    <w:rsid w:val="00A631F3"/>
    <w:rsid w:val="00A633BC"/>
    <w:rsid w:val="00A65BFE"/>
    <w:rsid w:val="00A72010"/>
    <w:rsid w:val="00A720BA"/>
    <w:rsid w:val="00A72F04"/>
    <w:rsid w:val="00A77D36"/>
    <w:rsid w:val="00A809F9"/>
    <w:rsid w:val="00A81C39"/>
    <w:rsid w:val="00A8257C"/>
    <w:rsid w:val="00A82705"/>
    <w:rsid w:val="00A841E0"/>
    <w:rsid w:val="00A85DA1"/>
    <w:rsid w:val="00A914FC"/>
    <w:rsid w:val="00A9392E"/>
    <w:rsid w:val="00A93EB0"/>
    <w:rsid w:val="00A94D64"/>
    <w:rsid w:val="00A957CF"/>
    <w:rsid w:val="00A9635B"/>
    <w:rsid w:val="00AA0C36"/>
    <w:rsid w:val="00AA34E4"/>
    <w:rsid w:val="00AA494E"/>
    <w:rsid w:val="00AA53D2"/>
    <w:rsid w:val="00AA57D9"/>
    <w:rsid w:val="00AA612E"/>
    <w:rsid w:val="00AB15CB"/>
    <w:rsid w:val="00AB620F"/>
    <w:rsid w:val="00AB6E4F"/>
    <w:rsid w:val="00AC0867"/>
    <w:rsid w:val="00AC348C"/>
    <w:rsid w:val="00AC3730"/>
    <w:rsid w:val="00AC37B3"/>
    <w:rsid w:val="00AC3D88"/>
    <w:rsid w:val="00AC7C3C"/>
    <w:rsid w:val="00AD1E4D"/>
    <w:rsid w:val="00AD1F47"/>
    <w:rsid w:val="00AD220B"/>
    <w:rsid w:val="00AD24EE"/>
    <w:rsid w:val="00AD3813"/>
    <w:rsid w:val="00AD4C4F"/>
    <w:rsid w:val="00AD5E49"/>
    <w:rsid w:val="00AD623C"/>
    <w:rsid w:val="00AF052F"/>
    <w:rsid w:val="00AF2B51"/>
    <w:rsid w:val="00AF38B9"/>
    <w:rsid w:val="00AF3DD7"/>
    <w:rsid w:val="00AF3F1A"/>
    <w:rsid w:val="00AF484F"/>
    <w:rsid w:val="00B0034C"/>
    <w:rsid w:val="00B00FF2"/>
    <w:rsid w:val="00B02DF3"/>
    <w:rsid w:val="00B061AA"/>
    <w:rsid w:val="00B11840"/>
    <w:rsid w:val="00B15DC0"/>
    <w:rsid w:val="00B17EAF"/>
    <w:rsid w:val="00B20208"/>
    <w:rsid w:val="00B21B03"/>
    <w:rsid w:val="00B21E0A"/>
    <w:rsid w:val="00B23045"/>
    <w:rsid w:val="00B2553D"/>
    <w:rsid w:val="00B26B41"/>
    <w:rsid w:val="00B31C91"/>
    <w:rsid w:val="00B32377"/>
    <w:rsid w:val="00B35AC6"/>
    <w:rsid w:val="00B36FFC"/>
    <w:rsid w:val="00B420E5"/>
    <w:rsid w:val="00B43F48"/>
    <w:rsid w:val="00B44366"/>
    <w:rsid w:val="00B44CE2"/>
    <w:rsid w:val="00B44D03"/>
    <w:rsid w:val="00B451F3"/>
    <w:rsid w:val="00B46934"/>
    <w:rsid w:val="00B469AC"/>
    <w:rsid w:val="00B5493F"/>
    <w:rsid w:val="00B567AB"/>
    <w:rsid w:val="00B56FFD"/>
    <w:rsid w:val="00B61911"/>
    <w:rsid w:val="00B61BE9"/>
    <w:rsid w:val="00B636E4"/>
    <w:rsid w:val="00B6456C"/>
    <w:rsid w:val="00B64AC9"/>
    <w:rsid w:val="00B6773D"/>
    <w:rsid w:val="00B67CF8"/>
    <w:rsid w:val="00B700F4"/>
    <w:rsid w:val="00B7144B"/>
    <w:rsid w:val="00B7507C"/>
    <w:rsid w:val="00B819C3"/>
    <w:rsid w:val="00B81CCF"/>
    <w:rsid w:val="00B8215F"/>
    <w:rsid w:val="00B82428"/>
    <w:rsid w:val="00B83303"/>
    <w:rsid w:val="00B84C5B"/>
    <w:rsid w:val="00B8642C"/>
    <w:rsid w:val="00B878C5"/>
    <w:rsid w:val="00B904E4"/>
    <w:rsid w:val="00B95198"/>
    <w:rsid w:val="00B9643D"/>
    <w:rsid w:val="00BA0832"/>
    <w:rsid w:val="00BA22EF"/>
    <w:rsid w:val="00BA252F"/>
    <w:rsid w:val="00BA285C"/>
    <w:rsid w:val="00BA4AE0"/>
    <w:rsid w:val="00BA56F7"/>
    <w:rsid w:val="00BA67BA"/>
    <w:rsid w:val="00BA6A0D"/>
    <w:rsid w:val="00BA76C2"/>
    <w:rsid w:val="00BB4629"/>
    <w:rsid w:val="00BB4C29"/>
    <w:rsid w:val="00BB63B0"/>
    <w:rsid w:val="00BB6430"/>
    <w:rsid w:val="00BC3E90"/>
    <w:rsid w:val="00BC519C"/>
    <w:rsid w:val="00BC6800"/>
    <w:rsid w:val="00BC7388"/>
    <w:rsid w:val="00BC793B"/>
    <w:rsid w:val="00BC7E4F"/>
    <w:rsid w:val="00BD07CE"/>
    <w:rsid w:val="00BD2CCC"/>
    <w:rsid w:val="00BD3189"/>
    <w:rsid w:val="00BD31CE"/>
    <w:rsid w:val="00BD40C6"/>
    <w:rsid w:val="00BD6D43"/>
    <w:rsid w:val="00BD6EC3"/>
    <w:rsid w:val="00BD7C8A"/>
    <w:rsid w:val="00BE6E79"/>
    <w:rsid w:val="00BF1F22"/>
    <w:rsid w:val="00BF4B07"/>
    <w:rsid w:val="00BF5183"/>
    <w:rsid w:val="00BF5312"/>
    <w:rsid w:val="00BF7373"/>
    <w:rsid w:val="00C00DAC"/>
    <w:rsid w:val="00C050C2"/>
    <w:rsid w:val="00C06332"/>
    <w:rsid w:val="00C0729F"/>
    <w:rsid w:val="00C1180F"/>
    <w:rsid w:val="00C118CA"/>
    <w:rsid w:val="00C135E2"/>
    <w:rsid w:val="00C16BBC"/>
    <w:rsid w:val="00C16C42"/>
    <w:rsid w:val="00C174F9"/>
    <w:rsid w:val="00C214EB"/>
    <w:rsid w:val="00C21621"/>
    <w:rsid w:val="00C21FEB"/>
    <w:rsid w:val="00C241ED"/>
    <w:rsid w:val="00C246A2"/>
    <w:rsid w:val="00C2516D"/>
    <w:rsid w:val="00C26917"/>
    <w:rsid w:val="00C2714A"/>
    <w:rsid w:val="00C27446"/>
    <w:rsid w:val="00C27BCB"/>
    <w:rsid w:val="00C30D1B"/>
    <w:rsid w:val="00C324E2"/>
    <w:rsid w:val="00C34FEE"/>
    <w:rsid w:val="00C3549A"/>
    <w:rsid w:val="00C35C49"/>
    <w:rsid w:val="00C36440"/>
    <w:rsid w:val="00C37DE0"/>
    <w:rsid w:val="00C40205"/>
    <w:rsid w:val="00C409F0"/>
    <w:rsid w:val="00C41678"/>
    <w:rsid w:val="00C421E5"/>
    <w:rsid w:val="00C43756"/>
    <w:rsid w:val="00C46748"/>
    <w:rsid w:val="00C46934"/>
    <w:rsid w:val="00C47CBE"/>
    <w:rsid w:val="00C5307E"/>
    <w:rsid w:val="00C532FD"/>
    <w:rsid w:val="00C60852"/>
    <w:rsid w:val="00C634FA"/>
    <w:rsid w:val="00C649B7"/>
    <w:rsid w:val="00C64E44"/>
    <w:rsid w:val="00C6517F"/>
    <w:rsid w:val="00C660F0"/>
    <w:rsid w:val="00C66BB4"/>
    <w:rsid w:val="00C67938"/>
    <w:rsid w:val="00C67F7E"/>
    <w:rsid w:val="00C7024A"/>
    <w:rsid w:val="00C7081F"/>
    <w:rsid w:val="00C717FD"/>
    <w:rsid w:val="00C74354"/>
    <w:rsid w:val="00C75109"/>
    <w:rsid w:val="00C755FA"/>
    <w:rsid w:val="00C76B6E"/>
    <w:rsid w:val="00C76D48"/>
    <w:rsid w:val="00C812EF"/>
    <w:rsid w:val="00C819E3"/>
    <w:rsid w:val="00C83188"/>
    <w:rsid w:val="00C83CD4"/>
    <w:rsid w:val="00C8569E"/>
    <w:rsid w:val="00C94484"/>
    <w:rsid w:val="00CA0AD2"/>
    <w:rsid w:val="00CA4953"/>
    <w:rsid w:val="00CA4B1D"/>
    <w:rsid w:val="00CA606A"/>
    <w:rsid w:val="00CA6268"/>
    <w:rsid w:val="00CA6670"/>
    <w:rsid w:val="00CA69DA"/>
    <w:rsid w:val="00CA73A7"/>
    <w:rsid w:val="00CB1A02"/>
    <w:rsid w:val="00CB346C"/>
    <w:rsid w:val="00CB3782"/>
    <w:rsid w:val="00CB3D3B"/>
    <w:rsid w:val="00CB3ED3"/>
    <w:rsid w:val="00CB4660"/>
    <w:rsid w:val="00CB5CA6"/>
    <w:rsid w:val="00CB7642"/>
    <w:rsid w:val="00CC425A"/>
    <w:rsid w:val="00CC66CF"/>
    <w:rsid w:val="00CD11CD"/>
    <w:rsid w:val="00CD2111"/>
    <w:rsid w:val="00CD21AD"/>
    <w:rsid w:val="00CD5A4C"/>
    <w:rsid w:val="00CD6733"/>
    <w:rsid w:val="00CD67B3"/>
    <w:rsid w:val="00CD70E7"/>
    <w:rsid w:val="00CD7244"/>
    <w:rsid w:val="00CD7559"/>
    <w:rsid w:val="00CE073D"/>
    <w:rsid w:val="00CE1266"/>
    <w:rsid w:val="00CE1344"/>
    <w:rsid w:val="00CE14F7"/>
    <w:rsid w:val="00CE3E4D"/>
    <w:rsid w:val="00CE682E"/>
    <w:rsid w:val="00CE6BA6"/>
    <w:rsid w:val="00CE7CC3"/>
    <w:rsid w:val="00CF0D95"/>
    <w:rsid w:val="00CF1342"/>
    <w:rsid w:val="00CF1877"/>
    <w:rsid w:val="00CF1F57"/>
    <w:rsid w:val="00CF25B9"/>
    <w:rsid w:val="00CF3129"/>
    <w:rsid w:val="00CF5305"/>
    <w:rsid w:val="00CF5789"/>
    <w:rsid w:val="00CF6266"/>
    <w:rsid w:val="00D001F0"/>
    <w:rsid w:val="00D011D8"/>
    <w:rsid w:val="00D030B3"/>
    <w:rsid w:val="00D04F76"/>
    <w:rsid w:val="00D05E2A"/>
    <w:rsid w:val="00D10600"/>
    <w:rsid w:val="00D14E03"/>
    <w:rsid w:val="00D15856"/>
    <w:rsid w:val="00D169A3"/>
    <w:rsid w:val="00D2021C"/>
    <w:rsid w:val="00D20BB4"/>
    <w:rsid w:val="00D2131E"/>
    <w:rsid w:val="00D214C7"/>
    <w:rsid w:val="00D23D47"/>
    <w:rsid w:val="00D2525D"/>
    <w:rsid w:val="00D263D9"/>
    <w:rsid w:val="00D27568"/>
    <w:rsid w:val="00D30068"/>
    <w:rsid w:val="00D30DC5"/>
    <w:rsid w:val="00D31233"/>
    <w:rsid w:val="00D32874"/>
    <w:rsid w:val="00D33831"/>
    <w:rsid w:val="00D34626"/>
    <w:rsid w:val="00D352C6"/>
    <w:rsid w:val="00D355AD"/>
    <w:rsid w:val="00D362C1"/>
    <w:rsid w:val="00D3745A"/>
    <w:rsid w:val="00D40C41"/>
    <w:rsid w:val="00D413EF"/>
    <w:rsid w:val="00D41CEC"/>
    <w:rsid w:val="00D425F8"/>
    <w:rsid w:val="00D462FC"/>
    <w:rsid w:val="00D46560"/>
    <w:rsid w:val="00D46D1E"/>
    <w:rsid w:val="00D47FA5"/>
    <w:rsid w:val="00D52929"/>
    <w:rsid w:val="00D53CEF"/>
    <w:rsid w:val="00D53E3B"/>
    <w:rsid w:val="00D5439A"/>
    <w:rsid w:val="00D55C7A"/>
    <w:rsid w:val="00D56980"/>
    <w:rsid w:val="00D57F4E"/>
    <w:rsid w:val="00D6348C"/>
    <w:rsid w:val="00D637B4"/>
    <w:rsid w:val="00D63F27"/>
    <w:rsid w:val="00D65584"/>
    <w:rsid w:val="00D70891"/>
    <w:rsid w:val="00D75CEB"/>
    <w:rsid w:val="00D75DB2"/>
    <w:rsid w:val="00D7677F"/>
    <w:rsid w:val="00D77F82"/>
    <w:rsid w:val="00D801DF"/>
    <w:rsid w:val="00D803A5"/>
    <w:rsid w:val="00D82394"/>
    <w:rsid w:val="00D8374B"/>
    <w:rsid w:val="00D83F78"/>
    <w:rsid w:val="00D84ACB"/>
    <w:rsid w:val="00D86266"/>
    <w:rsid w:val="00D86EF0"/>
    <w:rsid w:val="00D90A45"/>
    <w:rsid w:val="00D92EC6"/>
    <w:rsid w:val="00D93354"/>
    <w:rsid w:val="00D936B8"/>
    <w:rsid w:val="00D93736"/>
    <w:rsid w:val="00D94334"/>
    <w:rsid w:val="00D947D4"/>
    <w:rsid w:val="00D960D2"/>
    <w:rsid w:val="00D97CED"/>
    <w:rsid w:val="00D97DF6"/>
    <w:rsid w:val="00DA0E53"/>
    <w:rsid w:val="00DA0EDF"/>
    <w:rsid w:val="00DA2635"/>
    <w:rsid w:val="00DA4576"/>
    <w:rsid w:val="00DA73EC"/>
    <w:rsid w:val="00DB1C3C"/>
    <w:rsid w:val="00DB1F6E"/>
    <w:rsid w:val="00DB296E"/>
    <w:rsid w:val="00DB3C6D"/>
    <w:rsid w:val="00DB3EFB"/>
    <w:rsid w:val="00DB4111"/>
    <w:rsid w:val="00DB4D6F"/>
    <w:rsid w:val="00DB5BF7"/>
    <w:rsid w:val="00DB6179"/>
    <w:rsid w:val="00DB7415"/>
    <w:rsid w:val="00DC183E"/>
    <w:rsid w:val="00DC2098"/>
    <w:rsid w:val="00DC2FC0"/>
    <w:rsid w:val="00DC3927"/>
    <w:rsid w:val="00DC5F2C"/>
    <w:rsid w:val="00DC6304"/>
    <w:rsid w:val="00DC7BB2"/>
    <w:rsid w:val="00DD083F"/>
    <w:rsid w:val="00DD0DFF"/>
    <w:rsid w:val="00DD20F5"/>
    <w:rsid w:val="00DD7567"/>
    <w:rsid w:val="00DD7661"/>
    <w:rsid w:val="00DD7DCE"/>
    <w:rsid w:val="00DE1965"/>
    <w:rsid w:val="00DE28B6"/>
    <w:rsid w:val="00DE3076"/>
    <w:rsid w:val="00DE31EB"/>
    <w:rsid w:val="00DE57B5"/>
    <w:rsid w:val="00DE6096"/>
    <w:rsid w:val="00DF12B1"/>
    <w:rsid w:val="00DF3718"/>
    <w:rsid w:val="00DF3BCF"/>
    <w:rsid w:val="00DF3F28"/>
    <w:rsid w:val="00DF5969"/>
    <w:rsid w:val="00DF5A72"/>
    <w:rsid w:val="00DF61B4"/>
    <w:rsid w:val="00DF63D0"/>
    <w:rsid w:val="00DF6E05"/>
    <w:rsid w:val="00E00710"/>
    <w:rsid w:val="00E02B6E"/>
    <w:rsid w:val="00E04665"/>
    <w:rsid w:val="00E050EF"/>
    <w:rsid w:val="00E06EB2"/>
    <w:rsid w:val="00E12D0E"/>
    <w:rsid w:val="00E1310E"/>
    <w:rsid w:val="00E138AF"/>
    <w:rsid w:val="00E151F0"/>
    <w:rsid w:val="00E15CCA"/>
    <w:rsid w:val="00E15D4B"/>
    <w:rsid w:val="00E17358"/>
    <w:rsid w:val="00E1772A"/>
    <w:rsid w:val="00E20895"/>
    <w:rsid w:val="00E20A98"/>
    <w:rsid w:val="00E21410"/>
    <w:rsid w:val="00E21F62"/>
    <w:rsid w:val="00E24776"/>
    <w:rsid w:val="00E25448"/>
    <w:rsid w:val="00E26373"/>
    <w:rsid w:val="00E26400"/>
    <w:rsid w:val="00E27E51"/>
    <w:rsid w:val="00E31A99"/>
    <w:rsid w:val="00E32CC2"/>
    <w:rsid w:val="00E34E8E"/>
    <w:rsid w:val="00E35D6B"/>
    <w:rsid w:val="00E3748C"/>
    <w:rsid w:val="00E40138"/>
    <w:rsid w:val="00E41752"/>
    <w:rsid w:val="00E430D2"/>
    <w:rsid w:val="00E4453A"/>
    <w:rsid w:val="00E44DAE"/>
    <w:rsid w:val="00E45CBE"/>
    <w:rsid w:val="00E46B2D"/>
    <w:rsid w:val="00E470AA"/>
    <w:rsid w:val="00E504AC"/>
    <w:rsid w:val="00E53873"/>
    <w:rsid w:val="00E53E5C"/>
    <w:rsid w:val="00E53EC8"/>
    <w:rsid w:val="00E54527"/>
    <w:rsid w:val="00E54973"/>
    <w:rsid w:val="00E5497C"/>
    <w:rsid w:val="00E54C87"/>
    <w:rsid w:val="00E565BC"/>
    <w:rsid w:val="00E6002E"/>
    <w:rsid w:val="00E6042B"/>
    <w:rsid w:val="00E60A82"/>
    <w:rsid w:val="00E60B54"/>
    <w:rsid w:val="00E60D82"/>
    <w:rsid w:val="00E61CEA"/>
    <w:rsid w:val="00E6221F"/>
    <w:rsid w:val="00E65D25"/>
    <w:rsid w:val="00E6701B"/>
    <w:rsid w:val="00E7012B"/>
    <w:rsid w:val="00E73338"/>
    <w:rsid w:val="00E73956"/>
    <w:rsid w:val="00E73C26"/>
    <w:rsid w:val="00E75B73"/>
    <w:rsid w:val="00E77189"/>
    <w:rsid w:val="00E85175"/>
    <w:rsid w:val="00E85470"/>
    <w:rsid w:val="00E86801"/>
    <w:rsid w:val="00E90180"/>
    <w:rsid w:val="00E91B15"/>
    <w:rsid w:val="00E92D5A"/>
    <w:rsid w:val="00E9790A"/>
    <w:rsid w:val="00E97B5A"/>
    <w:rsid w:val="00EA1905"/>
    <w:rsid w:val="00EA4465"/>
    <w:rsid w:val="00EA4F44"/>
    <w:rsid w:val="00EA65FB"/>
    <w:rsid w:val="00EB0315"/>
    <w:rsid w:val="00EB25B2"/>
    <w:rsid w:val="00EB3482"/>
    <w:rsid w:val="00EB462D"/>
    <w:rsid w:val="00EB4844"/>
    <w:rsid w:val="00EB7ABE"/>
    <w:rsid w:val="00EC0316"/>
    <w:rsid w:val="00EC052E"/>
    <w:rsid w:val="00EC09D8"/>
    <w:rsid w:val="00EC0F76"/>
    <w:rsid w:val="00EC1BCE"/>
    <w:rsid w:val="00EC2199"/>
    <w:rsid w:val="00EC29BE"/>
    <w:rsid w:val="00EC3BF6"/>
    <w:rsid w:val="00EC4ECB"/>
    <w:rsid w:val="00EC5911"/>
    <w:rsid w:val="00EC59D2"/>
    <w:rsid w:val="00EC6AEA"/>
    <w:rsid w:val="00ED06BA"/>
    <w:rsid w:val="00ED22C7"/>
    <w:rsid w:val="00ED2A86"/>
    <w:rsid w:val="00ED3B34"/>
    <w:rsid w:val="00ED429D"/>
    <w:rsid w:val="00ED6019"/>
    <w:rsid w:val="00ED7711"/>
    <w:rsid w:val="00ED7B37"/>
    <w:rsid w:val="00EE2FEB"/>
    <w:rsid w:val="00EE42F3"/>
    <w:rsid w:val="00EE47BA"/>
    <w:rsid w:val="00EE5527"/>
    <w:rsid w:val="00EE6881"/>
    <w:rsid w:val="00EE7727"/>
    <w:rsid w:val="00EF01D5"/>
    <w:rsid w:val="00EF0D32"/>
    <w:rsid w:val="00EF2BF9"/>
    <w:rsid w:val="00EF43E4"/>
    <w:rsid w:val="00EF4C68"/>
    <w:rsid w:val="00F00E3A"/>
    <w:rsid w:val="00F00E81"/>
    <w:rsid w:val="00F010A8"/>
    <w:rsid w:val="00F017A9"/>
    <w:rsid w:val="00F01FF6"/>
    <w:rsid w:val="00F034CA"/>
    <w:rsid w:val="00F03E0B"/>
    <w:rsid w:val="00F0480A"/>
    <w:rsid w:val="00F04C71"/>
    <w:rsid w:val="00F05FF4"/>
    <w:rsid w:val="00F07391"/>
    <w:rsid w:val="00F0774D"/>
    <w:rsid w:val="00F14C8F"/>
    <w:rsid w:val="00F15B99"/>
    <w:rsid w:val="00F1647D"/>
    <w:rsid w:val="00F22515"/>
    <w:rsid w:val="00F22B35"/>
    <w:rsid w:val="00F237B9"/>
    <w:rsid w:val="00F25DE3"/>
    <w:rsid w:val="00F300A4"/>
    <w:rsid w:val="00F314AC"/>
    <w:rsid w:val="00F323F4"/>
    <w:rsid w:val="00F33F3D"/>
    <w:rsid w:val="00F3688F"/>
    <w:rsid w:val="00F36B3E"/>
    <w:rsid w:val="00F37C1E"/>
    <w:rsid w:val="00F408E1"/>
    <w:rsid w:val="00F44917"/>
    <w:rsid w:val="00F44F31"/>
    <w:rsid w:val="00F46233"/>
    <w:rsid w:val="00F51BCC"/>
    <w:rsid w:val="00F52015"/>
    <w:rsid w:val="00F529D2"/>
    <w:rsid w:val="00F546C6"/>
    <w:rsid w:val="00F54ACF"/>
    <w:rsid w:val="00F55A9C"/>
    <w:rsid w:val="00F60034"/>
    <w:rsid w:val="00F6035C"/>
    <w:rsid w:val="00F60AB1"/>
    <w:rsid w:val="00F61583"/>
    <w:rsid w:val="00F61CE2"/>
    <w:rsid w:val="00F62008"/>
    <w:rsid w:val="00F6200F"/>
    <w:rsid w:val="00F627DB"/>
    <w:rsid w:val="00F635F0"/>
    <w:rsid w:val="00F642E0"/>
    <w:rsid w:val="00F6490F"/>
    <w:rsid w:val="00F65E70"/>
    <w:rsid w:val="00F6769F"/>
    <w:rsid w:val="00F70BF9"/>
    <w:rsid w:val="00F711D0"/>
    <w:rsid w:val="00F71257"/>
    <w:rsid w:val="00F80093"/>
    <w:rsid w:val="00F8083D"/>
    <w:rsid w:val="00F819D4"/>
    <w:rsid w:val="00F8593B"/>
    <w:rsid w:val="00F8692E"/>
    <w:rsid w:val="00F90D35"/>
    <w:rsid w:val="00F91E5F"/>
    <w:rsid w:val="00F930A1"/>
    <w:rsid w:val="00F952E2"/>
    <w:rsid w:val="00FA0EBC"/>
    <w:rsid w:val="00FA0FD1"/>
    <w:rsid w:val="00FA1C25"/>
    <w:rsid w:val="00FA32F8"/>
    <w:rsid w:val="00FA3522"/>
    <w:rsid w:val="00FA39CC"/>
    <w:rsid w:val="00FB0476"/>
    <w:rsid w:val="00FB4135"/>
    <w:rsid w:val="00FB513F"/>
    <w:rsid w:val="00FB5587"/>
    <w:rsid w:val="00FB5F7B"/>
    <w:rsid w:val="00FB7A2C"/>
    <w:rsid w:val="00FC2197"/>
    <w:rsid w:val="00FC222C"/>
    <w:rsid w:val="00FC330C"/>
    <w:rsid w:val="00FC3DA8"/>
    <w:rsid w:val="00FC4DD3"/>
    <w:rsid w:val="00FC745C"/>
    <w:rsid w:val="00FC7923"/>
    <w:rsid w:val="00FC7E5F"/>
    <w:rsid w:val="00FD2109"/>
    <w:rsid w:val="00FD4E7E"/>
    <w:rsid w:val="00FD4F9F"/>
    <w:rsid w:val="00FD6080"/>
    <w:rsid w:val="00FD7572"/>
    <w:rsid w:val="00FE3577"/>
    <w:rsid w:val="00FE3DA3"/>
    <w:rsid w:val="00FE418D"/>
    <w:rsid w:val="00FE5095"/>
    <w:rsid w:val="00FE52DF"/>
    <w:rsid w:val="00FE6817"/>
    <w:rsid w:val="00FF5082"/>
    <w:rsid w:val="00FF6221"/>
    <w:rsid w:val="00FF7188"/>
    <w:rsid w:val="00FF7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51919"/>
  <w15:docId w15:val="{0B77585F-9EB3-4D09-9329-CF7BAAC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790828"/>
    <w:pPr>
      <w:keepNext/>
      <w:widowControl w:val="0"/>
      <w:autoSpaceDE w:val="0"/>
      <w:autoSpaceDN w:val="0"/>
      <w:adjustRightInd w:val="0"/>
      <w:spacing w:before="240" w:after="60" w:line="240" w:lineRule="auto"/>
      <w:outlineLvl w:val="3"/>
    </w:pPr>
    <w:rPr>
      <w:rFonts w:ascii="Calibri" w:eastAsia="Times New Roman" w:hAnsi="Calibri"/>
      <w:b/>
      <w:bCs/>
      <w:sz w:val="28"/>
      <w:szCs w:val="28"/>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39,Char,Char Char Char,Char Char Char Char Char Char,Char Char,Char Char Char Char,webb,Char1, webb,ClientStyle1"/>
    <w:basedOn w:val="Normal"/>
    <w:link w:val="NormalWebChar"/>
    <w:uiPriority w:val="99"/>
    <w:unhideWhenUsed/>
    <w:rsid w:val="00EC6AEA"/>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EC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EA"/>
  </w:style>
  <w:style w:type="paragraph" w:styleId="Footer">
    <w:name w:val="footer"/>
    <w:basedOn w:val="Normal"/>
    <w:link w:val="FooterChar"/>
    <w:uiPriority w:val="99"/>
    <w:unhideWhenUsed/>
    <w:rsid w:val="00EC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EA"/>
  </w:style>
  <w:style w:type="paragraph" w:customStyle="1" w:styleId="CM22">
    <w:name w:val="CM22"/>
    <w:basedOn w:val="Normal"/>
    <w:next w:val="Normal"/>
    <w:uiPriority w:val="99"/>
    <w:rsid w:val="004138D7"/>
    <w:pPr>
      <w:autoSpaceDE w:val="0"/>
      <w:autoSpaceDN w:val="0"/>
      <w:adjustRightInd w:val="0"/>
      <w:spacing w:after="0" w:line="240" w:lineRule="auto"/>
    </w:pPr>
    <w:rPr>
      <w:sz w:val="24"/>
      <w:szCs w:val="24"/>
    </w:rPr>
  </w:style>
  <w:style w:type="paragraph" w:customStyle="1" w:styleId="CM21">
    <w:name w:val="CM21"/>
    <w:basedOn w:val="Normal"/>
    <w:next w:val="Normal"/>
    <w:uiPriority w:val="99"/>
    <w:rsid w:val="004138D7"/>
    <w:pPr>
      <w:autoSpaceDE w:val="0"/>
      <w:autoSpaceDN w:val="0"/>
      <w:adjustRightInd w:val="0"/>
      <w:spacing w:after="0" w:line="240" w:lineRule="auto"/>
    </w:pPr>
    <w:rPr>
      <w:sz w:val="24"/>
      <w:szCs w:val="24"/>
    </w:rPr>
  </w:style>
  <w:style w:type="paragraph" w:styleId="BodyText">
    <w:name w:val="Body Text"/>
    <w:aliases w:val="bodytext,body text,bt,Indent,single space,Single line,Body Text FLI .5,Body Text Char2 Char Char Char Char Char Char Char Char Char Char Char Char Char Char Char Char Char Char Char,Body Text Char2 Char Char Char Char Char Char C,2,3,BT,1,Bo,a"/>
    <w:basedOn w:val="Normal"/>
    <w:link w:val="BodyTextChar"/>
    <w:uiPriority w:val="99"/>
    <w:rsid w:val="004138D7"/>
    <w:pPr>
      <w:spacing w:before="240" w:after="0" w:line="240" w:lineRule="auto"/>
    </w:pPr>
    <w:rPr>
      <w:rFonts w:eastAsia="Times New Roman"/>
      <w:sz w:val="24"/>
      <w:szCs w:val="24"/>
      <w:lang w:bidi="en-US"/>
    </w:rPr>
  </w:style>
  <w:style w:type="character" w:customStyle="1" w:styleId="BodyTextChar">
    <w:name w:val="Body Text Char"/>
    <w:aliases w:val="bodytext Char,body text Char,bt Char,Indent Char,single space Char,Single line Char,Body Text FLI .5 Char,Body Text Char2 Char Char Char Char Char Char Char Char Char Char Char Char Char Char Char Char Char Char Char Char,2 Char,3 Char"/>
    <w:basedOn w:val="DefaultParagraphFont"/>
    <w:link w:val="BodyText"/>
    <w:uiPriority w:val="99"/>
    <w:rsid w:val="004138D7"/>
    <w:rPr>
      <w:rFonts w:eastAsia="Times New Roman"/>
      <w:sz w:val="24"/>
      <w:szCs w:val="24"/>
      <w:lang w:bidi="en-US"/>
    </w:rPr>
  </w:style>
  <w:style w:type="paragraph" w:styleId="BalloonText">
    <w:name w:val="Balloon Text"/>
    <w:basedOn w:val="Normal"/>
    <w:link w:val="BalloonTextChar"/>
    <w:uiPriority w:val="99"/>
    <w:semiHidden/>
    <w:unhideWhenUsed/>
    <w:rsid w:val="0021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26"/>
    <w:rPr>
      <w:rFonts w:ascii="Tahoma" w:hAnsi="Tahoma" w:cs="Tahoma"/>
      <w:sz w:val="16"/>
      <w:szCs w:val="16"/>
    </w:rPr>
  </w:style>
  <w:style w:type="paragraph" w:styleId="ListParagraph">
    <w:name w:val="List Paragraph"/>
    <w:basedOn w:val="Normal"/>
    <w:link w:val="ListParagraphChar"/>
    <w:uiPriority w:val="34"/>
    <w:qFormat/>
    <w:rsid w:val="00305088"/>
    <w:pPr>
      <w:ind w:left="720"/>
      <w:contextualSpacing/>
    </w:pPr>
  </w:style>
  <w:style w:type="character" w:styleId="Strong">
    <w:name w:val="Strong"/>
    <w:basedOn w:val="DefaultParagraphFont"/>
    <w:uiPriority w:val="22"/>
    <w:qFormat/>
    <w:rsid w:val="005D3F93"/>
    <w:rPr>
      <w:b/>
      <w:bCs/>
    </w:rPr>
  </w:style>
  <w:style w:type="table" w:styleId="TableGrid">
    <w:name w:val="Table Grid"/>
    <w:basedOn w:val="TableNormal"/>
    <w:rsid w:val="0080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444B"/>
    <w:rPr>
      <w:sz w:val="16"/>
      <w:szCs w:val="16"/>
    </w:rPr>
  </w:style>
  <w:style w:type="paragraph" w:styleId="CommentText">
    <w:name w:val="annotation text"/>
    <w:basedOn w:val="Normal"/>
    <w:link w:val="CommentTextChar"/>
    <w:uiPriority w:val="99"/>
    <w:semiHidden/>
    <w:unhideWhenUsed/>
    <w:rsid w:val="0080444B"/>
    <w:pPr>
      <w:spacing w:line="240" w:lineRule="auto"/>
    </w:pPr>
    <w:rPr>
      <w:szCs w:val="20"/>
    </w:rPr>
  </w:style>
  <w:style w:type="character" w:customStyle="1" w:styleId="CommentTextChar">
    <w:name w:val="Comment Text Char"/>
    <w:basedOn w:val="DefaultParagraphFont"/>
    <w:link w:val="CommentText"/>
    <w:uiPriority w:val="99"/>
    <w:semiHidden/>
    <w:rsid w:val="0080444B"/>
    <w:rPr>
      <w:szCs w:val="20"/>
    </w:rPr>
  </w:style>
  <w:style w:type="paragraph" w:styleId="CommentSubject">
    <w:name w:val="annotation subject"/>
    <w:basedOn w:val="CommentText"/>
    <w:next w:val="CommentText"/>
    <w:link w:val="CommentSubjectChar"/>
    <w:uiPriority w:val="99"/>
    <w:semiHidden/>
    <w:unhideWhenUsed/>
    <w:rsid w:val="0080444B"/>
    <w:rPr>
      <w:b/>
      <w:bCs/>
    </w:rPr>
  </w:style>
  <w:style w:type="character" w:customStyle="1" w:styleId="CommentSubjectChar">
    <w:name w:val="Comment Subject Char"/>
    <w:basedOn w:val="CommentTextChar"/>
    <w:link w:val="CommentSubject"/>
    <w:uiPriority w:val="99"/>
    <w:semiHidden/>
    <w:rsid w:val="0080444B"/>
    <w:rPr>
      <w:b/>
      <w:bCs/>
      <w:szCs w:val="20"/>
    </w:rPr>
  </w:style>
  <w:style w:type="character" w:styleId="HTMLCite">
    <w:name w:val="HTML Cite"/>
    <w:basedOn w:val="DefaultParagraphFont"/>
    <w:uiPriority w:val="99"/>
    <w:semiHidden/>
    <w:unhideWhenUsed/>
    <w:rsid w:val="002B6B28"/>
    <w:rPr>
      <w:i/>
      <w:iCs/>
    </w:rPr>
  </w:style>
  <w:style w:type="character" w:customStyle="1" w:styleId="Heading1Char">
    <w:name w:val="Heading 1 Char"/>
    <w:basedOn w:val="DefaultParagraphFont"/>
    <w:link w:val="Heading1"/>
    <w:uiPriority w:val="9"/>
    <w:rsid w:val="00A65BFE"/>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3178D"/>
    <w:pPr>
      <w:tabs>
        <w:tab w:val="left" w:pos="851"/>
        <w:tab w:val="left" w:pos="9810"/>
      </w:tabs>
      <w:spacing w:after="100"/>
      <w:ind w:right="-450"/>
    </w:pPr>
  </w:style>
  <w:style w:type="character" w:styleId="Hyperlink">
    <w:name w:val="Hyperlink"/>
    <w:basedOn w:val="DefaultParagraphFont"/>
    <w:uiPriority w:val="99"/>
    <w:unhideWhenUsed/>
    <w:rsid w:val="005C278F"/>
    <w:rPr>
      <w:color w:val="0000FF" w:themeColor="hyperlink"/>
      <w:u w:val="single"/>
    </w:rPr>
  </w:style>
  <w:style w:type="paragraph" w:styleId="Revision">
    <w:name w:val="Revision"/>
    <w:hidden/>
    <w:uiPriority w:val="99"/>
    <w:semiHidden/>
    <w:rsid w:val="007464E3"/>
    <w:pPr>
      <w:spacing w:after="0" w:line="240" w:lineRule="auto"/>
    </w:pPr>
  </w:style>
  <w:style w:type="character" w:customStyle="1" w:styleId="apple-converted-space">
    <w:name w:val="apple-converted-space"/>
    <w:basedOn w:val="DefaultParagraphFont"/>
    <w:rsid w:val="004361C5"/>
  </w:style>
  <w:style w:type="paragraph" w:styleId="BodyTextIndent">
    <w:name w:val="Body Text Indent"/>
    <w:basedOn w:val="Normal"/>
    <w:link w:val="BodyTextIndentChar"/>
    <w:uiPriority w:val="99"/>
    <w:unhideWhenUsed/>
    <w:rsid w:val="00790828"/>
    <w:pPr>
      <w:spacing w:after="120"/>
      <w:ind w:left="283"/>
    </w:pPr>
  </w:style>
  <w:style w:type="character" w:customStyle="1" w:styleId="BodyTextIndentChar">
    <w:name w:val="Body Text Indent Char"/>
    <w:basedOn w:val="DefaultParagraphFont"/>
    <w:link w:val="BodyTextIndent"/>
    <w:uiPriority w:val="99"/>
    <w:rsid w:val="00790828"/>
  </w:style>
  <w:style w:type="paragraph" w:styleId="BodyTextIndent2">
    <w:name w:val="Body Text Indent 2"/>
    <w:basedOn w:val="Normal"/>
    <w:link w:val="BodyTextIndent2Char"/>
    <w:unhideWhenUsed/>
    <w:rsid w:val="00790828"/>
    <w:pPr>
      <w:spacing w:after="120" w:line="480" w:lineRule="auto"/>
      <w:ind w:left="283"/>
    </w:pPr>
  </w:style>
  <w:style w:type="character" w:customStyle="1" w:styleId="BodyTextIndent2Char">
    <w:name w:val="Body Text Indent 2 Char"/>
    <w:basedOn w:val="DefaultParagraphFont"/>
    <w:link w:val="BodyTextIndent2"/>
    <w:rsid w:val="00790828"/>
  </w:style>
  <w:style w:type="character" w:customStyle="1" w:styleId="Heading4Char">
    <w:name w:val="Heading 4 Char"/>
    <w:basedOn w:val="DefaultParagraphFont"/>
    <w:link w:val="Heading4"/>
    <w:uiPriority w:val="9"/>
    <w:rsid w:val="00790828"/>
    <w:rPr>
      <w:rFonts w:ascii="Calibri" w:eastAsia="Times New Roman" w:hAnsi="Calibri"/>
      <w:b/>
      <w:bCs/>
      <w:sz w:val="28"/>
      <w:szCs w:val="28"/>
      <w:lang w:val="en-CA" w:eastAsia="x-none"/>
    </w:rPr>
  </w:style>
  <w:style w:type="character" w:customStyle="1" w:styleId="NormalWebChar">
    <w:name w:val="Normal (Web) Char"/>
    <w:aliases w:val="Style 39 Char,Char Char1,Char Char Char Char1,Char Char Char Char Char Char Char,Char Char Char1,Char Char Char Char Char,webb Char,Char1 Char, webb Char,ClientStyle1 Char"/>
    <w:link w:val="NormalWeb"/>
    <w:uiPriority w:val="99"/>
    <w:rsid w:val="00790828"/>
    <w:rPr>
      <w:rFonts w:eastAsia="Times New Roman"/>
      <w:sz w:val="24"/>
      <w:szCs w:val="24"/>
    </w:rPr>
  </w:style>
  <w:style w:type="paragraph" w:styleId="BodyTextIndent3">
    <w:name w:val="Body Text Indent 3"/>
    <w:basedOn w:val="Normal"/>
    <w:link w:val="BodyTextIndent3Char"/>
    <w:uiPriority w:val="99"/>
    <w:rsid w:val="00790828"/>
    <w:pPr>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autoSpaceDE w:val="0"/>
      <w:autoSpaceDN w:val="0"/>
      <w:adjustRightInd w:val="0"/>
      <w:spacing w:before="160" w:after="0" w:line="240" w:lineRule="auto"/>
      <w:ind w:left="792" w:hanging="360"/>
      <w:jc w:val="both"/>
    </w:pPr>
    <w:rPr>
      <w:rFonts w:ascii="Arial" w:eastAsia="Times New Roman" w:hAnsi="Arial"/>
      <w:sz w:val="16"/>
      <w:szCs w:val="16"/>
      <w:lang w:val="x-none"/>
    </w:rPr>
  </w:style>
  <w:style w:type="character" w:customStyle="1" w:styleId="BodyTextIndent3Char">
    <w:name w:val="Body Text Indent 3 Char"/>
    <w:basedOn w:val="DefaultParagraphFont"/>
    <w:link w:val="BodyTextIndent3"/>
    <w:uiPriority w:val="99"/>
    <w:rsid w:val="00790828"/>
    <w:rPr>
      <w:rFonts w:ascii="Arial" w:eastAsia="Times New Roman" w:hAnsi="Arial"/>
      <w:sz w:val="16"/>
      <w:szCs w:val="16"/>
      <w:lang w:val="x-none"/>
    </w:rPr>
  </w:style>
  <w:style w:type="paragraph" w:styleId="BodyText2">
    <w:name w:val="Body Text 2"/>
    <w:basedOn w:val="Normal"/>
    <w:link w:val="BodyText2Char"/>
    <w:uiPriority w:val="99"/>
    <w:rsid w:val="00790828"/>
    <w:pPr>
      <w:widowControl w:val="0"/>
      <w:tabs>
        <w:tab w:val="left" w:pos="432"/>
        <w:tab w:val="left" w:pos="792"/>
        <w:tab w:val="left" w:pos="1152"/>
        <w:tab w:val="left" w:pos="1512"/>
        <w:tab w:val="left" w:pos="1872"/>
        <w:tab w:val="left" w:pos="2232"/>
        <w:tab w:val="left" w:pos="2592"/>
        <w:tab w:val="left" w:pos="2952"/>
        <w:tab w:val="left" w:pos="3312"/>
        <w:tab w:val="left" w:pos="3672"/>
        <w:tab w:val="left" w:pos="4032"/>
        <w:tab w:val="left" w:pos="4392"/>
        <w:tab w:val="left" w:pos="4752"/>
        <w:tab w:val="left" w:pos="5112"/>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s>
      <w:overflowPunct w:val="0"/>
      <w:autoSpaceDE w:val="0"/>
      <w:autoSpaceDN w:val="0"/>
      <w:adjustRightInd w:val="0"/>
      <w:spacing w:before="160" w:after="0" w:line="240" w:lineRule="auto"/>
      <w:ind w:left="432"/>
      <w:jc w:val="both"/>
      <w:textAlignment w:val="baseline"/>
    </w:pPr>
    <w:rPr>
      <w:rFonts w:ascii="Arial" w:eastAsia="Times New Roman" w:hAnsi="Arial"/>
      <w:szCs w:val="24"/>
      <w:lang w:val="x-none"/>
    </w:rPr>
  </w:style>
  <w:style w:type="character" w:customStyle="1" w:styleId="BodyText2Char">
    <w:name w:val="Body Text 2 Char"/>
    <w:basedOn w:val="DefaultParagraphFont"/>
    <w:link w:val="BodyText2"/>
    <w:uiPriority w:val="99"/>
    <w:rsid w:val="00790828"/>
    <w:rPr>
      <w:rFonts w:ascii="Arial" w:eastAsia="Times New Roman" w:hAnsi="Arial"/>
      <w:szCs w:val="24"/>
      <w:lang w:val="x-none"/>
    </w:rPr>
  </w:style>
  <w:style w:type="character" w:customStyle="1" w:styleId="HeadNoteTitle">
    <w:name w:val="Head Note Title"/>
    <w:rsid w:val="00790828"/>
    <w:rPr>
      <w:rFonts w:ascii="Arial" w:hAnsi="Arial"/>
      <w:b/>
      <w:sz w:val="22"/>
    </w:rPr>
  </w:style>
  <w:style w:type="paragraph" w:customStyle="1" w:styleId="Ne3">
    <w:name w:val="Ne3"/>
    <w:basedOn w:val="Normal"/>
    <w:next w:val="Normal"/>
    <w:rsid w:val="00790828"/>
    <w:pPr>
      <w:autoSpaceDE w:val="0"/>
      <w:autoSpaceDN w:val="0"/>
      <w:adjustRightInd w:val="0"/>
      <w:spacing w:before="120" w:after="0" w:line="240" w:lineRule="auto"/>
    </w:pPr>
    <w:rPr>
      <w:rFonts w:ascii="Arial" w:eastAsia="Times New Roman" w:hAnsi="Arial"/>
      <w:szCs w:val="24"/>
      <w:lang w:val="en-CA"/>
    </w:rPr>
  </w:style>
  <w:style w:type="paragraph" w:styleId="ListBullet">
    <w:name w:val="List Bullet"/>
    <w:basedOn w:val="Normal"/>
    <w:autoRedefine/>
    <w:uiPriority w:val="99"/>
    <w:rsid w:val="00790828"/>
    <w:pPr>
      <w:widowControl w:val="0"/>
      <w:numPr>
        <w:numId w:val="10"/>
      </w:numPr>
      <w:autoSpaceDE w:val="0"/>
      <w:autoSpaceDN w:val="0"/>
      <w:adjustRightInd w:val="0"/>
      <w:spacing w:after="0" w:line="240" w:lineRule="auto"/>
    </w:pPr>
    <w:rPr>
      <w:rFonts w:ascii="Arial" w:eastAsia="Times New Roman" w:hAnsi="Arial"/>
      <w:szCs w:val="24"/>
      <w:lang w:val="en-CA"/>
    </w:rPr>
  </w:style>
  <w:style w:type="paragraph" w:styleId="ListBullet2">
    <w:name w:val="List Bullet 2"/>
    <w:basedOn w:val="Normal"/>
    <w:autoRedefine/>
    <w:uiPriority w:val="99"/>
    <w:rsid w:val="00790828"/>
    <w:pPr>
      <w:widowControl w:val="0"/>
      <w:numPr>
        <w:numId w:val="11"/>
      </w:numPr>
      <w:autoSpaceDE w:val="0"/>
      <w:autoSpaceDN w:val="0"/>
      <w:adjustRightInd w:val="0"/>
      <w:spacing w:after="0" w:line="240" w:lineRule="auto"/>
    </w:pPr>
    <w:rPr>
      <w:rFonts w:ascii="Arial" w:eastAsia="Times New Roman" w:hAnsi="Arial"/>
      <w:szCs w:val="24"/>
      <w:lang w:val="en-CA"/>
    </w:rPr>
  </w:style>
  <w:style w:type="paragraph" w:styleId="ListBullet3">
    <w:name w:val="List Bullet 3"/>
    <w:basedOn w:val="Normal"/>
    <w:autoRedefine/>
    <w:uiPriority w:val="99"/>
    <w:rsid w:val="00790828"/>
    <w:pPr>
      <w:widowControl w:val="0"/>
      <w:numPr>
        <w:numId w:val="12"/>
      </w:numPr>
      <w:autoSpaceDE w:val="0"/>
      <w:autoSpaceDN w:val="0"/>
      <w:adjustRightInd w:val="0"/>
      <w:spacing w:after="0" w:line="240" w:lineRule="auto"/>
    </w:pPr>
    <w:rPr>
      <w:rFonts w:ascii="Arial" w:eastAsia="Times New Roman" w:hAnsi="Arial"/>
      <w:szCs w:val="24"/>
      <w:lang w:val="en-CA"/>
    </w:rPr>
  </w:style>
  <w:style w:type="paragraph" w:styleId="ListBullet4">
    <w:name w:val="List Bullet 4"/>
    <w:basedOn w:val="Normal"/>
    <w:autoRedefine/>
    <w:uiPriority w:val="99"/>
    <w:rsid w:val="00790828"/>
    <w:pPr>
      <w:widowControl w:val="0"/>
      <w:numPr>
        <w:numId w:val="13"/>
      </w:numPr>
      <w:autoSpaceDE w:val="0"/>
      <w:autoSpaceDN w:val="0"/>
      <w:adjustRightInd w:val="0"/>
      <w:spacing w:after="0" w:line="240" w:lineRule="auto"/>
    </w:pPr>
    <w:rPr>
      <w:rFonts w:ascii="Arial" w:eastAsia="Times New Roman" w:hAnsi="Arial"/>
      <w:szCs w:val="24"/>
      <w:lang w:val="en-CA"/>
    </w:rPr>
  </w:style>
  <w:style w:type="paragraph" w:styleId="ListBullet5">
    <w:name w:val="List Bullet 5"/>
    <w:basedOn w:val="Normal"/>
    <w:autoRedefine/>
    <w:uiPriority w:val="99"/>
    <w:rsid w:val="00790828"/>
    <w:pPr>
      <w:widowControl w:val="0"/>
      <w:numPr>
        <w:numId w:val="14"/>
      </w:numPr>
      <w:autoSpaceDE w:val="0"/>
      <w:autoSpaceDN w:val="0"/>
      <w:adjustRightInd w:val="0"/>
      <w:spacing w:after="0" w:line="240" w:lineRule="auto"/>
    </w:pPr>
    <w:rPr>
      <w:rFonts w:ascii="Arial" w:eastAsia="Times New Roman" w:hAnsi="Arial"/>
      <w:szCs w:val="24"/>
      <w:lang w:val="en-CA"/>
    </w:rPr>
  </w:style>
  <w:style w:type="paragraph" w:styleId="ListNumber">
    <w:name w:val="List Number"/>
    <w:basedOn w:val="Normal"/>
    <w:uiPriority w:val="99"/>
    <w:rsid w:val="00790828"/>
    <w:pPr>
      <w:widowControl w:val="0"/>
      <w:numPr>
        <w:numId w:val="15"/>
      </w:numPr>
      <w:autoSpaceDE w:val="0"/>
      <w:autoSpaceDN w:val="0"/>
      <w:adjustRightInd w:val="0"/>
      <w:spacing w:after="0" w:line="240" w:lineRule="auto"/>
    </w:pPr>
    <w:rPr>
      <w:rFonts w:ascii="Arial" w:eastAsia="Times New Roman" w:hAnsi="Arial"/>
      <w:szCs w:val="24"/>
      <w:lang w:val="en-CA"/>
    </w:rPr>
  </w:style>
  <w:style w:type="paragraph" w:styleId="ListNumber2">
    <w:name w:val="List Number 2"/>
    <w:basedOn w:val="Normal"/>
    <w:uiPriority w:val="99"/>
    <w:rsid w:val="00790828"/>
    <w:pPr>
      <w:widowControl w:val="0"/>
      <w:numPr>
        <w:numId w:val="16"/>
      </w:numPr>
      <w:autoSpaceDE w:val="0"/>
      <w:autoSpaceDN w:val="0"/>
      <w:adjustRightInd w:val="0"/>
      <w:spacing w:after="0" w:line="240" w:lineRule="auto"/>
    </w:pPr>
    <w:rPr>
      <w:rFonts w:ascii="Arial" w:eastAsia="Times New Roman" w:hAnsi="Arial"/>
      <w:szCs w:val="24"/>
      <w:lang w:val="en-CA"/>
    </w:rPr>
  </w:style>
  <w:style w:type="paragraph" w:styleId="ListNumber3">
    <w:name w:val="List Number 3"/>
    <w:basedOn w:val="Normal"/>
    <w:uiPriority w:val="99"/>
    <w:rsid w:val="00790828"/>
    <w:pPr>
      <w:widowControl w:val="0"/>
      <w:numPr>
        <w:numId w:val="17"/>
      </w:numPr>
      <w:autoSpaceDE w:val="0"/>
      <w:autoSpaceDN w:val="0"/>
      <w:adjustRightInd w:val="0"/>
      <w:spacing w:after="0" w:line="240" w:lineRule="auto"/>
    </w:pPr>
    <w:rPr>
      <w:rFonts w:ascii="Arial" w:eastAsia="Times New Roman" w:hAnsi="Arial"/>
      <w:szCs w:val="24"/>
      <w:lang w:val="en-CA"/>
    </w:rPr>
  </w:style>
  <w:style w:type="paragraph" w:styleId="ListNumber4">
    <w:name w:val="List Number 4"/>
    <w:basedOn w:val="Normal"/>
    <w:uiPriority w:val="99"/>
    <w:rsid w:val="00790828"/>
    <w:pPr>
      <w:widowControl w:val="0"/>
      <w:numPr>
        <w:numId w:val="18"/>
      </w:numPr>
      <w:autoSpaceDE w:val="0"/>
      <w:autoSpaceDN w:val="0"/>
      <w:adjustRightInd w:val="0"/>
      <w:spacing w:after="0" w:line="240" w:lineRule="auto"/>
    </w:pPr>
    <w:rPr>
      <w:rFonts w:ascii="Arial" w:eastAsia="Times New Roman" w:hAnsi="Arial"/>
      <w:szCs w:val="24"/>
      <w:lang w:val="en-CA"/>
    </w:rPr>
  </w:style>
  <w:style w:type="paragraph" w:styleId="ListNumber5">
    <w:name w:val="List Number 5"/>
    <w:basedOn w:val="Normal"/>
    <w:uiPriority w:val="99"/>
    <w:rsid w:val="00790828"/>
    <w:pPr>
      <w:widowControl w:val="0"/>
      <w:numPr>
        <w:numId w:val="19"/>
      </w:numPr>
      <w:autoSpaceDE w:val="0"/>
      <w:autoSpaceDN w:val="0"/>
      <w:adjustRightInd w:val="0"/>
      <w:spacing w:after="0" w:line="240" w:lineRule="auto"/>
    </w:pPr>
    <w:rPr>
      <w:rFonts w:ascii="Arial" w:eastAsia="Times New Roman" w:hAnsi="Arial"/>
      <w:szCs w:val="24"/>
      <w:lang w:val="en-CA"/>
    </w:rPr>
  </w:style>
  <w:style w:type="character" w:customStyle="1" w:styleId="HeadNote01">
    <w:name w:val="Head Note 01"/>
    <w:rsid w:val="00790828"/>
    <w:rPr>
      <w:rFonts w:ascii="Arial" w:hAnsi="Arial"/>
      <w:b/>
      <w:sz w:val="22"/>
    </w:rPr>
  </w:style>
  <w:style w:type="paragraph" w:styleId="HTMLPreformatted">
    <w:name w:val="HTML Preformatted"/>
    <w:basedOn w:val="Normal"/>
    <w:link w:val="HTMLPreformattedChar"/>
    <w:uiPriority w:val="99"/>
    <w:rsid w:val="0079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Cs w:val="20"/>
      <w:lang w:val="x-none"/>
    </w:rPr>
  </w:style>
  <w:style w:type="character" w:customStyle="1" w:styleId="HTMLPreformattedChar">
    <w:name w:val="HTML Preformatted Char"/>
    <w:basedOn w:val="DefaultParagraphFont"/>
    <w:link w:val="HTMLPreformatted"/>
    <w:uiPriority w:val="99"/>
    <w:rsid w:val="00790828"/>
    <w:rPr>
      <w:rFonts w:ascii="Courier New" w:eastAsia="Times New Roman" w:hAnsi="Courier New"/>
      <w:szCs w:val="20"/>
      <w:lang w:val="x-none"/>
    </w:rPr>
  </w:style>
  <w:style w:type="paragraph" w:customStyle="1" w:styleId="Preformatted">
    <w:name w:val="Preformatted"/>
    <w:link w:val="PreformattedChar"/>
    <w:rsid w:val="00790828"/>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eastAsia="Times New Roman" w:hAnsi="Courier New" w:cs="Courier New"/>
      <w:szCs w:val="20"/>
      <w:lang w:val="en-CA"/>
    </w:rPr>
  </w:style>
  <w:style w:type="character" w:customStyle="1" w:styleId="PreformattedChar">
    <w:name w:val="Preformatted Char"/>
    <w:link w:val="Preformatted"/>
    <w:rsid w:val="00790828"/>
    <w:rPr>
      <w:rFonts w:ascii="Courier New" w:eastAsia="Times New Roman" w:hAnsi="Courier New" w:cs="Courier New"/>
      <w:szCs w:val="20"/>
      <w:lang w:val="en-CA"/>
    </w:rPr>
  </w:style>
  <w:style w:type="paragraph" w:styleId="TOAHeading">
    <w:name w:val="toa heading"/>
    <w:basedOn w:val="Normal"/>
    <w:next w:val="Normal"/>
    <w:uiPriority w:val="99"/>
    <w:rsid w:val="00790828"/>
    <w:pPr>
      <w:keepNext/>
      <w:spacing w:before="240" w:after="0" w:line="240" w:lineRule="auto"/>
    </w:pPr>
    <w:rPr>
      <w:rFonts w:eastAsia="Times New Roman"/>
      <w:b/>
      <w:szCs w:val="20"/>
      <w:lang w:val="en-CA"/>
    </w:rPr>
  </w:style>
  <w:style w:type="paragraph" w:customStyle="1" w:styleId="Default">
    <w:name w:val="Default"/>
    <w:rsid w:val="00790828"/>
    <w:pPr>
      <w:autoSpaceDE w:val="0"/>
      <w:autoSpaceDN w:val="0"/>
      <w:adjustRightInd w:val="0"/>
      <w:spacing w:after="0" w:line="240" w:lineRule="auto"/>
    </w:pPr>
    <w:rPr>
      <w:rFonts w:ascii="Arial" w:eastAsia="Times New Roman" w:hAnsi="Arial" w:cs="Arial"/>
      <w:color w:val="000000"/>
      <w:sz w:val="24"/>
      <w:szCs w:val="24"/>
    </w:rPr>
  </w:style>
  <w:style w:type="paragraph" w:styleId="EnvelopeReturn">
    <w:name w:val="envelope return"/>
    <w:basedOn w:val="Normal"/>
    <w:uiPriority w:val="99"/>
    <w:rsid w:val="00790828"/>
    <w:pPr>
      <w:spacing w:after="0" w:line="240" w:lineRule="auto"/>
      <w:jc w:val="both"/>
    </w:pPr>
    <w:rPr>
      <w:rFonts w:ascii="Arial" w:eastAsia="Times New Roman" w:hAnsi="Arial"/>
      <w:szCs w:val="20"/>
      <w:lang w:val="en-CA"/>
    </w:rPr>
  </w:style>
  <w:style w:type="paragraph" w:customStyle="1" w:styleId="ListParagraph1">
    <w:name w:val="List Paragraph1"/>
    <w:basedOn w:val="Normal"/>
    <w:uiPriority w:val="34"/>
    <w:qFormat/>
    <w:rsid w:val="00267D4E"/>
    <w:pPr>
      <w:ind w:left="720"/>
      <w:contextualSpacing/>
    </w:pPr>
    <w:rPr>
      <w:rFonts w:eastAsia="Calibri"/>
    </w:rPr>
  </w:style>
  <w:style w:type="paragraph" w:styleId="FootnoteText">
    <w:name w:val="footnote text"/>
    <w:basedOn w:val="Normal"/>
    <w:link w:val="FootnoteTextChar"/>
    <w:uiPriority w:val="99"/>
    <w:unhideWhenUsed/>
    <w:rsid w:val="00E06EB2"/>
    <w:pPr>
      <w:spacing w:after="180" w:line="240" w:lineRule="auto"/>
      <w:jc w:val="both"/>
    </w:pPr>
    <w:rPr>
      <w:rFonts w:ascii="Arial" w:eastAsia="Times New Roman" w:hAnsi="Arial"/>
      <w:szCs w:val="20"/>
    </w:rPr>
  </w:style>
  <w:style w:type="character" w:customStyle="1" w:styleId="FootnoteTextChar">
    <w:name w:val="Footnote Text Char"/>
    <w:basedOn w:val="DefaultParagraphFont"/>
    <w:link w:val="FootnoteText"/>
    <w:uiPriority w:val="99"/>
    <w:rsid w:val="00E06EB2"/>
    <w:rPr>
      <w:rFonts w:ascii="Arial" w:eastAsia="Times New Roman" w:hAnsi="Arial"/>
      <w:szCs w:val="20"/>
    </w:rPr>
  </w:style>
  <w:style w:type="character" w:styleId="FootnoteReference">
    <w:name w:val="footnote reference"/>
    <w:uiPriority w:val="99"/>
    <w:unhideWhenUsed/>
    <w:rsid w:val="00E06EB2"/>
    <w:rPr>
      <w:vertAlign w:val="superscript"/>
    </w:rPr>
  </w:style>
  <w:style w:type="character" w:styleId="Emphasis">
    <w:name w:val="Emphasis"/>
    <w:basedOn w:val="DefaultParagraphFont"/>
    <w:qFormat/>
    <w:rsid w:val="005464FE"/>
    <w:rPr>
      <w:rFonts w:ascii="Arial" w:hAnsi="Arial"/>
      <w:i/>
      <w:iCs/>
      <w:sz w:val="20"/>
    </w:rPr>
  </w:style>
  <w:style w:type="paragraph" w:customStyle="1" w:styleId="PAParaText">
    <w:name w:val="PA_ParaText"/>
    <w:basedOn w:val="Normal"/>
    <w:rsid w:val="005464FE"/>
    <w:pPr>
      <w:spacing w:after="120" w:line="240" w:lineRule="auto"/>
      <w:jc w:val="both"/>
    </w:pPr>
    <w:rPr>
      <w:rFonts w:ascii="Arial" w:eastAsia="SimSun" w:hAnsi="Arial"/>
      <w:szCs w:val="20"/>
      <w:lang w:eastAsia="zh-CN"/>
    </w:rPr>
  </w:style>
  <w:style w:type="character" w:customStyle="1" w:styleId="ListParagraphChar">
    <w:name w:val="List Paragraph Char"/>
    <w:link w:val="ListParagraph"/>
    <w:uiPriority w:val="34"/>
    <w:locked/>
    <w:rsid w:val="0076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0710">
      <w:bodyDiv w:val="1"/>
      <w:marLeft w:val="7"/>
      <w:marRight w:val="7"/>
      <w:marTop w:val="0"/>
      <w:marBottom w:val="0"/>
      <w:divBdr>
        <w:top w:val="none" w:sz="0" w:space="0" w:color="auto"/>
        <w:left w:val="none" w:sz="0" w:space="0" w:color="auto"/>
        <w:bottom w:val="none" w:sz="0" w:space="0" w:color="auto"/>
        <w:right w:val="none" w:sz="0" w:space="0" w:color="auto"/>
      </w:divBdr>
    </w:div>
    <w:div w:id="128129672">
      <w:bodyDiv w:val="1"/>
      <w:marLeft w:val="7"/>
      <w:marRight w:val="7"/>
      <w:marTop w:val="0"/>
      <w:marBottom w:val="0"/>
      <w:divBdr>
        <w:top w:val="none" w:sz="0" w:space="0" w:color="auto"/>
        <w:left w:val="none" w:sz="0" w:space="0" w:color="auto"/>
        <w:bottom w:val="none" w:sz="0" w:space="0" w:color="auto"/>
        <w:right w:val="none" w:sz="0" w:space="0" w:color="auto"/>
      </w:divBdr>
    </w:div>
    <w:div w:id="244461213">
      <w:bodyDiv w:val="1"/>
      <w:marLeft w:val="7"/>
      <w:marRight w:val="7"/>
      <w:marTop w:val="0"/>
      <w:marBottom w:val="0"/>
      <w:divBdr>
        <w:top w:val="none" w:sz="0" w:space="0" w:color="auto"/>
        <w:left w:val="none" w:sz="0" w:space="0" w:color="auto"/>
        <w:bottom w:val="none" w:sz="0" w:space="0" w:color="auto"/>
        <w:right w:val="none" w:sz="0" w:space="0" w:color="auto"/>
      </w:divBdr>
    </w:div>
    <w:div w:id="353505976">
      <w:bodyDiv w:val="1"/>
      <w:marLeft w:val="0"/>
      <w:marRight w:val="0"/>
      <w:marTop w:val="0"/>
      <w:marBottom w:val="0"/>
      <w:divBdr>
        <w:top w:val="none" w:sz="0" w:space="0" w:color="auto"/>
        <w:left w:val="none" w:sz="0" w:space="0" w:color="auto"/>
        <w:bottom w:val="none" w:sz="0" w:space="0" w:color="auto"/>
        <w:right w:val="none" w:sz="0" w:space="0" w:color="auto"/>
      </w:divBdr>
      <w:divsChild>
        <w:div w:id="1816071530">
          <w:marLeft w:val="0"/>
          <w:marRight w:val="0"/>
          <w:marTop w:val="0"/>
          <w:marBottom w:val="0"/>
          <w:divBdr>
            <w:top w:val="none" w:sz="0" w:space="0" w:color="auto"/>
            <w:left w:val="none" w:sz="0" w:space="0" w:color="auto"/>
            <w:bottom w:val="none" w:sz="0" w:space="0" w:color="auto"/>
            <w:right w:val="none" w:sz="0" w:space="0" w:color="auto"/>
          </w:divBdr>
        </w:div>
      </w:divsChild>
    </w:div>
    <w:div w:id="647171963">
      <w:bodyDiv w:val="1"/>
      <w:marLeft w:val="7"/>
      <w:marRight w:val="7"/>
      <w:marTop w:val="0"/>
      <w:marBottom w:val="0"/>
      <w:divBdr>
        <w:top w:val="none" w:sz="0" w:space="0" w:color="auto"/>
        <w:left w:val="none" w:sz="0" w:space="0" w:color="auto"/>
        <w:bottom w:val="none" w:sz="0" w:space="0" w:color="auto"/>
        <w:right w:val="none" w:sz="0" w:space="0" w:color="auto"/>
      </w:divBdr>
    </w:div>
    <w:div w:id="789588425">
      <w:bodyDiv w:val="1"/>
      <w:marLeft w:val="7"/>
      <w:marRight w:val="7"/>
      <w:marTop w:val="0"/>
      <w:marBottom w:val="0"/>
      <w:divBdr>
        <w:top w:val="none" w:sz="0" w:space="0" w:color="auto"/>
        <w:left w:val="none" w:sz="0" w:space="0" w:color="auto"/>
        <w:bottom w:val="none" w:sz="0" w:space="0" w:color="auto"/>
        <w:right w:val="none" w:sz="0" w:space="0" w:color="auto"/>
      </w:divBdr>
    </w:div>
    <w:div w:id="873426787">
      <w:bodyDiv w:val="1"/>
      <w:marLeft w:val="7"/>
      <w:marRight w:val="7"/>
      <w:marTop w:val="0"/>
      <w:marBottom w:val="0"/>
      <w:divBdr>
        <w:top w:val="none" w:sz="0" w:space="0" w:color="auto"/>
        <w:left w:val="none" w:sz="0" w:space="0" w:color="auto"/>
        <w:bottom w:val="none" w:sz="0" w:space="0" w:color="auto"/>
        <w:right w:val="none" w:sz="0" w:space="0" w:color="auto"/>
      </w:divBdr>
    </w:div>
    <w:div w:id="1030423299">
      <w:bodyDiv w:val="1"/>
      <w:marLeft w:val="7"/>
      <w:marRight w:val="7"/>
      <w:marTop w:val="0"/>
      <w:marBottom w:val="0"/>
      <w:divBdr>
        <w:top w:val="none" w:sz="0" w:space="0" w:color="auto"/>
        <w:left w:val="none" w:sz="0" w:space="0" w:color="auto"/>
        <w:bottom w:val="none" w:sz="0" w:space="0" w:color="auto"/>
        <w:right w:val="none" w:sz="0" w:space="0" w:color="auto"/>
      </w:divBdr>
    </w:div>
    <w:div w:id="1136801179">
      <w:bodyDiv w:val="1"/>
      <w:marLeft w:val="0"/>
      <w:marRight w:val="0"/>
      <w:marTop w:val="0"/>
      <w:marBottom w:val="0"/>
      <w:divBdr>
        <w:top w:val="none" w:sz="0" w:space="0" w:color="auto"/>
        <w:left w:val="none" w:sz="0" w:space="0" w:color="auto"/>
        <w:bottom w:val="none" w:sz="0" w:space="0" w:color="auto"/>
        <w:right w:val="none" w:sz="0" w:space="0" w:color="auto"/>
      </w:divBdr>
    </w:div>
    <w:div w:id="1200900460">
      <w:bodyDiv w:val="1"/>
      <w:marLeft w:val="0"/>
      <w:marRight w:val="0"/>
      <w:marTop w:val="0"/>
      <w:marBottom w:val="0"/>
      <w:divBdr>
        <w:top w:val="none" w:sz="0" w:space="0" w:color="auto"/>
        <w:left w:val="none" w:sz="0" w:space="0" w:color="auto"/>
        <w:bottom w:val="none" w:sz="0" w:space="0" w:color="auto"/>
        <w:right w:val="none" w:sz="0" w:space="0" w:color="auto"/>
      </w:divBdr>
      <w:divsChild>
        <w:div w:id="705254885">
          <w:marLeft w:val="0"/>
          <w:marRight w:val="0"/>
          <w:marTop w:val="0"/>
          <w:marBottom w:val="0"/>
          <w:divBdr>
            <w:top w:val="none" w:sz="0" w:space="0" w:color="auto"/>
            <w:left w:val="none" w:sz="0" w:space="0" w:color="auto"/>
            <w:bottom w:val="none" w:sz="0" w:space="0" w:color="auto"/>
            <w:right w:val="none" w:sz="0" w:space="0" w:color="auto"/>
          </w:divBdr>
        </w:div>
      </w:divsChild>
    </w:div>
    <w:div w:id="1223520585">
      <w:bodyDiv w:val="1"/>
      <w:marLeft w:val="0"/>
      <w:marRight w:val="0"/>
      <w:marTop w:val="0"/>
      <w:marBottom w:val="0"/>
      <w:divBdr>
        <w:top w:val="none" w:sz="0" w:space="0" w:color="auto"/>
        <w:left w:val="none" w:sz="0" w:space="0" w:color="auto"/>
        <w:bottom w:val="none" w:sz="0" w:space="0" w:color="auto"/>
        <w:right w:val="none" w:sz="0" w:space="0" w:color="auto"/>
      </w:divBdr>
    </w:div>
    <w:div w:id="1234857936">
      <w:bodyDiv w:val="1"/>
      <w:marLeft w:val="7"/>
      <w:marRight w:val="7"/>
      <w:marTop w:val="0"/>
      <w:marBottom w:val="0"/>
      <w:divBdr>
        <w:top w:val="none" w:sz="0" w:space="0" w:color="auto"/>
        <w:left w:val="none" w:sz="0" w:space="0" w:color="auto"/>
        <w:bottom w:val="none" w:sz="0" w:space="0" w:color="auto"/>
        <w:right w:val="none" w:sz="0" w:space="0" w:color="auto"/>
      </w:divBdr>
    </w:div>
    <w:div w:id="1329289742">
      <w:bodyDiv w:val="1"/>
      <w:marLeft w:val="0"/>
      <w:marRight w:val="0"/>
      <w:marTop w:val="0"/>
      <w:marBottom w:val="0"/>
      <w:divBdr>
        <w:top w:val="none" w:sz="0" w:space="0" w:color="auto"/>
        <w:left w:val="none" w:sz="0" w:space="0" w:color="auto"/>
        <w:bottom w:val="none" w:sz="0" w:space="0" w:color="auto"/>
        <w:right w:val="none" w:sz="0" w:space="0" w:color="auto"/>
      </w:divBdr>
    </w:div>
    <w:div w:id="1418985589">
      <w:bodyDiv w:val="1"/>
      <w:marLeft w:val="0"/>
      <w:marRight w:val="0"/>
      <w:marTop w:val="0"/>
      <w:marBottom w:val="0"/>
      <w:divBdr>
        <w:top w:val="none" w:sz="0" w:space="0" w:color="auto"/>
        <w:left w:val="none" w:sz="0" w:space="0" w:color="auto"/>
        <w:bottom w:val="none" w:sz="0" w:space="0" w:color="auto"/>
        <w:right w:val="none" w:sz="0" w:space="0" w:color="auto"/>
      </w:divBdr>
    </w:div>
    <w:div w:id="1578051741">
      <w:bodyDiv w:val="1"/>
      <w:marLeft w:val="7"/>
      <w:marRight w:val="7"/>
      <w:marTop w:val="0"/>
      <w:marBottom w:val="0"/>
      <w:divBdr>
        <w:top w:val="none" w:sz="0" w:space="0" w:color="auto"/>
        <w:left w:val="none" w:sz="0" w:space="0" w:color="auto"/>
        <w:bottom w:val="none" w:sz="0" w:space="0" w:color="auto"/>
        <w:right w:val="none" w:sz="0" w:space="0" w:color="auto"/>
      </w:divBdr>
    </w:div>
    <w:div w:id="1594124896">
      <w:bodyDiv w:val="1"/>
      <w:marLeft w:val="7"/>
      <w:marRight w:val="7"/>
      <w:marTop w:val="0"/>
      <w:marBottom w:val="0"/>
      <w:divBdr>
        <w:top w:val="none" w:sz="0" w:space="0" w:color="auto"/>
        <w:left w:val="none" w:sz="0" w:space="0" w:color="auto"/>
        <w:bottom w:val="none" w:sz="0" w:space="0" w:color="auto"/>
        <w:right w:val="none" w:sz="0" w:space="0" w:color="auto"/>
      </w:divBdr>
    </w:div>
    <w:div w:id="1693997626">
      <w:bodyDiv w:val="1"/>
      <w:marLeft w:val="7"/>
      <w:marRight w:val="7"/>
      <w:marTop w:val="0"/>
      <w:marBottom w:val="0"/>
      <w:divBdr>
        <w:top w:val="none" w:sz="0" w:space="0" w:color="auto"/>
        <w:left w:val="none" w:sz="0" w:space="0" w:color="auto"/>
        <w:bottom w:val="none" w:sz="0" w:space="0" w:color="auto"/>
        <w:right w:val="none" w:sz="0" w:space="0" w:color="auto"/>
      </w:divBdr>
    </w:div>
    <w:div w:id="1854297108">
      <w:bodyDiv w:val="1"/>
      <w:marLeft w:val="0"/>
      <w:marRight w:val="0"/>
      <w:marTop w:val="0"/>
      <w:marBottom w:val="0"/>
      <w:divBdr>
        <w:top w:val="none" w:sz="0" w:space="0" w:color="auto"/>
        <w:left w:val="none" w:sz="0" w:space="0" w:color="auto"/>
        <w:bottom w:val="none" w:sz="0" w:space="0" w:color="auto"/>
        <w:right w:val="none" w:sz="0" w:space="0" w:color="auto"/>
      </w:divBdr>
      <w:divsChild>
        <w:div w:id="2136020412">
          <w:marLeft w:val="0"/>
          <w:marRight w:val="0"/>
          <w:marTop w:val="0"/>
          <w:marBottom w:val="0"/>
          <w:divBdr>
            <w:top w:val="none" w:sz="0" w:space="0" w:color="auto"/>
            <w:left w:val="none" w:sz="0" w:space="0" w:color="auto"/>
            <w:bottom w:val="none" w:sz="0" w:space="0" w:color="auto"/>
            <w:right w:val="none" w:sz="0" w:space="0" w:color="auto"/>
          </w:divBdr>
        </w:div>
        <w:div w:id="1097167389">
          <w:marLeft w:val="0"/>
          <w:marRight w:val="0"/>
          <w:marTop w:val="0"/>
          <w:marBottom w:val="0"/>
          <w:divBdr>
            <w:top w:val="none" w:sz="0" w:space="0" w:color="auto"/>
            <w:left w:val="none" w:sz="0" w:space="0" w:color="auto"/>
            <w:bottom w:val="none" w:sz="0" w:space="0" w:color="auto"/>
            <w:right w:val="none" w:sz="0" w:space="0" w:color="auto"/>
          </w:divBdr>
        </w:div>
        <w:div w:id="276916410">
          <w:marLeft w:val="0"/>
          <w:marRight w:val="0"/>
          <w:marTop w:val="0"/>
          <w:marBottom w:val="0"/>
          <w:divBdr>
            <w:top w:val="none" w:sz="0" w:space="0" w:color="auto"/>
            <w:left w:val="none" w:sz="0" w:space="0" w:color="auto"/>
            <w:bottom w:val="none" w:sz="0" w:space="0" w:color="auto"/>
            <w:right w:val="none" w:sz="0" w:space="0" w:color="auto"/>
          </w:divBdr>
        </w:div>
        <w:div w:id="812138806">
          <w:marLeft w:val="0"/>
          <w:marRight w:val="0"/>
          <w:marTop w:val="0"/>
          <w:marBottom w:val="0"/>
          <w:divBdr>
            <w:top w:val="none" w:sz="0" w:space="0" w:color="auto"/>
            <w:left w:val="none" w:sz="0" w:space="0" w:color="auto"/>
            <w:bottom w:val="none" w:sz="0" w:space="0" w:color="auto"/>
            <w:right w:val="none" w:sz="0" w:space="0" w:color="auto"/>
          </w:divBdr>
        </w:div>
        <w:div w:id="161896862">
          <w:marLeft w:val="0"/>
          <w:marRight w:val="0"/>
          <w:marTop w:val="0"/>
          <w:marBottom w:val="0"/>
          <w:divBdr>
            <w:top w:val="none" w:sz="0" w:space="0" w:color="auto"/>
            <w:left w:val="none" w:sz="0" w:space="0" w:color="auto"/>
            <w:bottom w:val="none" w:sz="0" w:space="0" w:color="auto"/>
            <w:right w:val="none" w:sz="0" w:space="0" w:color="auto"/>
          </w:divBdr>
        </w:div>
        <w:div w:id="416748607">
          <w:marLeft w:val="0"/>
          <w:marRight w:val="0"/>
          <w:marTop w:val="0"/>
          <w:marBottom w:val="0"/>
          <w:divBdr>
            <w:top w:val="none" w:sz="0" w:space="0" w:color="auto"/>
            <w:left w:val="none" w:sz="0" w:space="0" w:color="auto"/>
            <w:bottom w:val="none" w:sz="0" w:space="0" w:color="auto"/>
            <w:right w:val="none" w:sz="0" w:space="0" w:color="auto"/>
          </w:divBdr>
        </w:div>
        <w:div w:id="517932373">
          <w:marLeft w:val="0"/>
          <w:marRight w:val="0"/>
          <w:marTop w:val="0"/>
          <w:marBottom w:val="0"/>
          <w:divBdr>
            <w:top w:val="none" w:sz="0" w:space="0" w:color="auto"/>
            <w:left w:val="none" w:sz="0" w:space="0" w:color="auto"/>
            <w:bottom w:val="none" w:sz="0" w:space="0" w:color="auto"/>
            <w:right w:val="none" w:sz="0" w:space="0" w:color="auto"/>
          </w:divBdr>
        </w:div>
        <w:div w:id="550579776">
          <w:marLeft w:val="0"/>
          <w:marRight w:val="0"/>
          <w:marTop w:val="0"/>
          <w:marBottom w:val="0"/>
          <w:divBdr>
            <w:top w:val="none" w:sz="0" w:space="0" w:color="auto"/>
            <w:left w:val="none" w:sz="0" w:space="0" w:color="auto"/>
            <w:bottom w:val="none" w:sz="0" w:space="0" w:color="auto"/>
            <w:right w:val="none" w:sz="0" w:space="0" w:color="auto"/>
          </w:divBdr>
        </w:div>
        <w:div w:id="1939866764">
          <w:marLeft w:val="0"/>
          <w:marRight w:val="0"/>
          <w:marTop w:val="0"/>
          <w:marBottom w:val="0"/>
          <w:divBdr>
            <w:top w:val="none" w:sz="0" w:space="0" w:color="auto"/>
            <w:left w:val="none" w:sz="0" w:space="0" w:color="auto"/>
            <w:bottom w:val="none" w:sz="0" w:space="0" w:color="auto"/>
            <w:right w:val="none" w:sz="0" w:space="0" w:color="auto"/>
          </w:divBdr>
        </w:div>
        <w:div w:id="1143424248">
          <w:marLeft w:val="0"/>
          <w:marRight w:val="0"/>
          <w:marTop w:val="0"/>
          <w:marBottom w:val="0"/>
          <w:divBdr>
            <w:top w:val="none" w:sz="0" w:space="0" w:color="auto"/>
            <w:left w:val="none" w:sz="0" w:space="0" w:color="auto"/>
            <w:bottom w:val="none" w:sz="0" w:space="0" w:color="auto"/>
            <w:right w:val="none" w:sz="0" w:space="0" w:color="auto"/>
          </w:divBdr>
        </w:div>
        <w:div w:id="1652172174">
          <w:marLeft w:val="0"/>
          <w:marRight w:val="0"/>
          <w:marTop w:val="0"/>
          <w:marBottom w:val="0"/>
          <w:divBdr>
            <w:top w:val="none" w:sz="0" w:space="0" w:color="auto"/>
            <w:left w:val="none" w:sz="0" w:space="0" w:color="auto"/>
            <w:bottom w:val="none" w:sz="0" w:space="0" w:color="auto"/>
            <w:right w:val="none" w:sz="0" w:space="0" w:color="auto"/>
          </w:divBdr>
        </w:div>
        <w:div w:id="972903306">
          <w:marLeft w:val="0"/>
          <w:marRight w:val="0"/>
          <w:marTop w:val="0"/>
          <w:marBottom w:val="0"/>
          <w:divBdr>
            <w:top w:val="none" w:sz="0" w:space="0" w:color="auto"/>
            <w:left w:val="none" w:sz="0" w:space="0" w:color="auto"/>
            <w:bottom w:val="none" w:sz="0" w:space="0" w:color="auto"/>
            <w:right w:val="none" w:sz="0" w:space="0" w:color="auto"/>
          </w:divBdr>
        </w:div>
        <w:div w:id="1549150287">
          <w:marLeft w:val="0"/>
          <w:marRight w:val="0"/>
          <w:marTop w:val="0"/>
          <w:marBottom w:val="0"/>
          <w:divBdr>
            <w:top w:val="none" w:sz="0" w:space="0" w:color="auto"/>
            <w:left w:val="none" w:sz="0" w:space="0" w:color="auto"/>
            <w:bottom w:val="none" w:sz="0" w:space="0" w:color="auto"/>
            <w:right w:val="none" w:sz="0" w:space="0" w:color="auto"/>
          </w:divBdr>
        </w:div>
        <w:div w:id="1799452044">
          <w:marLeft w:val="0"/>
          <w:marRight w:val="0"/>
          <w:marTop w:val="0"/>
          <w:marBottom w:val="0"/>
          <w:divBdr>
            <w:top w:val="none" w:sz="0" w:space="0" w:color="auto"/>
            <w:left w:val="none" w:sz="0" w:space="0" w:color="auto"/>
            <w:bottom w:val="none" w:sz="0" w:space="0" w:color="auto"/>
            <w:right w:val="none" w:sz="0" w:space="0" w:color="auto"/>
          </w:divBdr>
        </w:div>
        <w:div w:id="395276301">
          <w:marLeft w:val="0"/>
          <w:marRight w:val="0"/>
          <w:marTop w:val="0"/>
          <w:marBottom w:val="0"/>
          <w:divBdr>
            <w:top w:val="none" w:sz="0" w:space="0" w:color="auto"/>
            <w:left w:val="none" w:sz="0" w:space="0" w:color="auto"/>
            <w:bottom w:val="none" w:sz="0" w:space="0" w:color="auto"/>
            <w:right w:val="none" w:sz="0" w:space="0" w:color="auto"/>
          </w:divBdr>
        </w:div>
        <w:div w:id="1556354837">
          <w:marLeft w:val="0"/>
          <w:marRight w:val="0"/>
          <w:marTop w:val="0"/>
          <w:marBottom w:val="0"/>
          <w:divBdr>
            <w:top w:val="none" w:sz="0" w:space="0" w:color="auto"/>
            <w:left w:val="none" w:sz="0" w:space="0" w:color="auto"/>
            <w:bottom w:val="none" w:sz="0" w:space="0" w:color="auto"/>
            <w:right w:val="none" w:sz="0" w:space="0" w:color="auto"/>
          </w:divBdr>
        </w:div>
        <w:div w:id="299770934">
          <w:marLeft w:val="0"/>
          <w:marRight w:val="0"/>
          <w:marTop w:val="0"/>
          <w:marBottom w:val="0"/>
          <w:divBdr>
            <w:top w:val="none" w:sz="0" w:space="0" w:color="auto"/>
            <w:left w:val="none" w:sz="0" w:space="0" w:color="auto"/>
            <w:bottom w:val="none" w:sz="0" w:space="0" w:color="auto"/>
            <w:right w:val="none" w:sz="0" w:space="0" w:color="auto"/>
          </w:divBdr>
        </w:div>
        <w:div w:id="1091044208">
          <w:marLeft w:val="0"/>
          <w:marRight w:val="0"/>
          <w:marTop w:val="0"/>
          <w:marBottom w:val="0"/>
          <w:divBdr>
            <w:top w:val="none" w:sz="0" w:space="0" w:color="auto"/>
            <w:left w:val="none" w:sz="0" w:space="0" w:color="auto"/>
            <w:bottom w:val="none" w:sz="0" w:space="0" w:color="auto"/>
            <w:right w:val="none" w:sz="0" w:space="0" w:color="auto"/>
          </w:divBdr>
        </w:div>
        <w:div w:id="1436289413">
          <w:marLeft w:val="0"/>
          <w:marRight w:val="0"/>
          <w:marTop w:val="0"/>
          <w:marBottom w:val="0"/>
          <w:divBdr>
            <w:top w:val="none" w:sz="0" w:space="0" w:color="auto"/>
            <w:left w:val="none" w:sz="0" w:space="0" w:color="auto"/>
            <w:bottom w:val="none" w:sz="0" w:space="0" w:color="auto"/>
            <w:right w:val="none" w:sz="0" w:space="0" w:color="auto"/>
          </w:divBdr>
        </w:div>
        <w:div w:id="1376009564">
          <w:marLeft w:val="0"/>
          <w:marRight w:val="0"/>
          <w:marTop w:val="0"/>
          <w:marBottom w:val="0"/>
          <w:divBdr>
            <w:top w:val="none" w:sz="0" w:space="0" w:color="auto"/>
            <w:left w:val="none" w:sz="0" w:space="0" w:color="auto"/>
            <w:bottom w:val="none" w:sz="0" w:space="0" w:color="auto"/>
            <w:right w:val="none" w:sz="0" w:space="0" w:color="auto"/>
          </w:divBdr>
        </w:div>
        <w:div w:id="861673249">
          <w:marLeft w:val="0"/>
          <w:marRight w:val="0"/>
          <w:marTop w:val="0"/>
          <w:marBottom w:val="0"/>
          <w:divBdr>
            <w:top w:val="none" w:sz="0" w:space="0" w:color="auto"/>
            <w:left w:val="none" w:sz="0" w:space="0" w:color="auto"/>
            <w:bottom w:val="none" w:sz="0" w:space="0" w:color="auto"/>
            <w:right w:val="none" w:sz="0" w:space="0" w:color="auto"/>
          </w:divBdr>
        </w:div>
        <w:div w:id="1904682872">
          <w:marLeft w:val="0"/>
          <w:marRight w:val="0"/>
          <w:marTop w:val="0"/>
          <w:marBottom w:val="0"/>
          <w:divBdr>
            <w:top w:val="none" w:sz="0" w:space="0" w:color="auto"/>
            <w:left w:val="none" w:sz="0" w:space="0" w:color="auto"/>
            <w:bottom w:val="none" w:sz="0" w:space="0" w:color="auto"/>
            <w:right w:val="none" w:sz="0" w:space="0" w:color="auto"/>
          </w:divBdr>
        </w:div>
        <w:div w:id="1324238459">
          <w:marLeft w:val="0"/>
          <w:marRight w:val="0"/>
          <w:marTop w:val="0"/>
          <w:marBottom w:val="0"/>
          <w:divBdr>
            <w:top w:val="none" w:sz="0" w:space="0" w:color="auto"/>
            <w:left w:val="none" w:sz="0" w:space="0" w:color="auto"/>
            <w:bottom w:val="none" w:sz="0" w:space="0" w:color="auto"/>
            <w:right w:val="none" w:sz="0" w:space="0" w:color="auto"/>
          </w:divBdr>
        </w:div>
        <w:div w:id="1244414163">
          <w:marLeft w:val="0"/>
          <w:marRight w:val="0"/>
          <w:marTop w:val="0"/>
          <w:marBottom w:val="0"/>
          <w:divBdr>
            <w:top w:val="none" w:sz="0" w:space="0" w:color="auto"/>
            <w:left w:val="none" w:sz="0" w:space="0" w:color="auto"/>
            <w:bottom w:val="none" w:sz="0" w:space="0" w:color="auto"/>
            <w:right w:val="none" w:sz="0" w:space="0" w:color="auto"/>
          </w:divBdr>
        </w:div>
      </w:divsChild>
    </w:div>
    <w:div w:id="1932658321">
      <w:bodyDiv w:val="1"/>
      <w:marLeft w:val="7"/>
      <w:marRight w:val="7"/>
      <w:marTop w:val="0"/>
      <w:marBottom w:val="0"/>
      <w:divBdr>
        <w:top w:val="none" w:sz="0" w:space="0" w:color="auto"/>
        <w:left w:val="none" w:sz="0" w:space="0" w:color="auto"/>
        <w:bottom w:val="none" w:sz="0" w:space="0" w:color="auto"/>
        <w:right w:val="none" w:sz="0" w:space="0" w:color="auto"/>
      </w:divBdr>
    </w:div>
    <w:div w:id="2069454070">
      <w:bodyDiv w:val="1"/>
      <w:marLeft w:val="7"/>
      <w:marRight w:val="7"/>
      <w:marTop w:val="0"/>
      <w:marBottom w:val="0"/>
      <w:divBdr>
        <w:top w:val="none" w:sz="0" w:space="0" w:color="auto"/>
        <w:left w:val="none" w:sz="0" w:space="0" w:color="auto"/>
        <w:bottom w:val="none" w:sz="0" w:space="0" w:color="auto"/>
        <w:right w:val="none" w:sz="0" w:space="0" w:color="auto"/>
      </w:divBdr>
    </w:div>
    <w:div w:id="2078436939">
      <w:bodyDiv w:val="1"/>
      <w:marLeft w:val="0"/>
      <w:marRight w:val="0"/>
      <w:marTop w:val="0"/>
      <w:marBottom w:val="0"/>
      <w:divBdr>
        <w:top w:val="none" w:sz="0" w:space="0" w:color="auto"/>
        <w:left w:val="none" w:sz="0" w:space="0" w:color="auto"/>
        <w:bottom w:val="none" w:sz="0" w:space="0" w:color="auto"/>
        <w:right w:val="none" w:sz="0" w:space="0" w:color="auto"/>
      </w:divBdr>
      <w:divsChild>
        <w:div w:id="14531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5B81-9198-463B-B92A-ABA7433A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1</Pages>
  <Words>10422</Words>
  <Characters>59412</Characters>
  <Application>Microsoft Office Word</Application>
  <DocSecurity>0</DocSecurity>
  <PresentationFormat>14|.DOCX</PresentationFormat>
  <Lines>495</Lines>
  <Paragraphs>139</Paragraphs>
  <ScaleCrop>false</ScaleCrop>
  <HeadingPairs>
    <vt:vector size="2" baseType="variant">
      <vt:variant>
        <vt:lpstr>Title</vt:lpstr>
      </vt:variant>
      <vt:variant>
        <vt:i4>1</vt:i4>
      </vt:variant>
    </vt:vector>
  </HeadingPairs>
  <TitlesOfParts>
    <vt:vector size="1" baseType="lpstr">
      <vt:lpstr>Pivot - Form 10-K YE Jan. 31/15 (W0273834).DOCX</vt:lpstr>
    </vt:vector>
  </TitlesOfParts>
  <Company>Grizli777</Company>
  <LinksUpToDate>false</LinksUpToDate>
  <CharactersWithSpaces>69695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 - Form 10-K YE Jan. 31/15 (W0273834).DOCX</dc:title>
  <dc:subject>W0273834.DOCX</dc:subject>
  <dc:creator>Brandy Craddock</dc:creator>
  <cp:lastModifiedBy>Moira Ong</cp:lastModifiedBy>
  <cp:revision>99</cp:revision>
  <cp:lastPrinted>2017-10-20T17:06:00Z</cp:lastPrinted>
  <dcterms:created xsi:type="dcterms:W3CDTF">2019-09-09T20:52:00Z</dcterms:created>
  <dcterms:modified xsi:type="dcterms:W3CDTF">2019-09-30T21:19:00Z</dcterms:modified>
</cp:coreProperties>
</file>