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12ED" w14:textId="77777777" w:rsidR="00790828" w:rsidRDefault="00790828" w:rsidP="00790828">
      <w:pPr>
        <w:spacing w:after="0"/>
      </w:pPr>
    </w:p>
    <w:p w14:paraId="6DD2D461" w14:textId="77777777" w:rsidR="00790828" w:rsidRDefault="00790828" w:rsidP="00790828">
      <w:pPr>
        <w:spacing w:after="0"/>
      </w:pPr>
    </w:p>
    <w:p w14:paraId="4C2A759D" w14:textId="77777777" w:rsidR="00790828" w:rsidRDefault="00790828" w:rsidP="00790828">
      <w:pPr>
        <w:spacing w:after="0"/>
      </w:pPr>
    </w:p>
    <w:p w14:paraId="13EEE2ED" w14:textId="77777777" w:rsidR="00790828" w:rsidRDefault="00790828" w:rsidP="00790828">
      <w:pPr>
        <w:spacing w:after="0"/>
      </w:pPr>
    </w:p>
    <w:p w14:paraId="4E845E3C" w14:textId="77777777" w:rsidR="00790828" w:rsidRDefault="00790828" w:rsidP="00790828">
      <w:pPr>
        <w:spacing w:after="0"/>
      </w:pPr>
    </w:p>
    <w:p w14:paraId="47201038" w14:textId="77777777" w:rsidR="00790828" w:rsidRDefault="00790828" w:rsidP="00790828">
      <w:pPr>
        <w:spacing w:after="0"/>
      </w:pPr>
    </w:p>
    <w:p w14:paraId="341B07D1" w14:textId="77777777" w:rsidR="00790828" w:rsidRDefault="00790828" w:rsidP="00790828">
      <w:pPr>
        <w:spacing w:after="0"/>
      </w:pPr>
    </w:p>
    <w:p w14:paraId="0C079DBE" w14:textId="77777777" w:rsidR="00790828" w:rsidRDefault="00790828" w:rsidP="00790828">
      <w:pPr>
        <w:spacing w:after="0"/>
      </w:pPr>
    </w:p>
    <w:p w14:paraId="1B3B3A13" w14:textId="77777777" w:rsidR="00790828" w:rsidRDefault="00790828" w:rsidP="00790828">
      <w:pPr>
        <w:spacing w:after="0"/>
      </w:pPr>
    </w:p>
    <w:p w14:paraId="4A2F9948" w14:textId="77777777" w:rsidR="00790828" w:rsidRDefault="00790828" w:rsidP="00790828">
      <w:pPr>
        <w:spacing w:after="0"/>
      </w:pPr>
    </w:p>
    <w:p w14:paraId="1F1849B5" w14:textId="77777777" w:rsidR="00790828" w:rsidRDefault="00790828" w:rsidP="00790828">
      <w:pPr>
        <w:spacing w:after="0"/>
      </w:pPr>
    </w:p>
    <w:p w14:paraId="01D06379" w14:textId="77777777" w:rsidR="00790828" w:rsidRDefault="00790828" w:rsidP="00790828">
      <w:pPr>
        <w:spacing w:after="0"/>
      </w:pPr>
    </w:p>
    <w:p w14:paraId="3284CDB5" w14:textId="77777777" w:rsidR="00790828" w:rsidRDefault="00790828" w:rsidP="00790828">
      <w:pPr>
        <w:spacing w:after="0"/>
      </w:pPr>
    </w:p>
    <w:p w14:paraId="2BD46DCD" w14:textId="77777777"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cs="Arial"/>
        </w:rPr>
      </w:pPr>
    </w:p>
    <w:p w14:paraId="4BCC81B2" w14:textId="77777777" w:rsidR="000F2E3C" w:rsidRDefault="000F2E3C" w:rsidP="00B0034C">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bCs/>
          <w:sz w:val="24"/>
          <w:szCs w:val="24"/>
        </w:rPr>
      </w:pPr>
      <w:r>
        <w:rPr>
          <w:rFonts w:ascii="Arial" w:hAnsi="Arial" w:cs="Arial"/>
          <w:b/>
          <w:bCs/>
          <w:sz w:val="24"/>
          <w:szCs w:val="24"/>
        </w:rPr>
        <w:t>BETTERLIFE PHARMA INC.</w:t>
      </w:r>
    </w:p>
    <w:p w14:paraId="017CBD84" w14:textId="05F531CB" w:rsidR="00790828" w:rsidRPr="00E565BC" w:rsidRDefault="009757F2" w:rsidP="00790828">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Cs/>
          <w:szCs w:val="20"/>
        </w:rPr>
      </w:pPr>
      <w:r>
        <w:rPr>
          <w:rFonts w:ascii="Arial" w:hAnsi="Arial" w:cs="Arial"/>
          <w:bCs/>
          <w:szCs w:val="20"/>
        </w:rPr>
        <w:t xml:space="preserve">Condensed </w:t>
      </w:r>
      <w:r w:rsidR="008E7C6B" w:rsidRPr="000F2E3C">
        <w:rPr>
          <w:rFonts w:ascii="Arial" w:hAnsi="Arial" w:cs="Arial"/>
          <w:bCs/>
          <w:szCs w:val="20"/>
        </w:rPr>
        <w:t>Consolidated</w:t>
      </w:r>
      <w:r>
        <w:rPr>
          <w:rFonts w:ascii="Arial" w:hAnsi="Arial" w:cs="Arial"/>
          <w:bCs/>
          <w:szCs w:val="20"/>
        </w:rPr>
        <w:t xml:space="preserve"> Interim</w:t>
      </w:r>
      <w:r w:rsidR="0046105F" w:rsidRPr="000F2E3C">
        <w:rPr>
          <w:rFonts w:ascii="Arial" w:hAnsi="Arial" w:cs="Arial"/>
          <w:bCs/>
          <w:szCs w:val="20"/>
        </w:rPr>
        <w:t xml:space="preserve"> </w:t>
      </w:r>
      <w:r w:rsidR="00790828" w:rsidRPr="000F2E3C">
        <w:rPr>
          <w:rFonts w:ascii="Arial" w:hAnsi="Arial" w:cs="Arial"/>
          <w:bCs/>
          <w:szCs w:val="20"/>
        </w:rPr>
        <w:t>Financial Statements</w:t>
      </w:r>
    </w:p>
    <w:p w14:paraId="297F2807" w14:textId="294FDCC1" w:rsidR="00790828" w:rsidRPr="00E565BC" w:rsidRDefault="009757F2" w:rsidP="00790828">
      <w:pPr>
        <w:spacing w:after="0"/>
        <w:jc w:val="center"/>
        <w:rPr>
          <w:rFonts w:ascii="Arial" w:hAnsi="Arial" w:cs="Arial"/>
          <w:bCs/>
          <w:szCs w:val="20"/>
        </w:rPr>
      </w:pPr>
      <w:r>
        <w:rPr>
          <w:rFonts w:ascii="Arial" w:hAnsi="Arial" w:cs="Arial"/>
          <w:bCs/>
          <w:szCs w:val="20"/>
        </w:rPr>
        <w:t>Three months ended April 30, 2020 and 2019</w:t>
      </w:r>
    </w:p>
    <w:p w14:paraId="0E2F5B6E" w14:textId="77D4A596" w:rsidR="00790828" w:rsidRDefault="00790828" w:rsidP="00790828">
      <w:pPr>
        <w:spacing w:after="0"/>
        <w:jc w:val="center"/>
        <w:rPr>
          <w:rFonts w:ascii="Arial" w:hAnsi="Arial" w:cs="Arial"/>
          <w:bCs/>
          <w:szCs w:val="20"/>
        </w:rPr>
      </w:pPr>
      <w:r w:rsidRPr="00E565BC">
        <w:rPr>
          <w:rFonts w:ascii="Arial" w:hAnsi="Arial" w:cs="Arial"/>
          <w:bCs/>
          <w:szCs w:val="20"/>
        </w:rPr>
        <w:t xml:space="preserve">(Expressed in </w:t>
      </w:r>
      <w:r w:rsidR="001B7B70" w:rsidRPr="00E565BC">
        <w:rPr>
          <w:rFonts w:ascii="Arial" w:hAnsi="Arial" w:cs="Arial"/>
          <w:bCs/>
          <w:szCs w:val="20"/>
        </w:rPr>
        <w:t>Canadian</w:t>
      </w:r>
      <w:r w:rsidRPr="00E565BC">
        <w:rPr>
          <w:rFonts w:ascii="Arial" w:hAnsi="Arial" w:cs="Arial"/>
          <w:bCs/>
          <w:szCs w:val="20"/>
        </w:rPr>
        <w:t xml:space="preserve"> dollars)</w:t>
      </w:r>
    </w:p>
    <w:p w14:paraId="33E164A7" w14:textId="5B7B4B0A" w:rsidR="009757F2" w:rsidRPr="00E565BC" w:rsidRDefault="009757F2" w:rsidP="00790828">
      <w:pPr>
        <w:spacing w:after="0"/>
        <w:jc w:val="center"/>
        <w:rPr>
          <w:rFonts w:ascii="Arial" w:hAnsi="Arial" w:cs="Arial"/>
          <w:bCs/>
          <w:szCs w:val="20"/>
        </w:rPr>
      </w:pPr>
      <w:r>
        <w:rPr>
          <w:rFonts w:ascii="Arial" w:hAnsi="Arial" w:cs="Arial"/>
          <w:bCs/>
          <w:szCs w:val="20"/>
        </w:rPr>
        <w:t>(Unaudited)</w:t>
      </w:r>
    </w:p>
    <w:p w14:paraId="49D3437E" w14:textId="77777777" w:rsidR="00790828" w:rsidRPr="00E565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ascii="Arial" w:hAnsi="Arial" w:cs="Arial"/>
          <w:szCs w:val="20"/>
        </w:rPr>
      </w:pPr>
    </w:p>
    <w:p w14:paraId="523D714D" w14:textId="77777777" w:rsidR="0046105F" w:rsidRPr="00E565BC" w:rsidRDefault="0046105F" w:rsidP="0046105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center"/>
        <w:rPr>
          <w:rFonts w:ascii="Arial" w:hAnsi="Arial" w:cs="Arial"/>
          <w:szCs w:val="20"/>
        </w:rPr>
        <w:sectPr w:rsidR="0046105F" w:rsidRPr="00E565BC" w:rsidSect="00790828">
          <w:footerReference w:type="default" r:id="rId8"/>
          <w:endnotePr>
            <w:numFmt w:val="decimal"/>
          </w:endnotePr>
          <w:pgSz w:w="12240" w:h="15840" w:code="1"/>
          <w:pgMar w:top="2160" w:right="1440" w:bottom="288" w:left="1440" w:header="720" w:footer="360" w:gutter="0"/>
          <w:cols w:space="720"/>
          <w:noEndnote/>
        </w:sectPr>
      </w:pPr>
    </w:p>
    <w:p w14:paraId="1DEA64BB" w14:textId="77777777" w:rsidR="009757F2"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p>
    <w:p w14:paraId="2D84556A" w14:textId="77777777" w:rsidR="009757F2"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p>
    <w:p w14:paraId="12D5341C" w14:textId="77777777" w:rsidR="009757F2"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p>
    <w:p w14:paraId="72525178" w14:textId="77777777" w:rsidR="009757F2"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p>
    <w:p w14:paraId="4A21D276" w14:textId="183CDF61"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r w:rsidRPr="00E565BC">
        <w:rPr>
          <w:rFonts w:ascii="Arial" w:hAnsi="Arial" w:cs="Arial"/>
          <w:b/>
          <w:bCs/>
          <w:szCs w:val="20"/>
        </w:rPr>
        <w:t>NOTICE OF NO AUDITOR REVIEW OF INTERIM FINANCIAL STATEMENTS</w:t>
      </w:r>
    </w:p>
    <w:p w14:paraId="0E93E66A" w14:textId="77777777"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Cs w:val="20"/>
        </w:rPr>
      </w:pPr>
    </w:p>
    <w:p w14:paraId="5AFB3969" w14:textId="77777777"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Under National Instrument 51-102, Part 4, subsection 4.3(3) (a), if an auditor has not performed a review of the interim financial statements, they must be accompanied by a notice indicating that the financial statements have not been reviewed by an auditor.</w:t>
      </w:r>
    </w:p>
    <w:p w14:paraId="72D6673B" w14:textId="77777777"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26432677" w14:textId="77777777"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accompanying unaudited condensed consolidated interim financial statements of the Company have been prepared by and are the responsibility of the Company’s management.</w:t>
      </w:r>
    </w:p>
    <w:p w14:paraId="79276996" w14:textId="77777777"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4047BB0F" w14:textId="77777777" w:rsidR="00AB1BD4"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Company’s independent auditor has not performed a review of these financial statements in accordance with standards established by the Canadian Institute of Chartered Professional Accountants for a review of interim financial statements by an entity’s auditor</w:t>
      </w:r>
      <w:r>
        <w:rPr>
          <w:rFonts w:ascii="Arial" w:hAnsi="Arial" w:cs="Arial"/>
          <w:bCs/>
          <w:szCs w:val="20"/>
        </w:rPr>
        <w:t>.</w:t>
      </w:r>
    </w:p>
    <w:p w14:paraId="0DC4FAE0" w14:textId="7821B5C8" w:rsidR="009757F2" w:rsidRPr="00E565BC" w:rsidRDefault="009757F2" w:rsidP="009757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sectPr w:rsidR="009757F2" w:rsidRPr="00E565BC" w:rsidSect="005464FE">
          <w:headerReference w:type="default" r:id="rId9"/>
          <w:endnotePr>
            <w:numFmt w:val="decimal"/>
          </w:endnotePr>
          <w:pgSz w:w="12240" w:h="15840"/>
          <w:pgMar w:top="288" w:right="1440" w:bottom="288" w:left="1440" w:header="562" w:footer="576" w:gutter="0"/>
          <w:cols w:space="720"/>
          <w:noEndnote/>
          <w:docGrid w:linePitch="272"/>
        </w:sectPr>
      </w:pPr>
    </w:p>
    <w:p w14:paraId="2737C026" w14:textId="767A9840" w:rsidR="00790828" w:rsidRPr="000F2E3C" w:rsidRDefault="000F2E3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b/>
          <w:bCs/>
          <w:szCs w:val="20"/>
        </w:rPr>
      </w:pPr>
      <w:r>
        <w:rPr>
          <w:rFonts w:ascii="Arial" w:hAnsi="Arial" w:cs="Arial"/>
          <w:b/>
          <w:bCs/>
          <w:sz w:val="24"/>
        </w:rPr>
        <w:lastRenderedPageBreak/>
        <w:t>BETTERLIFE PHARMA INC.</w:t>
      </w:r>
    </w:p>
    <w:p w14:paraId="20D32ECC" w14:textId="509BA5C4" w:rsidR="00790828" w:rsidRPr="009F3026" w:rsidRDefault="008F26A2"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Pr>
          <w:rFonts w:ascii="Arial" w:hAnsi="Arial" w:cs="Arial"/>
          <w:bCs/>
        </w:rPr>
        <w:t xml:space="preserve">Condensed </w:t>
      </w:r>
      <w:r w:rsidR="008E7C6B">
        <w:rPr>
          <w:rFonts w:ascii="Arial" w:hAnsi="Arial" w:cs="Arial"/>
          <w:bCs/>
        </w:rPr>
        <w:t>Consolidated</w:t>
      </w:r>
      <w:r>
        <w:rPr>
          <w:rFonts w:ascii="Arial" w:hAnsi="Arial" w:cs="Arial"/>
          <w:bCs/>
        </w:rPr>
        <w:t xml:space="preserve"> Interim</w:t>
      </w:r>
      <w:r w:rsidR="008E7C6B">
        <w:rPr>
          <w:rFonts w:ascii="Arial" w:hAnsi="Arial" w:cs="Arial"/>
          <w:bCs/>
        </w:rPr>
        <w:t xml:space="preserve"> </w:t>
      </w:r>
      <w:r w:rsidR="00843670">
        <w:rPr>
          <w:rFonts w:ascii="Arial" w:hAnsi="Arial" w:cs="Arial"/>
          <w:bCs/>
        </w:rPr>
        <w:t>Statements of Financial Position</w:t>
      </w:r>
    </w:p>
    <w:p w14:paraId="60B71C67" w14:textId="171CA4EA"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rPr>
        <w:t xml:space="preserve">(Expressed in </w:t>
      </w:r>
      <w:r w:rsidR="00AC37B3">
        <w:rPr>
          <w:rFonts w:ascii="Arial" w:hAnsi="Arial" w:cs="Arial"/>
        </w:rPr>
        <w:t>Canadian</w:t>
      </w:r>
      <w:r w:rsidRPr="009F3026">
        <w:rPr>
          <w:rFonts w:ascii="Arial" w:hAnsi="Arial" w:cs="Arial"/>
        </w:rPr>
        <w:t xml:space="preserve"> dollars)</w:t>
      </w:r>
    </w:p>
    <w:tbl>
      <w:tblPr>
        <w:tblW w:w="9622" w:type="dxa"/>
        <w:tblInd w:w="8" w:type="dxa"/>
        <w:tblLayout w:type="fixed"/>
        <w:tblCellMar>
          <w:left w:w="0" w:type="dxa"/>
          <w:right w:w="0" w:type="dxa"/>
        </w:tblCellMar>
        <w:tblLook w:val="0000" w:firstRow="0" w:lastRow="0" w:firstColumn="0" w:lastColumn="0" w:noHBand="0" w:noVBand="0"/>
      </w:tblPr>
      <w:tblGrid>
        <w:gridCol w:w="6562"/>
        <w:gridCol w:w="1530"/>
        <w:gridCol w:w="1530"/>
      </w:tblGrid>
      <w:tr w:rsidR="006E7384" w:rsidRPr="001E3067" w14:paraId="47EED54D" w14:textId="51D59E18" w:rsidTr="006E7384">
        <w:tc>
          <w:tcPr>
            <w:tcW w:w="6562" w:type="dxa"/>
            <w:tcBorders>
              <w:bottom w:val="single" w:sz="4" w:space="0" w:color="auto"/>
            </w:tcBorders>
            <w:vAlign w:val="bottom"/>
          </w:tcPr>
          <w:p w14:paraId="37808E6B"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bottom w:val="single" w:sz="4" w:space="0" w:color="auto"/>
            </w:tcBorders>
            <w:vAlign w:val="bottom"/>
          </w:tcPr>
          <w:p w14:paraId="19886DFC" w14:textId="77777777" w:rsidR="006E7384" w:rsidRPr="00352D33"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r w:rsidRPr="00352D33">
              <w:rPr>
                <w:rFonts w:ascii="Arial" w:hAnsi="Arial" w:cs="Arial"/>
                <w:szCs w:val="20"/>
                <w:lang w:val="fr-FR"/>
              </w:rPr>
              <w:t>April 30,</w:t>
            </w:r>
          </w:p>
          <w:p w14:paraId="0508CE67" w14:textId="58719C5D" w:rsidR="006E7384" w:rsidRPr="00352D33"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r w:rsidRPr="00352D33">
              <w:rPr>
                <w:rFonts w:ascii="Arial" w:hAnsi="Arial" w:cs="Arial"/>
                <w:szCs w:val="20"/>
                <w:lang w:val="fr-FR"/>
              </w:rPr>
              <w:t>2020</w:t>
            </w:r>
          </w:p>
          <w:p w14:paraId="3DE2FC1E" w14:textId="77777777" w:rsidR="006E7384" w:rsidRPr="00EE4151"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r w:rsidRPr="00352D33">
              <w:rPr>
                <w:rFonts w:ascii="Arial" w:hAnsi="Arial" w:cs="Arial"/>
                <w:szCs w:val="20"/>
                <w:lang w:val="fr-FR"/>
              </w:rPr>
              <w:t>$</w:t>
            </w:r>
          </w:p>
        </w:tc>
        <w:tc>
          <w:tcPr>
            <w:tcW w:w="1530" w:type="dxa"/>
            <w:tcBorders>
              <w:bottom w:val="single" w:sz="4" w:space="0" w:color="auto"/>
            </w:tcBorders>
            <w:vAlign w:val="bottom"/>
          </w:tcPr>
          <w:p w14:paraId="7CA78F97" w14:textId="77777777" w:rsidR="006E7384" w:rsidRPr="00EE4151"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proofErr w:type="spellStart"/>
            <w:r w:rsidRPr="00EE4151">
              <w:rPr>
                <w:rFonts w:ascii="Arial" w:hAnsi="Arial" w:cs="Arial"/>
                <w:szCs w:val="20"/>
                <w:lang w:val="fr-FR"/>
              </w:rPr>
              <w:t>January</w:t>
            </w:r>
            <w:proofErr w:type="spellEnd"/>
            <w:r w:rsidRPr="00EE4151">
              <w:rPr>
                <w:rFonts w:ascii="Arial" w:hAnsi="Arial" w:cs="Arial"/>
                <w:szCs w:val="20"/>
                <w:lang w:val="fr-FR"/>
              </w:rPr>
              <w:t xml:space="preserve"> 31,</w:t>
            </w:r>
          </w:p>
          <w:p w14:paraId="433C7C88" w14:textId="77777777" w:rsidR="006E7384" w:rsidRPr="00EE4151"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r w:rsidRPr="00EE4151">
              <w:rPr>
                <w:rFonts w:ascii="Arial" w:hAnsi="Arial" w:cs="Arial"/>
                <w:szCs w:val="20"/>
                <w:lang w:val="fr-FR"/>
              </w:rPr>
              <w:t>2020</w:t>
            </w:r>
          </w:p>
          <w:p w14:paraId="253D1315" w14:textId="02823DCF" w:rsidR="006E7384" w:rsidRPr="00EE4151" w:rsidRDefault="006E7384" w:rsidP="00AA69A4">
            <w:pPr>
              <w:tabs>
                <w:tab w:val="left" w:pos="7214"/>
                <w:tab w:val="decimal" w:pos="8107"/>
                <w:tab w:val="left" w:pos="8467"/>
                <w:tab w:val="decimal" w:pos="9360"/>
              </w:tabs>
              <w:spacing w:after="0" w:line="240" w:lineRule="auto"/>
              <w:jc w:val="center"/>
              <w:rPr>
                <w:rFonts w:ascii="Arial" w:hAnsi="Arial" w:cs="Arial"/>
                <w:szCs w:val="20"/>
                <w:lang w:val="fr-FR"/>
              </w:rPr>
            </w:pPr>
            <w:r w:rsidRPr="00EE4151">
              <w:rPr>
                <w:rFonts w:ascii="Arial" w:hAnsi="Arial" w:cs="Arial"/>
                <w:szCs w:val="20"/>
                <w:lang w:val="fr-FR"/>
              </w:rPr>
              <w:t>$</w:t>
            </w:r>
          </w:p>
        </w:tc>
      </w:tr>
      <w:tr w:rsidR="006E7384" w:rsidRPr="001E3067" w14:paraId="0A3C2CF0" w14:textId="5587DE30" w:rsidTr="006E7384">
        <w:tc>
          <w:tcPr>
            <w:tcW w:w="6562" w:type="dxa"/>
            <w:tcBorders>
              <w:top w:val="single" w:sz="2" w:space="0" w:color="auto"/>
            </w:tcBorders>
            <w:vAlign w:val="bottom"/>
          </w:tcPr>
          <w:p w14:paraId="18ACAD41" w14:textId="77777777" w:rsidR="006E7384" w:rsidRPr="00EE4151" w:rsidRDefault="006E7384" w:rsidP="00AA69A4">
            <w:pPr>
              <w:tabs>
                <w:tab w:val="left" w:pos="7214"/>
                <w:tab w:val="decimal" w:pos="8107"/>
                <w:tab w:val="left" w:pos="8467"/>
                <w:tab w:val="decimal" w:pos="9360"/>
              </w:tabs>
              <w:spacing w:before="120" w:after="0" w:line="240" w:lineRule="auto"/>
              <w:rPr>
                <w:rFonts w:ascii="Arial" w:hAnsi="Arial" w:cs="Arial"/>
                <w:szCs w:val="20"/>
                <w:lang w:val="fr-FR"/>
              </w:rPr>
            </w:pPr>
            <w:r w:rsidRPr="00EE4151">
              <w:rPr>
                <w:rFonts w:ascii="Arial" w:hAnsi="Arial" w:cs="Arial"/>
                <w:szCs w:val="20"/>
                <w:lang w:val="fr-FR"/>
              </w:rPr>
              <w:t>Assets</w:t>
            </w:r>
          </w:p>
        </w:tc>
        <w:tc>
          <w:tcPr>
            <w:tcW w:w="1530" w:type="dxa"/>
            <w:tcBorders>
              <w:top w:val="single" w:sz="2" w:space="0" w:color="auto"/>
            </w:tcBorders>
          </w:tcPr>
          <w:p w14:paraId="36021DC0" w14:textId="2E324D90" w:rsidR="006E7384" w:rsidRPr="00EE4151" w:rsidRDefault="006E7384" w:rsidP="00AA69A4">
            <w:pPr>
              <w:tabs>
                <w:tab w:val="left" w:pos="7214"/>
                <w:tab w:val="decimal" w:pos="8107"/>
                <w:tab w:val="left" w:pos="8467"/>
                <w:tab w:val="decimal" w:pos="9360"/>
              </w:tabs>
              <w:spacing w:before="120" w:after="0" w:line="240" w:lineRule="auto"/>
              <w:ind w:right="29"/>
              <w:jc w:val="center"/>
              <w:rPr>
                <w:rFonts w:ascii="Arial" w:hAnsi="Arial" w:cs="Arial"/>
                <w:szCs w:val="20"/>
                <w:lang w:val="fr-FR"/>
              </w:rPr>
            </w:pPr>
            <w:r>
              <w:rPr>
                <w:rFonts w:ascii="Arial" w:hAnsi="Arial" w:cs="Arial"/>
                <w:szCs w:val="20"/>
                <w:lang w:val="fr-FR"/>
              </w:rPr>
              <w:t>(</w:t>
            </w:r>
            <w:proofErr w:type="spellStart"/>
            <w:proofErr w:type="gramStart"/>
            <w:r>
              <w:rPr>
                <w:rFonts w:ascii="Arial" w:hAnsi="Arial" w:cs="Arial"/>
                <w:szCs w:val="20"/>
                <w:lang w:val="fr-FR"/>
              </w:rPr>
              <w:t>unaudited</w:t>
            </w:r>
            <w:proofErr w:type="spellEnd"/>
            <w:proofErr w:type="gramEnd"/>
            <w:r>
              <w:rPr>
                <w:rFonts w:ascii="Arial" w:hAnsi="Arial" w:cs="Arial"/>
                <w:szCs w:val="20"/>
                <w:lang w:val="fr-FR"/>
              </w:rPr>
              <w:t>)</w:t>
            </w:r>
          </w:p>
        </w:tc>
        <w:tc>
          <w:tcPr>
            <w:tcW w:w="1530" w:type="dxa"/>
            <w:tcBorders>
              <w:top w:val="single" w:sz="2" w:space="0" w:color="auto"/>
            </w:tcBorders>
          </w:tcPr>
          <w:p w14:paraId="5F9A14F5" w14:textId="5989DDDA" w:rsidR="006E7384" w:rsidRPr="00EE4151" w:rsidRDefault="006E7384" w:rsidP="00AA69A4">
            <w:pPr>
              <w:tabs>
                <w:tab w:val="left" w:pos="7214"/>
                <w:tab w:val="decimal" w:pos="8107"/>
                <w:tab w:val="left" w:pos="8467"/>
                <w:tab w:val="decimal" w:pos="9360"/>
              </w:tabs>
              <w:spacing w:before="120" w:after="0" w:line="240" w:lineRule="auto"/>
              <w:ind w:right="29"/>
              <w:jc w:val="center"/>
              <w:rPr>
                <w:rFonts w:ascii="Arial" w:hAnsi="Arial" w:cs="Arial"/>
                <w:szCs w:val="20"/>
                <w:lang w:val="fr-FR"/>
              </w:rPr>
            </w:pPr>
          </w:p>
        </w:tc>
      </w:tr>
      <w:tr w:rsidR="006E7384" w:rsidRPr="001E3067" w14:paraId="3696FE61" w14:textId="07BF327D" w:rsidTr="006E7384">
        <w:trPr>
          <w:trHeight w:hRule="exact" w:val="115"/>
        </w:trPr>
        <w:tc>
          <w:tcPr>
            <w:tcW w:w="6562" w:type="dxa"/>
            <w:vAlign w:val="bottom"/>
          </w:tcPr>
          <w:p w14:paraId="4194B307"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p>
        </w:tc>
        <w:tc>
          <w:tcPr>
            <w:tcW w:w="1530" w:type="dxa"/>
          </w:tcPr>
          <w:p w14:paraId="50CF2A4F"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c>
          <w:tcPr>
            <w:tcW w:w="1530" w:type="dxa"/>
          </w:tcPr>
          <w:p w14:paraId="1460533D"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r>
      <w:tr w:rsidR="006E7384" w:rsidRPr="001E3067" w14:paraId="0346B2B1" w14:textId="2BBC6537" w:rsidTr="006E7384">
        <w:tc>
          <w:tcPr>
            <w:tcW w:w="6562" w:type="dxa"/>
            <w:vAlign w:val="bottom"/>
          </w:tcPr>
          <w:p w14:paraId="59A9A0D5"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proofErr w:type="spellStart"/>
            <w:r w:rsidRPr="00EE4151">
              <w:rPr>
                <w:rFonts w:ascii="Arial" w:hAnsi="Arial" w:cs="Arial"/>
                <w:szCs w:val="20"/>
                <w:lang w:val="fr-FR"/>
              </w:rPr>
              <w:t>Current</w:t>
            </w:r>
            <w:proofErr w:type="spellEnd"/>
            <w:r w:rsidRPr="00EE4151">
              <w:rPr>
                <w:rFonts w:ascii="Arial" w:hAnsi="Arial" w:cs="Arial"/>
                <w:szCs w:val="20"/>
                <w:lang w:val="fr-FR"/>
              </w:rPr>
              <w:t xml:space="preserve"> assets</w:t>
            </w:r>
          </w:p>
        </w:tc>
        <w:tc>
          <w:tcPr>
            <w:tcW w:w="1530" w:type="dxa"/>
          </w:tcPr>
          <w:p w14:paraId="2588919B"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c>
          <w:tcPr>
            <w:tcW w:w="1530" w:type="dxa"/>
          </w:tcPr>
          <w:p w14:paraId="3B42553D"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r>
      <w:tr w:rsidR="006E7384" w:rsidRPr="001E3067" w14:paraId="65542A7D" w14:textId="280D1B93" w:rsidTr="006E7384">
        <w:tc>
          <w:tcPr>
            <w:tcW w:w="6562" w:type="dxa"/>
            <w:vAlign w:val="bottom"/>
          </w:tcPr>
          <w:p w14:paraId="72E138AC" w14:textId="77777777"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Cash</w:t>
            </w:r>
          </w:p>
        </w:tc>
        <w:tc>
          <w:tcPr>
            <w:tcW w:w="1530" w:type="dxa"/>
            <w:vAlign w:val="bottom"/>
          </w:tcPr>
          <w:p w14:paraId="7969A7B8" w14:textId="4D77B7E8"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1,137,958</w:t>
            </w:r>
          </w:p>
        </w:tc>
        <w:tc>
          <w:tcPr>
            <w:tcW w:w="1530" w:type="dxa"/>
            <w:vAlign w:val="bottom"/>
          </w:tcPr>
          <w:p w14:paraId="06EAE576" w14:textId="37BF7549"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2,</w:t>
            </w:r>
            <w:r>
              <w:rPr>
                <w:rFonts w:ascii="Arial" w:hAnsi="Arial" w:cs="Arial"/>
                <w:szCs w:val="20"/>
              </w:rPr>
              <w:t>681,704</w:t>
            </w:r>
          </w:p>
        </w:tc>
      </w:tr>
      <w:tr w:rsidR="006E7384" w:rsidRPr="001E3067" w14:paraId="5F44E172" w14:textId="77777777" w:rsidTr="006E7384">
        <w:tc>
          <w:tcPr>
            <w:tcW w:w="6562" w:type="dxa"/>
            <w:vAlign w:val="bottom"/>
          </w:tcPr>
          <w:p w14:paraId="53190E8D" w14:textId="6802ED02"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 xml:space="preserve">Cash – restricted (Note </w:t>
            </w:r>
            <w:r w:rsidR="00DE65CB">
              <w:rPr>
                <w:rFonts w:ascii="Arial" w:hAnsi="Arial" w:cs="Arial"/>
                <w:szCs w:val="20"/>
              </w:rPr>
              <w:t>5</w:t>
            </w:r>
            <w:r w:rsidRPr="00EE4151">
              <w:rPr>
                <w:rFonts w:ascii="Arial" w:hAnsi="Arial" w:cs="Arial"/>
                <w:szCs w:val="20"/>
              </w:rPr>
              <w:t>)</w:t>
            </w:r>
          </w:p>
        </w:tc>
        <w:tc>
          <w:tcPr>
            <w:tcW w:w="1530" w:type="dxa"/>
            <w:vAlign w:val="bottom"/>
          </w:tcPr>
          <w:p w14:paraId="32327E68" w14:textId="4FD101A5"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600,000</w:t>
            </w:r>
          </w:p>
        </w:tc>
        <w:tc>
          <w:tcPr>
            <w:tcW w:w="1530" w:type="dxa"/>
            <w:vAlign w:val="bottom"/>
          </w:tcPr>
          <w:p w14:paraId="5628334C" w14:textId="64383C8D"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600,000</w:t>
            </w:r>
          </w:p>
        </w:tc>
      </w:tr>
      <w:tr w:rsidR="006E7384" w:rsidRPr="001E3067" w14:paraId="34518B65" w14:textId="77777777" w:rsidTr="006E7384">
        <w:tc>
          <w:tcPr>
            <w:tcW w:w="6562" w:type="dxa"/>
            <w:vAlign w:val="bottom"/>
          </w:tcPr>
          <w:p w14:paraId="1379A4A5" w14:textId="143FB149"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Amounts receivable</w:t>
            </w:r>
          </w:p>
        </w:tc>
        <w:tc>
          <w:tcPr>
            <w:tcW w:w="1530" w:type="dxa"/>
            <w:vAlign w:val="bottom"/>
          </w:tcPr>
          <w:p w14:paraId="7B64ECEF" w14:textId="3096C5BC"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138,068</w:t>
            </w:r>
          </w:p>
        </w:tc>
        <w:tc>
          <w:tcPr>
            <w:tcW w:w="1530" w:type="dxa"/>
            <w:vAlign w:val="bottom"/>
          </w:tcPr>
          <w:p w14:paraId="69E293EB" w14:textId="7A47A08B"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137,367</w:t>
            </w:r>
          </w:p>
        </w:tc>
      </w:tr>
      <w:tr w:rsidR="00424813" w:rsidRPr="001E3067" w14:paraId="314C0BA9" w14:textId="77777777" w:rsidTr="006E7384">
        <w:tc>
          <w:tcPr>
            <w:tcW w:w="6562" w:type="dxa"/>
            <w:vAlign w:val="bottom"/>
          </w:tcPr>
          <w:p w14:paraId="36E0316D" w14:textId="09EC22AD" w:rsidR="00424813" w:rsidRPr="00EE4151" w:rsidRDefault="00424813" w:rsidP="00AA69A4">
            <w:pPr>
              <w:tabs>
                <w:tab w:val="left" w:pos="7214"/>
                <w:tab w:val="decimal" w:pos="8107"/>
                <w:tab w:val="left" w:pos="8467"/>
                <w:tab w:val="decimal" w:pos="9360"/>
              </w:tabs>
              <w:spacing w:after="0" w:line="240" w:lineRule="auto"/>
              <w:ind w:left="144"/>
              <w:rPr>
                <w:rFonts w:ascii="Arial" w:hAnsi="Arial" w:cs="Arial"/>
                <w:szCs w:val="20"/>
              </w:rPr>
            </w:pPr>
            <w:r>
              <w:rPr>
                <w:rFonts w:ascii="Arial" w:hAnsi="Arial" w:cs="Arial"/>
                <w:szCs w:val="20"/>
              </w:rPr>
              <w:t xml:space="preserve">Inventory (Note </w:t>
            </w:r>
            <w:r w:rsidR="00DE65CB">
              <w:rPr>
                <w:rFonts w:ascii="Arial" w:hAnsi="Arial" w:cs="Arial"/>
                <w:szCs w:val="20"/>
              </w:rPr>
              <w:t>6</w:t>
            </w:r>
            <w:r>
              <w:rPr>
                <w:rFonts w:ascii="Arial" w:hAnsi="Arial" w:cs="Arial"/>
                <w:szCs w:val="20"/>
              </w:rPr>
              <w:t>)</w:t>
            </w:r>
          </w:p>
        </w:tc>
        <w:tc>
          <w:tcPr>
            <w:tcW w:w="1530" w:type="dxa"/>
            <w:vAlign w:val="bottom"/>
          </w:tcPr>
          <w:p w14:paraId="51D4E32F" w14:textId="3B76B22E" w:rsidR="00424813"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84,659</w:t>
            </w:r>
          </w:p>
        </w:tc>
        <w:tc>
          <w:tcPr>
            <w:tcW w:w="1530" w:type="dxa"/>
            <w:vAlign w:val="bottom"/>
          </w:tcPr>
          <w:p w14:paraId="6F1C71F1" w14:textId="763B3A82" w:rsidR="00424813"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w:t>
            </w:r>
          </w:p>
        </w:tc>
      </w:tr>
      <w:tr w:rsidR="006E7384" w:rsidRPr="001E3067" w14:paraId="43FD926C" w14:textId="77777777" w:rsidTr="006E7384">
        <w:tc>
          <w:tcPr>
            <w:tcW w:w="6562" w:type="dxa"/>
            <w:vAlign w:val="bottom"/>
          </w:tcPr>
          <w:p w14:paraId="3909A3E6" w14:textId="77777777"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Prepaids and other current assets</w:t>
            </w:r>
          </w:p>
        </w:tc>
        <w:tc>
          <w:tcPr>
            <w:tcW w:w="1530" w:type="dxa"/>
            <w:vAlign w:val="bottom"/>
          </w:tcPr>
          <w:p w14:paraId="039C437B" w14:textId="5A9B00F6"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92,961</w:t>
            </w:r>
          </w:p>
        </w:tc>
        <w:tc>
          <w:tcPr>
            <w:tcW w:w="1530" w:type="dxa"/>
            <w:vAlign w:val="bottom"/>
          </w:tcPr>
          <w:p w14:paraId="1CD57531" w14:textId="3BB151F4"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61,467</w:t>
            </w:r>
          </w:p>
        </w:tc>
      </w:tr>
      <w:tr w:rsidR="006E7384" w:rsidRPr="001E3067" w14:paraId="703E4458" w14:textId="5BD52339" w:rsidTr="006E7384">
        <w:trPr>
          <w:trHeight w:hRule="exact" w:val="86"/>
        </w:trPr>
        <w:tc>
          <w:tcPr>
            <w:tcW w:w="6562" w:type="dxa"/>
            <w:tcBorders>
              <w:top w:val="single" w:sz="4" w:space="0" w:color="auto"/>
            </w:tcBorders>
            <w:vAlign w:val="bottom"/>
          </w:tcPr>
          <w:p w14:paraId="7F11AE44" w14:textId="77777777"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p>
        </w:tc>
        <w:tc>
          <w:tcPr>
            <w:tcW w:w="1530" w:type="dxa"/>
            <w:tcBorders>
              <w:top w:val="single" w:sz="4" w:space="0" w:color="auto"/>
            </w:tcBorders>
            <w:vAlign w:val="bottom"/>
          </w:tcPr>
          <w:p w14:paraId="0A300BB8"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76AD1A6F"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6C6A5EBC" w14:textId="34F96CFA" w:rsidTr="006E7384">
        <w:tc>
          <w:tcPr>
            <w:tcW w:w="6562" w:type="dxa"/>
            <w:vAlign w:val="bottom"/>
          </w:tcPr>
          <w:p w14:paraId="1FD0CE25" w14:textId="77777777" w:rsidR="006E7384" w:rsidRPr="00EE4151" w:rsidRDefault="006E7384" w:rsidP="00AA69A4">
            <w:pPr>
              <w:tabs>
                <w:tab w:val="left" w:pos="7214"/>
                <w:tab w:val="decimal" w:pos="8107"/>
                <w:tab w:val="left" w:pos="8467"/>
                <w:tab w:val="decimal" w:pos="9360"/>
              </w:tabs>
              <w:spacing w:after="0" w:line="240" w:lineRule="auto"/>
              <w:ind w:left="144" w:hanging="152"/>
              <w:rPr>
                <w:rFonts w:ascii="Arial" w:hAnsi="Arial" w:cs="Arial"/>
                <w:szCs w:val="20"/>
              </w:rPr>
            </w:pPr>
            <w:r w:rsidRPr="00EE4151">
              <w:rPr>
                <w:rFonts w:ascii="Arial" w:hAnsi="Arial" w:cs="Arial"/>
                <w:szCs w:val="20"/>
              </w:rPr>
              <w:t>Total current assets</w:t>
            </w:r>
          </w:p>
        </w:tc>
        <w:tc>
          <w:tcPr>
            <w:tcW w:w="1530" w:type="dxa"/>
            <w:vAlign w:val="bottom"/>
          </w:tcPr>
          <w:p w14:paraId="7D45736F" w14:textId="079CF7FA"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2,053,646</w:t>
            </w:r>
          </w:p>
        </w:tc>
        <w:tc>
          <w:tcPr>
            <w:tcW w:w="1530" w:type="dxa"/>
            <w:vAlign w:val="bottom"/>
          </w:tcPr>
          <w:p w14:paraId="3BEC86B4" w14:textId="094CEA6B"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3,</w:t>
            </w:r>
            <w:r>
              <w:rPr>
                <w:rFonts w:ascii="Arial" w:hAnsi="Arial" w:cs="Arial"/>
                <w:szCs w:val="20"/>
              </w:rPr>
              <w:t>480,538</w:t>
            </w:r>
          </w:p>
        </w:tc>
      </w:tr>
      <w:tr w:rsidR="006E7384" w:rsidRPr="001E3067" w14:paraId="0D5A6A5E" w14:textId="77777777" w:rsidTr="006E7384">
        <w:trPr>
          <w:trHeight w:hRule="exact" w:val="115"/>
        </w:trPr>
        <w:tc>
          <w:tcPr>
            <w:tcW w:w="6562" w:type="dxa"/>
            <w:vAlign w:val="bottom"/>
          </w:tcPr>
          <w:p w14:paraId="2CA278F5"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p>
        </w:tc>
        <w:tc>
          <w:tcPr>
            <w:tcW w:w="1530" w:type="dxa"/>
          </w:tcPr>
          <w:p w14:paraId="5C18CAC3"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c>
          <w:tcPr>
            <w:tcW w:w="1530" w:type="dxa"/>
          </w:tcPr>
          <w:p w14:paraId="3E27865D"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r>
      <w:tr w:rsidR="006E7384" w:rsidRPr="001E3067" w14:paraId="38678247" w14:textId="77777777" w:rsidTr="006E7384">
        <w:tc>
          <w:tcPr>
            <w:tcW w:w="6562" w:type="dxa"/>
            <w:vAlign w:val="bottom"/>
          </w:tcPr>
          <w:p w14:paraId="6349870B" w14:textId="1B5D3635"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Deposits</w:t>
            </w:r>
          </w:p>
        </w:tc>
        <w:tc>
          <w:tcPr>
            <w:tcW w:w="1530" w:type="dxa"/>
            <w:vAlign w:val="bottom"/>
          </w:tcPr>
          <w:p w14:paraId="11263213" w14:textId="7053C353"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177,300</w:t>
            </w:r>
          </w:p>
        </w:tc>
        <w:tc>
          <w:tcPr>
            <w:tcW w:w="1530" w:type="dxa"/>
            <w:vAlign w:val="bottom"/>
          </w:tcPr>
          <w:p w14:paraId="015BC37F" w14:textId="641C9390"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177,300</w:t>
            </w:r>
          </w:p>
        </w:tc>
      </w:tr>
      <w:tr w:rsidR="006E7384" w:rsidRPr="001E3067" w14:paraId="783F0033" w14:textId="77777777" w:rsidTr="006E7384">
        <w:tc>
          <w:tcPr>
            <w:tcW w:w="6562" w:type="dxa"/>
            <w:vAlign w:val="bottom"/>
          </w:tcPr>
          <w:p w14:paraId="6A3BBD21" w14:textId="7AC8CE25"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Property and equipment, net (Note 7)</w:t>
            </w:r>
          </w:p>
        </w:tc>
        <w:tc>
          <w:tcPr>
            <w:tcW w:w="1530" w:type="dxa"/>
            <w:vAlign w:val="bottom"/>
          </w:tcPr>
          <w:p w14:paraId="20547FB8" w14:textId="7577ABF1"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539,123</w:t>
            </w:r>
          </w:p>
        </w:tc>
        <w:tc>
          <w:tcPr>
            <w:tcW w:w="1530" w:type="dxa"/>
            <w:vAlign w:val="bottom"/>
          </w:tcPr>
          <w:p w14:paraId="64B46978" w14:textId="765D029E"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540,245</w:t>
            </w:r>
          </w:p>
        </w:tc>
      </w:tr>
      <w:tr w:rsidR="006E7384" w:rsidRPr="001E3067" w14:paraId="45882E9D" w14:textId="2E5C8FF3" w:rsidTr="006E7384">
        <w:tc>
          <w:tcPr>
            <w:tcW w:w="6562" w:type="dxa"/>
            <w:vAlign w:val="bottom"/>
          </w:tcPr>
          <w:p w14:paraId="48336960" w14:textId="3F259498"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Intangible assets, net (Note 8)</w:t>
            </w:r>
          </w:p>
        </w:tc>
        <w:tc>
          <w:tcPr>
            <w:tcW w:w="1530" w:type="dxa"/>
            <w:vAlign w:val="bottom"/>
          </w:tcPr>
          <w:p w14:paraId="7A05A497" w14:textId="19B59CEA"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845,722</w:t>
            </w:r>
          </w:p>
        </w:tc>
        <w:tc>
          <w:tcPr>
            <w:tcW w:w="1530" w:type="dxa"/>
            <w:vAlign w:val="bottom"/>
          </w:tcPr>
          <w:p w14:paraId="32FB45D7" w14:textId="7E3B4C6B"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801,058</w:t>
            </w:r>
          </w:p>
        </w:tc>
      </w:tr>
      <w:tr w:rsidR="006E7384" w:rsidRPr="001E3067" w14:paraId="6DD61FD3" w14:textId="77777777" w:rsidTr="006E7384">
        <w:tc>
          <w:tcPr>
            <w:tcW w:w="6562" w:type="dxa"/>
            <w:vAlign w:val="bottom"/>
          </w:tcPr>
          <w:p w14:paraId="62A1A1D7" w14:textId="01AB6B1B"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Right-of-use assets (Note 9)</w:t>
            </w:r>
          </w:p>
        </w:tc>
        <w:tc>
          <w:tcPr>
            <w:tcW w:w="1530" w:type="dxa"/>
            <w:vAlign w:val="bottom"/>
          </w:tcPr>
          <w:p w14:paraId="10B7E3C2" w14:textId="62F2EC95"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3,172,330</w:t>
            </w:r>
          </w:p>
        </w:tc>
        <w:tc>
          <w:tcPr>
            <w:tcW w:w="1530" w:type="dxa"/>
            <w:vAlign w:val="bottom"/>
          </w:tcPr>
          <w:p w14:paraId="79A94557" w14:textId="5C183629"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3,251,638</w:t>
            </w:r>
          </w:p>
        </w:tc>
      </w:tr>
      <w:tr w:rsidR="006E7384" w:rsidRPr="001E3067" w14:paraId="0C849F6B" w14:textId="389C1397" w:rsidTr="006E7384">
        <w:trPr>
          <w:trHeight w:hRule="exact" w:val="115"/>
        </w:trPr>
        <w:tc>
          <w:tcPr>
            <w:tcW w:w="6562" w:type="dxa"/>
            <w:tcBorders>
              <w:top w:val="single" w:sz="4" w:space="0" w:color="auto"/>
            </w:tcBorders>
            <w:vAlign w:val="bottom"/>
          </w:tcPr>
          <w:p w14:paraId="14711D52"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4" w:space="0" w:color="auto"/>
            </w:tcBorders>
            <w:vAlign w:val="bottom"/>
          </w:tcPr>
          <w:p w14:paraId="5D4A7558"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2E8CF862"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748A452A" w14:textId="12B3529E" w:rsidTr="006E7384">
        <w:tc>
          <w:tcPr>
            <w:tcW w:w="6562" w:type="dxa"/>
            <w:tcBorders>
              <w:bottom w:val="single" w:sz="12" w:space="0" w:color="auto"/>
            </w:tcBorders>
            <w:vAlign w:val="bottom"/>
          </w:tcPr>
          <w:p w14:paraId="56E4754E"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r w:rsidRPr="00EE4151">
              <w:rPr>
                <w:rFonts w:ascii="Arial" w:hAnsi="Arial" w:cs="Arial"/>
                <w:szCs w:val="20"/>
                <w:lang w:val="fr-FR"/>
              </w:rPr>
              <w:t>Total assets</w:t>
            </w:r>
          </w:p>
        </w:tc>
        <w:tc>
          <w:tcPr>
            <w:tcW w:w="1530" w:type="dxa"/>
            <w:tcBorders>
              <w:bottom w:val="single" w:sz="12" w:space="0" w:color="auto"/>
            </w:tcBorders>
            <w:vAlign w:val="bottom"/>
          </w:tcPr>
          <w:p w14:paraId="48CCD167" w14:textId="75AE7911" w:rsidR="006E7384" w:rsidRPr="00EE4151" w:rsidRDefault="00424813"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lang w:val="fr-FR"/>
              </w:rPr>
              <w:t>6,788,121</w:t>
            </w:r>
          </w:p>
        </w:tc>
        <w:tc>
          <w:tcPr>
            <w:tcW w:w="1530" w:type="dxa"/>
            <w:tcBorders>
              <w:bottom w:val="single" w:sz="12" w:space="0" w:color="auto"/>
            </w:tcBorders>
            <w:vAlign w:val="bottom"/>
          </w:tcPr>
          <w:p w14:paraId="2E306C48" w14:textId="3FD99979"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lang w:val="fr-FR"/>
              </w:rPr>
              <w:t>8,250,779</w:t>
            </w:r>
          </w:p>
        </w:tc>
      </w:tr>
      <w:tr w:rsidR="006E7384" w:rsidRPr="001E3067" w14:paraId="0F8FDCC6" w14:textId="1FD7CF95" w:rsidTr="006E7384">
        <w:trPr>
          <w:trHeight w:hRule="exact" w:val="115"/>
        </w:trPr>
        <w:tc>
          <w:tcPr>
            <w:tcW w:w="6562" w:type="dxa"/>
            <w:tcBorders>
              <w:top w:val="single" w:sz="12" w:space="0" w:color="auto"/>
            </w:tcBorders>
            <w:vAlign w:val="bottom"/>
          </w:tcPr>
          <w:p w14:paraId="778C59E9" w14:textId="77777777" w:rsidR="006E7384" w:rsidRPr="00EE4151" w:rsidRDefault="006E7384" w:rsidP="001B7B70">
            <w:pPr>
              <w:tabs>
                <w:tab w:val="left" w:pos="7214"/>
                <w:tab w:val="decimal" w:pos="8107"/>
                <w:tab w:val="left" w:pos="8467"/>
                <w:tab w:val="decimal" w:pos="9360"/>
              </w:tabs>
              <w:spacing w:after="0" w:line="240" w:lineRule="auto"/>
              <w:rPr>
                <w:rFonts w:ascii="Arial" w:hAnsi="Arial" w:cs="Arial"/>
                <w:szCs w:val="20"/>
                <w:lang w:val="fr-FR"/>
              </w:rPr>
            </w:pPr>
          </w:p>
        </w:tc>
        <w:tc>
          <w:tcPr>
            <w:tcW w:w="1530" w:type="dxa"/>
            <w:tcBorders>
              <w:top w:val="single" w:sz="12" w:space="0" w:color="auto"/>
            </w:tcBorders>
            <w:vAlign w:val="bottom"/>
          </w:tcPr>
          <w:p w14:paraId="77FF132F"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c>
          <w:tcPr>
            <w:tcW w:w="1530" w:type="dxa"/>
            <w:tcBorders>
              <w:top w:val="single" w:sz="12" w:space="0" w:color="auto"/>
            </w:tcBorders>
            <w:vAlign w:val="bottom"/>
          </w:tcPr>
          <w:p w14:paraId="0ACDA18E"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r>
      <w:tr w:rsidR="006E7384" w:rsidRPr="001E3067" w14:paraId="04286297" w14:textId="701213A2" w:rsidTr="006E7384">
        <w:trPr>
          <w:trHeight w:val="324"/>
        </w:trPr>
        <w:tc>
          <w:tcPr>
            <w:tcW w:w="6562" w:type="dxa"/>
            <w:vAlign w:val="bottom"/>
          </w:tcPr>
          <w:p w14:paraId="58C07B00" w14:textId="22F1231E" w:rsidR="006E7384" w:rsidRPr="00EE4151" w:rsidRDefault="006E7384" w:rsidP="00681427">
            <w:pPr>
              <w:tabs>
                <w:tab w:val="left" w:pos="7214"/>
                <w:tab w:val="decimal" w:pos="8107"/>
                <w:tab w:val="left" w:pos="8467"/>
                <w:tab w:val="decimal" w:pos="9360"/>
              </w:tabs>
              <w:spacing w:after="0" w:line="240" w:lineRule="auto"/>
              <w:rPr>
                <w:rFonts w:ascii="Arial" w:hAnsi="Arial" w:cs="Arial"/>
                <w:szCs w:val="20"/>
              </w:rPr>
            </w:pPr>
            <w:proofErr w:type="spellStart"/>
            <w:r w:rsidRPr="00EE4151">
              <w:rPr>
                <w:rFonts w:ascii="Arial" w:hAnsi="Arial" w:cs="Arial"/>
                <w:szCs w:val="20"/>
                <w:lang w:val="fr-FR"/>
              </w:rPr>
              <w:t>Liabilities</w:t>
            </w:r>
            <w:proofErr w:type="spellEnd"/>
            <w:r w:rsidRPr="00EE4151">
              <w:rPr>
                <w:rFonts w:ascii="Arial" w:hAnsi="Arial" w:cs="Arial"/>
                <w:szCs w:val="20"/>
                <w:lang w:val="fr-FR"/>
              </w:rPr>
              <w:t xml:space="preserve"> and </w:t>
            </w:r>
            <w:proofErr w:type="spellStart"/>
            <w:r w:rsidRPr="00EE4151">
              <w:rPr>
                <w:rFonts w:ascii="Arial" w:hAnsi="Arial" w:cs="Arial"/>
                <w:szCs w:val="20"/>
                <w:lang w:val="fr-FR"/>
              </w:rPr>
              <w:t>Shareholders</w:t>
            </w:r>
            <w:proofErr w:type="spellEnd"/>
            <w:r w:rsidRPr="00EE4151">
              <w:rPr>
                <w:rFonts w:ascii="Arial" w:hAnsi="Arial" w:cs="Arial"/>
                <w:szCs w:val="20"/>
                <w:lang w:val="fr-FR"/>
              </w:rPr>
              <w:t xml:space="preserve">’ </w:t>
            </w:r>
            <w:proofErr w:type="spellStart"/>
            <w:r w:rsidRPr="00EE4151">
              <w:rPr>
                <w:rFonts w:ascii="Arial" w:hAnsi="Arial" w:cs="Arial"/>
                <w:szCs w:val="20"/>
                <w:lang w:val="fr-FR"/>
              </w:rPr>
              <w:t>Equity</w:t>
            </w:r>
            <w:proofErr w:type="spellEnd"/>
            <w:r w:rsidRPr="00EE4151">
              <w:rPr>
                <w:rFonts w:ascii="Arial" w:hAnsi="Arial" w:cs="Arial"/>
                <w:szCs w:val="20"/>
                <w:lang w:val="fr-FR"/>
              </w:rPr>
              <w:t xml:space="preserve"> </w:t>
            </w:r>
          </w:p>
        </w:tc>
        <w:tc>
          <w:tcPr>
            <w:tcW w:w="1530" w:type="dxa"/>
            <w:vAlign w:val="bottom"/>
          </w:tcPr>
          <w:p w14:paraId="656238C2"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c>
          <w:tcPr>
            <w:tcW w:w="1530" w:type="dxa"/>
            <w:vAlign w:val="bottom"/>
          </w:tcPr>
          <w:p w14:paraId="6EA5F0B4"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r>
      <w:tr w:rsidR="006E7384" w:rsidRPr="001E3067" w14:paraId="79248CE6" w14:textId="7FE088EC" w:rsidTr="006E7384">
        <w:trPr>
          <w:trHeight w:hRule="exact" w:val="115"/>
        </w:trPr>
        <w:tc>
          <w:tcPr>
            <w:tcW w:w="6562" w:type="dxa"/>
            <w:vAlign w:val="bottom"/>
          </w:tcPr>
          <w:p w14:paraId="1C5AF4DA" w14:textId="77777777" w:rsidR="006E7384" w:rsidRPr="00EE4151" w:rsidRDefault="006E7384" w:rsidP="001B7B70">
            <w:pPr>
              <w:tabs>
                <w:tab w:val="left" w:pos="7214"/>
                <w:tab w:val="decimal" w:pos="8107"/>
                <w:tab w:val="left" w:pos="8467"/>
                <w:tab w:val="decimal" w:pos="9360"/>
              </w:tabs>
              <w:spacing w:after="0" w:line="240" w:lineRule="auto"/>
              <w:rPr>
                <w:rFonts w:ascii="Arial" w:hAnsi="Arial" w:cs="Arial"/>
                <w:szCs w:val="20"/>
                <w:lang w:val="fr-FR"/>
              </w:rPr>
            </w:pPr>
          </w:p>
        </w:tc>
        <w:tc>
          <w:tcPr>
            <w:tcW w:w="1530" w:type="dxa"/>
            <w:vAlign w:val="bottom"/>
          </w:tcPr>
          <w:p w14:paraId="2F876B1A"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c>
          <w:tcPr>
            <w:tcW w:w="1530" w:type="dxa"/>
            <w:vAlign w:val="bottom"/>
          </w:tcPr>
          <w:p w14:paraId="56C5A43F"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r>
      <w:tr w:rsidR="006E7384" w:rsidRPr="001E3067" w14:paraId="63528D78" w14:textId="4A386872" w:rsidTr="006E7384">
        <w:tc>
          <w:tcPr>
            <w:tcW w:w="6562" w:type="dxa"/>
            <w:vAlign w:val="bottom"/>
          </w:tcPr>
          <w:p w14:paraId="0A3E4633" w14:textId="77777777" w:rsidR="006E7384" w:rsidRPr="00EE4151" w:rsidRDefault="006E7384" w:rsidP="001B7B70">
            <w:pPr>
              <w:tabs>
                <w:tab w:val="left" w:pos="7214"/>
                <w:tab w:val="decimal" w:pos="8107"/>
                <w:tab w:val="left" w:pos="8467"/>
                <w:tab w:val="decimal" w:pos="9360"/>
              </w:tabs>
              <w:spacing w:after="0" w:line="240" w:lineRule="auto"/>
              <w:rPr>
                <w:rFonts w:ascii="Arial" w:hAnsi="Arial" w:cs="Arial"/>
                <w:szCs w:val="20"/>
                <w:lang w:val="fr-FR"/>
              </w:rPr>
            </w:pPr>
            <w:proofErr w:type="spellStart"/>
            <w:r w:rsidRPr="00EE4151">
              <w:rPr>
                <w:rFonts w:ascii="Arial" w:hAnsi="Arial" w:cs="Arial"/>
                <w:szCs w:val="20"/>
                <w:lang w:val="fr-FR"/>
              </w:rPr>
              <w:t>Current</w:t>
            </w:r>
            <w:proofErr w:type="spellEnd"/>
            <w:r w:rsidRPr="00EE4151">
              <w:rPr>
                <w:rFonts w:ascii="Arial" w:hAnsi="Arial" w:cs="Arial"/>
                <w:szCs w:val="20"/>
                <w:lang w:val="fr-FR"/>
              </w:rPr>
              <w:t xml:space="preserve"> </w:t>
            </w:r>
            <w:proofErr w:type="spellStart"/>
            <w:r w:rsidRPr="00EE4151">
              <w:rPr>
                <w:rFonts w:ascii="Arial" w:hAnsi="Arial" w:cs="Arial"/>
                <w:szCs w:val="20"/>
                <w:lang w:val="fr-FR"/>
              </w:rPr>
              <w:t>liabilities</w:t>
            </w:r>
            <w:proofErr w:type="spellEnd"/>
            <w:r w:rsidRPr="00EE4151">
              <w:rPr>
                <w:rFonts w:ascii="Arial" w:hAnsi="Arial" w:cs="Arial"/>
                <w:szCs w:val="20"/>
                <w:lang w:val="fr-FR"/>
              </w:rPr>
              <w:t xml:space="preserve">   </w:t>
            </w:r>
          </w:p>
        </w:tc>
        <w:tc>
          <w:tcPr>
            <w:tcW w:w="1530" w:type="dxa"/>
            <w:vAlign w:val="bottom"/>
          </w:tcPr>
          <w:p w14:paraId="34956BBA"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c>
          <w:tcPr>
            <w:tcW w:w="1530" w:type="dxa"/>
            <w:vAlign w:val="bottom"/>
          </w:tcPr>
          <w:p w14:paraId="28515950" w14:textId="77777777" w:rsidR="006E7384" w:rsidRPr="00EE4151" w:rsidRDefault="006E7384" w:rsidP="001B7B70">
            <w:pPr>
              <w:tabs>
                <w:tab w:val="left" w:pos="7214"/>
                <w:tab w:val="decimal" w:pos="8107"/>
                <w:tab w:val="left" w:pos="8467"/>
                <w:tab w:val="decimal" w:pos="9360"/>
              </w:tabs>
              <w:spacing w:after="0" w:line="240" w:lineRule="auto"/>
              <w:ind w:right="180"/>
              <w:jc w:val="right"/>
              <w:rPr>
                <w:rFonts w:ascii="Arial" w:hAnsi="Arial" w:cs="Arial"/>
                <w:szCs w:val="20"/>
                <w:lang w:val="fr-FR"/>
              </w:rPr>
            </w:pPr>
          </w:p>
        </w:tc>
      </w:tr>
      <w:tr w:rsidR="006E7384" w:rsidRPr="001E3067" w14:paraId="331A0B4A" w14:textId="43300F3E" w:rsidTr="006E7384">
        <w:trPr>
          <w:trHeight w:val="297"/>
        </w:trPr>
        <w:tc>
          <w:tcPr>
            <w:tcW w:w="6562" w:type="dxa"/>
            <w:vAlign w:val="bottom"/>
          </w:tcPr>
          <w:p w14:paraId="5D126BE9" w14:textId="20C996DC" w:rsidR="006E7384" w:rsidRPr="00EE4151" w:rsidRDefault="006E7384" w:rsidP="00AA69A4">
            <w:pPr>
              <w:tabs>
                <w:tab w:val="left" w:pos="7214"/>
                <w:tab w:val="decimal" w:pos="8107"/>
                <w:tab w:val="left" w:pos="8467"/>
                <w:tab w:val="decimal" w:pos="9360"/>
              </w:tabs>
              <w:spacing w:after="0" w:line="240" w:lineRule="auto"/>
              <w:ind w:firstLine="172"/>
              <w:rPr>
                <w:rFonts w:ascii="Arial" w:hAnsi="Arial" w:cs="Arial"/>
                <w:szCs w:val="20"/>
                <w:lang w:val="en-CA"/>
              </w:rPr>
            </w:pPr>
            <w:r w:rsidRPr="00EE4151">
              <w:rPr>
                <w:rFonts w:ascii="Arial" w:hAnsi="Arial" w:cs="Arial"/>
                <w:szCs w:val="20"/>
                <w:lang w:val="en-CA"/>
              </w:rPr>
              <w:t xml:space="preserve">Accounts payable and accrued liabilities </w:t>
            </w:r>
          </w:p>
        </w:tc>
        <w:tc>
          <w:tcPr>
            <w:tcW w:w="1530" w:type="dxa"/>
            <w:vAlign w:val="bottom"/>
          </w:tcPr>
          <w:p w14:paraId="167C2166" w14:textId="0CA3423D" w:rsidR="006E7384" w:rsidRPr="00EE4151" w:rsidRDefault="004F5396"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lang w:val="fr-FR"/>
              </w:rPr>
              <w:t>527,955</w:t>
            </w:r>
          </w:p>
        </w:tc>
        <w:tc>
          <w:tcPr>
            <w:tcW w:w="1530" w:type="dxa"/>
            <w:vAlign w:val="bottom"/>
          </w:tcPr>
          <w:p w14:paraId="170D311B" w14:textId="158C7888"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lang w:val="fr-FR"/>
              </w:rPr>
              <w:t>890,138</w:t>
            </w:r>
          </w:p>
        </w:tc>
      </w:tr>
      <w:tr w:rsidR="006E7384" w:rsidRPr="001E3067" w14:paraId="23D6212F" w14:textId="290A53EC" w:rsidTr="006E7384">
        <w:tc>
          <w:tcPr>
            <w:tcW w:w="6562" w:type="dxa"/>
            <w:vAlign w:val="bottom"/>
          </w:tcPr>
          <w:p w14:paraId="092FE96E" w14:textId="62A3D87E" w:rsidR="006E7384" w:rsidRPr="00EE4151" w:rsidRDefault="006E7384" w:rsidP="00AA69A4">
            <w:pPr>
              <w:tabs>
                <w:tab w:val="left" w:pos="7214"/>
                <w:tab w:val="decimal" w:pos="8107"/>
                <w:tab w:val="left" w:pos="8467"/>
                <w:tab w:val="decimal" w:pos="9360"/>
              </w:tabs>
              <w:spacing w:after="0" w:line="240" w:lineRule="auto"/>
              <w:ind w:firstLine="172"/>
              <w:rPr>
                <w:rFonts w:ascii="Arial" w:hAnsi="Arial" w:cs="Arial"/>
                <w:szCs w:val="20"/>
                <w:lang w:val="en-CA"/>
              </w:rPr>
            </w:pPr>
            <w:r w:rsidRPr="00EE4151">
              <w:rPr>
                <w:rFonts w:ascii="Arial" w:hAnsi="Arial" w:cs="Arial"/>
                <w:szCs w:val="20"/>
                <w:lang w:val="en-CA"/>
              </w:rPr>
              <w:t>Due to related parties (Note 17)</w:t>
            </w:r>
          </w:p>
        </w:tc>
        <w:tc>
          <w:tcPr>
            <w:tcW w:w="1530" w:type="dxa"/>
            <w:vAlign w:val="bottom"/>
          </w:tcPr>
          <w:p w14:paraId="395F9B50" w14:textId="484A8E6E" w:rsidR="006E7384" w:rsidRPr="00EE4151" w:rsidRDefault="004F5396"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rPr>
              <w:t>3,538</w:t>
            </w:r>
          </w:p>
        </w:tc>
        <w:tc>
          <w:tcPr>
            <w:tcW w:w="1530" w:type="dxa"/>
            <w:vAlign w:val="bottom"/>
          </w:tcPr>
          <w:p w14:paraId="53518FB5" w14:textId="0ACA60B6"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sidRPr="00EE4151">
              <w:rPr>
                <w:rFonts w:ascii="Arial" w:hAnsi="Arial" w:cs="Arial"/>
                <w:szCs w:val="20"/>
                <w:lang w:val="fr-FR"/>
              </w:rPr>
              <w:t>1,788</w:t>
            </w:r>
          </w:p>
        </w:tc>
      </w:tr>
      <w:tr w:rsidR="006E7384" w:rsidRPr="001E3067" w14:paraId="4990A0A3" w14:textId="77777777" w:rsidTr="006E7384">
        <w:trPr>
          <w:trHeight w:val="70"/>
        </w:trPr>
        <w:tc>
          <w:tcPr>
            <w:tcW w:w="6562" w:type="dxa"/>
            <w:vAlign w:val="bottom"/>
          </w:tcPr>
          <w:p w14:paraId="6234A3D5" w14:textId="65F5A900" w:rsidR="006E7384" w:rsidRPr="00EE4151" w:rsidRDefault="006E7384" w:rsidP="00AA69A4">
            <w:pPr>
              <w:tabs>
                <w:tab w:val="left" w:pos="7214"/>
                <w:tab w:val="decimal" w:pos="8107"/>
                <w:tab w:val="left" w:pos="8467"/>
                <w:tab w:val="decimal" w:pos="9360"/>
              </w:tabs>
              <w:spacing w:after="0" w:line="240" w:lineRule="auto"/>
              <w:ind w:left="144" w:firstLine="28"/>
              <w:rPr>
                <w:rFonts w:ascii="Arial" w:hAnsi="Arial" w:cs="Arial"/>
                <w:szCs w:val="20"/>
              </w:rPr>
            </w:pPr>
            <w:r w:rsidRPr="00EE4151">
              <w:rPr>
                <w:rFonts w:ascii="Arial" w:hAnsi="Arial" w:cs="Arial"/>
                <w:szCs w:val="20"/>
              </w:rPr>
              <w:t>Lease liability (Note 9)</w:t>
            </w:r>
          </w:p>
        </w:tc>
        <w:tc>
          <w:tcPr>
            <w:tcW w:w="1530" w:type="dxa"/>
            <w:vAlign w:val="bottom"/>
          </w:tcPr>
          <w:p w14:paraId="3678088A" w14:textId="6F7A170A"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6,150</w:t>
            </w:r>
          </w:p>
        </w:tc>
        <w:tc>
          <w:tcPr>
            <w:tcW w:w="1530" w:type="dxa"/>
            <w:vAlign w:val="bottom"/>
          </w:tcPr>
          <w:p w14:paraId="35EC694E" w14:textId="02CC7CAB"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68,138</w:t>
            </w:r>
          </w:p>
        </w:tc>
      </w:tr>
      <w:tr w:rsidR="006E7384" w:rsidRPr="001E3067" w14:paraId="55C2D510" w14:textId="6BE22C76" w:rsidTr="006E7384">
        <w:trPr>
          <w:trHeight w:hRule="exact" w:val="115"/>
        </w:trPr>
        <w:tc>
          <w:tcPr>
            <w:tcW w:w="6562" w:type="dxa"/>
            <w:tcBorders>
              <w:top w:val="single" w:sz="4" w:space="0" w:color="auto"/>
            </w:tcBorders>
            <w:vAlign w:val="bottom"/>
          </w:tcPr>
          <w:p w14:paraId="104BE8FA"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4" w:space="0" w:color="auto"/>
            </w:tcBorders>
            <w:vAlign w:val="bottom"/>
          </w:tcPr>
          <w:p w14:paraId="5D9C71B3"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365C21A2"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5DE7C1E2" w14:textId="039941D0" w:rsidTr="006E7384">
        <w:tc>
          <w:tcPr>
            <w:tcW w:w="6562" w:type="dxa"/>
            <w:vAlign w:val="bottom"/>
          </w:tcPr>
          <w:p w14:paraId="2E74BC60" w14:textId="615B02E5"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Total current liabilities</w:t>
            </w:r>
          </w:p>
        </w:tc>
        <w:tc>
          <w:tcPr>
            <w:tcW w:w="1530" w:type="dxa"/>
            <w:vAlign w:val="bottom"/>
          </w:tcPr>
          <w:p w14:paraId="6B60068A" w14:textId="56F7CBB7"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537,643</w:t>
            </w:r>
          </w:p>
        </w:tc>
        <w:tc>
          <w:tcPr>
            <w:tcW w:w="1530" w:type="dxa"/>
            <w:vAlign w:val="bottom"/>
          </w:tcPr>
          <w:p w14:paraId="494E010C" w14:textId="5805108A"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960,064</w:t>
            </w:r>
          </w:p>
        </w:tc>
      </w:tr>
      <w:tr w:rsidR="006E7384" w:rsidRPr="001E3067" w14:paraId="0A01F1B1" w14:textId="77777777" w:rsidTr="006E7384">
        <w:trPr>
          <w:trHeight w:hRule="exact" w:val="115"/>
        </w:trPr>
        <w:tc>
          <w:tcPr>
            <w:tcW w:w="6562" w:type="dxa"/>
            <w:vAlign w:val="bottom"/>
          </w:tcPr>
          <w:p w14:paraId="60AF3DB0"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p>
        </w:tc>
        <w:tc>
          <w:tcPr>
            <w:tcW w:w="1530" w:type="dxa"/>
          </w:tcPr>
          <w:p w14:paraId="17831DD7"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c>
          <w:tcPr>
            <w:tcW w:w="1530" w:type="dxa"/>
          </w:tcPr>
          <w:p w14:paraId="1C1C7003" w14:textId="77777777" w:rsidR="006E7384" w:rsidRPr="00EE4151" w:rsidRDefault="006E7384" w:rsidP="00AA69A4">
            <w:pPr>
              <w:tabs>
                <w:tab w:val="left" w:pos="7214"/>
                <w:tab w:val="decimal" w:pos="8107"/>
                <w:tab w:val="left" w:pos="8467"/>
                <w:tab w:val="decimal" w:pos="9360"/>
              </w:tabs>
              <w:spacing w:after="0" w:line="240" w:lineRule="auto"/>
              <w:ind w:right="29"/>
              <w:jc w:val="right"/>
              <w:rPr>
                <w:rFonts w:ascii="Arial" w:hAnsi="Arial" w:cs="Arial"/>
                <w:szCs w:val="20"/>
                <w:lang w:val="fr-FR"/>
              </w:rPr>
            </w:pPr>
          </w:p>
        </w:tc>
      </w:tr>
      <w:tr w:rsidR="006E7384" w:rsidRPr="001E3067" w14:paraId="42D05DE6" w14:textId="77777777" w:rsidTr="006E7384">
        <w:tc>
          <w:tcPr>
            <w:tcW w:w="6562" w:type="dxa"/>
            <w:vAlign w:val="bottom"/>
          </w:tcPr>
          <w:p w14:paraId="5F950954" w14:textId="47BFC978"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Lease liability (Note 9)</w:t>
            </w:r>
          </w:p>
        </w:tc>
        <w:tc>
          <w:tcPr>
            <w:tcW w:w="1530" w:type="dxa"/>
            <w:vAlign w:val="bottom"/>
          </w:tcPr>
          <w:p w14:paraId="0744B758" w14:textId="02B0246F"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3,275,085</w:t>
            </w:r>
          </w:p>
        </w:tc>
        <w:tc>
          <w:tcPr>
            <w:tcW w:w="1530" w:type="dxa"/>
            <w:vAlign w:val="bottom"/>
          </w:tcPr>
          <w:p w14:paraId="723A54B3" w14:textId="387605AA"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4,634,154</w:t>
            </w:r>
          </w:p>
        </w:tc>
      </w:tr>
      <w:tr w:rsidR="006E7384" w:rsidRPr="001E3067" w14:paraId="5C72B5AE" w14:textId="77777777" w:rsidTr="006E7384">
        <w:trPr>
          <w:trHeight w:hRule="exact" w:val="115"/>
        </w:trPr>
        <w:tc>
          <w:tcPr>
            <w:tcW w:w="6562" w:type="dxa"/>
            <w:tcBorders>
              <w:top w:val="single" w:sz="4" w:space="0" w:color="auto"/>
            </w:tcBorders>
            <w:vAlign w:val="bottom"/>
          </w:tcPr>
          <w:p w14:paraId="57515110"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4" w:space="0" w:color="auto"/>
            </w:tcBorders>
            <w:vAlign w:val="bottom"/>
          </w:tcPr>
          <w:p w14:paraId="38F47CBF"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1662841B"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209BE898" w14:textId="77777777" w:rsidTr="006E7384">
        <w:tc>
          <w:tcPr>
            <w:tcW w:w="6562" w:type="dxa"/>
            <w:tcBorders>
              <w:bottom w:val="single" w:sz="2" w:space="0" w:color="auto"/>
            </w:tcBorders>
            <w:vAlign w:val="bottom"/>
          </w:tcPr>
          <w:p w14:paraId="37B0C50E" w14:textId="2F06767B"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lang w:val="fr-FR"/>
              </w:rPr>
            </w:pPr>
            <w:r w:rsidRPr="00EE4151">
              <w:rPr>
                <w:rFonts w:ascii="Arial" w:hAnsi="Arial" w:cs="Arial"/>
                <w:szCs w:val="20"/>
                <w:lang w:val="fr-FR"/>
              </w:rPr>
              <w:t xml:space="preserve">Total </w:t>
            </w:r>
            <w:proofErr w:type="spellStart"/>
            <w:r w:rsidRPr="00EE4151">
              <w:rPr>
                <w:rFonts w:ascii="Arial" w:hAnsi="Arial" w:cs="Arial"/>
                <w:szCs w:val="20"/>
                <w:lang w:val="fr-FR"/>
              </w:rPr>
              <w:t>liabilities</w:t>
            </w:r>
            <w:proofErr w:type="spellEnd"/>
          </w:p>
        </w:tc>
        <w:tc>
          <w:tcPr>
            <w:tcW w:w="1530" w:type="dxa"/>
            <w:tcBorders>
              <w:bottom w:val="single" w:sz="2" w:space="0" w:color="auto"/>
            </w:tcBorders>
            <w:vAlign w:val="bottom"/>
          </w:tcPr>
          <w:p w14:paraId="5B30CA83" w14:textId="64BC5476"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rPr>
              <w:t>3,812,728</w:t>
            </w:r>
          </w:p>
        </w:tc>
        <w:tc>
          <w:tcPr>
            <w:tcW w:w="1530" w:type="dxa"/>
            <w:tcBorders>
              <w:bottom w:val="single" w:sz="2" w:space="0" w:color="auto"/>
            </w:tcBorders>
            <w:vAlign w:val="bottom"/>
          </w:tcPr>
          <w:p w14:paraId="79D5F81A" w14:textId="5A2FCE14"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sidRPr="00EE4151">
              <w:rPr>
                <w:rFonts w:ascii="Arial" w:hAnsi="Arial" w:cs="Arial"/>
                <w:szCs w:val="20"/>
                <w:lang w:val="fr-FR"/>
              </w:rPr>
              <w:t>5,594,21</w:t>
            </w:r>
            <w:r>
              <w:rPr>
                <w:rFonts w:ascii="Arial" w:hAnsi="Arial" w:cs="Arial"/>
                <w:szCs w:val="20"/>
                <w:lang w:val="fr-FR"/>
              </w:rPr>
              <w:t>8</w:t>
            </w:r>
          </w:p>
        </w:tc>
      </w:tr>
      <w:tr w:rsidR="006E7384" w:rsidRPr="001E3067" w14:paraId="3CD5720F" w14:textId="71A91CFD" w:rsidTr="006E7384">
        <w:trPr>
          <w:trHeight w:hRule="exact" w:val="144"/>
        </w:trPr>
        <w:tc>
          <w:tcPr>
            <w:tcW w:w="6562" w:type="dxa"/>
            <w:tcBorders>
              <w:top w:val="single" w:sz="2" w:space="0" w:color="auto"/>
            </w:tcBorders>
            <w:vAlign w:val="bottom"/>
          </w:tcPr>
          <w:p w14:paraId="1F05EEB8"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2" w:space="0" w:color="auto"/>
            </w:tcBorders>
            <w:vAlign w:val="bottom"/>
          </w:tcPr>
          <w:p w14:paraId="430BF57C"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2" w:space="0" w:color="auto"/>
            </w:tcBorders>
            <w:vAlign w:val="bottom"/>
          </w:tcPr>
          <w:p w14:paraId="7DE465C5"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0B55C09C" w14:textId="397CFA0F" w:rsidTr="006E7384">
        <w:tc>
          <w:tcPr>
            <w:tcW w:w="6562" w:type="dxa"/>
            <w:vAlign w:val="bottom"/>
          </w:tcPr>
          <w:p w14:paraId="4FFED272" w14:textId="5793B96C"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 xml:space="preserve">Shareholders’ Equity </w:t>
            </w:r>
          </w:p>
        </w:tc>
        <w:tc>
          <w:tcPr>
            <w:tcW w:w="1530" w:type="dxa"/>
            <w:vAlign w:val="bottom"/>
          </w:tcPr>
          <w:p w14:paraId="03F93AE9"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vAlign w:val="bottom"/>
          </w:tcPr>
          <w:p w14:paraId="567220E3"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7687ACDA" w14:textId="0F229D60" w:rsidTr="006E7384">
        <w:tc>
          <w:tcPr>
            <w:tcW w:w="6562" w:type="dxa"/>
            <w:vAlign w:val="bottom"/>
          </w:tcPr>
          <w:p w14:paraId="6386DD74" w14:textId="7C225BE2"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Common shares (Note 1</w:t>
            </w:r>
            <w:r w:rsidR="00331322">
              <w:rPr>
                <w:rFonts w:ascii="Arial" w:hAnsi="Arial" w:cs="Arial"/>
                <w:szCs w:val="20"/>
              </w:rPr>
              <w:t>1</w:t>
            </w:r>
            <w:r w:rsidRPr="00EE4151">
              <w:rPr>
                <w:rFonts w:ascii="Arial" w:hAnsi="Arial" w:cs="Arial"/>
                <w:szCs w:val="20"/>
              </w:rPr>
              <w:t>)</w:t>
            </w:r>
          </w:p>
        </w:tc>
        <w:tc>
          <w:tcPr>
            <w:tcW w:w="1530" w:type="dxa"/>
            <w:vAlign w:val="bottom"/>
          </w:tcPr>
          <w:p w14:paraId="0F8B855B" w14:textId="2DD33A1B"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37,521,602</w:t>
            </w:r>
          </w:p>
        </w:tc>
        <w:tc>
          <w:tcPr>
            <w:tcW w:w="1530" w:type="dxa"/>
            <w:vAlign w:val="bottom"/>
          </w:tcPr>
          <w:p w14:paraId="4E4C0A5A" w14:textId="1AA102B4"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3</w:t>
            </w:r>
            <w:r>
              <w:rPr>
                <w:rFonts w:ascii="Arial" w:hAnsi="Arial" w:cs="Arial"/>
                <w:szCs w:val="20"/>
              </w:rPr>
              <w:t>7,519,448</w:t>
            </w:r>
          </w:p>
        </w:tc>
      </w:tr>
      <w:tr w:rsidR="006E7384" w:rsidRPr="001E3067" w14:paraId="01331542" w14:textId="2F302261" w:rsidTr="006E7384">
        <w:trPr>
          <w:trHeight w:hRule="exact" w:val="297"/>
        </w:trPr>
        <w:tc>
          <w:tcPr>
            <w:tcW w:w="6562" w:type="dxa"/>
            <w:vAlign w:val="bottom"/>
          </w:tcPr>
          <w:p w14:paraId="77C18965" w14:textId="027E8290"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Reserves (Notes 1</w:t>
            </w:r>
            <w:r w:rsidR="00331322">
              <w:rPr>
                <w:rFonts w:ascii="Arial" w:hAnsi="Arial" w:cs="Arial"/>
                <w:szCs w:val="20"/>
              </w:rPr>
              <w:t>2</w:t>
            </w:r>
            <w:r w:rsidRPr="00EE4151">
              <w:rPr>
                <w:rFonts w:ascii="Arial" w:hAnsi="Arial" w:cs="Arial"/>
                <w:szCs w:val="20"/>
              </w:rPr>
              <w:t xml:space="preserve"> and 1</w:t>
            </w:r>
            <w:r w:rsidR="00331322">
              <w:rPr>
                <w:rFonts w:ascii="Arial" w:hAnsi="Arial" w:cs="Arial"/>
                <w:szCs w:val="20"/>
              </w:rPr>
              <w:t>3</w:t>
            </w:r>
            <w:r w:rsidRPr="00EE4151">
              <w:rPr>
                <w:rFonts w:ascii="Arial" w:hAnsi="Arial" w:cs="Arial"/>
                <w:szCs w:val="20"/>
              </w:rPr>
              <w:t>)</w:t>
            </w:r>
          </w:p>
        </w:tc>
        <w:tc>
          <w:tcPr>
            <w:tcW w:w="1530" w:type="dxa"/>
            <w:vAlign w:val="bottom"/>
          </w:tcPr>
          <w:p w14:paraId="3F036B2B" w14:textId="5599D7E1"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19,641,015</w:t>
            </w:r>
          </w:p>
        </w:tc>
        <w:tc>
          <w:tcPr>
            <w:tcW w:w="1530" w:type="dxa"/>
            <w:vAlign w:val="bottom"/>
          </w:tcPr>
          <w:p w14:paraId="2C8DAA63" w14:textId="434569E2"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19,625,602</w:t>
            </w:r>
          </w:p>
        </w:tc>
      </w:tr>
      <w:tr w:rsidR="006E7384" w:rsidRPr="001E3067" w14:paraId="210DD5C3" w14:textId="13483722" w:rsidTr="006E7384">
        <w:trPr>
          <w:trHeight w:hRule="exact" w:val="230"/>
        </w:trPr>
        <w:tc>
          <w:tcPr>
            <w:tcW w:w="6562" w:type="dxa"/>
            <w:vAlign w:val="bottom"/>
          </w:tcPr>
          <w:p w14:paraId="754973E7" w14:textId="77777777"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Accumulated other comprehensive income</w:t>
            </w:r>
          </w:p>
        </w:tc>
        <w:tc>
          <w:tcPr>
            <w:tcW w:w="1530" w:type="dxa"/>
            <w:vAlign w:val="bottom"/>
          </w:tcPr>
          <w:p w14:paraId="2636D81F" w14:textId="4B006C47"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94,</w:t>
            </w:r>
            <w:r w:rsidR="009E6977">
              <w:rPr>
                <w:rFonts w:ascii="Arial" w:hAnsi="Arial" w:cs="Arial"/>
                <w:szCs w:val="20"/>
              </w:rPr>
              <w:t>323</w:t>
            </w:r>
          </w:p>
        </w:tc>
        <w:tc>
          <w:tcPr>
            <w:tcW w:w="1530" w:type="dxa"/>
            <w:vAlign w:val="bottom"/>
          </w:tcPr>
          <w:p w14:paraId="63B94841" w14:textId="4E49FE66"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172,027</w:t>
            </w:r>
          </w:p>
        </w:tc>
      </w:tr>
      <w:tr w:rsidR="006E7384" w:rsidRPr="001E3067" w14:paraId="34DFA7BE" w14:textId="690F05DE" w:rsidTr="006E7384">
        <w:trPr>
          <w:trHeight w:hRule="exact" w:val="238"/>
        </w:trPr>
        <w:tc>
          <w:tcPr>
            <w:tcW w:w="6562" w:type="dxa"/>
            <w:vAlign w:val="bottom"/>
          </w:tcPr>
          <w:p w14:paraId="6CAA82B5" w14:textId="77777777" w:rsidR="006E7384" w:rsidRPr="00EE4151" w:rsidRDefault="006E7384" w:rsidP="00AA69A4">
            <w:pPr>
              <w:tabs>
                <w:tab w:val="left" w:pos="7214"/>
                <w:tab w:val="decimal" w:pos="8107"/>
                <w:tab w:val="left" w:pos="8467"/>
                <w:tab w:val="decimal" w:pos="9360"/>
              </w:tabs>
              <w:spacing w:after="0" w:line="240" w:lineRule="auto"/>
              <w:ind w:left="144"/>
              <w:rPr>
                <w:rFonts w:ascii="Arial" w:hAnsi="Arial" w:cs="Arial"/>
                <w:szCs w:val="20"/>
              </w:rPr>
            </w:pPr>
            <w:r w:rsidRPr="00EE4151">
              <w:rPr>
                <w:rFonts w:ascii="Arial" w:hAnsi="Arial" w:cs="Arial"/>
                <w:szCs w:val="20"/>
              </w:rPr>
              <w:t>Accumulated deficit</w:t>
            </w:r>
          </w:p>
        </w:tc>
        <w:tc>
          <w:tcPr>
            <w:tcW w:w="1530" w:type="dxa"/>
            <w:vAlign w:val="bottom"/>
          </w:tcPr>
          <w:p w14:paraId="1C16E1C3" w14:textId="5E1E254B"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w:t>
            </w:r>
            <w:r w:rsidR="008F26A2">
              <w:rPr>
                <w:rFonts w:ascii="Arial" w:hAnsi="Arial" w:cs="Arial"/>
                <w:szCs w:val="20"/>
              </w:rPr>
              <w:t>54,281,</w:t>
            </w:r>
            <w:r w:rsidR="009E6977">
              <w:rPr>
                <w:rFonts w:ascii="Arial" w:hAnsi="Arial" w:cs="Arial"/>
                <w:szCs w:val="20"/>
              </w:rPr>
              <w:t>547</w:t>
            </w:r>
            <w:r w:rsidRPr="00EE4151">
              <w:rPr>
                <w:rFonts w:ascii="Arial" w:hAnsi="Arial" w:cs="Arial"/>
                <w:szCs w:val="20"/>
              </w:rPr>
              <w:t>)</w:t>
            </w:r>
          </w:p>
        </w:tc>
        <w:tc>
          <w:tcPr>
            <w:tcW w:w="1530" w:type="dxa"/>
            <w:vAlign w:val="bottom"/>
          </w:tcPr>
          <w:p w14:paraId="4741E0FF" w14:textId="3D429D28"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sidRPr="00EE4151">
              <w:rPr>
                <w:rFonts w:ascii="Arial" w:hAnsi="Arial" w:cs="Arial"/>
                <w:szCs w:val="20"/>
              </w:rPr>
              <w:t>(54,</w:t>
            </w:r>
            <w:r>
              <w:rPr>
                <w:rFonts w:ascii="Arial" w:hAnsi="Arial" w:cs="Arial"/>
                <w:szCs w:val="20"/>
              </w:rPr>
              <w:t>660,516</w:t>
            </w:r>
            <w:r w:rsidRPr="00EE4151">
              <w:rPr>
                <w:rFonts w:ascii="Arial" w:hAnsi="Arial" w:cs="Arial"/>
                <w:szCs w:val="20"/>
              </w:rPr>
              <w:t>)</w:t>
            </w:r>
          </w:p>
        </w:tc>
      </w:tr>
      <w:tr w:rsidR="006E7384" w:rsidRPr="001E3067" w14:paraId="277B8D15" w14:textId="25E3D123" w:rsidTr="006E7384">
        <w:trPr>
          <w:trHeight w:hRule="exact" w:val="115"/>
        </w:trPr>
        <w:tc>
          <w:tcPr>
            <w:tcW w:w="6562" w:type="dxa"/>
            <w:tcBorders>
              <w:top w:val="single" w:sz="4" w:space="0" w:color="auto"/>
            </w:tcBorders>
            <w:vAlign w:val="bottom"/>
          </w:tcPr>
          <w:p w14:paraId="0332FCD1"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4" w:space="0" w:color="auto"/>
            </w:tcBorders>
            <w:vAlign w:val="bottom"/>
          </w:tcPr>
          <w:p w14:paraId="2F533DEE"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44787D43"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04FD04E6" w14:textId="00685909" w:rsidTr="006E7384">
        <w:tc>
          <w:tcPr>
            <w:tcW w:w="6562" w:type="dxa"/>
            <w:vAlign w:val="bottom"/>
          </w:tcPr>
          <w:p w14:paraId="49E02C41" w14:textId="214F9BD6"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Total shareholders’ equity</w:t>
            </w:r>
          </w:p>
        </w:tc>
        <w:tc>
          <w:tcPr>
            <w:tcW w:w="1530" w:type="dxa"/>
            <w:vAlign w:val="bottom"/>
          </w:tcPr>
          <w:p w14:paraId="23440EEB" w14:textId="261BBC4F"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2,975,393</w:t>
            </w:r>
          </w:p>
        </w:tc>
        <w:tc>
          <w:tcPr>
            <w:tcW w:w="1530" w:type="dxa"/>
            <w:vAlign w:val="bottom"/>
          </w:tcPr>
          <w:p w14:paraId="52170FC5" w14:textId="24EF6591"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2,656,561</w:t>
            </w:r>
          </w:p>
        </w:tc>
      </w:tr>
      <w:tr w:rsidR="006E7384" w:rsidRPr="001E3067" w14:paraId="2632613D" w14:textId="77777777" w:rsidTr="006E7384">
        <w:trPr>
          <w:trHeight w:hRule="exact" w:val="115"/>
        </w:trPr>
        <w:tc>
          <w:tcPr>
            <w:tcW w:w="6562" w:type="dxa"/>
            <w:tcBorders>
              <w:top w:val="single" w:sz="4" w:space="0" w:color="auto"/>
            </w:tcBorders>
            <w:vAlign w:val="bottom"/>
          </w:tcPr>
          <w:p w14:paraId="6D9DDFCD" w14:textId="77777777"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p>
        </w:tc>
        <w:tc>
          <w:tcPr>
            <w:tcW w:w="1530" w:type="dxa"/>
            <w:tcBorders>
              <w:top w:val="single" w:sz="4" w:space="0" w:color="auto"/>
            </w:tcBorders>
            <w:vAlign w:val="bottom"/>
          </w:tcPr>
          <w:p w14:paraId="722164F1"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c>
          <w:tcPr>
            <w:tcW w:w="1530" w:type="dxa"/>
            <w:tcBorders>
              <w:top w:val="single" w:sz="4" w:space="0" w:color="auto"/>
            </w:tcBorders>
            <w:vAlign w:val="bottom"/>
          </w:tcPr>
          <w:p w14:paraId="062A7760" w14:textId="77777777"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rPr>
            </w:pPr>
          </w:p>
        </w:tc>
      </w:tr>
      <w:tr w:rsidR="006E7384" w:rsidRPr="001E3067" w14:paraId="084F20E4" w14:textId="794F06C2" w:rsidTr="006E7384">
        <w:trPr>
          <w:trHeight w:val="189"/>
        </w:trPr>
        <w:tc>
          <w:tcPr>
            <w:tcW w:w="6562" w:type="dxa"/>
            <w:tcBorders>
              <w:bottom w:val="single" w:sz="12" w:space="0" w:color="auto"/>
            </w:tcBorders>
            <w:vAlign w:val="bottom"/>
          </w:tcPr>
          <w:p w14:paraId="288BA0BD" w14:textId="1E2203DA" w:rsidR="006E7384" w:rsidRPr="00EE4151" w:rsidRDefault="006E7384" w:rsidP="00AA69A4">
            <w:pPr>
              <w:tabs>
                <w:tab w:val="left" w:pos="7214"/>
                <w:tab w:val="decimal" w:pos="8107"/>
                <w:tab w:val="left" w:pos="8467"/>
                <w:tab w:val="decimal" w:pos="9360"/>
              </w:tabs>
              <w:spacing w:after="0" w:line="240" w:lineRule="auto"/>
              <w:rPr>
                <w:rFonts w:ascii="Arial" w:hAnsi="Arial" w:cs="Arial"/>
                <w:szCs w:val="20"/>
              </w:rPr>
            </w:pPr>
            <w:r w:rsidRPr="00EE4151">
              <w:rPr>
                <w:rFonts w:ascii="Arial" w:hAnsi="Arial" w:cs="Arial"/>
                <w:szCs w:val="20"/>
              </w:rPr>
              <w:t>Total liabilities and shareholders’ equity</w:t>
            </w:r>
          </w:p>
        </w:tc>
        <w:tc>
          <w:tcPr>
            <w:tcW w:w="1530" w:type="dxa"/>
            <w:tcBorders>
              <w:bottom w:val="single" w:sz="12" w:space="0" w:color="auto"/>
            </w:tcBorders>
            <w:vAlign w:val="bottom"/>
          </w:tcPr>
          <w:p w14:paraId="5F63876C" w14:textId="2A571E73" w:rsidR="006E7384" w:rsidRPr="00EE4151" w:rsidRDefault="008F26A2" w:rsidP="00AA69A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lang w:val="fr-FR"/>
              </w:rPr>
              <w:t>6,788,121</w:t>
            </w:r>
          </w:p>
        </w:tc>
        <w:tc>
          <w:tcPr>
            <w:tcW w:w="1530" w:type="dxa"/>
            <w:tcBorders>
              <w:bottom w:val="single" w:sz="12" w:space="0" w:color="auto"/>
            </w:tcBorders>
            <w:vAlign w:val="bottom"/>
          </w:tcPr>
          <w:p w14:paraId="338467DF" w14:textId="309FF118" w:rsidR="006E7384" w:rsidRPr="00EE4151" w:rsidRDefault="006E7384" w:rsidP="00AA69A4">
            <w:pPr>
              <w:tabs>
                <w:tab w:val="left" w:pos="7214"/>
                <w:tab w:val="decimal" w:pos="8107"/>
                <w:tab w:val="left" w:pos="8467"/>
                <w:tab w:val="decimal" w:pos="9360"/>
              </w:tabs>
              <w:spacing w:after="0" w:line="240" w:lineRule="auto"/>
              <w:ind w:right="180"/>
              <w:jc w:val="right"/>
              <w:rPr>
                <w:rFonts w:ascii="Arial" w:hAnsi="Arial" w:cs="Arial"/>
                <w:szCs w:val="20"/>
                <w:lang w:val="fr-FR"/>
              </w:rPr>
            </w:pPr>
            <w:r>
              <w:rPr>
                <w:rFonts w:ascii="Arial" w:hAnsi="Arial" w:cs="Arial"/>
                <w:szCs w:val="20"/>
              </w:rPr>
              <w:t>8,250,779</w:t>
            </w:r>
          </w:p>
        </w:tc>
      </w:tr>
    </w:tbl>
    <w:p w14:paraId="5EAD7875" w14:textId="77777777" w:rsidR="00790828" w:rsidRPr="00EE4151" w:rsidRDefault="00790828" w:rsidP="00790828">
      <w:pPr>
        <w:tabs>
          <w:tab w:val="left" w:pos="7214"/>
          <w:tab w:val="decimal" w:pos="8107"/>
          <w:tab w:val="left" w:pos="8467"/>
          <w:tab w:val="decimal" w:pos="9360"/>
        </w:tabs>
        <w:spacing w:after="0" w:line="240" w:lineRule="auto"/>
        <w:jc w:val="both"/>
        <w:rPr>
          <w:rFonts w:ascii="Arial" w:hAnsi="Arial" w:cs="Arial"/>
          <w:szCs w:val="20"/>
        </w:rPr>
      </w:pPr>
    </w:p>
    <w:p w14:paraId="1D8CA712" w14:textId="04774E22" w:rsidR="00586962" w:rsidRPr="00EE4151" w:rsidRDefault="00586962"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r w:rsidRPr="00EE4151">
        <w:rPr>
          <w:rFonts w:ascii="Arial" w:hAnsi="Arial" w:cs="Arial"/>
          <w:szCs w:val="20"/>
        </w:rPr>
        <w:t xml:space="preserve">Nature of operations and </w:t>
      </w:r>
      <w:r w:rsidR="00C3710E" w:rsidRPr="00EE4151">
        <w:rPr>
          <w:rFonts w:ascii="Arial" w:hAnsi="Arial" w:cs="Arial"/>
          <w:szCs w:val="20"/>
        </w:rPr>
        <w:t>going concern</w:t>
      </w:r>
      <w:r w:rsidRPr="00EE4151">
        <w:rPr>
          <w:rFonts w:ascii="Arial" w:hAnsi="Arial" w:cs="Arial"/>
          <w:szCs w:val="20"/>
        </w:rPr>
        <w:t xml:space="preserve"> (Note 1), commitments and contingencies (Note </w:t>
      </w:r>
      <w:r w:rsidR="00873120">
        <w:rPr>
          <w:rFonts w:ascii="Arial" w:hAnsi="Arial" w:cs="Arial"/>
          <w:szCs w:val="20"/>
        </w:rPr>
        <w:t>17</w:t>
      </w:r>
      <w:r w:rsidRPr="00EE4151">
        <w:rPr>
          <w:rFonts w:ascii="Arial" w:hAnsi="Arial" w:cs="Arial"/>
          <w:szCs w:val="20"/>
        </w:rPr>
        <w:t>) and events after the reporting date (Note 2</w:t>
      </w:r>
      <w:r w:rsidR="00873120">
        <w:rPr>
          <w:rFonts w:ascii="Arial" w:hAnsi="Arial" w:cs="Arial"/>
          <w:szCs w:val="20"/>
        </w:rPr>
        <w:t>2</w:t>
      </w:r>
      <w:r w:rsidRPr="00EE4151">
        <w:rPr>
          <w:rFonts w:ascii="Arial" w:hAnsi="Arial" w:cs="Arial"/>
          <w:szCs w:val="20"/>
        </w:rPr>
        <w:t>)</w:t>
      </w:r>
    </w:p>
    <w:p w14:paraId="5F4F57EC" w14:textId="77777777" w:rsidR="00586962" w:rsidRPr="00EE4151" w:rsidRDefault="00586962"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p>
    <w:p w14:paraId="7A397204" w14:textId="37F223AC" w:rsidR="004056B2" w:rsidRPr="00EE4151"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r w:rsidRPr="00EE4151">
        <w:rPr>
          <w:rFonts w:ascii="Arial" w:hAnsi="Arial" w:cs="Arial"/>
          <w:szCs w:val="20"/>
        </w:rPr>
        <w:t>Approved on behalf of the Board of Directors</w:t>
      </w:r>
    </w:p>
    <w:p w14:paraId="54C5097C" w14:textId="17E391F7" w:rsidR="00E565BC" w:rsidRPr="00EE4151" w:rsidRDefault="00E565BC" w:rsidP="00F62D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rPr>
          <w:rFonts w:ascii="Arial" w:hAnsi="Arial" w:cs="Arial"/>
          <w:szCs w:val="20"/>
        </w:rPr>
      </w:pPr>
      <w:r w:rsidRPr="00EE4151">
        <w:rPr>
          <w:rFonts w:ascii="Arial" w:hAnsi="Arial" w:cs="Arial"/>
          <w:i/>
          <w:szCs w:val="20"/>
          <w:u w:val="single"/>
        </w:rPr>
        <w:t>“</w:t>
      </w:r>
      <w:r w:rsidR="00FC3565" w:rsidRPr="00EE4151">
        <w:rPr>
          <w:rFonts w:ascii="Arial" w:hAnsi="Arial" w:cs="Arial"/>
          <w:i/>
          <w:szCs w:val="20"/>
          <w:u w:val="single"/>
        </w:rPr>
        <w:t>Ahmad Doroudian</w:t>
      </w:r>
      <w:r w:rsidRPr="00EE4151">
        <w:rPr>
          <w:rFonts w:ascii="Arial" w:hAnsi="Arial" w:cs="Arial"/>
          <w:i/>
          <w:szCs w:val="20"/>
          <w:u w:val="single"/>
        </w:rPr>
        <w:t>”</w:t>
      </w:r>
      <w:r w:rsidRPr="00EE4151">
        <w:rPr>
          <w:rFonts w:ascii="Arial" w:hAnsi="Arial" w:cs="Arial"/>
          <w:i/>
          <w:szCs w:val="20"/>
          <w:u w:val="single"/>
        </w:rPr>
        <w:tab/>
      </w:r>
      <w:r w:rsidRPr="00EE4151">
        <w:rPr>
          <w:rFonts w:ascii="Arial" w:hAnsi="Arial" w:cs="Arial"/>
          <w:i/>
          <w:szCs w:val="20"/>
          <w:u w:val="single"/>
        </w:rPr>
        <w:tab/>
      </w:r>
      <w:r w:rsidRPr="00EE4151">
        <w:rPr>
          <w:rFonts w:ascii="Arial" w:hAnsi="Arial" w:cs="Arial"/>
          <w:i/>
          <w:szCs w:val="20"/>
        </w:rPr>
        <w:tab/>
      </w:r>
      <w:r w:rsidRPr="00EE4151">
        <w:rPr>
          <w:rFonts w:ascii="Arial" w:hAnsi="Arial" w:cs="Arial"/>
          <w:szCs w:val="20"/>
        </w:rPr>
        <w:t>Director</w:t>
      </w:r>
    </w:p>
    <w:p w14:paraId="57104B00" w14:textId="5C3BEBA2" w:rsidR="00E565BC" w:rsidRPr="00EE4151" w:rsidRDefault="00E565BC" w:rsidP="00F62D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rPr>
          <w:rFonts w:ascii="Arial" w:hAnsi="Arial" w:cs="Arial"/>
          <w:szCs w:val="20"/>
        </w:rPr>
      </w:pPr>
      <w:r w:rsidRPr="00EE4151">
        <w:rPr>
          <w:rFonts w:ascii="Arial" w:hAnsi="Arial" w:cs="Arial"/>
          <w:i/>
          <w:szCs w:val="20"/>
          <w:u w:val="single"/>
        </w:rPr>
        <w:t>“</w:t>
      </w:r>
      <w:r w:rsidR="00FC3565" w:rsidRPr="00EE4151">
        <w:rPr>
          <w:rFonts w:ascii="Arial" w:hAnsi="Arial" w:cs="Arial"/>
          <w:i/>
          <w:szCs w:val="20"/>
          <w:u w:val="single"/>
        </w:rPr>
        <w:t>Ralph Anthony Pullen</w:t>
      </w:r>
      <w:r w:rsidRPr="00EE4151">
        <w:rPr>
          <w:rFonts w:ascii="Arial" w:hAnsi="Arial" w:cs="Arial"/>
          <w:i/>
          <w:szCs w:val="20"/>
          <w:u w:val="single"/>
        </w:rPr>
        <w:t>”</w:t>
      </w:r>
      <w:r w:rsidRPr="00EE4151">
        <w:rPr>
          <w:rFonts w:ascii="Arial" w:hAnsi="Arial" w:cs="Arial"/>
          <w:i/>
          <w:szCs w:val="20"/>
          <w:u w:val="single"/>
        </w:rPr>
        <w:tab/>
      </w:r>
      <w:r w:rsidRPr="00EE4151">
        <w:rPr>
          <w:rFonts w:ascii="Arial" w:hAnsi="Arial" w:cs="Arial"/>
          <w:i/>
          <w:szCs w:val="20"/>
        </w:rPr>
        <w:tab/>
      </w:r>
      <w:r w:rsidRPr="00EE4151">
        <w:rPr>
          <w:rFonts w:ascii="Arial" w:hAnsi="Arial" w:cs="Arial"/>
          <w:szCs w:val="20"/>
        </w:rPr>
        <w:t>Director</w:t>
      </w:r>
    </w:p>
    <w:p w14:paraId="7604F1BC" w14:textId="77777777" w:rsidR="001E3067" w:rsidRDefault="001E3067" w:rsidP="00F9075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1F91E5B1" w14:textId="77777777" w:rsidR="002651F3" w:rsidRDefault="002651F3" w:rsidP="00F9075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25EE40EC" w14:textId="77777777" w:rsidR="002651F3" w:rsidRDefault="002651F3" w:rsidP="00F9075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1F6EB111" w14:textId="3B256DB3" w:rsidR="00790828" w:rsidRPr="00EE4151" w:rsidRDefault="00790828" w:rsidP="00F9075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r w:rsidRPr="00EE4151">
        <w:rPr>
          <w:rFonts w:ascii="Arial" w:hAnsi="Arial" w:cs="Arial"/>
          <w:szCs w:val="20"/>
        </w:rPr>
        <w:t xml:space="preserve">(The accompanying notes are an integral part of these </w:t>
      </w:r>
      <w:r w:rsidR="008F26A2">
        <w:rPr>
          <w:rFonts w:ascii="Arial" w:hAnsi="Arial" w:cs="Arial"/>
          <w:szCs w:val="20"/>
        </w:rPr>
        <w:t xml:space="preserve">condensed </w:t>
      </w:r>
      <w:r w:rsidR="008B680A" w:rsidRPr="00EE4151">
        <w:rPr>
          <w:rFonts w:ascii="Arial" w:hAnsi="Arial" w:cs="Arial"/>
          <w:szCs w:val="20"/>
        </w:rPr>
        <w:t>consolidated</w:t>
      </w:r>
      <w:r w:rsidR="008F26A2">
        <w:rPr>
          <w:rFonts w:ascii="Arial" w:hAnsi="Arial" w:cs="Arial"/>
          <w:szCs w:val="20"/>
        </w:rPr>
        <w:t xml:space="preserve"> interim</w:t>
      </w:r>
      <w:r w:rsidR="008B680A" w:rsidRPr="00EE4151">
        <w:rPr>
          <w:rFonts w:ascii="Arial" w:hAnsi="Arial" w:cs="Arial"/>
          <w:szCs w:val="20"/>
        </w:rPr>
        <w:t xml:space="preserve"> financial statements</w:t>
      </w:r>
      <w:r w:rsidRPr="00EE4151">
        <w:rPr>
          <w:rFonts w:ascii="Arial" w:hAnsi="Arial" w:cs="Arial"/>
          <w:szCs w:val="20"/>
        </w:rPr>
        <w:t>)</w:t>
      </w:r>
    </w:p>
    <w:p w14:paraId="4267BDD9" w14:textId="17CF2B94" w:rsidR="000F2E3C" w:rsidRDefault="00790828" w:rsidP="000F2E3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rPr>
          <w:rFonts w:ascii="Arial" w:hAnsi="Arial" w:cs="Arial"/>
          <w:b/>
          <w:bCs/>
          <w:szCs w:val="20"/>
        </w:rPr>
      </w:pPr>
      <w:r w:rsidRPr="00EE4151">
        <w:rPr>
          <w:rFonts w:cs="Arial"/>
          <w:b/>
          <w:bCs/>
          <w:szCs w:val="20"/>
        </w:rPr>
        <w:br w:type="page"/>
      </w:r>
      <w:r w:rsidR="000F2E3C">
        <w:rPr>
          <w:rFonts w:ascii="Arial" w:hAnsi="Arial" w:cs="Arial"/>
          <w:b/>
          <w:bCs/>
          <w:sz w:val="24"/>
        </w:rPr>
        <w:lastRenderedPageBreak/>
        <w:t xml:space="preserve">BETTERLIFE PHARMA INC. </w:t>
      </w:r>
    </w:p>
    <w:p w14:paraId="2B5D14C9" w14:textId="6F6CA779" w:rsidR="00790828" w:rsidRPr="009F3026" w:rsidRDefault="008F26A2" w:rsidP="000F2E3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rPr>
          <w:rFonts w:ascii="Arial" w:hAnsi="Arial" w:cs="Arial"/>
          <w:bCs/>
        </w:rPr>
      </w:pPr>
      <w:r>
        <w:rPr>
          <w:rFonts w:ascii="Arial" w:hAnsi="Arial" w:cs="Arial"/>
          <w:bCs/>
        </w:rPr>
        <w:t xml:space="preserve">Condensed </w:t>
      </w:r>
      <w:r w:rsidR="008E7C6B">
        <w:rPr>
          <w:rFonts w:ascii="Arial" w:hAnsi="Arial" w:cs="Arial"/>
          <w:bCs/>
        </w:rPr>
        <w:t>Consolidated</w:t>
      </w:r>
      <w:r>
        <w:rPr>
          <w:rFonts w:ascii="Arial" w:hAnsi="Arial" w:cs="Arial"/>
          <w:bCs/>
        </w:rPr>
        <w:t xml:space="preserve"> Interim</w:t>
      </w:r>
      <w:r w:rsidR="008E7C6B">
        <w:rPr>
          <w:rFonts w:ascii="Arial" w:hAnsi="Arial" w:cs="Arial"/>
          <w:bCs/>
        </w:rPr>
        <w:t xml:space="preserve"> </w:t>
      </w:r>
      <w:r w:rsidR="00790828" w:rsidRPr="009F3026">
        <w:rPr>
          <w:rFonts w:ascii="Arial" w:hAnsi="Arial" w:cs="Arial"/>
          <w:bCs/>
        </w:rPr>
        <w:t xml:space="preserve">Statements of </w:t>
      </w:r>
      <w:r w:rsidR="008B4AE2">
        <w:rPr>
          <w:rFonts w:ascii="Arial" w:hAnsi="Arial" w:cs="Arial"/>
          <w:bCs/>
        </w:rPr>
        <w:t xml:space="preserve">Comprehensive </w:t>
      </w:r>
      <w:r w:rsidR="009E6977">
        <w:rPr>
          <w:rFonts w:ascii="Arial" w:hAnsi="Arial" w:cs="Arial"/>
          <w:bCs/>
        </w:rPr>
        <w:t>Income (</w:t>
      </w:r>
      <w:r w:rsidR="008B4AE2">
        <w:rPr>
          <w:rFonts w:ascii="Arial" w:hAnsi="Arial" w:cs="Arial"/>
          <w:bCs/>
        </w:rPr>
        <w:t>Loss</w:t>
      </w:r>
      <w:r w:rsidR="009E6977">
        <w:rPr>
          <w:rFonts w:ascii="Arial" w:hAnsi="Arial" w:cs="Arial"/>
          <w:bCs/>
        </w:rPr>
        <w:t>)</w:t>
      </w:r>
      <w:r w:rsidR="00DA2635">
        <w:rPr>
          <w:rFonts w:ascii="Arial" w:hAnsi="Arial" w:cs="Arial"/>
          <w:bCs/>
        </w:rPr>
        <w:t xml:space="preserve"> </w:t>
      </w:r>
      <w:r w:rsidR="006E7384">
        <w:rPr>
          <w:rFonts w:ascii="Arial" w:hAnsi="Arial" w:cs="Arial"/>
          <w:bCs/>
        </w:rPr>
        <w:t>(unaudited)</w:t>
      </w:r>
    </w:p>
    <w:p w14:paraId="2CF33478" w14:textId="4F6D6D87" w:rsidR="00790828" w:rsidRDefault="00790828" w:rsidP="00790828">
      <w:pPr>
        <w:tabs>
          <w:tab w:val="left" w:pos="7214"/>
          <w:tab w:val="decimal" w:pos="8107"/>
          <w:tab w:val="left" w:pos="8467"/>
          <w:tab w:val="decimal" w:pos="9360"/>
        </w:tabs>
        <w:spacing w:after="0" w:line="240" w:lineRule="auto"/>
        <w:jc w:val="both"/>
        <w:rPr>
          <w:rFonts w:ascii="Arial" w:hAnsi="Arial" w:cs="Arial"/>
        </w:rPr>
      </w:pPr>
      <w:r w:rsidRPr="009F3026">
        <w:rPr>
          <w:rFonts w:ascii="Arial" w:hAnsi="Arial" w:cs="Arial"/>
        </w:rPr>
        <w:t>(Expressed in</w:t>
      </w:r>
      <w:r w:rsidR="0070656C">
        <w:rPr>
          <w:rFonts w:ascii="Arial" w:hAnsi="Arial" w:cs="Arial"/>
        </w:rPr>
        <w:t xml:space="preserve"> Canadian</w:t>
      </w:r>
      <w:r w:rsidRPr="009F3026">
        <w:rPr>
          <w:rFonts w:ascii="Arial" w:hAnsi="Arial" w:cs="Arial"/>
        </w:rPr>
        <w:t xml:space="preserve"> dollars)</w:t>
      </w:r>
    </w:p>
    <w:tbl>
      <w:tblPr>
        <w:tblW w:w="9862" w:type="dxa"/>
        <w:tblInd w:w="8" w:type="dxa"/>
        <w:tblLayout w:type="fixed"/>
        <w:tblCellMar>
          <w:left w:w="0" w:type="dxa"/>
          <w:right w:w="0" w:type="dxa"/>
        </w:tblCellMar>
        <w:tblLook w:val="0000" w:firstRow="0" w:lastRow="0" w:firstColumn="0" w:lastColumn="0" w:noHBand="0" w:noVBand="0"/>
      </w:tblPr>
      <w:tblGrid>
        <w:gridCol w:w="6112"/>
        <w:gridCol w:w="360"/>
        <w:gridCol w:w="270"/>
        <w:gridCol w:w="1554"/>
        <w:gridCol w:w="6"/>
        <w:gridCol w:w="1549"/>
        <w:gridCol w:w="11"/>
      </w:tblGrid>
      <w:tr w:rsidR="00555018" w:rsidRPr="009F3026" w14:paraId="62C87791" w14:textId="77777777" w:rsidTr="000F6795">
        <w:tc>
          <w:tcPr>
            <w:tcW w:w="6112" w:type="dxa"/>
          </w:tcPr>
          <w:p w14:paraId="6B33C961" w14:textId="77777777" w:rsidR="00555018" w:rsidRPr="009F3026" w:rsidRDefault="00555018" w:rsidP="00EA1905">
            <w:pPr>
              <w:tabs>
                <w:tab w:val="left" w:pos="7214"/>
                <w:tab w:val="decimal" w:pos="8107"/>
                <w:tab w:val="left" w:pos="8467"/>
                <w:tab w:val="decimal" w:pos="9360"/>
              </w:tabs>
              <w:spacing w:after="0" w:line="240" w:lineRule="auto"/>
              <w:rPr>
                <w:rFonts w:ascii="Arial" w:hAnsi="Arial" w:cs="Arial"/>
                <w:sz w:val="18"/>
                <w:szCs w:val="18"/>
              </w:rPr>
            </w:pPr>
          </w:p>
        </w:tc>
        <w:tc>
          <w:tcPr>
            <w:tcW w:w="630" w:type="dxa"/>
            <w:gridSpan w:val="2"/>
          </w:tcPr>
          <w:p w14:paraId="7F1F5391" w14:textId="49F74039" w:rsidR="0055501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p>
        </w:tc>
        <w:tc>
          <w:tcPr>
            <w:tcW w:w="3120" w:type="dxa"/>
            <w:gridSpan w:val="4"/>
          </w:tcPr>
          <w:p w14:paraId="330F0891" w14:textId="7FDEAD8B" w:rsidR="00555018" w:rsidRPr="009F3026" w:rsidRDefault="006E738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Three Months Ended</w:t>
            </w:r>
          </w:p>
        </w:tc>
      </w:tr>
      <w:tr w:rsidR="00790828" w:rsidRPr="009F3026" w14:paraId="534865FE" w14:textId="77777777" w:rsidTr="000F6795">
        <w:tc>
          <w:tcPr>
            <w:tcW w:w="6112" w:type="dxa"/>
            <w:tcBorders>
              <w:bottom w:val="single" w:sz="4" w:space="0" w:color="auto"/>
            </w:tcBorders>
          </w:tcPr>
          <w:p w14:paraId="466A3530" w14:textId="77777777" w:rsidR="00790828" w:rsidRPr="009F3026" w:rsidRDefault="00790828" w:rsidP="00790828">
            <w:pPr>
              <w:tabs>
                <w:tab w:val="left" w:pos="7214"/>
                <w:tab w:val="decimal" w:pos="8107"/>
                <w:tab w:val="left" w:pos="8467"/>
                <w:tab w:val="decimal" w:pos="9360"/>
              </w:tabs>
              <w:spacing w:after="0" w:line="240" w:lineRule="auto"/>
              <w:rPr>
                <w:rFonts w:ascii="Arial" w:hAnsi="Arial" w:cs="Arial"/>
                <w:sz w:val="18"/>
                <w:szCs w:val="18"/>
              </w:rPr>
            </w:pPr>
          </w:p>
        </w:tc>
        <w:tc>
          <w:tcPr>
            <w:tcW w:w="360" w:type="dxa"/>
            <w:tcBorders>
              <w:bottom w:val="single" w:sz="4" w:space="0" w:color="auto"/>
            </w:tcBorders>
          </w:tcPr>
          <w:p w14:paraId="738748FA" w14:textId="2D67B64E" w:rsidR="008568A1" w:rsidRPr="009F3026" w:rsidRDefault="008568A1" w:rsidP="00555018">
            <w:pPr>
              <w:tabs>
                <w:tab w:val="left" w:pos="7214"/>
                <w:tab w:val="decimal" w:pos="8107"/>
                <w:tab w:val="left" w:pos="8467"/>
                <w:tab w:val="decimal" w:pos="9360"/>
              </w:tabs>
              <w:spacing w:after="0" w:line="240" w:lineRule="auto"/>
              <w:ind w:left="-20" w:right="-80"/>
              <w:jc w:val="center"/>
              <w:rPr>
                <w:rFonts w:ascii="Arial" w:hAnsi="Arial" w:cs="Arial"/>
                <w:szCs w:val="20"/>
              </w:rPr>
            </w:pPr>
          </w:p>
        </w:tc>
        <w:tc>
          <w:tcPr>
            <w:tcW w:w="270" w:type="dxa"/>
            <w:tcBorders>
              <w:bottom w:val="single" w:sz="4" w:space="0" w:color="auto"/>
            </w:tcBorders>
          </w:tcPr>
          <w:p w14:paraId="6CD627CE" w14:textId="7EC9A1E1" w:rsidR="00790828" w:rsidRPr="009F3026" w:rsidRDefault="00790828" w:rsidP="00555018">
            <w:pPr>
              <w:tabs>
                <w:tab w:val="left" w:pos="7214"/>
                <w:tab w:val="decimal" w:pos="8107"/>
                <w:tab w:val="left" w:pos="8467"/>
                <w:tab w:val="decimal" w:pos="9360"/>
              </w:tabs>
              <w:spacing w:after="0" w:line="240" w:lineRule="auto"/>
              <w:ind w:left="-20" w:right="-80"/>
              <w:jc w:val="center"/>
              <w:rPr>
                <w:rFonts w:ascii="Arial" w:hAnsi="Arial" w:cs="Arial"/>
                <w:szCs w:val="20"/>
              </w:rPr>
            </w:pPr>
          </w:p>
        </w:tc>
        <w:tc>
          <w:tcPr>
            <w:tcW w:w="1560" w:type="dxa"/>
            <w:gridSpan w:val="2"/>
            <w:tcBorders>
              <w:bottom w:val="single" w:sz="4" w:space="0" w:color="auto"/>
            </w:tcBorders>
          </w:tcPr>
          <w:p w14:paraId="5D6209BF" w14:textId="1F7F6417" w:rsidR="00AB1BD4" w:rsidRDefault="006E738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April 30,</w:t>
            </w:r>
          </w:p>
          <w:p w14:paraId="752F8E22" w14:textId="75C5DF7A" w:rsidR="006E7384" w:rsidRPr="00F9075E" w:rsidRDefault="006E738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2020</w:t>
            </w:r>
          </w:p>
          <w:p w14:paraId="2F776F30" w14:textId="151CB9CF" w:rsidR="00AB1BD4" w:rsidRPr="00F9075E" w:rsidRDefault="00AB1BD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sidRPr="00F9075E">
              <w:rPr>
                <w:rFonts w:ascii="Arial" w:hAnsi="Arial" w:cs="Arial"/>
                <w:szCs w:val="20"/>
              </w:rPr>
              <w:t>$</w:t>
            </w:r>
          </w:p>
        </w:tc>
        <w:tc>
          <w:tcPr>
            <w:tcW w:w="1560" w:type="dxa"/>
            <w:gridSpan w:val="2"/>
            <w:tcBorders>
              <w:bottom w:val="single" w:sz="4" w:space="0" w:color="auto"/>
            </w:tcBorders>
          </w:tcPr>
          <w:p w14:paraId="3A11AD61" w14:textId="673A6709" w:rsidR="00AB1BD4" w:rsidRPr="00151122" w:rsidRDefault="006E738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sidRPr="00151122">
              <w:rPr>
                <w:rFonts w:ascii="Arial" w:hAnsi="Arial" w:cs="Arial"/>
                <w:szCs w:val="20"/>
              </w:rPr>
              <w:t>April 30,</w:t>
            </w:r>
          </w:p>
          <w:p w14:paraId="468FAFA4" w14:textId="04B683E8" w:rsidR="006E7384" w:rsidRDefault="006E738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sidRPr="00151122">
              <w:rPr>
                <w:rFonts w:ascii="Arial" w:hAnsi="Arial" w:cs="Arial"/>
                <w:szCs w:val="20"/>
              </w:rPr>
              <w:t>2019</w:t>
            </w:r>
          </w:p>
          <w:p w14:paraId="306950AA" w14:textId="533523CD" w:rsidR="00AB1BD4" w:rsidRPr="009F3026" w:rsidRDefault="00AB1BD4"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r>
      <w:tr w:rsidR="00790828" w:rsidRPr="009F3026" w14:paraId="2BE61722" w14:textId="77777777" w:rsidTr="000F6795">
        <w:trPr>
          <w:trHeight w:val="305"/>
        </w:trPr>
        <w:tc>
          <w:tcPr>
            <w:tcW w:w="6112" w:type="dxa"/>
            <w:tcBorders>
              <w:top w:val="single" w:sz="4" w:space="0" w:color="auto"/>
            </w:tcBorders>
          </w:tcPr>
          <w:p w14:paraId="1B7DB21E" w14:textId="078475EF" w:rsidR="00790828" w:rsidRPr="009F3026" w:rsidRDefault="00790828" w:rsidP="00EE4151">
            <w:pPr>
              <w:tabs>
                <w:tab w:val="left" w:pos="7214"/>
                <w:tab w:val="decimal" w:pos="8107"/>
                <w:tab w:val="left" w:pos="8467"/>
                <w:tab w:val="decimal" w:pos="9360"/>
              </w:tabs>
              <w:spacing w:before="120" w:after="0" w:line="240" w:lineRule="auto"/>
              <w:rPr>
                <w:rFonts w:ascii="Arial" w:hAnsi="Arial" w:cs="Arial"/>
              </w:rPr>
            </w:pPr>
          </w:p>
        </w:tc>
        <w:tc>
          <w:tcPr>
            <w:tcW w:w="360" w:type="dxa"/>
            <w:tcBorders>
              <w:top w:val="single" w:sz="4" w:space="0" w:color="auto"/>
            </w:tcBorders>
          </w:tcPr>
          <w:p w14:paraId="4026F181" w14:textId="77777777" w:rsidR="00790828" w:rsidRPr="009F3026" w:rsidRDefault="00790828" w:rsidP="00EE4151">
            <w:pPr>
              <w:tabs>
                <w:tab w:val="left" w:pos="7214"/>
                <w:tab w:val="decimal" w:pos="8107"/>
                <w:tab w:val="left" w:pos="8467"/>
                <w:tab w:val="decimal" w:pos="9360"/>
              </w:tabs>
              <w:spacing w:before="120" w:after="0" w:line="240" w:lineRule="auto"/>
              <w:ind w:right="270"/>
              <w:jc w:val="right"/>
              <w:rPr>
                <w:rFonts w:ascii="Arial" w:hAnsi="Arial" w:cs="Arial"/>
              </w:rPr>
            </w:pPr>
          </w:p>
        </w:tc>
        <w:tc>
          <w:tcPr>
            <w:tcW w:w="270" w:type="dxa"/>
            <w:tcBorders>
              <w:top w:val="single" w:sz="4" w:space="0" w:color="auto"/>
            </w:tcBorders>
          </w:tcPr>
          <w:p w14:paraId="310BBC14" w14:textId="38AB46D7" w:rsidR="00790828" w:rsidRPr="009F3026" w:rsidRDefault="00790828" w:rsidP="00EE4151">
            <w:pPr>
              <w:tabs>
                <w:tab w:val="left" w:pos="7214"/>
                <w:tab w:val="decimal" w:pos="8107"/>
                <w:tab w:val="left" w:pos="8467"/>
                <w:tab w:val="decimal" w:pos="9360"/>
              </w:tabs>
              <w:spacing w:before="120" w:after="0" w:line="240" w:lineRule="auto"/>
              <w:ind w:right="270"/>
              <w:jc w:val="right"/>
              <w:rPr>
                <w:rFonts w:ascii="Arial" w:hAnsi="Arial" w:cs="Arial"/>
              </w:rPr>
            </w:pPr>
          </w:p>
        </w:tc>
        <w:tc>
          <w:tcPr>
            <w:tcW w:w="1560" w:type="dxa"/>
            <w:gridSpan w:val="2"/>
            <w:tcBorders>
              <w:top w:val="single" w:sz="4" w:space="0" w:color="auto"/>
            </w:tcBorders>
          </w:tcPr>
          <w:p w14:paraId="2A3B196B" w14:textId="77777777" w:rsidR="00790828" w:rsidRPr="00F9075E" w:rsidRDefault="00790828" w:rsidP="00EE4151">
            <w:pPr>
              <w:tabs>
                <w:tab w:val="left" w:pos="7214"/>
                <w:tab w:val="decimal" w:pos="8107"/>
                <w:tab w:val="left" w:pos="8467"/>
                <w:tab w:val="decimal" w:pos="9360"/>
              </w:tabs>
              <w:spacing w:before="120" w:after="0" w:line="240" w:lineRule="auto"/>
              <w:ind w:right="114"/>
              <w:jc w:val="center"/>
              <w:rPr>
                <w:rFonts w:ascii="Arial" w:hAnsi="Arial" w:cs="Arial"/>
              </w:rPr>
            </w:pPr>
          </w:p>
        </w:tc>
        <w:tc>
          <w:tcPr>
            <w:tcW w:w="1560" w:type="dxa"/>
            <w:gridSpan w:val="2"/>
            <w:tcBorders>
              <w:top w:val="single" w:sz="4" w:space="0" w:color="auto"/>
            </w:tcBorders>
          </w:tcPr>
          <w:p w14:paraId="384AE2A8" w14:textId="4F2DF6E5" w:rsidR="00790828" w:rsidRPr="009F3026" w:rsidRDefault="00370EC4" w:rsidP="00EE4151">
            <w:pPr>
              <w:tabs>
                <w:tab w:val="left" w:pos="7214"/>
                <w:tab w:val="decimal" w:pos="8107"/>
                <w:tab w:val="left" w:pos="8467"/>
                <w:tab w:val="decimal" w:pos="9360"/>
              </w:tabs>
              <w:spacing w:before="120" w:after="0" w:line="240" w:lineRule="auto"/>
              <w:ind w:right="114"/>
              <w:jc w:val="center"/>
              <w:rPr>
                <w:rFonts w:ascii="Arial" w:hAnsi="Arial" w:cs="Arial"/>
              </w:rPr>
            </w:pPr>
            <w:r>
              <w:rPr>
                <w:rFonts w:ascii="Arial" w:hAnsi="Arial" w:cs="Arial"/>
              </w:rPr>
              <w:t>(Note</w:t>
            </w:r>
            <w:r w:rsidR="005F40A9">
              <w:rPr>
                <w:rFonts w:ascii="Arial" w:hAnsi="Arial" w:cs="Arial"/>
              </w:rPr>
              <w:t xml:space="preserve"> 2</w:t>
            </w:r>
            <w:r w:rsidR="008772F7">
              <w:rPr>
                <w:rFonts w:ascii="Arial" w:hAnsi="Arial" w:cs="Arial"/>
              </w:rPr>
              <w:t>3</w:t>
            </w:r>
            <w:r>
              <w:rPr>
                <w:rFonts w:ascii="Arial" w:hAnsi="Arial" w:cs="Arial"/>
              </w:rPr>
              <w:t>)</w:t>
            </w:r>
          </w:p>
        </w:tc>
      </w:tr>
      <w:tr w:rsidR="00CD67B3" w:rsidRPr="009F3026" w14:paraId="3752D9F2" w14:textId="77777777" w:rsidTr="000F6795">
        <w:tc>
          <w:tcPr>
            <w:tcW w:w="6112" w:type="dxa"/>
            <w:tcBorders>
              <w:bottom w:val="single" w:sz="4" w:space="0" w:color="auto"/>
            </w:tcBorders>
            <w:vAlign w:val="bottom"/>
          </w:tcPr>
          <w:p w14:paraId="35122D7F"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Revenue</w:t>
            </w:r>
          </w:p>
        </w:tc>
        <w:tc>
          <w:tcPr>
            <w:tcW w:w="360" w:type="dxa"/>
            <w:tcBorders>
              <w:bottom w:val="single" w:sz="4" w:space="0" w:color="auto"/>
            </w:tcBorders>
          </w:tcPr>
          <w:p w14:paraId="1568392E" w14:textId="1DC97801"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4" w:space="0" w:color="auto"/>
            </w:tcBorders>
            <w:vAlign w:val="bottom"/>
          </w:tcPr>
          <w:p w14:paraId="5A665D98" w14:textId="550D864B"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4" w:space="0" w:color="auto"/>
            </w:tcBorders>
          </w:tcPr>
          <w:p w14:paraId="24217FCA" w14:textId="77777777" w:rsidR="00CD67B3" w:rsidRPr="00F9075E"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Borders>
              <w:bottom w:val="single" w:sz="4" w:space="0" w:color="auto"/>
            </w:tcBorders>
          </w:tcPr>
          <w:p w14:paraId="34302D9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0A13BA81" w14:textId="77777777" w:rsidTr="000F6795">
        <w:tc>
          <w:tcPr>
            <w:tcW w:w="6112" w:type="dxa"/>
            <w:tcBorders>
              <w:top w:val="single" w:sz="4" w:space="0" w:color="auto"/>
            </w:tcBorders>
            <w:vAlign w:val="bottom"/>
          </w:tcPr>
          <w:p w14:paraId="007FE0B3"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44DBE6F4"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4337F3C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8F4BF7" w14:textId="77777777" w:rsidR="00CD67B3" w:rsidRPr="00F9075E"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1862318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3391FBE" w14:textId="77777777" w:rsidTr="000F6795">
        <w:tc>
          <w:tcPr>
            <w:tcW w:w="6112" w:type="dxa"/>
            <w:vAlign w:val="bottom"/>
          </w:tcPr>
          <w:p w14:paraId="31E696E5"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Expenses</w:t>
            </w:r>
          </w:p>
        </w:tc>
        <w:tc>
          <w:tcPr>
            <w:tcW w:w="360" w:type="dxa"/>
          </w:tcPr>
          <w:p w14:paraId="7637933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4D17EF36"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A40CE0C" w14:textId="77777777" w:rsidR="00CD67B3" w:rsidRPr="00F9075E"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132D7DA0"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A350D0F" w14:textId="77777777" w:rsidTr="000F6795">
        <w:tc>
          <w:tcPr>
            <w:tcW w:w="6112" w:type="dxa"/>
            <w:vAlign w:val="bottom"/>
          </w:tcPr>
          <w:p w14:paraId="7657608C" w14:textId="7E9C3C88" w:rsidR="00CD67B3" w:rsidRPr="009F3026" w:rsidRDefault="00345C28"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Amortization and d</w:t>
            </w:r>
            <w:r w:rsidR="003131A7">
              <w:rPr>
                <w:rFonts w:ascii="Arial" w:hAnsi="Arial" w:cs="Arial"/>
              </w:rPr>
              <w:t>epreciation</w:t>
            </w:r>
            <w:r w:rsidR="002D6CBE">
              <w:rPr>
                <w:rFonts w:ascii="Arial" w:hAnsi="Arial" w:cs="Arial"/>
              </w:rPr>
              <w:t xml:space="preserve"> of equipment and intangible assets</w:t>
            </w:r>
            <w:r>
              <w:rPr>
                <w:rFonts w:ascii="Arial" w:hAnsi="Arial" w:cs="Arial"/>
              </w:rPr>
              <w:t xml:space="preserve"> </w:t>
            </w:r>
            <w:r w:rsidR="003131A7">
              <w:rPr>
                <w:rFonts w:ascii="Arial" w:hAnsi="Arial" w:cs="Arial"/>
              </w:rPr>
              <w:t xml:space="preserve">(Notes </w:t>
            </w:r>
            <w:r w:rsidR="00B5181F">
              <w:rPr>
                <w:rFonts w:ascii="Arial" w:hAnsi="Arial" w:cs="Arial"/>
              </w:rPr>
              <w:t>7</w:t>
            </w:r>
            <w:r w:rsidR="003131A7">
              <w:rPr>
                <w:rFonts w:ascii="Arial" w:hAnsi="Arial" w:cs="Arial"/>
              </w:rPr>
              <w:t xml:space="preserve"> and </w:t>
            </w:r>
            <w:r w:rsidR="00B5181F">
              <w:rPr>
                <w:rFonts w:ascii="Arial" w:hAnsi="Arial" w:cs="Arial"/>
              </w:rPr>
              <w:t>8</w:t>
            </w:r>
            <w:r w:rsidR="003131A7">
              <w:rPr>
                <w:rFonts w:ascii="Arial" w:hAnsi="Arial" w:cs="Arial"/>
              </w:rPr>
              <w:t>)</w:t>
            </w:r>
          </w:p>
        </w:tc>
        <w:tc>
          <w:tcPr>
            <w:tcW w:w="360" w:type="dxa"/>
          </w:tcPr>
          <w:p w14:paraId="111FBED1" w14:textId="02E5D37A"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09E81765" w14:textId="45EE95D5"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7D62B66" w14:textId="54C1EA12" w:rsidR="00345C28" w:rsidRPr="00F9075E" w:rsidRDefault="000F6795"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46,14</w:t>
            </w:r>
            <w:r w:rsidR="0032772B">
              <w:rPr>
                <w:rFonts w:ascii="Arial" w:hAnsi="Arial" w:cs="Arial"/>
              </w:rPr>
              <w:t>5</w:t>
            </w:r>
          </w:p>
        </w:tc>
        <w:tc>
          <w:tcPr>
            <w:tcW w:w="1560" w:type="dxa"/>
            <w:gridSpan w:val="2"/>
          </w:tcPr>
          <w:p w14:paraId="5E4BBA40" w14:textId="7D19DF6C" w:rsidR="00AE5D26" w:rsidRPr="008B60A3" w:rsidRDefault="004A4A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241,099</w:t>
            </w:r>
          </w:p>
        </w:tc>
      </w:tr>
      <w:tr w:rsidR="00B07CA9" w:rsidRPr="009F3026" w14:paraId="413D1CD8" w14:textId="77777777" w:rsidTr="00C226CC">
        <w:tc>
          <w:tcPr>
            <w:tcW w:w="6112" w:type="dxa"/>
            <w:vAlign w:val="bottom"/>
          </w:tcPr>
          <w:p w14:paraId="110B8ADA" w14:textId="77777777" w:rsidR="00B07CA9" w:rsidRPr="009F3026" w:rsidRDefault="00B07CA9" w:rsidP="00C226CC">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Amortization of right-of-use assets (Note 9)</w:t>
            </w:r>
          </w:p>
        </w:tc>
        <w:tc>
          <w:tcPr>
            <w:tcW w:w="360" w:type="dxa"/>
          </w:tcPr>
          <w:p w14:paraId="02DA95E1" w14:textId="77777777" w:rsidR="00B07CA9" w:rsidRDefault="00B07CA9" w:rsidP="00C226CC">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16B4938F" w14:textId="77777777" w:rsidR="00B07CA9" w:rsidRDefault="00B07CA9" w:rsidP="00C226CC">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88D9EFC" w14:textId="77777777" w:rsidR="00B07CA9" w:rsidRPr="00F9075E" w:rsidRDefault="00B07CA9" w:rsidP="00C226CC">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18,827</w:t>
            </w:r>
          </w:p>
        </w:tc>
        <w:tc>
          <w:tcPr>
            <w:tcW w:w="1560" w:type="dxa"/>
            <w:gridSpan w:val="2"/>
            <w:vAlign w:val="bottom"/>
          </w:tcPr>
          <w:p w14:paraId="5C18DF58" w14:textId="0F6B3F86" w:rsidR="00B07CA9" w:rsidRPr="008B60A3" w:rsidRDefault="004A4A51" w:rsidP="00C226CC">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103,498</w:t>
            </w:r>
          </w:p>
        </w:tc>
      </w:tr>
      <w:tr w:rsidR="00345C28" w:rsidRPr="009F3026" w14:paraId="3F0C719A" w14:textId="77777777" w:rsidTr="000F6795">
        <w:tc>
          <w:tcPr>
            <w:tcW w:w="6112" w:type="dxa"/>
            <w:vAlign w:val="bottom"/>
          </w:tcPr>
          <w:p w14:paraId="5FEBC5F4" w14:textId="68077A43" w:rsidR="00345C28" w:rsidRDefault="00345C28"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Consulting fees</w:t>
            </w:r>
          </w:p>
        </w:tc>
        <w:tc>
          <w:tcPr>
            <w:tcW w:w="360" w:type="dxa"/>
          </w:tcPr>
          <w:p w14:paraId="73161181" w14:textId="77777777" w:rsidR="00345C28" w:rsidRPr="009F3026" w:rsidRDefault="00345C28"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30AA8956" w14:textId="77777777" w:rsidR="00345C28" w:rsidRPr="009F3026" w:rsidRDefault="00345C28"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19636B4E" w14:textId="0321836B" w:rsidR="00345C28" w:rsidRPr="00F9075E" w:rsidRDefault="00FF78B9"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141,881</w:t>
            </w:r>
          </w:p>
        </w:tc>
        <w:tc>
          <w:tcPr>
            <w:tcW w:w="1560" w:type="dxa"/>
            <w:gridSpan w:val="2"/>
          </w:tcPr>
          <w:p w14:paraId="1618589E" w14:textId="639C7AC4" w:rsidR="00345C28" w:rsidRPr="008B60A3" w:rsidRDefault="00FB3914"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222,480</w:t>
            </w:r>
          </w:p>
        </w:tc>
      </w:tr>
      <w:tr w:rsidR="00CD67B3" w:rsidRPr="009F3026" w14:paraId="34E8E8CA" w14:textId="77777777" w:rsidTr="000F6795">
        <w:tc>
          <w:tcPr>
            <w:tcW w:w="6112" w:type="dxa"/>
            <w:vAlign w:val="bottom"/>
          </w:tcPr>
          <w:p w14:paraId="6E4C28E9" w14:textId="1D9D321B"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Foreign exchange</w:t>
            </w:r>
            <w:r w:rsidR="000F6795">
              <w:rPr>
                <w:rFonts w:ascii="Arial" w:hAnsi="Arial" w:cs="Arial"/>
              </w:rPr>
              <w:t xml:space="preserve"> gain</w:t>
            </w:r>
          </w:p>
        </w:tc>
        <w:tc>
          <w:tcPr>
            <w:tcW w:w="360" w:type="dxa"/>
          </w:tcPr>
          <w:p w14:paraId="7ACA6C7A" w14:textId="432DDD31"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42B06BA6" w14:textId="518B69EE"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051E855E" w14:textId="74592647" w:rsidR="00CD67B3" w:rsidRPr="00F9075E" w:rsidRDefault="000F6795" w:rsidP="004B6CC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(46,585)</w:t>
            </w:r>
          </w:p>
        </w:tc>
        <w:tc>
          <w:tcPr>
            <w:tcW w:w="1560" w:type="dxa"/>
            <w:gridSpan w:val="2"/>
          </w:tcPr>
          <w:p w14:paraId="7EEF1440" w14:textId="3365FA84" w:rsidR="00CD67B3" w:rsidRPr="008B60A3" w:rsidRDefault="00FB3914" w:rsidP="00516896">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(16,825)</w:t>
            </w:r>
          </w:p>
        </w:tc>
      </w:tr>
      <w:tr w:rsidR="00CD67B3" w:rsidRPr="009F3026" w14:paraId="473CFEDD" w14:textId="77777777" w:rsidTr="000F6795">
        <w:tc>
          <w:tcPr>
            <w:tcW w:w="6112" w:type="dxa"/>
            <w:vAlign w:val="bottom"/>
          </w:tcPr>
          <w:p w14:paraId="66376BDE"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General and administrative</w:t>
            </w:r>
          </w:p>
        </w:tc>
        <w:tc>
          <w:tcPr>
            <w:tcW w:w="360" w:type="dxa"/>
          </w:tcPr>
          <w:p w14:paraId="7731FF5C" w14:textId="6C6BB416"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541E52D9" w14:textId="7AE8AE05" w:rsidR="00CD67B3" w:rsidRPr="009F3026" w:rsidRDefault="00CD67B3" w:rsidP="00D3123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A5D345D" w14:textId="3ACEB87D" w:rsidR="00CD67B3" w:rsidRPr="00F9075E" w:rsidRDefault="00C81CB8"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100,0</w:t>
            </w:r>
            <w:r w:rsidR="00C35952">
              <w:rPr>
                <w:rFonts w:ascii="Arial" w:hAnsi="Arial" w:cs="Arial"/>
              </w:rPr>
              <w:t>49</w:t>
            </w:r>
          </w:p>
        </w:tc>
        <w:tc>
          <w:tcPr>
            <w:tcW w:w="1560" w:type="dxa"/>
            <w:gridSpan w:val="2"/>
          </w:tcPr>
          <w:p w14:paraId="54AE8BFB" w14:textId="6B94403D" w:rsidR="00CD67B3" w:rsidRPr="008B60A3" w:rsidRDefault="004A4A51"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114,372</w:t>
            </w:r>
          </w:p>
        </w:tc>
      </w:tr>
      <w:tr w:rsidR="00864115" w:rsidRPr="009F3026" w14:paraId="1278D7A9" w14:textId="77777777" w:rsidTr="000F6795">
        <w:tc>
          <w:tcPr>
            <w:tcW w:w="6112" w:type="dxa"/>
            <w:vAlign w:val="bottom"/>
          </w:tcPr>
          <w:p w14:paraId="510DAB98" w14:textId="488A1494" w:rsidR="00864115" w:rsidRPr="009F3026" w:rsidRDefault="00864115" w:rsidP="00864115">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Lease liability expense (Note </w:t>
            </w:r>
            <w:r w:rsidR="00D7474A">
              <w:rPr>
                <w:rFonts w:ascii="Arial" w:hAnsi="Arial" w:cs="Arial"/>
              </w:rPr>
              <w:t>9</w:t>
            </w:r>
            <w:r>
              <w:rPr>
                <w:rFonts w:ascii="Arial" w:hAnsi="Arial" w:cs="Arial"/>
              </w:rPr>
              <w:t>)</w:t>
            </w:r>
          </w:p>
        </w:tc>
        <w:tc>
          <w:tcPr>
            <w:tcW w:w="360" w:type="dxa"/>
          </w:tcPr>
          <w:p w14:paraId="147CD1AB" w14:textId="14805A5A" w:rsidR="00864115" w:rsidRDefault="00864115" w:rsidP="00864115">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138452BC" w14:textId="1B16EA1E" w:rsidR="00864115" w:rsidRDefault="0086411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56669FF5" w14:textId="169C7299" w:rsidR="00864115" w:rsidRPr="00F9075E" w:rsidRDefault="00C81CB8"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167,35</w:t>
            </w:r>
            <w:r w:rsidR="00C35952">
              <w:rPr>
                <w:rFonts w:ascii="Arial" w:hAnsi="Arial" w:cs="Arial"/>
              </w:rPr>
              <w:t>8</w:t>
            </w:r>
          </w:p>
        </w:tc>
        <w:tc>
          <w:tcPr>
            <w:tcW w:w="1560" w:type="dxa"/>
            <w:gridSpan w:val="2"/>
            <w:vAlign w:val="bottom"/>
          </w:tcPr>
          <w:p w14:paraId="3A13538B" w14:textId="20D45A7E" w:rsidR="00864115" w:rsidRPr="008B60A3" w:rsidRDefault="004A4A51"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61,391</w:t>
            </w:r>
          </w:p>
        </w:tc>
      </w:tr>
      <w:tr w:rsidR="0070656C" w:rsidRPr="009F3026" w14:paraId="3C86CEDD" w14:textId="77777777" w:rsidTr="000F6795">
        <w:tc>
          <w:tcPr>
            <w:tcW w:w="6112" w:type="dxa"/>
            <w:vAlign w:val="bottom"/>
          </w:tcPr>
          <w:p w14:paraId="69518E78" w14:textId="1ABABF5E" w:rsidR="0070656C"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Licensing fees</w:t>
            </w:r>
          </w:p>
        </w:tc>
        <w:tc>
          <w:tcPr>
            <w:tcW w:w="360" w:type="dxa"/>
          </w:tcPr>
          <w:p w14:paraId="78D37C5D" w14:textId="592035F2" w:rsidR="0070656C" w:rsidRPr="009F3026" w:rsidRDefault="0070656C"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6456F5C4" w14:textId="20537C02" w:rsidR="0070656C" w:rsidRPr="009F3026" w:rsidRDefault="0070656C"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771F5550" w14:textId="5632414A" w:rsidR="0070656C" w:rsidRPr="00F9075E" w:rsidRDefault="000F6795" w:rsidP="00CD67B3">
            <w:pPr>
              <w:tabs>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Pr>
          <w:p w14:paraId="0818DA99" w14:textId="299791A7" w:rsidR="0070656C" w:rsidRPr="008B60A3" w:rsidRDefault="00FB3914"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39,963</w:t>
            </w:r>
          </w:p>
        </w:tc>
      </w:tr>
      <w:tr w:rsidR="00CD67B3" w:rsidRPr="009F3026" w14:paraId="11DED38E" w14:textId="77777777" w:rsidTr="000F6795">
        <w:tc>
          <w:tcPr>
            <w:tcW w:w="6112" w:type="dxa"/>
            <w:vAlign w:val="bottom"/>
          </w:tcPr>
          <w:p w14:paraId="025C54B8"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Professional fees</w:t>
            </w:r>
          </w:p>
        </w:tc>
        <w:tc>
          <w:tcPr>
            <w:tcW w:w="360" w:type="dxa"/>
          </w:tcPr>
          <w:p w14:paraId="2B2ACA9F" w14:textId="734A3693"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23ABFCF3" w14:textId="011C96FF"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1813AFD3" w14:textId="61DF970D" w:rsidR="00CD67B3" w:rsidRPr="00F9075E" w:rsidRDefault="000F6795"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384,477</w:t>
            </w:r>
          </w:p>
        </w:tc>
        <w:tc>
          <w:tcPr>
            <w:tcW w:w="1560" w:type="dxa"/>
            <w:gridSpan w:val="2"/>
          </w:tcPr>
          <w:p w14:paraId="464CF84F" w14:textId="16A5895B" w:rsidR="00CD67B3" w:rsidRPr="008B60A3" w:rsidRDefault="004A4A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347,002</w:t>
            </w:r>
          </w:p>
        </w:tc>
      </w:tr>
      <w:tr w:rsidR="0070656C" w:rsidRPr="009F3026" w14:paraId="321299E8" w14:textId="77777777" w:rsidTr="000F6795">
        <w:tc>
          <w:tcPr>
            <w:tcW w:w="6112" w:type="dxa"/>
            <w:vAlign w:val="bottom"/>
          </w:tcPr>
          <w:p w14:paraId="2E6C5142" w14:textId="443AA44E" w:rsidR="0070656C" w:rsidRPr="00076E98" w:rsidRDefault="0070656C" w:rsidP="0070656C">
            <w:pPr>
              <w:tabs>
                <w:tab w:val="left" w:pos="7214"/>
                <w:tab w:val="decimal" w:pos="8107"/>
                <w:tab w:val="left" w:pos="8467"/>
                <w:tab w:val="decimal" w:pos="9360"/>
              </w:tabs>
              <w:spacing w:after="0" w:line="240" w:lineRule="auto"/>
              <w:ind w:left="144"/>
              <w:rPr>
                <w:rFonts w:ascii="Arial" w:hAnsi="Arial" w:cs="Arial"/>
              </w:rPr>
            </w:pPr>
            <w:r w:rsidRPr="00076E98">
              <w:rPr>
                <w:rFonts w:ascii="Arial" w:hAnsi="Arial" w:cs="Arial"/>
              </w:rPr>
              <w:t>Research and development</w:t>
            </w:r>
          </w:p>
        </w:tc>
        <w:tc>
          <w:tcPr>
            <w:tcW w:w="360" w:type="dxa"/>
          </w:tcPr>
          <w:p w14:paraId="0C760F52" w14:textId="7CBD838C" w:rsidR="0070656C" w:rsidRPr="009F3026" w:rsidRDefault="0070656C"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28367510" w14:textId="0D6C9EA7" w:rsidR="0070656C" w:rsidRPr="009F3026" w:rsidRDefault="0070656C"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C35AA19" w14:textId="5980916B" w:rsidR="0070656C" w:rsidRPr="00425AC3" w:rsidRDefault="000F6795"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31,771</w:t>
            </w:r>
          </w:p>
        </w:tc>
        <w:tc>
          <w:tcPr>
            <w:tcW w:w="1560" w:type="dxa"/>
            <w:gridSpan w:val="2"/>
          </w:tcPr>
          <w:p w14:paraId="41CB5F44" w14:textId="02BC6C92" w:rsidR="0070656C" w:rsidRPr="008B60A3" w:rsidRDefault="00FB3914"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59,417</w:t>
            </w:r>
          </w:p>
        </w:tc>
      </w:tr>
      <w:tr w:rsidR="00D04F76" w:rsidRPr="009F3026" w14:paraId="30677E78" w14:textId="77777777" w:rsidTr="000F6795">
        <w:tc>
          <w:tcPr>
            <w:tcW w:w="6112" w:type="dxa"/>
            <w:vAlign w:val="bottom"/>
          </w:tcPr>
          <w:p w14:paraId="2C66B4CC" w14:textId="3016FEEC" w:rsidR="00D04F76" w:rsidRPr="00076E98" w:rsidRDefault="0070656C" w:rsidP="00CD67B3">
            <w:pPr>
              <w:tabs>
                <w:tab w:val="left" w:pos="7214"/>
                <w:tab w:val="decimal" w:pos="8107"/>
                <w:tab w:val="left" w:pos="8467"/>
                <w:tab w:val="decimal" w:pos="9360"/>
              </w:tabs>
              <w:spacing w:after="0" w:line="240" w:lineRule="auto"/>
              <w:ind w:left="144"/>
              <w:rPr>
                <w:rFonts w:ascii="Arial" w:hAnsi="Arial" w:cs="Arial"/>
              </w:rPr>
            </w:pPr>
            <w:r w:rsidRPr="00076E98">
              <w:rPr>
                <w:rFonts w:ascii="Arial" w:hAnsi="Arial" w:cs="Arial"/>
              </w:rPr>
              <w:t>Wages</w:t>
            </w:r>
            <w:r w:rsidR="008725DE">
              <w:rPr>
                <w:rFonts w:ascii="Arial" w:hAnsi="Arial" w:cs="Arial"/>
              </w:rPr>
              <w:t xml:space="preserve">, </w:t>
            </w:r>
            <w:proofErr w:type="gramStart"/>
            <w:r w:rsidRPr="00076E98">
              <w:rPr>
                <w:rFonts w:ascii="Arial" w:hAnsi="Arial" w:cs="Arial"/>
              </w:rPr>
              <w:t>salaries</w:t>
            </w:r>
            <w:proofErr w:type="gramEnd"/>
            <w:r w:rsidR="008725DE">
              <w:rPr>
                <w:rFonts w:ascii="Arial" w:hAnsi="Arial" w:cs="Arial"/>
              </w:rPr>
              <w:t xml:space="preserve"> and employment expenses</w:t>
            </w:r>
          </w:p>
        </w:tc>
        <w:tc>
          <w:tcPr>
            <w:tcW w:w="360" w:type="dxa"/>
          </w:tcPr>
          <w:p w14:paraId="7B32B126" w14:textId="4A4C33D3" w:rsidR="00D04F76" w:rsidRPr="009F3026" w:rsidRDefault="00D04F76"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62C3041A" w14:textId="686D0555" w:rsidR="00D04F76" w:rsidRPr="009F3026" w:rsidRDefault="00D04F76"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6E8138AD" w14:textId="17C3FE21" w:rsidR="00D04F76" w:rsidRPr="00F9075E" w:rsidRDefault="000F6795"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258,937</w:t>
            </w:r>
          </w:p>
        </w:tc>
        <w:tc>
          <w:tcPr>
            <w:tcW w:w="1560" w:type="dxa"/>
            <w:gridSpan w:val="2"/>
          </w:tcPr>
          <w:p w14:paraId="6E683FE1" w14:textId="1CE757E3" w:rsidR="00D04F76" w:rsidRPr="008B60A3" w:rsidRDefault="004A4A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505,056</w:t>
            </w:r>
          </w:p>
        </w:tc>
      </w:tr>
      <w:tr w:rsidR="004A4A51" w:rsidRPr="009F3026" w14:paraId="1FE5623F" w14:textId="77777777" w:rsidTr="000F6795">
        <w:tc>
          <w:tcPr>
            <w:tcW w:w="6112" w:type="dxa"/>
            <w:vAlign w:val="bottom"/>
          </w:tcPr>
          <w:p w14:paraId="5F3D1C5A" w14:textId="06AE5C8A" w:rsidR="004A4A51" w:rsidRPr="00076E98" w:rsidRDefault="004A4A51"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Write-off of equipment (Note 7)</w:t>
            </w:r>
          </w:p>
        </w:tc>
        <w:tc>
          <w:tcPr>
            <w:tcW w:w="360" w:type="dxa"/>
          </w:tcPr>
          <w:p w14:paraId="46759903" w14:textId="77777777" w:rsidR="004A4A51" w:rsidRPr="009F3026" w:rsidRDefault="004A4A51"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287BECA5" w14:textId="77777777" w:rsidR="004A4A51" w:rsidRPr="009F3026" w:rsidRDefault="004A4A51"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353246A4" w14:textId="561625FB" w:rsidR="004A4A51" w:rsidRDefault="004A4A51" w:rsidP="00714A27">
            <w:pPr>
              <w:tabs>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Pr>
          <w:p w14:paraId="64CCCD1B" w14:textId="318A4F4A" w:rsidR="004A4A51" w:rsidRDefault="004A4A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3,901</w:t>
            </w:r>
          </w:p>
        </w:tc>
      </w:tr>
      <w:tr w:rsidR="00F16062" w:rsidRPr="009F3026" w14:paraId="22E96BE3" w14:textId="77777777" w:rsidTr="000F6795">
        <w:trPr>
          <w:trHeight w:hRule="exact" w:val="115"/>
        </w:trPr>
        <w:tc>
          <w:tcPr>
            <w:tcW w:w="6112" w:type="dxa"/>
            <w:tcBorders>
              <w:top w:val="single" w:sz="4" w:space="0" w:color="auto"/>
            </w:tcBorders>
            <w:vAlign w:val="bottom"/>
          </w:tcPr>
          <w:p w14:paraId="0D6B9272" w14:textId="77777777" w:rsidR="00F16062" w:rsidRPr="00076E98"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72DDD283"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42E1E726"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6F6D6482"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2B5C8E9" w14:textId="77777777" w:rsidR="00F16062" w:rsidRPr="008B60A3"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021C24AE" w14:textId="77777777" w:rsidTr="000F6795">
        <w:tc>
          <w:tcPr>
            <w:tcW w:w="6112" w:type="dxa"/>
            <w:tcBorders>
              <w:bottom w:val="single" w:sz="4" w:space="0" w:color="auto"/>
            </w:tcBorders>
            <w:vAlign w:val="bottom"/>
          </w:tcPr>
          <w:p w14:paraId="6FDCA3C0"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expenses</w:t>
            </w:r>
          </w:p>
        </w:tc>
        <w:tc>
          <w:tcPr>
            <w:tcW w:w="360" w:type="dxa"/>
            <w:tcBorders>
              <w:bottom w:val="single" w:sz="4" w:space="0" w:color="auto"/>
            </w:tcBorders>
          </w:tcPr>
          <w:p w14:paraId="7E82F71B" w14:textId="60185526"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4" w:space="0" w:color="auto"/>
            </w:tcBorders>
            <w:vAlign w:val="bottom"/>
          </w:tcPr>
          <w:p w14:paraId="014EB87B" w14:textId="208775A3"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4" w:space="0" w:color="auto"/>
            </w:tcBorders>
          </w:tcPr>
          <w:p w14:paraId="4407E8ED" w14:textId="7B605D42" w:rsidR="00F16062" w:rsidRPr="00F9075E" w:rsidRDefault="000F6795" w:rsidP="00F16062">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w:t>
            </w:r>
            <w:r w:rsidR="00C81CB8">
              <w:rPr>
                <w:rFonts w:ascii="Arial" w:hAnsi="Arial" w:cs="Arial"/>
              </w:rPr>
              <w:t>102,</w:t>
            </w:r>
            <w:r w:rsidR="004A4A51">
              <w:rPr>
                <w:rFonts w:ascii="Arial" w:hAnsi="Arial" w:cs="Arial"/>
              </w:rPr>
              <w:t>860</w:t>
            </w:r>
          </w:p>
        </w:tc>
        <w:tc>
          <w:tcPr>
            <w:tcW w:w="1560" w:type="dxa"/>
            <w:gridSpan w:val="2"/>
            <w:tcBorders>
              <w:bottom w:val="single" w:sz="4" w:space="0" w:color="auto"/>
            </w:tcBorders>
          </w:tcPr>
          <w:p w14:paraId="7E7FA64F" w14:textId="243D082B" w:rsidR="00F16062" w:rsidRPr="008B60A3" w:rsidRDefault="00FB3914" w:rsidP="00F16062">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w:t>
            </w:r>
            <w:r w:rsidR="004A4A51">
              <w:rPr>
                <w:rFonts w:ascii="Arial" w:hAnsi="Arial" w:cs="Arial"/>
              </w:rPr>
              <w:t>681,354</w:t>
            </w:r>
          </w:p>
        </w:tc>
      </w:tr>
      <w:tr w:rsidR="00F16062" w:rsidRPr="009F3026" w14:paraId="316E128D" w14:textId="77777777" w:rsidTr="000F6795">
        <w:trPr>
          <w:trHeight w:hRule="exact" w:val="86"/>
        </w:trPr>
        <w:tc>
          <w:tcPr>
            <w:tcW w:w="6112" w:type="dxa"/>
            <w:tcBorders>
              <w:top w:val="single" w:sz="4" w:space="0" w:color="auto"/>
            </w:tcBorders>
            <w:vAlign w:val="bottom"/>
          </w:tcPr>
          <w:p w14:paraId="0CB7E3FB"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05B1D394"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120E9280"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16F67E"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FFB295A" w14:textId="77777777" w:rsidR="00F16062" w:rsidRPr="008B60A3"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1B12FE08" w14:textId="77777777" w:rsidTr="000F6795">
        <w:tc>
          <w:tcPr>
            <w:tcW w:w="6112" w:type="dxa"/>
            <w:tcBorders>
              <w:bottom w:val="single" w:sz="4" w:space="0" w:color="auto"/>
            </w:tcBorders>
            <w:vAlign w:val="bottom"/>
          </w:tcPr>
          <w:p w14:paraId="66CA6F2E"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Loss from operations</w:t>
            </w:r>
          </w:p>
        </w:tc>
        <w:tc>
          <w:tcPr>
            <w:tcW w:w="360" w:type="dxa"/>
            <w:tcBorders>
              <w:bottom w:val="single" w:sz="4" w:space="0" w:color="auto"/>
            </w:tcBorders>
          </w:tcPr>
          <w:p w14:paraId="7F182E3E" w14:textId="1977DB28"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4" w:space="0" w:color="auto"/>
            </w:tcBorders>
            <w:vAlign w:val="bottom"/>
          </w:tcPr>
          <w:p w14:paraId="5DB30E5C" w14:textId="261F58B0"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4" w:space="0" w:color="auto"/>
            </w:tcBorders>
          </w:tcPr>
          <w:p w14:paraId="393AD9C8" w14:textId="6E3888F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r w:rsidR="000F6795">
              <w:rPr>
                <w:rFonts w:ascii="Arial" w:hAnsi="Arial" w:cs="Arial"/>
              </w:rPr>
              <w:t>1,</w:t>
            </w:r>
            <w:r w:rsidR="00C81CB8">
              <w:rPr>
                <w:rFonts w:ascii="Arial" w:hAnsi="Arial" w:cs="Arial"/>
              </w:rPr>
              <w:t>102,</w:t>
            </w:r>
            <w:r w:rsidR="004A4A51">
              <w:rPr>
                <w:rFonts w:ascii="Arial" w:hAnsi="Arial" w:cs="Arial"/>
              </w:rPr>
              <w:t>860</w:t>
            </w:r>
            <w:r w:rsidRPr="00F9075E">
              <w:rPr>
                <w:rFonts w:ascii="Arial" w:hAnsi="Arial" w:cs="Arial"/>
              </w:rPr>
              <w:t>)</w:t>
            </w:r>
          </w:p>
        </w:tc>
        <w:tc>
          <w:tcPr>
            <w:tcW w:w="1560" w:type="dxa"/>
            <w:gridSpan w:val="2"/>
            <w:tcBorders>
              <w:bottom w:val="single" w:sz="4" w:space="0" w:color="auto"/>
            </w:tcBorders>
          </w:tcPr>
          <w:p w14:paraId="21C198E3" w14:textId="43F462A4" w:rsidR="00F16062" w:rsidRPr="008B60A3" w:rsidRDefault="00F16062" w:rsidP="00F16062">
            <w:pPr>
              <w:tabs>
                <w:tab w:val="left" w:pos="7214"/>
                <w:tab w:val="decimal" w:pos="8107"/>
                <w:tab w:val="left" w:pos="8467"/>
                <w:tab w:val="decimal" w:pos="9360"/>
              </w:tabs>
              <w:spacing w:after="0" w:line="240" w:lineRule="auto"/>
              <w:ind w:right="114"/>
              <w:jc w:val="right"/>
              <w:rPr>
                <w:rFonts w:ascii="Arial" w:hAnsi="Arial" w:cs="Arial"/>
              </w:rPr>
            </w:pPr>
            <w:r w:rsidRPr="008B60A3">
              <w:rPr>
                <w:rFonts w:ascii="Arial" w:hAnsi="Arial" w:cs="Arial"/>
              </w:rPr>
              <w:t>(</w:t>
            </w:r>
            <w:r w:rsidR="00FB3914">
              <w:rPr>
                <w:rFonts w:ascii="Arial" w:hAnsi="Arial" w:cs="Arial"/>
              </w:rPr>
              <w:t>1,</w:t>
            </w:r>
            <w:r w:rsidR="004A4A51">
              <w:rPr>
                <w:rFonts w:ascii="Arial" w:hAnsi="Arial" w:cs="Arial"/>
              </w:rPr>
              <w:t>681,354</w:t>
            </w:r>
            <w:r w:rsidRPr="008B60A3">
              <w:rPr>
                <w:rFonts w:ascii="Arial" w:hAnsi="Arial" w:cs="Arial"/>
              </w:rPr>
              <w:t>)</w:t>
            </w:r>
          </w:p>
        </w:tc>
      </w:tr>
      <w:tr w:rsidR="00F16062" w:rsidRPr="009F3026" w14:paraId="4B1263D1" w14:textId="77777777" w:rsidTr="000F6795">
        <w:trPr>
          <w:trHeight w:hRule="exact" w:val="86"/>
        </w:trPr>
        <w:tc>
          <w:tcPr>
            <w:tcW w:w="6112" w:type="dxa"/>
            <w:vAlign w:val="bottom"/>
          </w:tcPr>
          <w:p w14:paraId="42A829E9"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Pr>
          <w:p w14:paraId="485CA18A"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24AE196E"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61252D3"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48003587" w14:textId="77777777" w:rsidR="00F16062" w:rsidRPr="008B60A3"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666F7BF9" w14:textId="77777777" w:rsidTr="000F6795">
        <w:tc>
          <w:tcPr>
            <w:tcW w:w="6112" w:type="dxa"/>
            <w:vAlign w:val="bottom"/>
          </w:tcPr>
          <w:p w14:paraId="1B8C38B9" w14:textId="2013B070"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Other </w:t>
            </w:r>
            <w:r w:rsidR="00C81CB8">
              <w:rPr>
                <w:rFonts w:ascii="Arial" w:hAnsi="Arial" w:cs="Arial"/>
              </w:rPr>
              <w:t>income (</w:t>
            </w:r>
            <w:r w:rsidRPr="009F3026">
              <w:rPr>
                <w:rFonts w:ascii="Arial" w:hAnsi="Arial" w:cs="Arial"/>
              </w:rPr>
              <w:t>expenses</w:t>
            </w:r>
            <w:r w:rsidR="00C81CB8">
              <w:rPr>
                <w:rFonts w:ascii="Arial" w:hAnsi="Arial" w:cs="Arial"/>
              </w:rPr>
              <w:t>)</w:t>
            </w:r>
            <w:r w:rsidRPr="009F3026">
              <w:rPr>
                <w:rFonts w:ascii="Arial" w:hAnsi="Arial" w:cs="Arial"/>
              </w:rPr>
              <w:t xml:space="preserve"> </w:t>
            </w:r>
          </w:p>
        </w:tc>
        <w:tc>
          <w:tcPr>
            <w:tcW w:w="360" w:type="dxa"/>
          </w:tcPr>
          <w:p w14:paraId="6D68C4FB"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6759BEBA"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78F6D4FC"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3055CB92" w14:textId="77777777" w:rsidR="00F16062" w:rsidRPr="008B60A3"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4470583D" w14:textId="77777777" w:rsidTr="000F6795">
        <w:tc>
          <w:tcPr>
            <w:tcW w:w="6112" w:type="dxa"/>
            <w:vAlign w:val="bottom"/>
          </w:tcPr>
          <w:p w14:paraId="431AB3BF" w14:textId="47BC61BF" w:rsidR="00F16062" w:rsidRDefault="00F16062" w:rsidP="00F16062">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Accretion expense on convertible debentures</w:t>
            </w:r>
          </w:p>
        </w:tc>
        <w:tc>
          <w:tcPr>
            <w:tcW w:w="360" w:type="dxa"/>
          </w:tcPr>
          <w:p w14:paraId="726E7E0D" w14:textId="3E6C10B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13E6A67F" w14:textId="52CA07EF"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128E0DA9" w14:textId="25C4CA43" w:rsidR="00F16062" w:rsidRPr="00F9075E" w:rsidRDefault="000F6795"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Pr>
          <w:p w14:paraId="6EAED6B9" w14:textId="5085711C" w:rsidR="00F16062" w:rsidRPr="008B60A3"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8B60A3">
              <w:rPr>
                <w:rFonts w:ascii="Arial" w:hAnsi="Arial" w:cs="Arial"/>
              </w:rPr>
              <w:t>(</w:t>
            </w:r>
            <w:r w:rsidR="00CB3671">
              <w:rPr>
                <w:rFonts w:ascii="Arial" w:hAnsi="Arial" w:cs="Arial"/>
              </w:rPr>
              <w:t>203,375</w:t>
            </w:r>
            <w:r w:rsidRPr="008B60A3">
              <w:rPr>
                <w:rFonts w:ascii="Arial" w:hAnsi="Arial" w:cs="Arial"/>
              </w:rPr>
              <w:t>)</w:t>
            </w:r>
          </w:p>
        </w:tc>
      </w:tr>
      <w:tr w:rsidR="00C81CB8" w:rsidRPr="009F3026" w14:paraId="00DE4491" w14:textId="77777777" w:rsidTr="000F6795">
        <w:tc>
          <w:tcPr>
            <w:tcW w:w="6112" w:type="dxa"/>
            <w:vAlign w:val="bottom"/>
          </w:tcPr>
          <w:p w14:paraId="7DCA8DC5" w14:textId="633A7F5B" w:rsidR="00C81CB8" w:rsidRDefault="00C81CB8" w:rsidP="00F16062">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Gain on abandonment of assets (Note 4)</w:t>
            </w:r>
          </w:p>
        </w:tc>
        <w:tc>
          <w:tcPr>
            <w:tcW w:w="360" w:type="dxa"/>
          </w:tcPr>
          <w:p w14:paraId="5EADC30A" w14:textId="77777777" w:rsidR="00C81CB8" w:rsidRPr="009F3026" w:rsidRDefault="00C81CB8"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4B2035DE" w14:textId="77777777" w:rsidR="00C81CB8" w:rsidRPr="009F3026" w:rsidRDefault="00C81CB8"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DBF5A52" w14:textId="32940827" w:rsidR="00C81CB8" w:rsidRPr="00F9075E" w:rsidRDefault="00C81CB8"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1,481,829</w:t>
            </w:r>
          </w:p>
        </w:tc>
        <w:tc>
          <w:tcPr>
            <w:tcW w:w="1560" w:type="dxa"/>
            <w:gridSpan w:val="2"/>
          </w:tcPr>
          <w:p w14:paraId="20F8B902" w14:textId="3DBB9726" w:rsidR="00C81CB8" w:rsidRPr="008B60A3" w:rsidRDefault="00C81CB8"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r>
      <w:tr w:rsidR="00F16062" w:rsidRPr="009F3026" w14:paraId="04A508AF" w14:textId="77777777" w:rsidTr="000F6795">
        <w:tc>
          <w:tcPr>
            <w:tcW w:w="6112" w:type="dxa"/>
            <w:vAlign w:val="bottom"/>
          </w:tcPr>
          <w:p w14:paraId="76D5BA51" w14:textId="77777777" w:rsidR="00F16062" w:rsidRPr="009F3026" w:rsidRDefault="00F16062" w:rsidP="00F16062">
            <w:pPr>
              <w:tabs>
                <w:tab w:val="left" w:pos="7214"/>
                <w:tab w:val="decimal" w:pos="8107"/>
                <w:tab w:val="left" w:pos="8467"/>
                <w:tab w:val="decimal" w:pos="9360"/>
              </w:tabs>
              <w:spacing w:after="0" w:line="240" w:lineRule="auto"/>
              <w:ind w:left="276" w:hanging="142"/>
              <w:rPr>
                <w:rFonts w:ascii="Arial" w:hAnsi="Arial" w:cs="Arial"/>
              </w:rPr>
            </w:pPr>
            <w:r w:rsidRPr="009F3026">
              <w:rPr>
                <w:rFonts w:ascii="Arial" w:hAnsi="Arial" w:cs="Arial"/>
              </w:rPr>
              <w:t>Interest expense</w:t>
            </w:r>
          </w:p>
        </w:tc>
        <w:tc>
          <w:tcPr>
            <w:tcW w:w="360" w:type="dxa"/>
          </w:tcPr>
          <w:p w14:paraId="0059B3D6" w14:textId="137EEED4"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0C54B658" w14:textId="079CFA7C"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8E3F7C8" w14:textId="7D1AF8D0" w:rsidR="00F16062" w:rsidRPr="00F9075E" w:rsidRDefault="000F6795"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Pr>
          <w:p w14:paraId="4CA58325" w14:textId="42444DD0" w:rsidR="00F16062" w:rsidRPr="008B60A3"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8B60A3">
              <w:rPr>
                <w:rFonts w:ascii="Arial" w:hAnsi="Arial" w:cs="Arial"/>
              </w:rPr>
              <w:t>(</w:t>
            </w:r>
            <w:r w:rsidR="00CB3671">
              <w:rPr>
                <w:rFonts w:ascii="Arial" w:hAnsi="Arial" w:cs="Arial"/>
              </w:rPr>
              <w:t>87,45</w:t>
            </w:r>
            <w:r w:rsidR="00C654F7">
              <w:rPr>
                <w:rFonts w:ascii="Arial" w:hAnsi="Arial" w:cs="Arial"/>
              </w:rPr>
              <w:t>7</w:t>
            </w:r>
            <w:r w:rsidRPr="008B60A3">
              <w:rPr>
                <w:rFonts w:ascii="Arial" w:hAnsi="Arial" w:cs="Arial"/>
              </w:rPr>
              <w:t>)</w:t>
            </w:r>
          </w:p>
        </w:tc>
      </w:tr>
      <w:tr w:rsidR="004A4A51" w:rsidRPr="009F3026" w14:paraId="6E44AB5B" w14:textId="77777777" w:rsidTr="000F6795">
        <w:tc>
          <w:tcPr>
            <w:tcW w:w="6112" w:type="dxa"/>
            <w:vAlign w:val="bottom"/>
          </w:tcPr>
          <w:p w14:paraId="4B754098" w14:textId="6CAF8E20" w:rsidR="004A4A51" w:rsidRPr="009F3026" w:rsidRDefault="004A4A51" w:rsidP="00F16062">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Other income</w:t>
            </w:r>
          </w:p>
        </w:tc>
        <w:tc>
          <w:tcPr>
            <w:tcW w:w="360" w:type="dxa"/>
          </w:tcPr>
          <w:p w14:paraId="6C3BDAD6" w14:textId="77777777" w:rsidR="004A4A51" w:rsidRPr="009F3026" w:rsidRDefault="004A4A51"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4F4738DB" w14:textId="77777777" w:rsidR="004A4A51" w:rsidRPr="009F3026" w:rsidRDefault="004A4A51"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7A5CFFCC" w14:textId="445B15AB" w:rsidR="004A4A51" w:rsidRPr="00F9075E" w:rsidRDefault="004A4A51"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F9075E">
              <w:rPr>
                <w:rFonts w:ascii="Arial" w:hAnsi="Arial" w:cs="Arial"/>
              </w:rPr>
              <w:t>–</w:t>
            </w:r>
          </w:p>
        </w:tc>
        <w:tc>
          <w:tcPr>
            <w:tcW w:w="1560" w:type="dxa"/>
            <w:gridSpan w:val="2"/>
          </w:tcPr>
          <w:p w14:paraId="5CCE37EF" w14:textId="15983F3F" w:rsidR="004A4A51" w:rsidRPr="008B60A3" w:rsidRDefault="004A4A51"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26,642</w:t>
            </w:r>
          </w:p>
        </w:tc>
      </w:tr>
      <w:tr w:rsidR="00F16062" w:rsidRPr="009F3026" w14:paraId="546F864B" w14:textId="77777777" w:rsidTr="000F6795">
        <w:trPr>
          <w:trHeight w:hRule="exact" w:val="86"/>
        </w:trPr>
        <w:tc>
          <w:tcPr>
            <w:tcW w:w="6112" w:type="dxa"/>
            <w:tcBorders>
              <w:top w:val="single" w:sz="4" w:space="0" w:color="auto"/>
            </w:tcBorders>
            <w:vAlign w:val="bottom"/>
          </w:tcPr>
          <w:p w14:paraId="4A4AE276"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35DEAE3F"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3ACF7783"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tcPr>
          <w:p w14:paraId="4428A126" w14:textId="77777777" w:rsidR="00F16062" w:rsidRPr="00F9075E"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65BB105C" w14:textId="77777777" w:rsidR="00F16062" w:rsidRPr="008B60A3"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5CC440E4" w14:textId="77777777" w:rsidTr="000F6795">
        <w:tc>
          <w:tcPr>
            <w:tcW w:w="6112" w:type="dxa"/>
            <w:tcBorders>
              <w:bottom w:val="single" w:sz="4" w:space="0" w:color="auto"/>
            </w:tcBorders>
            <w:vAlign w:val="bottom"/>
          </w:tcPr>
          <w:p w14:paraId="557FC229" w14:textId="5490AEF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other</w:t>
            </w:r>
            <w:r>
              <w:rPr>
                <w:rFonts w:ascii="Arial" w:hAnsi="Arial" w:cs="Arial"/>
              </w:rPr>
              <w:t xml:space="preserve"> </w:t>
            </w:r>
            <w:r w:rsidR="00C81CB8">
              <w:rPr>
                <w:rFonts w:ascii="Arial" w:hAnsi="Arial" w:cs="Arial"/>
              </w:rPr>
              <w:t>income (</w:t>
            </w:r>
            <w:r w:rsidRPr="009F3026">
              <w:rPr>
                <w:rFonts w:ascii="Arial" w:hAnsi="Arial" w:cs="Arial"/>
              </w:rPr>
              <w:t>expenses</w:t>
            </w:r>
            <w:r w:rsidR="00C81CB8">
              <w:rPr>
                <w:rFonts w:ascii="Arial" w:hAnsi="Arial" w:cs="Arial"/>
              </w:rPr>
              <w:t>)</w:t>
            </w:r>
            <w:r w:rsidRPr="009F3026">
              <w:rPr>
                <w:rFonts w:ascii="Arial" w:hAnsi="Arial" w:cs="Arial"/>
              </w:rPr>
              <w:t xml:space="preserve"> </w:t>
            </w:r>
          </w:p>
        </w:tc>
        <w:tc>
          <w:tcPr>
            <w:tcW w:w="360" w:type="dxa"/>
            <w:tcBorders>
              <w:bottom w:val="single" w:sz="4" w:space="0" w:color="auto"/>
            </w:tcBorders>
          </w:tcPr>
          <w:p w14:paraId="214893B6" w14:textId="3BF737A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4" w:space="0" w:color="auto"/>
            </w:tcBorders>
            <w:vAlign w:val="bottom"/>
          </w:tcPr>
          <w:p w14:paraId="78576769" w14:textId="161ED4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4" w:space="0" w:color="auto"/>
            </w:tcBorders>
          </w:tcPr>
          <w:p w14:paraId="4C270D1F" w14:textId="5BA93DC9" w:rsidR="00F16062" w:rsidRPr="00F9075E" w:rsidRDefault="00C81CB8"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1,481,829</w:t>
            </w:r>
          </w:p>
        </w:tc>
        <w:tc>
          <w:tcPr>
            <w:tcW w:w="1560" w:type="dxa"/>
            <w:gridSpan w:val="2"/>
            <w:tcBorders>
              <w:bottom w:val="single" w:sz="4" w:space="0" w:color="auto"/>
            </w:tcBorders>
          </w:tcPr>
          <w:p w14:paraId="112F4059" w14:textId="03F52784" w:rsidR="00F16062" w:rsidRPr="008B60A3"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r w:rsidRPr="008B60A3">
              <w:rPr>
                <w:rFonts w:ascii="Arial" w:hAnsi="Arial" w:cs="Arial"/>
              </w:rPr>
              <w:t>(</w:t>
            </w:r>
            <w:r w:rsidR="004A4A51">
              <w:rPr>
                <w:rFonts w:ascii="Arial" w:hAnsi="Arial" w:cs="Arial"/>
              </w:rPr>
              <w:t>264,190</w:t>
            </w:r>
            <w:r w:rsidRPr="008B60A3">
              <w:rPr>
                <w:rFonts w:ascii="Arial" w:hAnsi="Arial" w:cs="Arial"/>
              </w:rPr>
              <w:t>)</w:t>
            </w:r>
          </w:p>
        </w:tc>
      </w:tr>
      <w:tr w:rsidR="00F16062" w:rsidRPr="009F3026" w14:paraId="41BB30D7" w14:textId="77777777" w:rsidTr="000F6795">
        <w:trPr>
          <w:trHeight w:hRule="exact" w:val="115"/>
        </w:trPr>
        <w:tc>
          <w:tcPr>
            <w:tcW w:w="6112" w:type="dxa"/>
            <w:tcBorders>
              <w:top w:val="single" w:sz="4" w:space="0" w:color="auto"/>
            </w:tcBorders>
            <w:vAlign w:val="bottom"/>
          </w:tcPr>
          <w:p w14:paraId="6FFA4B42"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70261A69"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00D01CAB"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4AE87C99"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400E76D" w14:textId="77777777" w:rsidR="00F16062" w:rsidRPr="009F3026"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0F6795" w:rsidRPr="009F3026" w14:paraId="77304951" w14:textId="77777777" w:rsidTr="000F6795">
        <w:tc>
          <w:tcPr>
            <w:tcW w:w="6112" w:type="dxa"/>
            <w:tcBorders>
              <w:bottom w:val="single" w:sz="12" w:space="0" w:color="auto"/>
            </w:tcBorders>
            <w:vAlign w:val="bottom"/>
          </w:tcPr>
          <w:p w14:paraId="783F4926" w14:textId="7E66B180" w:rsidR="000F6795" w:rsidRDefault="000F6795" w:rsidP="009E6977">
            <w:pPr>
              <w:tabs>
                <w:tab w:val="left" w:pos="7214"/>
                <w:tab w:val="decimal" w:pos="8107"/>
                <w:tab w:val="left" w:pos="8467"/>
                <w:tab w:val="decimal" w:pos="9360"/>
              </w:tabs>
              <w:spacing w:after="0" w:line="240" w:lineRule="auto"/>
              <w:rPr>
                <w:rFonts w:ascii="Arial" w:hAnsi="Arial" w:cs="Arial"/>
              </w:rPr>
            </w:pPr>
            <w:r>
              <w:rPr>
                <w:rFonts w:ascii="Arial" w:hAnsi="Arial" w:cs="Arial"/>
              </w:rPr>
              <w:t>Net income (loss)</w:t>
            </w:r>
          </w:p>
        </w:tc>
        <w:tc>
          <w:tcPr>
            <w:tcW w:w="360" w:type="dxa"/>
            <w:tcBorders>
              <w:bottom w:val="single" w:sz="12" w:space="0" w:color="auto"/>
            </w:tcBorders>
          </w:tcPr>
          <w:p w14:paraId="2EE6368F" w14:textId="77777777" w:rsidR="000F6795" w:rsidRPr="009F3026" w:rsidRDefault="000F6795" w:rsidP="009E6977">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12" w:space="0" w:color="auto"/>
            </w:tcBorders>
            <w:vAlign w:val="bottom"/>
          </w:tcPr>
          <w:p w14:paraId="50C7DA40" w14:textId="77777777" w:rsidR="000F6795" w:rsidRPr="009F3026" w:rsidRDefault="000F6795" w:rsidP="009E6977">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12" w:space="0" w:color="auto"/>
            </w:tcBorders>
          </w:tcPr>
          <w:p w14:paraId="1E0C9BF9" w14:textId="18247ADE" w:rsidR="000F6795" w:rsidRPr="00F9075E" w:rsidRDefault="000F6795" w:rsidP="009E697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378,969</w:t>
            </w:r>
          </w:p>
        </w:tc>
        <w:tc>
          <w:tcPr>
            <w:tcW w:w="1560" w:type="dxa"/>
            <w:gridSpan w:val="2"/>
            <w:tcBorders>
              <w:bottom w:val="single" w:sz="12" w:space="0" w:color="auto"/>
            </w:tcBorders>
          </w:tcPr>
          <w:p w14:paraId="64C86750" w14:textId="73E42A0D" w:rsidR="000F6795" w:rsidRPr="009F3026" w:rsidRDefault="000F6795" w:rsidP="009E697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FB3914">
              <w:rPr>
                <w:rFonts w:ascii="Arial" w:hAnsi="Arial" w:cs="Arial"/>
              </w:rPr>
              <w:t>1,945,544</w:t>
            </w:r>
            <w:r>
              <w:rPr>
                <w:rFonts w:ascii="Arial" w:hAnsi="Arial" w:cs="Arial"/>
              </w:rPr>
              <w:t>)</w:t>
            </w:r>
          </w:p>
        </w:tc>
      </w:tr>
      <w:tr w:rsidR="00F16062" w:rsidRPr="009F3026" w14:paraId="76176339" w14:textId="77777777" w:rsidTr="000F6795">
        <w:trPr>
          <w:trHeight w:hRule="exact" w:val="115"/>
        </w:trPr>
        <w:tc>
          <w:tcPr>
            <w:tcW w:w="6112" w:type="dxa"/>
            <w:tcBorders>
              <w:top w:val="single" w:sz="12" w:space="0" w:color="auto"/>
            </w:tcBorders>
            <w:vAlign w:val="bottom"/>
          </w:tcPr>
          <w:p w14:paraId="2BD2ACC8"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12" w:space="0" w:color="auto"/>
            </w:tcBorders>
          </w:tcPr>
          <w:p w14:paraId="4C3B2C8D"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12" w:space="0" w:color="auto"/>
            </w:tcBorders>
            <w:vAlign w:val="bottom"/>
          </w:tcPr>
          <w:p w14:paraId="15290A65"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tcPr>
          <w:p w14:paraId="6280911E"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tcPr>
          <w:p w14:paraId="794C1039" w14:textId="77777777" w:rsidR="00F16062" w:rsidRPr="009F3026"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72FC1827" w14:textId="77777777" w:rsidTr="000F6795">
        <w:tc>
          <w:tcPr>
            <w:tcW w:w="6112" w:type="dxa"/>
            <w:vAlign w:val="bottom"/>
          </w:tcPr>
          <w:p w14:paraId="14BBB12C" w14:textId="7401934C" w:rsidR="00F16062" w:rsidRDefault="00F16062" w:rsidP="00F16062">
            <w:pPr>
              <w:tabs>
                <w:tab w:val="left" w:pos="7214"/>
                <w:tab w:val="decimal" w:pos="8107"/>
                <w:tab w:val="left" w:pos="8467"/>
                <w:tab w:val="decimal" w:pos="9360"/>
              </w:tabs>
              <w:spacing w:after="0" w:line="240" w:lineRule="auto"/>
              <w:rPr>
                <w:rFonts w:ascii="Arial" w:hAnsi="Arial" w:cs="Arial"/>
              </w:rPr>
            </w:pPr>
            <w:r>
              <w:rPr>
                <w:rFonts w:ascii="Arial" w:hAnsi="Arial" w:cs="Arial"/>
              </w:rPr>
              <w:t>Other comprehensive income</w:t>
            </w:r>
            <w:r w:rsidR="00F20DE9">
              <w:rPr>
                <w:rFonts w:ascii="Arial" w:hAnsi="Arial" w:cs="Arial"/>
              </w:rPr>
              <w:t xml:space="preserve"> (loss)</w:t>
            </w:r>
          </w:p>
        </w:tc>
        <w:tc>
          <w:tcPr>
            <w:tcW w:w="360" w:type="dxa"/>
          </w:tcPr>
          <w:p w14:paraId="7F8893D0"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359B808F"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99FBA4E" w14:textId="77777777" w:rsidR="00F16062" w:rsidRPr="00F9075E"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6FBAF955" w14:textId="77777777" w:rsidR="00F16062" w:rsidRPr="009F3026" w:rsidRDefault="00F16062" w:rsidP="00F16062">
            <w:pPr>
              <w:tabs>
                <w:tab w:val="left" w:pos="7214"/>
                <w:tab w:val="decimal" w:pos="8107"/>
                <w:tab w:val="left" w:pos="8467"/>
                <w:tab w:val="decimal" w:pos="9360"/>
              </w:tabs>
              <w:spacing w:after="0" w:line="240" w:lineRule="auto"/>
              <w:ind w:right="114"/>
              <w:jc w:val="right"/>
              <w:rPr>
                <w:rFonts w:ascii="Arial" w:hAnsi="Arial" w:cs="Arial"/>
              </w:rPr>
            </w:pPr>
          </w:p>
        </w:tc>
      </w:tr>
      <w:tr w:rsidR="000F6795" w:rsidRPr="009F3026" w14:paraId="6D824845" w14:textId="77777777" w:rsidTr="000F6795">
        <w:tc>
          <w:tcPr>
            <w:tcW w:w="6112" w:type="dxa"/>
            <w:vAlign w:val="bottom"/>
          </w:tcPr>
          <w:p w14:paraId="70A3BF3E" w14:textId="6B31C007" w:rsidR="000F6795" w:rsidRDefault="000F6795" w:rsidP="009E6977">
            <w:pPr>
              <w:tabs>
                <w:tab w:val="left" w:pos="7214"/>
                <w:tab w:val="decimal" w:pos="8107"/>
                <w:tab w:val="left" w:pos="8467"/>
                <w:tab w:val="decimal" w:pos="9360"/>
              </w:tabs>
              <w:spacing w:after="0" w:line="240" w:lineRule="auto"/>
              <w:ind w:left="172"/>
              <w:rPr>
                <w:rFonts w:ascii="Arial" w:hAnsi="Arial" w:cs="Arial"/>
              </w:rPr>
            </w:pPr>
            <w:r>
              <w:rPr>
                <w:rFonts w:ascii="Arial" w:hAnsi="Arial" w:cs="Arial"/>
              </w:rPr>
              <w:t>Foreign currency translation adjustment of foreign operations</w:t>
            </w:r>
          </w:p>
        </w:tc>
        <w:tc>
          <w:tcPr>
            <w:tcW w:w="360" w:type="dxa"/>
          </w:tcPr>
          <w:p w14:paraId="54EC9167" w14:textId="77777777" w:rsidR="000F6795" w:rsidRPr="009F3026" w:rsidRDefault="000F6795" w:rsidP="009E6977">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1292FB35" w14:textId="77777777" w:rsidR="000F6795" w:rsidRPr="009F3026" w:rsidRDefault="000F6795" w:rsidP="009E6977">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shd w:val="clear" w:color="auto" w:fill="auto"/>
          </w:tcPr>
          <w:p w14:paraId="2BBBCB1D" w14:textId="1681F203" w:rsidR="000F6795" w:rsidRPr="00F9075E" w:rsidRDefault="00F20DE9" w:rsidP="009E697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C81CB8">
              <w:rPr>
                <w:rFonts w:ascii="Arial" w:hAnsi="Arial" w:cs="Arial"/>
              </w:rPr>
              <w:t>77,70</w:t>
            </w:r>
            <w:r w:rsidR="004A4A51">
              <w:rPr>
                <w:rFonts w:ascii="Arial" w:hAnsi="Arial" w:cs="Arial"/>
              </w:rPr>
              <w:t>4</w:t>
            </w:r>
            <w:r>
              <w:rPr>
                <w:rFonts w:ascii="Arial" w:hAnsi="Arial" w:cs="Arial"/>
              </w:rPr>
              <w:t>)</w:t>
            </w:r>
          </w:p>
        </w:tc>
        <w:tc>
          <w:tcPr>
            <w:tcW w:w="1560" w:type="dxa"/>
            <w:gridSpan w:val="2"/>
          </w:tcPr>
          <w:p w14:paraId="5E6BED7A" w14:textId="66CD4089" w:rsidR="000F6795" w:rsidRPr="009F3026" w:rsidRDefault="00C81CB8" w:rsidP="009E697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120,705</w:t>
            </w:r>
          </w:p>
        </w:tc>
      </w:tr>
      <w:tr w:rsidR="00F16062" w:rsidRPr="009F3026" w14:paraId="2B7E1F92" w14:textId="77777777" w:rsidTr="000F6795">
        <w:trPr>
          <w:trHeight w:hRule="exact" w:val="86"/>
        </w:trPr>
        <w:tc>
          <w:tcPr>
            <w:tcW w:w="6112" w:type="dxa"/>
            <w:tcBorders>
              <w:top w:val="single" w:sz="4" w:space="0" w:color="auto"/>
            </w:tcBorders>
            <w:vAlign w:val="bottom"/>
          </w:tcPr>
          <w:p w14:paraId="53E00FCB"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55CAD2A9"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61007728"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shd w:val="clear" w:color="auto" w:fill="auto"/>
          </w:tcPr>
          <w:p w14:paraId="69E82A99" w14:textId="77777777" w:rsidR="00F16062" w:rsidRPr="00F9075E"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AB70D19" w14:textId="77777777" w:rsidR="00F16062" w:rsidRPr="009F3026"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18942CB7" w14:textId="77777777" w:rsidTr="000F6795">
        <w:tc>
          <w:tcPr>
            <w:tcW w:w="6112" w:type="dxa"/>
            <w:tcBorders>
              <w:bottom w:val="single" w:sz="12" w:space="0" w:color="auto"/>
            </w:tcBorders>
            <w:vAlign w:val="bottom"/>
          </w:tcPr>
          <w:p w14:paraId="208DF351" w14:textId="19E26FF6"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Net comprehensive </w:t>
            </w:r>
            <w:r w:rsidR="009E6977">
              <w:rPr>
                <w:rFonts w:ascii="Arial" w:hAnsi="Arial" w:cs="Arial"/>
              </w:rPr>
              <w:t>income (</w:t>
            </w:r>
            <w:r>
              <w:rPr>
                <w:rFonts w:ascii="Arial" w:hAnsi="Arial" w:cs="Arial"/>
              </w:rPr>
              <w:t>loss</w:t>
            </w:r>
            <w:r w:rsidR="009E6977">
              <w:rPr>
                <w:rFonts w:ascii="Arial" w:hAnsi="Arial" w:cs="Arial"/>
              </w:rPr>
              <w:t>)</w:t>
            </w:r>
            <w:r w:rsidRPr="009F3026">
              <w:rPr>
                <w:rFonts w:ascii="Arial" w:hAnsi="Arial" w:cs="Arial"/>
              </w:rPr>
              <w:t xml:space="preserve"> </w:t>
            </w:r>
          </w:p>
        </w:tc>
        <w:tc>
          <w:tcPr>
            <w:tcW w:w="360" w:type="dxa"/>
            <w:tcBorders>
              <w:bottom w:val="single" w:sz="12" w:space="0" w:color="auto"/>
            </w:tcBorders>
          </w:tcPr>
          <w:p w14:paraId="00BC24A6" w14:textId="618BB751"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bottom w:val="single" w:sz="12" w:space="0" w:color="auto"/>
            </w:tcBorders>
            <w:vAlign w:val="bottom"/>
          </w:tcPr>
          <w:p w14:paraId="4CD6ACF3" w14:textId="48047950" w:rsidR="00F16062" w:rsidRPr="009F3026" w:rsidRDefault="00F16062" w:rsidP="00F16062">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bottom w:val="single" w:sz="12" w:space="0" w:color="auto"/>
            </w:tcBorders>
            <w:shd w:val="clear" w:color="auto" w:fill="auto"/>
          </w:tcPr>
          <w:p w14:paraId="62B5CC67" w14:textId="37BF0F9C" w:rsidR="00F16062" w:rsidRPr="00F9075E" w:rsidRDefault="008D109A" w:rsidP="00F16062">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301,</w:t>
            </w:r>
            <w:r w:rsidR="009E6977">
              <w:rPr>
                <w:rFonts w:ascii="Arial" w:hAnsi="Arial" w:cs="Arial"/>
              </w:rPr>
              <w:t>265</w:t>
            </w:r>
          </w:p>
        </w:tc>
        <w:tc>
          <w:tcPr>
            <w:tcW w:w="1560" w:type="dxa"/>
            <w:gridSpan w:val="2"/>
            <w:tcBorders>
              <w:bottom w:val="single" w:sz="12" w:space="0" w:color="auto"/>
            </w:tcBorders>
          </w:tcPr>
          <w:p w14:paraId="736F86D2" w14:textId="72C24B8A" w:rsidR="00F16062" w:rsidRPr="009F3026" w:rsidRDefault="00F16062" w:rsidP="00F16062">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F86B66">
              <w:rPr>
                <w:rFonts w:ascii="Arial" w:hAnsi="Arial" w:cs="Arial"/>
              </w:rPr>
              <w:t>1,824,839</w:t>
            </w:r>
            <w:r>
              <w:rPr>
                <w:rFonts w:ascii="Arial" w:hAnsi="Arial" w:cs="Arial"/>
              </w:rPr>
              <w:t>)</w:t>
            </w:r>
          </w:p>
        </w:tc>
      </w:tr>
      <w:tr w:rsidR="00F16062" w:rsidRPr="009F3026" w14:paraId="4905D9ED" w14:textId="77777777" w:rsidTr="000F6795">
        <w:trPr>
          <w:trHeight w:hRule="exact" w:val="86"/>
        </w:trPr>
        <w:tc>
          <w:tcPr>
            <w:tcW w:w="6112" w:type="dxa"/>
            <w:tcBorders>
              <w:top w:val="single" w:sz="4" w:space="0" w:color="auto"/>
            </w:tcBorders>
            <w:vAlign w:val="bottom"/>
          </w:tcPr>
          <w:p w14:paraId="51AD201E"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79B5FCC8"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55AF7559"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shd w:val="clear" w:color="auto" w:fill="auto"/>
          </w:tcPr>
          <w:p w14:paraId="4735B85D" w14:textId="77777777" w:rsidR="00F16062" w:rsidRPr="00F9075E"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72EEAA3D" w14:textId="77777777" w:rsidR="00F16062" w:rsidRPr="009F3026"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F16062" w:rsidRPr="009F3026" w14:paraId="1AEECDFC" w14:textId="77777777" w:rsidTr="000F6795">
        <w:trPr>
          <w:trHeight w:hRule="exact" w:val="86"/>
        </w:trPr>
        <w:tc>
          <w:tcPr>
            <w:tcW w:w="6112" w:type="dxa"/>
            <w:vAlign w:val="bottom"/>
          </w:tcPr>
          <w:p w14:paraId="62030BB5"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Pr>
          <w:p w14:paraId="29E51884"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54EA39CC"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shd w:val="clear" w:color="auto" w:fill="auto"/>
          </w:tcPr>
          <w:p w14:paraId="38B829A4" w14:textId="77777777" w:rsidR="00F16062" w:rsidRPr="00F9075E"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0C224CF3" w14:textId="77777777" w:rsidR="00F16062" w:rsidRPr="009F3026"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8D109A" w:rsidRPr="009F3026" w14:paraId="7E3008D2" w14:textId="77777777" w:rsidTr="000F6795">
        <w:trPr>
          <w:trHeight w:hRule="exact" w:val="86"/>
        </w:trPr>
        <w:tc>
          <w:tcPr>
            <w:tcW w:w="6112" w:type="dxa"/>
            <w:vAlign w:val="bottom"/>
          </w:tcPr>
          <w:p w14:paraId="2FCC7969" w14:textId="77777777" w:rsidR="008D109A" w:rsidRPr="009F3026" w:rsidRDefault="008D109A" w:rsidP="00F16062">
            <w:pPr>
              <w:tabs>
                <w:tab w:val="left" w:pos="7214"/>
                <w:tab w:val="decimal" w:pos="8107"/>
                <w:tab w:val="left" w:pos="8467"/>
                <w:tab w:val="decimal" w:pos="9360"/>
              </w:tabs>
              <w:spacing w:after="0" w:line="240" w:lineRule="auto"/>
              <w:rPr>
                <w:rFonts w:ascii="Arial" w:hAnsi="Arial" w:cs="Arial"/>
              </w:rPr>
            </w:pPr>
          </w:p>
        </w:tc>
        <w:tc>
          <w:tcPr>
            <w:tcW w:w="360" w:type="dxa"/>
          </w:tcPr>
          <w:p w14:paraId="525A6EA9" w14:textId="77777777" w:rsidR="008D109A" w:rsidRPr="009F3026" w:rsidRDefault="008D109A"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7254281A" w14:textId="77777777" w:rsidR="008D109A" w:rsidRPr="009F3026" w:rsidRDefault="008D109A"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shd w:val="clear" w:color="auto" w:fill="auto"/>
          </w:tcPr>
          <w:p w14:paraId="21935E11" w14:textId="77777777" w:rsidR="008D109A" w:rsidRPr="00F9075E" w:rsidRDefault="008D109A"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2D8C65F4" w14:textId="77777777" w:rsidR="008D109A" w:rsidRPr="009F3026" w:rsidRDefault="008D109A"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FC0972" w:rsidRPr="009F3026" w14:paraId="66DB15D9" w14:textId="77777777" w:rsidTr="009E6977">
        <w:trPr>
          <w:gridAfter w:val="1"/>
          <w:wAfter w:w="11" w:type="dxa"/>
          <w:trHeight w:val="245"/>
        </w:trPr>
        <w:tc>
          <w:tcPr>
            <w:tcW w:w="6112" w:type="dxa"/>
            <w:tcBorders>
              <w:bottom w:val="single" w:sz="12" w:space="0" w:color="auto"/>
            </w:tcBorders>
            <w:vAlign w:val="bottom"/>
          </w:tcPr>
          <w:p w14:paraId="0A27D3DD" w14:textId="54CB4DAF" w:rsidR="00FC0972" w:rsidRPr="009F3026" w:rsidRDefault="00FC0972" w:rsidP="00FC0972">
            <w:pPr>
              <w:tabs>
                <w:tab w:val="left" w:pos="7214"/>
                <w:tab w:val="decimal" w:pos="8107"/>
                <w:tab w:val="left" w:pos="8467"/>
                <w:tab w:val="decimal" w:pos="9360"/>
              </w:tabs>
              <w:spacing w:before="120" w:after="0" w:line="240" w:lineRule="auto"/>
              <w:rPr>
                <w:rFonts w:ascii="Arial" w:hAnsi="Arial" w:cs="Arial"/>
              </w:rPr>
            </w:pPr>
            <w:r>
              <w:rPr>
                <w:rFonts w:ascii="Arial" w:hAnsi="Arial" w:cs="Arial"/>
              </w:rPr>
              <w:t>Net income</w:t>
            </w:r>
            <w:r w:rsidR="008D109A">
              <w:rPr>
                <w:rFonts w:ascii="Arial" w:hAnsi="Arial" w:cs="Arial"/>
              </w:rPr>
              <w:t xml:space="preserve"> (loss)</w:t>
            </w:r>
            <w:r w:rsidRPr="009F3026">
              <w:rPr>
                <w:rFonts w:ascii="Arial" w:hAnsi="Arial" w:cs="Arial"/>
              </w:rPr>
              <w:t xml:space="preserve"> per share, basic </w:t>
            </w:r>
            <w:r w:rsidR="008D109A">
              <w:rPr>
                <w:rFonts w:ascii="Arial" w:hAnsi="Arial" w:cs="Arial"/>
              </w:rPr>
              <w:t>and diluted</w:t>
            </w:r>
          </w:p>
        </w:tc>
        <w:tc>
          <w:tcPr>
            <w:tcW w:w="360" w:type="dxa"/>
            <w:tcBorders>
              <w:bottom w:val="single" w:sz="12" w:space="0" w:color="auto"/>
            </w:tcBorders>
          </w:tcPr>
          <w:p w14:paraId="34F7795C" w14:textId="77777777" w:rsidR="00FC0972" w:rsidRPr="009F3026" w:rsidRDefault="00FC0972" w:rsidP="00FC0972">
            <w:pPr>
              <w:spacing w:before="120" w:after="0" w:line="240" w:lineRule="auto"/>
              <w:ind w:right="270"/>
              <w:jc w:val="right"/>
              <w:rPr>
                <w:rFonts w:ascii="Arial" w:hAnsi="Arial" w:cs="Arial"/>
              </w:rPr>
            </w:pPr>
          </w:p>
        </w:tc>
        <w:tc>
          <w:tcPr>
            <w:tcW w:w="270" w:type="dxa"/>
            <w:tcBorders>
              <w:bottom w:val="single" w:sz="12" w:space="0" w:color="auto"/>
            </w:tcBorders>
            <w:vAlign w:val="bottom"/>
          </w:tcPr>
          <w:p w14:paraId="14F7A17B" w14:textId="77777777" w:rsidR="00FC0972" w:rsidRPr="009F3026" w:rsidRDefault="00FC0972" w:rsidP="00FC0972">
            <w:pPr>
              <w:tabs>
                <w:tab w:val="left" w:pos="1260"/>
              </w:tabs>
              <w:spacing w:before="120" w:after="0" w:line="240" w:lineRule="auto"/>
              <w:ind w:right="90"/>
              <w:jc w:val="right"/>
              <w:rPr>
                <w:rFonts w:ascii="Arial" w:hAnsi="Arial" w:cs="Arial"/>
              </w:rPr>
            </w:pPr>
          </w:p>
        </w:tc>
        <w:tc>
          <w:tcPr>
            <w:tcW w:w="1554" w:type="dxa"/>
            <w:tcBorders>
              <w:bottom w:val="single" w:sz="12" w:space="0" w:color="auto"/>
            </w:tcBorders>
            <w:vAlign w:val="bottom"/>
          </w:tcPr>
          <w:p w14:paraId="7AFAA41A" w14:textId="18CB8F2C" w:rsidR="00FC0972" w:rsidRPr="00F9075E" w:rsidRDefault="00352D33" w:rsidP="00FC0972">
            <w:pPr>
              <w:spacing w:before="120" w:after="0" w:line="240" w:lineRule="auto"/>
              <w:ind w:right="114"/>
              <w:jc w:val="right"/>
              <w:rPr>
                <w:rFonts w:ascii="Arial" w:hAnsi="Arial" w:cs="Arial"/>
              </w:rPr>
            </w:pPr>
            <w:r>
              <w:rPr>
                <w:rFonts w:ascii="Arial" w:hAnsi="Arial" w:cs="Arial"/>
              </w:rPr>
              <w:t>0.0</w:t>
            </w:r>
            <w:r w:rsidR="003A0CC4">
              <w:rPr>
                <w:rFonts w:ascii="Arial" w:hAnsi="Arial" w:cs="Arial"/>
              </w:rPr>
              <w:t>2</w:t>
            </w:r>
          </w:p>
        </w:tc>
        <w:tc>
          <w:tcPr>
            <w:tcW w:w="1555" w:type="dxa"/>
            <w:gridSpan w:val="2"/>
            <w:tcBorders>
              <w:bottom w:val="single" w:sz="12" w:space="0" w:color="auto"/>
            </w:tcBorders>
            <w:vAlign w:val="bottom"/>
          </w:tcPr>
          <w:p w14:paraId="7C767107" w14:textId="05B6DA58" w:rsidR="00FC0972" w:rsidRPr="009F3026" w:rsidRDefault="00FC0972" w:rsidP="00FC0972">
            <w:pPr>
              <w:spacing w:before="120" w:after="0" w:line="240" w:lineRule="auto"/>
              <w:ind w:right="114"/>
              <w:jc w:val="right"/>
              <w:rPr>
                <w:rFonts w:ascii="Arial" w:hAnsi="Arial" w:cs="Arial"/>
              </w:rPr>
            </w:pPr>
            <w:r>
              <w:rPr>
                <w:rFonts w:ascii="Arial" w:hAnsi="Arial" w:cs="Arial"/>
              </w:rPr>
              <w:t>(0.</w:t>
            </w:r>
            <w:r w:rsidR="002D7A67">
              <w:rPr>
                <w:rFonts w:ascii="Arial" w:hAnsi="Arial" w:cs="Arial"/>
              </w:rPr>
              <w:t>1</w:t>
            </w:r>
            <w:r w:rsidR="003A6471">
              <w:rPr>
                <w:rFonts w:ascii="Arial" w:hAnsi="Arial" w:cs="Arial"/>
              </w:rPr>
              <w:t>9</w:t>
            </w:r>
            <w:r>
              <w:rPr>
                <w:rFonts w:ascii="Arial" w:hAnsi="Arial" w:cs="Arial"/>
              </w:rPr>
              <w:t>)</w:t>
            </w:r>
          </w:p>
        </w:tc>
      </w:tr>
      <w:tr w:rsidR="00F16062" w:rsidRPr="009F3026" w14:paraId="6505D0A2" w14:textId="77777777" w:rsidTr="000F6795">
        <w:trPr>
          <w:trHeight w:hRule="exact" w:val="86"/>
        </w:trPr>
        <w:tc>
          <w:tcPr>
            <w:tcW w:w="6112" w:type="dxa"/>
            <w:tcBorders>
              <w:top w:val="single" w:sz="4" w:space="0" w:color="auto"/>
            </w:tcBorders>
            <w:vAlign w:val="bottom"/>
          </w:tcPr>
          <w:p w14:paraId="3AD0397F"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4" w:space="0" w:color="auto"/>
            </w:tcBorders>
          </w:tcPr>
          <w:p w14:paraId="613A85AA" w14:textId="77777777" w:rsidR="00F16062" w:rsidRPr="009F3026" w:rsidRDefault="00F16062" w:rsidP="00F16062">
            <w:pPr>
              <w:tabs>
                <w:tab w:val="left" w:pos="7214"/>
                <w:tab w:val="decimal" w:pos="8107"/>
                <w:tab w:val="left" w:pos="8467"/>
                <w:tab w:val="decimal" w:pos="9360"/>
              </w:tabs>
              <w:spacing w:after="0" w:line="240" w:lineRule="auto"/>
              <w:ind w:right="270"/>
              <w:jc w:val="right"/>
              <w:rPr>
                <w:rFonts w:ascii="Arial" w:hAnsi="Arial" w:cs="Arial"/>
              </w:rPr>
            </w:pPr>
          </w:p>
        </w:tc>
        <w:tc>
          <w:tcPr>
            <w:tcW w:w="270" w:type="dxa"/>
            <w:tcBorders>
              <w:top w:val="single" w:sz="4" w:space="0" w:color="auto"/>
            </w:tcBorders>
            <w:vAlign w:val="bottom"/>
          </w:tcPr>
          <w:p w14:paraId="1D26C45E" w14:textId="77777777" w:rsidR="00F16062" w:rsidRPr="009F3026" w:rsidRDefault="00F16062" w:rsidP="00F16062">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shd w:val="clear" w:color="auto" w:fill="auto"/>
          </w:tcPr>
          <w:p w14:paraId="73481C6B" w14:textId="77777777" w:rsidR="00F16062" w:rsidRPr="00BD3189"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30771FA5" w14:textId="77777777" w:rsidR="00F16062" w:rsidRPr="009F3026" w:rsidRDefault="00F16062" w:rsidP="00F16062">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3A0CC4" w:rsidRPr="009F3026" w14:paraId="22AC36F6" w14:textId="77777777" w:rsidTr="00C226CC">
        <w:trPr>
          <w:trHeight w:hRule="exact" w:val="86"/>
        </w:trPr>
        <w:tc>
          <w:tcPr>
            <w:tcW w:w="6112" w:type="dxa"/>
            <w:vAlign w:val="bottom"/>
          </w:tcPr>
          <w:p w14:paraId="67AB6900" w14:textId="77777777" w:rsidR="003A0CC4" w:rsidRPr="009F3026" w:rsidRDefault="003A0CC4" w:rsidP="00C226CC">
            <w:pPr>
              <w:tabs>
                <w:tab w:val="left" w:pos="7214"/>
                <w:tab w:val="decimal" w:pos="8107"/>
                <w:tab w:val="left" w:pos="8467"/>
                <w:tab w:val="decimal" w:pos="9360"/>
              </w:tabs>
              <w:spacing w:after="0" w:line="240" w:lineRule="auto"/>
              <w:rPr>
                <w:rFonts w:ascii="Arial" w:hAnsi="Arial" w:cs="Arial"/>
              </w:rPr>
            </w:pPr>
          </w:p>
        </w:tc>
        <w:tc>
          <w:tcPr>
            <w:tcW w:w="360" w:type="dxa"/>
          </w:tcPr>
          <w:p w14:paraId="35E80549" w14:textId="77777777" w:rsidR="003A0CC4" w:rsidRPr="009F3026" w:rsidRDefault="003A0CC4" w:rsidP="00C226CC">
            <w:pPr>
              <w:tabs>
                <w:tab w:val="left" w:pos="7214"/>
                <w:tab w:val="decimal" w:pos="8107"/>
                <w:tab w:val="left" w:pos="8467"/>
                <w:tab w:val="decimal" w:pos="9360"/>
              </w:tabs>
              <w:spacing w:after="0" w:line="240" w:lineRule="auto"/>
              <w:ind w:right="270"/>
              <w:jc w:val="right"/>
              <w:rPr>
                <w:rFonts w:ascii="Arial" w:hAnsi="Arial" w:cs="Arial"/>
              </w:rPr>
            </w:pPr>
          </w:p>
        </w:tc>
        <w:tc>
          <w:tcPr>
            <w:tcW w:w="270" w:type="dxa"/>
            <w:vAlign w:val="bottom"/>
          </w:tcPr>
          <w:p w14:paraId="211F84A8" w14:textId="77777777" w:rsidR="003A0CC4" w:rsidRPr="009F3026" w:rsidRDefault="003A0CC4" w:rsidP="00C226CC">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shd w:val="clear" w:color="auto" w:fill="auto"/>
          </w:tcPr>
          <w:p w14:paraId="5130F147" w14:textId="77777777" w:rsidR="003A0CC4" w:rsidRPr="00BD3189" w:rsidRDefault="003A0CC4" w:rsidP="00C226CC">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5DA51F3C" w14:textId="77777777" w:rsidR="003A0CC4" w:rsidRPr="009F3026" w:rsidRDefault="003A0CC4" w:rsidP="00C226CC">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3A0CC4" w:rsidRPr="009F3026" w14:paraId="5D565880" w14:textId="77777777" w:rsidTr="00C226CC">
        <w:trPr>
          <w:gridAfter w:val="1"/>
          <w:wAfter w:w="11" w:type="dxa"/>
          <w:trHeight w:val="245"/>
        </w:trPr>
        <w:tc>
          <w:tcPr>
            <w:tcW w:w="6112" w:type="dxa"/>
            <w:tcBorders>
              <w:bottom w:val="single" w:sz="12" w:space="0" w:color="auto"/>
            </w:tcBorders>
            <w:vAlign w:val="bottom"/>
          </w:tcPr>
          <w:p w14:paraId="7C6EB1B8" w14:textId="77777777" w:rsidR="008B3E65" w:rsidRDefault="003A0CC4" w:rsidP="00C226CC">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Weighted average shares outstanding</w:t>
            </w:r>
            <w:r>
              <w:rPr>
                <w:rFonts w:ascii="Arial" w:hAnsi="Arial" w:cs="Arial"/>
              </w:rPr>
              <w:t xml:space="preserve">, </w:t>
            </w:r>
            <w:proofErr w:type="gramStart"/>
            <w:r w:rsidRPr="009F3026">
              <w:rPr>
                <w:rFonts w:ascii="Arial" w:hAnsi="Arial" w:cs="Arial"/>
              </w:rPr>
              <w:t>basic</w:t>
            </w:r>
            <w:proofErr w:type="gramEnd"/>
            <w:r>
              <w:rPr>
                <w:rFonts w:ascii="Arial" w:hAnsi="Arial" w:cs="Arial"/>
              </w:rPr>
              <w:t xml:space="preserve"> and diluted</w:t>
            </w:r>
            <w:r w:rsidR="008B3E65">
              <w:rPr>
                <w:rFonts w:ascii="Arial" w:hAnsi="Arial" w:cs="Arial"/>
              </w:rPr>
              <w:t xml:space="preserve"> </w:t>
            </w:r>
          </w:p>
          <w:p w14:paraId="43C54000" w14:textId="5BD45932" w:rsidR="003A0CC4" w:rsidRPr="009F3026" w:rsidRDefault="008B3E65" w:rsidP="00C226CC">
            <w:pPr>
              <w:tabs>
                <w:tab w:val="left" w:pos="7214"/>
                <w:tab w:val="decimal" w:pos="8107"/>
                <w:tab w:val="left" w:pos="8467"/>
                <w:tab w:val="decimal" w:pos="9360"/>
              </w:tabs>
              <w:spacing w:after="0" w:line="240" w:lineRule="auto"/>
              <w:rPr>
                <w:rFonts w:ascii="Arial" w:hAnsi="Arial" w:cs="Arial"/>
              </w:rPr>
            </w:pPr>
            <w:r>
              <w:rPr>
                <w:rFonts w:ascii="Arial" w:hAnsi="Arial" w:cs="Arial"/>
              </w:rPr>
              <w:t>(Note 22(g))</w:t>
            </w:r>
          </w:p>
        </w:tc>
        <w:tc>
          <w:tcPr>
            <w:tcW w:w="360" w:type="dxa"/>
            <w:tcBorders>
              <w:bottom w:val="single" w:sz="12" w:space="0" w:color="auto"/>
            </w:tcBorders>
          </w:tcPr>
          <w:p w14:paraId="01352887" w14:textId="77777777" w:rsidR="003A0CC4" w:rsidRPr="009F3026" w:rsidRDefault="003A0CC4" w:rsidP="00C226CC">
            <w:pPr>
              <w:spacing w:after="0" w:line="240" w:lineRule="auto"/>
              <w:jc w:val="center"/>
              <w:rPr>
                <w:rFonts w:ascii="Arial" w:hAnsi="Arial" w:cs="Arial"/>
              </w:rPr>
            </w:pPr>
          </w:p>
        </w:tc>
        <w:tc>
          <w:tcPr>
            <w:tcW w:w="270" w:type="dxa"/>
            <w:tcBorders>
              <w:bottom w:val="single" w:sz="12" w:space="0" w:color="auto"/>
            </w:tcBorders>
            <w:vAlign w:val="bottom"/>
          </w:tcPr>
          <w:p w14:paraId="6F60856D" w14:textId="77777777" w:rsidR="003A0CC4" w:rsidRPr="009F3026" w:rsidRDefault="003A0CC4" w:rsidP="00C226CC">
            <w:pPr>
              <w:tabs>
                <w:tab w:val="left" w:pos="1190"/>
                <w:tab w:val="left" w:pos="1260"/>
              </w:tabs>
              <w:spacing w:after="0" w:line="240" w:lineRule="auto"/>
              <w:ind w:right="90"/>
              <w:jc w:val="right"/>
              <w:rPr>
                <w:rFonts w:ascii="Arial" w:hAnsi="Arial" w:cs="Arial"/>
              </w:rPr>
            </w:pPr>
          </w:p>
        </w:tc>
        <w:tc>
          <w:tcPr>
            <w:tcW w:w="1554" w:type="dxa"/>
            <w:tcBorders>
              <w:bottom w:val="single" w:sz="12" w:space="0" w:color="auto"/>
            </w:tcBorders>
            <w:vAlign w:val="bottom"/>
          </w:tcPr>
          <w:p w14:paraId="64EBA440" w14:textId="77777777" w:rsidR="003A0CC4" w:rsidRPr="003A0CC4" w:rsidRDefault="003A0CC4" w:rsidP="00C226CC">
            <w:pPr>
              <w:tabs>
                <w:tab w:val="left" w:pos="1190"/>
              </w:tabs>
              <w:spacing w:after="0" w:line="240" w:lineRule="auto"/>
              <w:ind w:right="114"/>
              <w:jc w:val="right"/>
              <w:rPr>
                <w:rFonts w:ascii="Arial" w:hAnsi="Arial" w:cs="Arial"/>
              </w:rPr>
            </w:pPr>
            <w:r w:rsidRPr="003A0CC4">
              <w:rPr>
                <w:rFonts w:ascii="Arial" w:hAnsi="Arial" w:cs="Arial"/>
              </w:rPr>
              <w:t>17,209,092</w:t>
            </w:r>
          </w:p>
        </w:tc>
        <w:tc>
          <w:tcPr>
            <w:tcW w:w="1555" w:type="dxa"/>
            <w:gridSpan w:val="2"/>
            <w:tcBorders>
              <w:bottom w:val="single" w:sz="12" w:space="0" w:color="auto"/>
            </w:tcBorders>
            <w:vAlign w:val="bottom"/>
          </w:tcPr>
          <w:p w14:paraId="3F092828" w14:textId="1E561DD2" w:rsidR="003A0CC4" w:rsidRPr="003A0CC4" w:rsidRDefault="003A0CC4" w:rsidP="00C226CC">
            <w:pPr>
              <w:tabs>
                <w:tab w:val="left" w:pos="1190"/>
              </w:tabs>
              <w:spacing w:after="0" w:line="240" w:lineRule="auto"/>
              <w:ind w:right="114"/>
              <w:jc w:val="right"/>
              <w:rPr>
                <w:rFonts w:ascii="Arial" w:hAnsi="Arial" w:cs="Arial"/>
              </w:rPr>
            </w:pPr>
            <w:r w:rsidRPr="003A0CC4">
              <w:rPr>
                <w:rFonts w:ascii="Arial" w:hAnsi="Arial" w:cs="Arial"/>
              </w:rPr>
              <w:t>9,953,568</w:t>
            </w:r>
          </w:p>
        </w:tc>
      </w:tr>
      <w:tr w:rsidR="00F16062" w:rsidRPr="009F3026" w14:paraId="7106B280" w14:textId="77777777" w:rsidTr="000F6795">
        <w:trPr>
          <w:gridAfter w:val="1"/>
          <w:wAfter w:w="11" w:type="dxa"/>
          <w:trHeight w:hRule="exact" w:val="101"/>
        </w:trPr>
        <w:tc>
          <w:tcPr>
            <w:tcW w:w="6112" w:type="dxa"/>
            <w:tcBorders>
              <w:top w:val="single" w:sz="12" w:space="0" w:color="auto"/>
            </w:tcBorders>
            <w:vAlign w:val="bottom"/>
          </w:tcPr>
          <w:p w14:paraId="34BFAF0A" w14:textId="77777777" w:rsidR="00F16062" w:rsidRPr="009F3026" w:rsidRDefault="00F16062" w:rsidP="00F16062">
            <w:pPr>
              <w:tabs>
                <w:tab w:val="left" w:pos="7214"/>
                <w:tab w:val="decimal" w:pos="8107"/>
                <w:tab w:val="left" w:pos="8467"/>
                <w:tab w:val="decimal" w:pos="9360"/>
              </w:tabs>
              <w:spacing w:after="0" w:line="240" w:lineRule="auto"/>
              <w:rPr>
                <w:rFonts w:ascii="Arial" w:hAnsi="Arial" w:cs="Arial"/>
              </w:rPr>
            </w:pPr>
          </w:p>
        </w:tc>
        <w:tc>
          <w:tcPr>
            <w:tcW w:w="360" w:type="dxa"/>
            <w:tcBorders>
              <w:top w:val="single" w:sz="12" w:space="0" w:color="auto"/>
            </w:tcBorders>
          </w:tcPr>
          <w:p w14:paraId="38AAE14F" w14:textId="77777777" w:rsidR="00F16062" w:rsidRPr="009F3026" w:rsidRDefault="00F16062" w:rsidP="00F16062">
            <w:pPr>
              <w:spacing w:after="0" w:line="240" w:lineRule="auto"/>
              <w:jc w:val="center"/>
              <w:rPr>
                <w:rFonts w:ascii="Arial" w:hAnsi="Arial" w:cs="Arial"/>
              </w:rPr>
            </w:pPr>
          </w:p>
        </w:tc>
        <w:tc>
          <w:tcPr>
            <w:tcW w:w="270" w:type="dxa"/>
            <w:tcBorders>
              <w:top w:val="single" w:sz="12" w:space="0" w:color="auto"/>
            </w:tcBorders>
            <w:vAlign w:val="bottom"/>
          </w:tcPr>
          <w:p w14:paraId="0E9262E7" w14:textId="77777777" w:rsidR="00F16062" w:rsidRPr="009F3026" w:rsidRDefault="00F16062" w:rsidP="00F16062">
            <w:pPr>
              <w:tabs>
                <w:tab w:val="left" w:pos="1190"/>
                <w:tab w:val="left" w:pos="1260"/>
              </w:tabs>
              <w:spacing w:after="0" w:line="240" w:lineRule="auto"/>
              <w:ind w:right="90"/>
              <w:jc w:val="right"/>
              <w:rPr>
                <w:rFonts w:ascii="Arial" w:hAnsi="Arial" w:cs="Arial"/>
              </w:rPr>
            </w:pPr>
          </w:p>
        </w:tc>
        <w:tc>
          <w:tcPr>
            <w:tcW w:w="1554" w:type="dxa"/>
            <w:tcBorders>
              <w:top w:val="single" w:sz="12" w:space="0" w:color="auto"/>
            </w:tcBorders>
            <w:vAlign w:val="bottom"/>
          </w:tcPr>
          <w:p w14:paraId="20E8EB2C" w14:textId="77777777" w:rsidR="00F16062" w:rsidRPr="009F3026" w:rsidRDefault="00F16062" w:rsidP="00F16062">
            <w:pPr>
              <w:tabs>
                <w:tab w:val="left" w:pos="1190"/>
              </w:tabs>
              <w:spacing w:after="0" w:line="240" w:lineRule="auto"/>
              <w:ind w:right="114"/>
              <w:jc w:val="right"/>
              <w:rPr>
                <w:rFonts w:ascii="Arial" w:hAnsi="Arial" w:cs="Arial"/>
              </w:rPr>
            </w:pPr>
          </w:p>
        </w:tc>
        <w:tc>
          <w:tcPr>
            <w:tcW w:w="1555" w:type="dxa"/>
            <w:gridSpan w:val="2"/>
            <w:tcBorders>
              <w:top w:val="single" w:sz="12" w:space="0" w:color="auto"/>
            </w:tcBorders>
            <w:vAlign w:val="bottom"/>
          </w:tcPr>
          <w:p w14:paraId="2292B3C1" w14:textId="77777777" w:rsidR="00F16062" w:rsidRPr="009F3026" w:rsidRDefault="00F16062" w:rsidP="00F16062">
            <w:pPr>
              <w:tabs>
                <w:tab w:val="left" w:pos="1190"/>
              </w:tabs>
              <w:spacing w:after="0" w:line="240" w:lineRule="auto"/>
              <w:ind w:right="114"/>
              <w:jc w:val="right"/>
              <w:rPr>
                <w:rFonts w:ascii="Arial" w:hAnsi="Arial" w:cs="Arial"/>
              </w:rPr>
            </w:pPr>
          </w:p>
        </w:tc>
      </w:tr>
    </w:tbl>
    <w:p w14:paraId="0ECDDD36" w14:textId="77777777" w:rsidR="002651F3" w:rsidRDefault="002651F3"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09F866F3" w14:textId="55751E37" w:rsidR="002651F3" w:rsidRDefault="002651F3"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0914FF52" w14:textId="0593B061" w:rsidR="00C35952" w:rsidRDefault="00C35952"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0DE22693" w14:textId="37EE84C2" w:rsidR="00C35952" w:rsidRDefault="00C35952"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5467D886" w14:textId="2EEA628D" w:rsidR="00C35952" w:rsidRDefault="00C35952"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70D374D7" w14:textId="77777777" w:rsidR="00C35952" w:rsidRDefault="00C35952"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18EFEDEA" w14:textId="77777777" w:rsidR="002651F3" w:rsidRDefault="002651F3"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szCs w:val="20"/>
        </w:rPr>
      </w:pPr>
    </w:p>
    <w:p w14:paraId="45FADBA3" w14:textId="1992345F" w:rsidR="00790828" w:rsidRDefault="00790828" w:rsidP="001E5A9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jc w:val="center"/>
        <w:rPr>
          <w:rFonts w:ascii="Arial" w:hAnsi="Arial" w:cs="Arial"/>
        </w:rPr>
      </w:pPr>
      <w:r w:rsidRPr="009F3026">
        <w:rPr>
          <w:rFonts w:ascii="Arial" w:hAnsi="Arial" w:cs="Arial"/>
          <w:szCs w:val="20"/>
        </w:rPr>
        <w:t xml:space="preserve">(The accompanying notes are an integral part of these </w:t>
      </w:r>
      <w:r w:rsidR="008F26A2">
        <w:rPr>
          <w:rFonts w:ascii="Arial" w:hAnsi="Arial" w:cs="Arial"/>
          <w:szCs w:val="20"/>
        </w:rPr>
        <w:t xml:space="preserve">condensed </w:t>
      </w:r>
      <w:r w:rsidR="008F26A2" w:rsidRPr="00EE4151">
        <w:rPr>
          <w:rFonts w:ascii="Arial" w:hAnsi="Arial" w:cs="Arial"/>
          <w:szCs w:val="20"/>
        </w:rPr>
        <w:t>consolidated</w:t>
      </w:r>
      <w:r w:rsidR="008F26A2">
        <w:rPr>
          <w:rFonts w:ascii="Arial" w:hAnsi="Arial" w:cs="Arial"/>
          <w:szCs w:val="20"/>
        </w:rPr>
        <w:t xml:space="preserve"> interim</w:t>
      </w:r>
      <w:r w:rsidR="008F26A2" w:rsidRPr="00EE4151">
        <w:rPr>
          <w:rFonts w:ascii="Arial" w:hAnsi="Arial" w:cs="Arial"/>
          <w:szCs w:val="20"/>
        </w:rPr>
        <w:t xml:space="preserve"> financial statements</w:t>
      </w:r>
      <w:r w:rsidRPr="009F3026">
        <w:rPr>
          <w:rFonts w:ascii="Arial" w:hAnsi="Arial" w:cs="Arial"/>
          <w:szCs w:val="20"/>
        </w:rPr>
        <w:t>)</w:t>
      </w:r>
      <w:r>
        <w:rPr>
          <w:rFonts w:ascii="Arial" w:hAnsi="Arial" w:cs="Arial"/>
        </w:rPr>
        <w:br w:type="page"/>
      </w:r>
    </w:p>
    <w:p w14:paraId="43C8E1AB" w14:textId="279E7218" w:rsidR="00790828" w:rsidRPr="009F3026" w:rsidRDefault="000F2E3C"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
          <w:bCs/>
          <w:sz w:val="24"/>
        </w:rPr>
      </w:pPr>
      <w:r>
        <w:rPr>
          <w:rFonts w:ascii="Arial" w:hAnsi="Arial" w:cs="Arial"/>
          <w:b/>
          <w:bCs/>
          <w:sz w:val="24"/>
        </w:rPr>
        <w:lastRenderedPageBreak/>
        <w:t>BETTERLIFE PHARMA INC.</w:t>
      </w:r>
      <w:r w:rsidR="008E7C6B">
        <w:rPr>
          <w:rFonts w:ascii="Arial" w:hAnsi="Arial" w:cs="Arial"/>
          <w:b/>
          <w:bCs/>
          <w:sz w:val="24"/>
        </w:rPr>
        <w:t xml:space="preserve"> </w:t>
      </w:r>
    </w:p>
    <w:p w14:paraId="0C8634B7" w14:textId="048BDB4A" w:rsidR="00790828" w:rsidRPr="009F3026" w:rsidRDefault="008F26A2"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jc w:val="both"/>
        <w:rPr>
          <w:rFonts w:ascii="Arial" w:hAnsi="Arial" w:cs="Arial"/>
          <w:bCs/>
          <w:szCs w:val="20"/>
        </w:rPr>
      </w:pPr>
      <w:r>
        <w:rPr>
          <w:rFonts w:ascii="Arial" w:hAnsi="Arial" w:cs="Arial"/>
          <w:bCs/>
          <w:szCs w:val="20"/>
        </w:rPr>
        <w:t xml:space="preserve">Condensed </w:t>
      </w:r>
      <w:r w:rsidR="008E7C6B">
        <w:rPr>
          <w:rFonts w:ascii="Arial" w:hAnsi="Arial" w:cs="Arial"/>
          <w:bCs/>
          <w:szCs w:val="20"/>
        </w:rPr>
        <w:t>Consolidated</w:t>
      </w:r>
      <w:r>
        <w:rPr>
          <w:rFonts w:ascii="Arial" w:hAnsi="Arial" w:cs="Arial"/>
          <w:bCs/>
          <w:szCs w:val="20"/>
        </w:rPr>
        <w:t xml:space="preserve"> Interim</w:t>
      </w:r>
      <w:r w:rsidR="008E7C6B">
        <w:rPr>
          <w:rFonts w:ascii="Arial" w:hAnsi="Arial" w:cs="Arial"/>
          <w:bCs/>
          <w:szCs w:val="20"/>
        </w:rPr>
        <w:t xml:space="preserve"> </w:t>
      </w:r>
      <w:r w:rsidR="00790828" w:rsidRPr="009F3026">
        <w:rPr>
          <w:rFonts w:ascii="Arial" w:hAnsi="Arial" w:cs="Arial"/>
          <w:bCs/>
          <w:szCs w:val="20"/>
        </w:rPr>
        <w:t xml:space="preserve">Statements of </w:t>
      </w:r>
      <w:r w:rsidR="00681427">
        <w:rPr>
          <w:rFonts w:ascii="Arial" w:hAnsi="Arial" w:cs="Arial"/>
          <w:bCs/>
          <w:szCs w:val="20"/>
        </w:rPr>
        <w:t>Shareholders’ Equity</w:t>
      </w:r>
      <w:r>
        <w:rPr>
          <w:rFonts w:ascii="Arial" w:hAnsi="Arial" w:cs="Arial"/>
          <w:bCs/>
          <w:szCs w:val="20"/>
        </w:rPr>
        <w:t xml:space="preserve"> (unaudited)</w:t>
      </w:r>
      <w:r w:rsidR="00681427">
        <w:rPr>
          <w:rFonts w:ascii="Arial" w:hAnsi="Arial" w:cs="Arial"/>
          <w:bCs/>
          <w:szCs w:val="20"/>
        </w:rPr>
        <w:t xml:space="preserve"> </w:t>
      </w:r>
    </w:p>
    <w:p w14:paraId="618D1852" w14:textId="0CF2D03F" w:rsidR="00790828" w:rsidRPr="009D54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r w:rsidRPr="009F3026">
        <w:rPr>
          <w:rFonts w:ascii="Arial" w:hAnsi="Arial" w:cs="Arial"/>
          <w:bCs/>
          <w:szCs w:val="20"/>
        </w:rPr>
        <w:t xml:space="preserve">(Expressed in </w:t>
      </w:r>
      <w:r w:rsidR="00BD3189">
        <w:rPr>
          <w:rFonts w:ascii="Arial" w:hAnsi="Arial" w:cs="Arial"/>
          <w:bCs/>
          <w:szCs w:val="20"/>
        </w:rPr>
        <w:t>Canadian</w:t>
      </w:r>
      <w:r w:rsidRPr="009F3026">
        <w:rPr>
          <w:rFonts w:ascii="Arial" w:hAnsi="Arial" w:cs="Arial"/>
          <w:szCs w:val="20"/>
        </w:rPr>
        <w:t xml:space="preserve"> dollars)</w:t>
      </w:r>
    </w:p>
    <w:tbl>
      <w:tblPr>
        <w:tblpPr w:leftFromText="180" w:rightFromText="180" w:vertAnchor="text" w:tblpX="-862" w:tblpY="1"/>
        <w:tblOverlap w:val="never"/>
        <w:tblW w:w="12105" w:type="dxa"/>
        <w:tblLayout w:type="fixed"/>
        <w:tblCellMar>
          <w:left w:w="0" w:type="dxa"/>
          <w:right w:w="0" w:type="dxa"/>
        </w:tblCellMar>
        <w:tblLook w:val="0000" w:firstRow="0" w:lastRow="0" w:firstColumn="0" w:lastColumn="0" w:noHBand="0" w:noVBand="0"/>
      </w:tblPr>
      <w:tblGrid>
        <w:gridCol w:w="2880"/>
        <w:gridCol w:w="349"/>
        <w:gridCol w:w="927"/>
        <w:gridCol w:w="423"/>
        <w:gridCol w:w="821"/>
        <w:gridCol w:w="423"/>
        <w:gridCol w:w="569"/>
        <w:gridCol w:w="490"/>
        <w:gridCol w:w="644"/>
        <w:gridCol w:w="632"/>
        <w:gridCol w:w="803"/>
        <w:gridCol w:w="565"/>
        <w:gridCol w:w="711"/>
        <w:gridCol w:w="565"/>
        <w:gridCol w:w="738"/>
        <w:gridCol w:w="565"/>
      </w:tblGrid>
      <w:tr w:rsidR="006F321B" w:rsidRPr="00370EC4" w14:paraId="5089807A" w14:textId="77777777" w:rsidTr="008627E3">
        <w:trPr>
          <w:gridAfter w:val="1"/>
          <w:wAfter w:w="565" w:type="dxa"/>
          <w:trHeight w:val="810"/>
        </w:trPr>
        <w:tc>
          <w:tcPr>
            <w:tcW w:w="2880" w:type="dxa"/>
            <w:tcBorders>
              <w:top w:val="nil"/>
              <w:left w:val="nil"/>
            </w:tcBorders>
            <w:noWrap/>
            <w:tcMar>
              <w:right w:w="216" w:type="dxa"/>
            </w:tcMar>
            <w:vAlign w:val="bottom"/>
          </w:tcPr>
          <w:p w14:paraId="7CEAEA76" w14:textId="77777777" w:rsidR="006F321B" w:rsidRPr="00370EC4" w:rsidRDefault="006F321B" w:rsidP="00C75109">
            <w:pPr>
              <w:rPr>
                <w:rFonts w:ascii="Arial" w:eastAsia="Arial Unicode MS" w:hAnsi="Arial" w:cs="Arial"/>
                <w:sz w:val="18"/>
                <w:szCs w:val="18"/>
              </w:rPr>
            </w:pPr>
          </w:p>
        </w:tc>
        <w:tc>
          <w:tcPr>
            <w:tcW w:w="2520" w:type="dxa"/>
            <w:gridSpan w:val="4"/>
            <w:tcBorders>
              <w:bottom w:val="single" w:sz="4" w:space="0" w:color="auto"/>
              <w:right w:val="nil"/>
            </w:tcBorders>
            <w:shd w:val="clear" w:color="auto" w:fill="auto"/>
            <w:vAlign w:val="bottom"/>
          </w:tcPr>
          <w:p w14:paraId="5B31A78D" w14:textId="7E243E29" w:rsidR="006F321B" w:rsidRPr="00370EC4" w:rsidRDefault="006F321B" w:rsidP="00681427">
            <w:pPr>
              <w:spacing w:after="0" w:line="240" w:lineRule="auto"/>
              <w:ind w:right="154"/>
              <w:jc w:val="center"/>
              <w:rPr>
                <w:rFonts w:ascii="Arial" w:hAnsi="Arial" w:cs="Arial"/>
                <w:sz w:val="18"/>
                <w:szCs w:val="18"/>
              </w:rPr>
            </w:pPr>
            <w:r w:rsidRPr="00370EC4">
              <w:rPr>
                <w:rFonts w:ascii="Arial" w:hAnsi="Arial" w:cs="Arial"/>
                <w:sz w:val="18"/>
                <w:szCs w:val="18"/>
              </w:rPr>
              <w:t xml:space="preserve">Common </w:t>
            </w:r>
            <w:r w:rsidR="00681427">
              <w:rPr>
                <w:rFonts w:ascii="Arial" w:hAnsi="Arial" w:cs="Arial"/>
                <w:sz w:val="18"/>
                <w:szCs w:val="18"/>
              </w:rPr>
              <w:t>Shares</w:t>
            </w:r>
          </w:p>
        </w:tc>
        <w:tc>
          <w:tcPr>
            <w:tcW w:w="992" w:type="dxa"/>
            <w:gridSpan w:val="2"/>
            <w:vMerge w:val="restart"/>
            <w:tcBorders>
              <w:left w:val="nil"/>
              <w:bottom w:val="single" w:sz="4" w:space="0" w:color="auto"/>
              <w:right w:val="nil"/>
            </w:tcBorders>
            <w:vAlign w:val="bottom"/>
          </w:tcPr>
          <w:p w14:paraId="1775F734" w14:textId="3C49C70F" w:rsidR="006F321B" w:rsidRPr="00370EC4" w:rsidRDefault="008627E3" w:rsidP="00C75109">
            <w:pPr>
              <w:pStyle w:val="EnvelopeReturn"/>
              <w:jc w:val="center"/>
              <w:rPr>
                <w:rFonts w:eastAsia="Arial Unicode MS" w:cs="Arial"/>
                <w:sz w:val="18"/>
                <w:szCs w:val="18"/>
              </w:rPr>
            </w:pPr>
            <w:r>
              <w:rPr>
                <w:rFonts w:eastAsia="Arial Unicode MS" w:cs="Arial"/>
                <w:sz w:val="18"/>
                <w:szCs w:val="18"/>
              </w:rPr>
              <w:t>C</w:t>
            </w:r>
            <w:r w:rsidR="006F321B" w:rsidRPr="00370EC4">
              <w:rPr>
                <w:rFonts w:eastAsia="Arial Unicode MS" w:cs="Arial"/>
                <w:sz w:val="18"/>
                <w:szCs w:val="18"/>
              </w:rPr>
              <w:t>ommon</w:t>
            </w:r>
          </w:p>
          <w:p w14:paraId="23994488" w14:textId="6440F7EE" w:rsidR="006F321B" w:rsidRPr="00370EC4" w:rsidRDefault="00681427" w:rsidP="00C75109">
            <w:pPr>
              <w:pStyle w:val="EnvelopeReturn"/>
              <w:jc w:val="center"/>
              <w:rPr>
                <w:rFonts w:eastAsia="Arial Unicode MS" w:cs="Arial"/>
                <w:sz w:val="18"/>
                <w:szCs w:val="18"/>
              </w:rPr>
            </w:pPr>
            <w:r>
              <w:rPr>
                <w:rFonts w:eastAsia="Arial Unicode MS" w:cs="Arial"/>
                <w:sz w:val="18"/>
                <w:szCs w:val="18"/>
              </w:rPr>
              <w:t>Shares</w:t>
            </w:r>
          </w:p>
          <w:p w14:paraId="49E6E98D" w14:textId="77777777" w:rsidR="006F321B" w:rsidRPr="00370EC4" w:rsidRDefault="006F321B" w:rsidP="00C75109">
            <w:pPr>
              <w:pStyle w:val="EnvelopeReturn"/>
              <w:jc w:val="center"/>
              <w:rPr>
                <w:rFonts w:eastAsia="Arial Unicode MS" w:cs="Arial"/>
                <w:sz w:val="18"/>
                <w:szCs w:val="18"/>
              </w:rPr>
            </w:pPr>
            <w:r w:rsidRPr="00370EC4">
              <w:rPr>
                <w:rFonts w:eastAsia="Arial Unicode MS" w:cs="Arial"/>
                <w:sz w:val="18"/>
                <w:szCs w:val="18"/>
              </w:rPr>
              <w:t>Issuable</w:t>
            </w:r>
          </w:p>
          <w:p w14:paraId="3A9A9F63"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134" w:type="dxa"/>
            <w:gridSpan w:val="2"/>
            <w:vMerge w:val="restart"/>
            <w:tcBorders>
              <w:left w:val="nil"/>
              <w:bottom w:val="single" w:sz="4" w:space="0" w:color="auto"/>
              <w:right w:val="nil"/>
            </w:tcBorders>
            <w:vAlign w:val="bottom"/>
          </w:tcPr>
          <w:p w14:paraId="7B5589A8" w14:textId="3C2EE19F" w:rsidR="006F321B" w:rsidRPr="00370EC4" w:rsidRDefault="00397EA0" w:rsidP="00C75109">
            <w:pPr>
              <w:pStyle w:val="EnvelopeReturn"/>
              <w:jc w:val="center"/>
              <w:rPr>
                <w:rFonts w:eastAsia="Arial Unicode MS" w:cs="Arial"/>
                <w:sz w:val="18"/>
                <w:szCs w:val="18"/>
              </w:rPr>
            </w:pPr>
            <w:r>
              <w:rPr>
                <w:rFonts w:eastAsia="Arial Unicode MS" w:cs="Arial"/>
                <w:sz w:val="18"/>
                <w:szCs w:val="18"/>
              </w:rPr>
              <w:t>Reserves</w:t>
            </w:r>
          </w:p>
          <w:p w14:paraId="1B8EE87F"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435" w:type="dxa"/>
            <w:gridSpan w:val="2"/>
            <w:tcBorders>
              <w:left w:val="nil"/>
              <w:right w:val="nil"/>
            </w:tcBorders>
          </w:tcPr>
          <w:p w14:paraId="547A0A5B" w14:textId="77777777" w:rsidR="00C75109" w:rsidRPr="00370EC4" w:rsidRDefault="00C75109" w:rsidP="00C75109">
            <w:pPr>
              <w:pStyle w:val="EnvelopeReturn"/>
              <w:jc w:val="center"/>
              <w:rPr>
                <w:rFonts w:eastAsia="Arial Unicode MS" w:cs="Arial"/>
                <w:sz w:val="18"/>
                <w:szCs w:val="18"/>
              </w:rPr>
            </w:pPr>
          </w:p>
          <w:p w14:paraId="3052E487" w14:textId="77777777" w:rsidR="0055591C" w:rsidRDefault="0055591C" w:rsidP="00C75109">
            <w:pPr>
              <w:pStyle w:val="EnvelopeReturn"/>
              <w:jc w:val="center"/>
              <w:rPr>
                <w:rFonts w:eastAsia="Arial Unicode MS" w:cs="Arial"/>
                <w:sz w:val="18"/>
                <w:szCs w:val="18"/>
              </w:rPr>
            </w:pPr>
          </w:p>
          <w:p w14:paraId="68EC2411" w14:textId="02BE7FC3" w:rsidR="00C75109" w:rsidRPr="00370EC4" w:rsidRDefault="00B9757F" w:rsidP="00C75109">
            <w:pPr>
              <w:pStyle w:val="EnvelopeReturn"/>
              <w:jc w:val="center"/>
              <w:rPr>
                <w:rFonts w:eastAsia="Arial Unicode MS" w:cs="Arial"/>
                <w:sz w:val="18"/>
                <w:szCs w:val="18"/>
              </w:rPr>
            </w:pPr>
            <w:r w:rsidRPr="00B9757F">
              <w:rPr>
                <w:rFonts w:eastAsia="Arial Unicode MS" w:cs="Arial"/>
                <w:sz w:val="18"/>
                <w:szCs w:val="18"/>
              </w:rPr>
              <w:t xml:space="preserve">Accumulated </w:t>
            </w:r>
            <w:r w:rsidR="004A4F80">
              <w:rPr>
                <w:rFonts w:eastAsia="Arial Unicode MS" w:cs="Arial"/>
                <w:sz w:val="18"/>
                <w:szCs w:val="18"/>
              </w:rPr>
              <w:t>O</w:t>
            </w:r>
            <w:r w:rsidRPr="00B9757F">
              <w:rPr>
                <w:rFonts w:eastAsia="Arial Unicode MS" w:cs="Arial"/>
                <w:sz w:val="18"/>
                <w:szCs w:val="18"/>
              </w:rPr>
              <w:t xml:space="preserve">ther </w:t>
            </w:r>
            <w:r w:rsidR="004A4F80">
              <w:rPr>
                <w:rFonts w:eastAsia="Arial Unicode MS" w:cs="Arial"/>
                <w:sz w:val="18"/>
                <w:szCs w:val="18"/>
              </w:rPr>
              <w:t>C</w:t>
            </w:r>
            <w:r w:rsidRPr="00B9757F">
              <w:rPr>
                <w:rFonts w:eastAsia="Arial Unicode MS" w:cs="Arial"/>
                <w:sz w:val="18"/>
                <w:szCs w:val="18"/>
              </w:rPr>
              <w:t xml:space="preserve">omprehensive </w:t>
            </w:r>
            <w:r w:rsidR="004A4F80">
              <w:rPr>
                <w:rFonts w:eastAsia="Arial Unicode MS" w:cs="Arial"/>
                <w:sz w:val="18"/>
                <w:szCs w:val="18"/>
              </w:rPr>
              <w:t>I</w:t>
            </w:r>
            <w:r w:rsidRPr="00B9757F">
              <w:rPr>
                <w:rFonts w:eastAsia="Arial Unicode MS" w:cs="Arial"/>
                <w:sz w:val="18"/>
                <w:szCs w:val="18"/>
              </w:rPr>
              <w:t xml:space="preserve">ncome </w:t>
            </w:r>
            <w:r>
              <w:rPr>
                <w:rFonts w:eastAsia="Arial Unicode MS" w:cs="Arial"/>
                <w:sz w:val="18"/>
                <w:szCs w:val="18"/>
              </w:rPr>
              <w:t xml:space="preserve">- </w:t>
            </w:r>
            <w:r w:rsidR="00C75109" w:rsidRPr="00370EC4">
              <w:rPr>
                <w:rFonts w:eastAsia="Arial Unicode MS" w:cs="Arial"/>
                <w:sz w:val="18"/>
                <w:szCs w:val="18"/>
              </w:rPr>
              <w:t xml:space="preserve">Foreign Currency </w:t>
            </w:r>
          </w:p>
        </w:tc>
        <w:tc>
          <w:tcPr>
            <w:tcW w:w="1276" w:type="dxa"/>
            <w:gridSpan w:val="2"/>
            <w:vMerge w:val="restart"/>
            <w:tcBorders>
              <w:left w:val="nil"/>
              <w:bottom w:val="single" w:sz="4" w:space="0" w:color="auto"/>
              <w:right w:val="nil"/>
            </w:tcBorders>
            <w:shd w:val="clear" w:color="auto" w:fill="auto"/>
            <w:vAlign w:val="bottom"/>
          </w:tcPr>
          <w:p w14:paraId="4630864E"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Deficit</w:t>
            </w:r>
          </w:p>
          <w:p w14:paraId="4E9D27EA"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303" w:type="dxa"/>
            <w:gridSpan w:val="2"/>
            <w:vMerge w:val="restart"/>
            <w:tcBorders>
              <w:left w:val="nil"/>
              <w:bottom w:val="single" w:sz="4" w:space="0" w:color="auto"/>
              <w:right w:val="nil"/>
            </w:tcBorders>
            <w:shd w:val="clear" w:color="auto" w:fill="auto"/>
            <w:vAlign w:val="bottom"/>
          </w:tcPr>
          <w:p w14:paraId="7E112414" w14:textId="77777777" w:rsidR="006F321B" w:rsidRPr="00370EC4" w:rsidRDefault="006F321B" w:rsidP="00C75109">
            <w:pPr>
              <w:pStyle w:val="EnvelopeReturn"/>
              <w:ind w:right="142"/>
              <w:jc w:val="center"/>
              <w:rPr>
                <w:rFonts w:eastAsia="Arial Unicode MS" w:cs="Arial"/>
                <w:sz w:val="18"/>
                <w:szCs w:val="18"/>
              </w:rPr>
            </w:pPr>
            <w:r w:rsidRPr="00370EC4">
              <w:rPr>
                <w:rFonts w:eastAsia="Arial Unicode MS" w:cs="Arial"/>
                <w:sz w:val="18"/>
                <w:szCs w:val="18"/>
              </w:rPr>
              <w:t>Total</w:t>
            </w:r>
          </w:p>
          <w:p w14:paraId="72A21EEE" w14:textId="77777777" w:rsidR="006F321B" w:rsidRPr="00370EC4" w:rsidRDefault="006F321B" w:rsidP="00C75109">
            <w:pPr>
              <w:pStyle w:val="EnvelopeReturn"/>
              <w:ind w:right="142"/>
              <w:jc w:val="center"/>
              <w:rPr>
                <w:rFonts w:cs="Arial"/>
                <w:sz w:val="18"/>
                <w:szCs w:val="18"/>
              </w:rPr>
            </w:pPr>
            <w:r w:rsidRPr="00370EC4">
              <w:rPr>
                <w:rFonts w:eastAsia="Arial Unicode MS" w:cs="Arial"/>
                <w:sz w:val="18"/>
                <w:szCs w:val="18"/>
              </w:rPr>
              <w:t>$</w:t>
            </w:r>
          </w:p>
        </w:tc>
      </w:tr>
      <w:tr w:rsidR="006F321B" w:rsidRPr="00370EC4" w14:paraId="6F76B4AF" w14:textId="77777777" w:rsidTr="00C30D1B">
        <w:trPr>
          <w:gridAfter w:val="1"/>
          <w:wAfter w:w="565" w:type="dxa"/>
          <w:trHeight w:val="227"/>
        </w:trPr>
        <w:tc>
          <w:tcPr>
            <w:tcW w:w="2880" w:type="dxa"/>
            <w:tcBorders>
              <w:top w:val="nil"/>
              <w:left w:val="nil"/>
              <w:bottom w:val="single" w:sz="4" w:space="0" w:color="auto"/>
            </w:tcBorders>
            <w:noWrap/>
            <w:tcMar>
              <w:right w:w="216" w:type="dxa"/>
            </w:tcMar>
            <w:vAlign w:val="bottom"/>
          </w:tcPr>
          <w:p w14:paraId="4612B770" w14:textId="77777777" w:rsidR="006F321B" w:rsidRPr="00370EC4" w:rsidRDefault="006F321B" w:rsidP="00C75109">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bottom w:val="single" w:sz="4" w:space="0" w:color="auto"/>
              <w:right w:val="nil"/>
            </w:tcBorders>
            <w:shd w:val="clear" w:color="auto" w:fill="auto"/>
            <w:vAlign w:val="bottom"/>
          </w:tcPr>
          <w:p w14:paraId="57142BD6" w14:textId="77777777" w:rsidR="006F321B" w:rsidRPr="00370EC4" w:rsidRDefault="006F321B" w:rsidP="00C75109">
            <w:pPr>
              <w:pStyle w:val="EnvelopeReturn"/>
              <w:ind w:right="118"/>
              <w:jc w:val="center"/>
              <w:rPr>
                <w:rFonts w:eastAsia="Arial Unicode MS" w:cs="Arial"/>
                <w:sz w:val="18"/>
                <w:szCs w:val="18"/>
              </w:rPr>
            </w:pPr>
            <w:r w:rsidRPr="00370EC4">
              <w:rPr>
                <w:rFonts w:eastAsia="Arial Unicode MS" w:cs="Arial"/>
                <w:sz w:val="18"/>
                <w:szCs w:val="18"/>
              </w:rPr>
              <w:t>Shares</w:t>
            </w:r>
          </w:p>
          <w:p w14:paraId="3BE29D04" w14:textId="751B3593" w:rsidR="006F321B" w:rsidRPr="00370EC4" w:rsidRDefault="006F321B" w:rsidP="008B3E65">
            <w:pPr>
              <w:pStyle w:val="EnvelopeReturn"/>
              <w:ind w:left="-101"/>
              <w:jc w:val="center"/>
              <w:rPr>
                <w:rFonts w:eastAsia="Arial Unicode MS" w:cs="Arial"/>
                <w:sz w:val="18"/>
                <w:szCs w:val="18"/>
              </w:rPr>
            </w:pPr>
            <w:r w:rsidRPr="00370EC4">
              <w:rPr>
                <w:rFonts w:eastAsia="Arial Unicode MS" w:cs="Arial"/>
                <w:sz w:val="18"/>
                <w:szCs w:val="18"/>
              </w:rPr>
              <w:t>#</w:t>
            </w:r>
            <w:r w:rsidR="008B3E65">
              <w:rPr>
                <w:rFonts w:eastAsia="Arial Unicode MS" w:cs="Arial"/>
                <w:sz w:val="18"/>
                <w:szCs w:val="18"/>
              </w:rPr>
              <w:t xml:space="preserve"> (Note 22(g))</w:t>
            </w:r>
          </w:p>
        </w:tc>
        <w:tc>
          <w:tcPr>
            <w:tcW w:w="1244" w:type="dxa"/>
            <w:gridSpan w:val="2"/>
            <w:tcBorders>
              <w:top w:val="single" w:sz="4" w:space="0" w:color="auto"/>
              <w:left w:val="nil"/>
              <w:bottom w:val="single" w:sz="4" w:space="0" w:color="auto"/>
              <w:right w:val="nil"/>
            </w:tcBorders>
            <w:shd w:val="clear" w:color="auto" w:fill="auto"/>
            <w:vAlign w:val="bottom"/>
          </w:tcPr>
          <w:p w14:paraId="7FAE67FC"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Amount</w:t>
            </w:r>
          </w:p>
          <w:p w14:paraId="60D81DF7"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w:t>
            </w:r>
          </w:p>
        </w:tc>
        <w:tc>
          <w:tcPr>
            <w:tcW w:w="992" w:type="dxa"/>
            <w:gridSpan w:val="2"/>
            <w:vMerge/>
            <w:tcBorders>
              <w:left w:val="nil"/>
              <w:bottom w:val="single" w:sz="4" w:space="0" w:color="auto"/>
              <w:right w:val="nil"/>
            </w:tcBorders>
          </w:tcPr>
          <w:p w14:paraId="5E026A77" w14:textId="77777777" w:rsidR="006F321B" w:rsidRPr="00370EC4" w:rsidRDefault="006F321B" w:rsidP="00C75109">
            <w:pPr>
              <w:pStyle w:val="EnvelopeReturn"/>
              <w:jc w:val="center"/>
              <w:rPr>
                <w:rFonts w:cs="Arial"/>
                <w:sz w:val="18"/>
                <w:szCs w:val="18"/>
              </w:rPr>
            </w:pPr>
          </w:p>
        </w:tc>
        <w:tc>
          <w:tcPr>
            <w:tcW w:w="1134" w:type="dxa"/>
            <w:gridSpan w:val="2"/>
            <w:vMerge/>
            <w:tcBorders>
              <w:left w:val="nil"/>
              <w:bottom w:val="single" w:sz="4" w:space="0" w:color="auto"/>
              <w:right w:val="nil"/>
            </w:tcBorders>
          </w:tcPr>
          <w:p w14:paraId="1DBB39FD" w14:textId="77777777" w:rsidR="006F321B" w:rsidRPr="00370EC4" w:rsidRDefault="006F321B" w:rsidP="00C75109">
            <w:pPr>
              <w:pStyle w:val="EnvelopeReturn"/>
              <w:jc w:val="center"/>
              <w:rPr>
                <w:rFonts w:eastAsia="Arial Unicode MS" w:cs="Arial"/>
                <w:sz w:val="18"/>
                <w:szCs w:val="18"/>
              </w:rPr>
            </w:pPr>
          </w:p>
        </w:tc>
        <w:tc>
          <w:tcPr>
            <w:tcW w:w="1435" w:type="dxa"/>
            <w:gridSpan w:val="2"/>
            <w:tcBorders>
              <w:left w:val="nil"/>
              <w:bottom w:val="single" w:sz="4" w:space="0" w:color="auto"/>
              <w:right w:val="nil"/>
            </w:tcBorders>
          </w:tcPr>
          <w:p w14:paraId="2100D5B2" w14:textId="197AB70C" w:rsidR="002651F3" w:rsidRDefault="002651F3" w:rsidP="00C75109">
            <w:pPr>
              <w:pStyle w:val="EnvelopeReturn"/>
              <w:jc w:val="center"/>
              <w:rPr>
                <w:rFonts w:cs="Arial"/>
                <w:sz w:val="18"/>
                <w:szCs w:val="18"/>
              </w:rPr>
            </w:pPr>
            <w:r>
              <w:rPr>
                <w:rFonts w:cs="Arial"/>
                <w:sz w:val="18"/>
                <w:szCs w:val="18"/>
              </w:rPr>
              <w:t>Translation</w:t>
            </w:r>
          </w:p>
          <w:p w14:paraId="1A319700" w14:textId="71D8B0BA" w:rsidR="006F321B" w:rsidRPr="00370EC4" w:rsidRDefault="00C75109" w:rsidP="00C75109">
            <w:pPr>
              <w:pStyle w:val="EnvelopeReturn"/>
              <w:jc w:val="center"/>
              <w:rPr>
                <w:rFonts w:cs="Arial"/>
                <w:sz w:val="18"/>
                <w:szCs w:val="18"/>
              </w:rPr>
            </w:pPr>
            <w:r w:rsidRPr="00370EC4">
              <w:rPr>
                <w:rFonts w:cs="Arial"/>
                <w:sz w:val="18"/>
                <w:szCs w:val="18"/>
              </w:rPr>
              <w:t>$</w:t>
            </w:r>
          </w:p>
        </w:tc>
        <w:tc>
          <w:tcPr>
            <w:tcW w:w="1276" w:type="dxa"/>
            <w:gridSpan w:val="2"/>
            <w:vMerge/>
            <w:tcBorders>
              <w:left w:val="nil"/>
              <w:bottom w:val="single" w:sz="4" w:space="0" w:color="auto"/>
              <w:right w:val="nil"/>
            </w:tcBorders>
            <w:shd w:val="clear" w:color="auto" w:fill="auto"/>
            <w:vAlign w:val="bottom"/>
          </w:tcPr>
          <w:p w14:paraId="7B7A8914" w14:textId="77777777" w:rsidR="006F321B" w:rsidRPr="00370EC4" w:rsidRDefault="006F321B" w:rsidP="00C75109">
            <w:pPr>
              <w:pStyle w:val="EnvelopeReturn"/>
              <w:jc w:val="center"/>
              <w:rPr>
                <w:rFonts w:cs="Arial"/>
                <w:sz w:val="18"/>
                <w:szCs w:val="18"/>
              </w:rPr>
            </w:pPr>
          </w:p>
        </w:tc>
        <w:tc>
          <w:tcPr>
            <w:tcW w:w="1303" w:type="dxa"/>
            <w:gridSpan w:val="2"/>
            <w:vMerge/>
            <w:tcBorders>
              <w:left w:val="nil"/>
              <w:bottom w:val="single" w:sz="4" w:space="0" w:color="auto"/>
              <w:right w:val="nil"/>
            </w:tcBorders>
            <w:shd w:val="clear" w:color="auto" w:fill="auto"/>
            <w:vAlign w:val="bottom"/>
          </w:tcPr>
          <w:p w14:paraId="26E9B94E" w14:textId="77777777" w:rsidR="006F321B" w:rsidRPr="00370EC4" w:rsidRDefault="006F321B" w:rsidP="00C75109">
            <w:pPr>
              <w:pStyle w:val="EnvelopeReturn"/>
              <w:ind w:right="142"/>
              <w:jc w:val="center"/>
              <w:rPr>
                <w:rFonts w:eastAsia="Arial Unicode MS" w:cs="Arial"/>
                <w:sz w:val="18"/>
                <w:szCs w:val="18"/>
              </w:rPr>
            </w:pPr>
          </w:p>
        </w:tc>
      </w:tr>
      <w:tr w:rsidR="00352D33" w:rsidRPr="00370EC4" w14:paraId="72C3EADD" w14:textId="77777777" w:rsidTr="00AB1BD4">
        <w:trPr>
          <w:gridAfter w:val="1"/>
          <w:wAfter w:w="565" w:type="dxa"/>
          <w:trHeight w:hRule="exact" w:val="366"/>
        </w:trPr>
        <w:tc>
          <w:tcPr>
            <w:tcW w:w="2880" w:type="dxa"/>
            <w:tcBorders>
              <w:top w:val="nil"/>
              <w:left w:val="nil"/>
            </w:tcBorders>
            <w:noWrap/>
            <w:tcMar>
              <w:right w:w="216" w:type="dxa"/>
            </w:tcMar>
            <w:vAlign w:val="bottom"/>
          </w:tcPr>
          <w:p w14:paraId="750753FE" w14:textId="3656E478" w:rsidR="00352D33" w:rsidRPr="00370EC4" w:rsidRDefault="00352D33" w:rsidP="00352D33">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January 31, 2019</w:t>
            </w:r>
          </w:p>
        </w:tc>
        <w:tc>
          <w:tcPr>
            <w:tcW w:w="1276" w:type="dxa"/>
            <w:gridSpan w:val="2"/>
            <w:tcBorders>
              <w:right w:val="nil"/>
            </w:tcBorders>
            <w:shd w:val="clear" w:color="auto" w:fill="auto"/>
            <w:vAlign w:val="bottom"/>
          </w:tcPr>
          <w:p w14:paraId="352E2292" w14:textId="7DB6D38C" w:rsidR="00352D33" w:rsidRPr="00370EC4"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9,689,966</w:t>
            </w:r>
          </w:p>
        </w:tc>
        <w:tc>
          <w:tcPr>
            <w:tcW w:w="1244" w:type="dxa"/>
            <w:gridSpan w:val="2"/>
            <w:tcBorders>
              <w:left w:val="nil"/>
              <w:right w:val="nil"/>
            </w:tcBorders>
            <w:shd w:val="clear" w:color="auto" w:fill="auto"/>
            <w:vAlign w:val="bottom"/>
          </w:tcPr>
          <w:p w14:paraId="45F11913" w14:textId="2A519F32" w:rsidR="00352D33" w:rsidRPr="00370EC4" w:rsidRDefault="00352D33" w:rsidP="00352D33">
            <w:pPr>
              <w:spacing w:after="0" w:line="240" w:lineRule="auto"/>
              <w:ind w:right="154"/>
              <w:jc w:val="right"/>
              <w:rPr>
                <w:rFonts w:ascii="Arial" w:hAnsi="Arial" w:cs="Arial"/>
                <w:sz w:val="18"/>
                <w:szCs w:val="18"/>
              </w:rPr>
            </w:pPr>
            <w:r>
              <w:rPr>
                <w:rFonts w:ascii="Arial" w:hAnsi="Arial" w:cs="Arial"/>
                <w:sz w:val="18"/>
                <w:szCs w:val="18"/>
              </w:rPr>
              <w:t>21,395,999</w:t>
            </w:r>
          </w:p>
        </w:tc>
        <w:tc>
          <w:tcPr>
            <w:tcW w:w="992" w:type="dxa"/>
            <w:gridSpan w:val="2"/>
            <w:tcBorders>
              <w:left w:val="nil"/>
              <w:right w:val="nil"/>
            </w:tcBorders>
            <w:vAlign w:val="bottom"/>
          </w:tcPr>
          <w:p w14:paraId="4D5BC62B" w14:textId="10E90A58" w:rsidR="00352D33" w:rsidRPr="00370EC4" w:rsidRDefault="00352D33" w:rsidP="00352D33">
            <w:pPr>
              <w:spacing w:after="0" w:line="240" w:lineRule="auto"/>
              <w:ind w:right="90"/>
              <w:jc w:val="right"/>
              <w:rPr>
                <w:rFonts w:ascii="Arial" w:hAnsi="Arial" w:cs="Arial"/>
                <w:sz w:val="18"/>
                <w:szCs w:val="18"/>
              </w:rPr>
            </w:pPr>
            <w:r>
              <w:rPr>
                <w:rFonts w:ascii="Arial" w:hAnsi="Arial" w:cs="Arial"/>
                <w:sz w:val="18"/>
                <w:szCs w:val="18"/>
              </w:rPr>
              <w:t>10,000</w:t>
            </w:r>
          </w:p>
        </w:tc>
        <w:tc>
          <w:tcPr>
            <w:tcW w:w="1134" w:type="dxa"/>
            <w:gridSpan w:val="2"/>
            <w:tcBorders>
              <w:left w:val="nil"/>
              <w:right w:val="nil"/>
            </w:tcBorders>
            <w:vAlign w:val="bottom"/>
          </w:tcPr>
          <w:p w14:paraId="54CE3869" w14:textId="16610344" w:rsidR="00352D33" w:rsidRPr="00370EC4" w:rsidRDefault="00352D33" w:rsidP="00352D33">
            <w:pPr>
              <w:spacing w:after="0" w:line="240" w:lineRule="auto"/>
              <w:ind w:right="5"/>
              <w:jc w:val="right"/>
              <w:rPr>
                <w:rFonts w:ascii="Arial" w:hAnsi="Arial" w:cs="Arial"/>
                <w:sz w:val="18"/>
                <w:szCs w:val="18"/>
              </w:rPr>
            </w:pPr>
            <w:r>
              <w:rPr>
                <w:rFonts w:ascii="Arial" w:hAnsi="Arial" w:cs="Arial"/>
                <w:sz w:val="18"/>
                <w:szCs w:val="18"/>
              </w:rPr>
              <w:t>17,038,202</w:t>
            </w:r>
          </w:p>
        </w:tc>
        <w:tc>
          <w:tcPr>
            <w:tcW w:w="1435" w:type="dxa"/>
            <w:gridSpan w:val="2"/>
            <w:tcBorders>
              <w:left w:val="nil"/>
              <w:right w:val="nil"/>
            </w:tcBorders>
            <w:vAlign w:val="bottom"/>
          </w:tcPr>
          <w:p w14:paraId="0656F75A" w14:textId="4A9B5779" w:rsidR="00352D33" w:rsidRPr="00CA4544" w:rsidRDefault="00352D33" w:rsidP="00352D33">
            <w:pPr>
              <w:tabs>
                <w:tab w:val="left" w:pos="1080"/>
              </w:tabs>
              <w:spacing w:after="0" w:line="240" w:lineRule="auto"/>
              <w:ind w:right="90"/>
              <w:jc w:val="right"/>
              <w:rPr>
                <w:rFonts w:ascii="Arial" w:hAnsi="Arial" w:cs="Arial"/>
                <w:sz w:val="18"/>
                <w:szCs w:val="18"/>
                <w:highlight w:val="yellow"/>
              </w:rPr>
            </w:pPr>
            <w:r>
              <w:rPr>
                <w:rFonts w:ascii="Arial" w:hAnsi="Arial" w:cs="Arial"/>
                <w:sz w:val="18"/>
                <w:szCs w:val="18"/>
              </w:rPr>
              <w:t>123,065</w:t>
            </w:r>
          </w:p>
        </w:tc>
        <w:tc>
          <w:tcPr>
            <w:tcW w:w="1276" w:type="dxa"/>
            <w:gridSpan w:val="2"/>
            <w:tcBorders>
              <w:left w:val="nil"/>
              <w:right w:val="nil"/>
            </w:tcBorders>
            <w:shd w:val="clear" w:color="auto" w:fill="auto"/>
            <w:vAlign w:val="bottom"/>
          </w:tcPr>
          <w:p w14:paraId="515BFE0D" w14:textId="3A094B7B" w:rsidR="00352D33" w:rsidRPr="00A734F6" w:rsidRDefault="00352D33" w:rsidP="00352D33">
            <w:pPr>
              <w:tabs>
                <w:tab w:val="left" w:pos="1080"/>
              </w:tabs>
              <w:spacing w:after="0" w:line="240" w:lineRule="auto"/>
              <w:ind w:right="90"/>
              <w:jc w:val="right"/>
              <w:rPr>
                <w:rFonts w:ascii="Arial" w:hAnsi="Arial" w:cs="Arial"/>
                <w:sz w:val="18"/>
                <w:szCs w:val="18"/>
              </w:rPr>
            </w:pPr>
            <w:r w:rsidRPr="00A734F6">
              <w:rPr>
                <w:rFonts w:ascii="Arial" w:hAnsi="Arial" w:cs="Arial"/>
                <w:sz w:val="18"/>
                <w:szCs w:val="18"/>
              </w:rPr>
              <w:t>(</w:t>
            </w:r>
            <w:r>
              <w:rPr>
                <w:rFonts w:ascii="Arial" w:hAnsi="Arial" w:cs="Arial"/>
                <w:sz w:val="18"/>
                <w:szCs w:val="18"/>
              </w:rPr>
              <w:t>35,071,754</w:t>
            </w:r>
            <w:r w:rsidRPr="00A734F6">
              <w:rPr>
                <w:rFonts w:ascii="Arial" w:hAnsi="Arial" w:cs="Arial"/>
                <w:sz w:val="18"/>
                <w:szCs w:val="18"/>
              </w:rPr>
              <w:t>)</w:t>
            </w:r>
          </w:p>
        </w:tc>
        <w:tc>
          <w:tcPr>
            <w:tcW w:w="1303" w:type="dxa"/>
            <w:gridSpan w:val="2"/>
            <w:tcBorders>
              <w:left w:val="nil"/>
              <w:right w:val="nil"/>
            </w:tcBorders>
            <w:shd w:val="clear" w:color="auto" w:fill="auto"/>
            <w:vAlign w:val="bottom"/>
          </w:tcPr>
          <w:p w14:paraId="512E2811" w14:textId="7D1B0E60" w:rsidR="00352D33" w:rsidRPr="00A734F6" w:rsidRDefault="00352D33"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3,495,512</w:t>
            </w:r>
          </w:p>
        </w:tc>
      </w:tr>
      <w:tr w:rsidR="00352D33" w:rsidRPr="00370EC4" w14:paraId="70BED3C5" w14:textId="77777777" w:rsidTr="00B14849">
        <w:trPr>
          <w:gridAfter w:val="1"/>
          <w:wAfter w:w="565" w:type="dxa"/>
          <w:trHeight w:hRule="exact" w:val="462"/>
        </w:trPr>
        <w:tc>
          <w:tcPr>
            <w:tcW w:w="2880" w:type="dxa"/>
            <w:tcBorders>
              <w:left w:val="nil"/>
            </w:tcBorders>
            <w:shd w:val="clear" w:color="auto" w:fill="auto"/>
            <w:noWrap/>
            <w:tcMar>
              <w:right w:w="216" w:type="dxa"/>
            </w:tcMar>
            <w:vAlign w:val="bottom"/>
          </w:tcPr>
          <w:p w14:paraId="156C4BBA" w14:textId="20D2020E" w:rsidR="00352D33" w:rsidRPr="009B7F95" w:rsidRDefault="00352D33" w:rsidP="00352D33">
            <w:pPr>
              <w:tabs>
                <w:tab w:val="left" w:pos="4050"/>
              </w:tabs>
              <w:spacing w:after="0" w:line="240" w:lineRule="auto"/>
              <w:ind w:right="-36"/>
              <w:rPr>
                <w:rFonts w:ascii="Arial" w:eastAsia="Arial Unicode MS" w:hAnsi="Arial" w:cs="Arial"/>
                <w:sz w:val="18"/>
                <w:szCs w:val="18"/>
              </w:rPr>
            </w:pPr>
            <w:r w:rsidRPr="009B7F95">
              <w:rPr>
                <w:rFonts w:ascii="Arial" w:eastAsia="Arial Unicode MS" w:hAnsi="Arial" w:cs="Arial"/>
                <w:sz w:val="18"/>
                <w:szCs w:val="18"/>
              </w:rPr>
              <w:t>Common shares issued for services (Notes 1</w:t>
            </w:r>
            <w:r w:rsidR="00CA3E28">
              <w:rPr>
                <w:rFonts w:ascii="Arial" w:eastAsia="Arial Unicode MS" w:hAnsi="Arial" w:cs="Arial"/>
                <w:sz w:val="18"/>
                <w:szCs w:val="18"/>
              </w:rPr>
              <w:t>1</w:t>
            </w:r>
            <w:r w:rsidRPr="009B7F95">
              <w:rPr>
                <w:rFonts w:ascii="Arial" w:eastAsia="Arial Unicode MS" w:hAnsi="Arial" w:cs="Arial"/>
                <w:sz w:val="18"/>
                <w:szCs w:val="18"/>
              </w:rPr>
              <w:t>(</w:t>
            </w:r>
            <w:r w:rsidR="00CA3E28">
              <w:rPr>
                <w:rFonts w:ascii="Arial" w:eastAsia="Arial Unicode MS" w:hAnsi="Arial" w:cs="Arial"/>
                <w:sz w:val="18"/>
                <w:szCs w:val="18"/>
              </w:rPr>
              <w:t>b</w:t>
            </w:r>
            <w:r w:rsidRPr="009B7F95">
              <w:rPr>
                <w:rFonts w:ascii="Arial" w:eastAsia="Arial Unicode MS" w:hAnsi="Arial" w:cs="Arial"/>
                <w:sz w:val="18"/>
                <w:szCs w:val="18"/>
              </w:rPr>
              <w:t>)</w:t>
            </w:r>
            <w:r>
              <w:rPr>
                <w:rFonts w:ascii="Arial" w:eastAsia="Arial Unicode MS" w:hAnsi="Arial" w:cs="Arial"/>
                <w:sz w:val="18"/>
                <w:szCs w:val="18"/>
              </w:rPr>
              <w:t xml:space="preserve"> and </w:t>
            </w:r>
            <w:r w:rsidRPr="009B7F95">
              <w:rPr>
                <w:rFonts w:ascii="Arial" w:eastAsia="Arial Unicode MS" w:hAnsi="Arial" w:cs="Arial"/>
                <w:sz w:val="18"/>
                <w:szCs w:val="18"/>
              </w:rPr>
              <w:t>1</w:t>
            </w:r>
            <w:r w:rsidR="00CA3E28">
              <w:rPr>
                <w:rFonts w:ascii="Arial" w:eastAsia="Arial Unicode MS" w:hAnsi="Arial" w:cs="Arial"/>
                <w:sz w:val="18"/>
                <w:szCs w:val="18"/>
              </w:rPr>
              <w:t>1</w:t>
            </w:r>
            <w:r w:rsidRPr="009B7F95">
              <w:rPr>
                <w:rFonts w:ascii="Arial" w:eastAsia="Arial Unicode MS" w:hAnsi="Arial" w:cs="Arial"/>
                <w:sz w:val="18"/>
                <w:szCs w:val="18"/>
              </w:rPr>
              <w:t>(</w:t>
            </w:r>
            <w:r w:rsidR="00CA3E28">
              <w:rPr>
                <w:rFonts w:ascii="Arial" w:eastAsia="Arial Unicode MS" w:hAnsi="Arial" w:cs="Arial"/>
                <w:sz w:val="18"/>
                <w:szCs w:val="18"/>
              </w:rPr>
              <w:t>d</w:t>
            </w:r>
            <w:r w:rsidRPr="009B7F95">
              <w:rPr>
                <w:rFonts w:ascii="Arial" w:eastAsia="Arial Unicode MS" w:hAnsi="Arial" w:cs="Arial"/>
                <w:sz w:val="18"/>
                <w:szCs w:val="18"/>
              </w:rPr>
              <w:t>))</w:t>
            </w:r>
          </w:p>
        </w:tc>
        <w:tc>
          <w:tcPr>
            <w:tcW w:w="1276" w:type="dxa"/>
            <w:gridSpan w:val="2"/>
            <w:tcBorders>
              <w:right w:val="nil"/>
            </w:tcBorders>
            <w:shd w:val="clear" w:color="auto" w:fill="auto"/>
            <w:vAlign w:val="bottom"/>
          </w:tcPr>
          <w:p w14:paraId="76A1CCCC" w14:textId="473AF565"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19,623</w:t>
            </w:r>
          </w:p>
        </w:tc>
        <w:tc>
          <w:tcPr>
            <w:tcW w:w="1244" w:type="dxa"/>
            <w:gridSpan w:val="2"/>
            <w:tcBorders>
              <w:left w:val="nil"/>
              <w:right w:val="nil"/>
            </w:tcBorders>
            <w:shd w:val="clear" w:color="auto" w:fill="auto"/>
            <w:vAlign w:val="bottom"/>
          </w:tcPr>
          <w:p w14:paraId="383AB116" w14:textId="7B544848" w:rsidR="00352D33" w:rsidRPr="00FB1E58" w:rsidRDefault="00BB17FF" w:rsidP="00352D33">
            <w:pPr>
              <w:spacing w:after="0" w:line="240" w:lineRule="auto"/>
              <w:ind w:right="154"/>
              <w:jc w:val="right"/>
              <w:rPr>
                <w:rFonts w:ascii="Arial" w:hAnsi="Arial" w:cs="Arial"/>
                <w:sz w:val="18"/>
                <w:szCs w:val="18"/>
              </w:rPr>
            </w:pPr>
            <w:r>
              <w:rPr>
                <w:rFonts w:ascii="Arial" w:hAnsi="Arial" w:cs="Arial"/>
                <w:sz w:val="18"/>
                <w:szCs w:val="18"/>
              </w:rPr>
              <w:t>45,129</w:t>
            </w:r>
          </w:p>
        </w:tc>
        <w:tc>
          <w:tcPr>
            <w:tcW w:w="992" w:type="dxa"/>
            <w:gridSpan w:val="2"/>
            <w:tcBorders>
              <w:left w:val="nil"/>
              <w:right w:val="nil"/>
            </w:tcBorders>
            <w:shd w:val="clear" w:color="auto" w:fill="auto"/>
            <w:vAlign w:val="bottom"/>
          </w:tcPr>
          <w:p w14:paraId="3EA85FF3" w14:textId="3876700A"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(10,000)</w:t>
            </w:r>
          </w:p>
        </w:tc>
        <w:tc>
          <w:tcPr>
            <w:tcW w:w="1134" w:type="dxa"/>
            <w:gridSpan w:val="2"/>
            <w:tcBorders>
              <w:left w:val="nil"/>
              <w:right w:val="nil"/>
            </w:tcBorders>
            <w:shd w:val="clear" w:color="auto" w:fill="auto"/>
            <w:vAlign w:val="bottom"/>
          </w:tcPr>
          <w:p w14:paraId="5C75C7A4" w14:textId="677E0A03" w:rsidR="00352D33" w:rsidRPr="00FB1E58" w:rsidRDefault="00352D33"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2D78BAAB" w14:textId="328759E1"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0B9DEEAB" w14:textId="604C1E73"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44D9C09B" w14:textId="4AA26F3B" w:rsidR="00352D33" w:rsidRPr="00FB1E58" w:rsidRDefault="00BB17FF"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35,129</w:t>
            </w:r>
          </w:p>
        </w:tc>
      </w:tr>
      <w:tr w:rsidR="00352D33" w:rsidRPr="00370EC4" w14:paraId="512929DA" w14:textId="77777777" w:rsidTr="00FB3358">
        <w:trPr>
          <w:gridAfter w:val="1"/>
          <w:wAfter w:w="565" w:type="dxa"/>
          <w:trHeight w:hRule="exact" w:val="867"/>
        </w:trPr>
        <w:tc>
          <w:tcPr>
            <w:tcW w:w="2880" w:type="dxa"/>
            <w:tcBorders>
              <w:left w:val="nil"/>
            </w:tcBorders>
            <w:shd w:val="clear" w:color="auto" w:fill="auto"/>
            <w:noWrap/>
            <w:tcMar>
              <w:right w:w="216" w:type="dxa"/>
            </w:tcMar>
            <w:vAlign w:val="bottom"/>
          </w:tcPr>
          <w:p w14:paraId="63CF281F" w14:textId="76F973CB" w:rsidR="00352D33" w:rsidRPr="009B7F95" w:rsidRDefault="00352D33" w:rsidP="00352D33">
            <w:pPr>
              <w:tabs>
                <w:tab w:val="left" w:pos="4050"/>
              </w:tabs>
              <w:spacing w:after="0" w:line="240" w:lineRule="auto"/>
              <w:ind w:right="-36"/>
              <w:rPr>
                <w:rFonts w:ascii="Arial" w:eastAsia="Arial Unicode MS" w:hAnsi="Arial" w:cs="Arial"/>
                <w:sz w:val="18"/>
                <w:szCs w:val="18"/>
              </w:rPr>
            </w:pPr>
            <w:r w:rsidRPr="009B7F95">
              <w:rPr>
                <w:rFonts w:ascii="Arial" w:eastAsia="Arial Unicode MS" w:hAnsi="Arial" w:cs="Arial"/>
                <w:sz w:val="18"/>
                <w:szCs w:val="18"/>
              </w:rPr>
              <w:t>Common shares issued for settlement of accounts payable and accrued liabilities (Note 1</w:t>
            </w:r>
            <w:r w:rsidR="00CA3E28">
              <w:rPr>
                <w:rFonts w:ascii="Arial" w:eastAsia="Arial Unicode MS" w:hAnsi="Arial" w:cs="Arial"/>
                <w:sz w:val="18"/>
                <w:szCs w:val="18"/>
              </w:rPr>
              <w:t>1</w:t>
            </w:r>
            <w:r w:rsidRPr="009B7F95">
              <w:rPr>
                <w:rFonts w:ascii="Arial" w:eastAsia="Arial Unicode MS" w:hAnsi="Arial" w:cs="Arial"/>
                <w:sz w:val="18"/>
                <w:szCs w:val="18"/>
              </w:rPr>
              <w:t>(</w:t>
            </w:r>
            <w:r w:rsidR="00CA3E28">
              <w:rPr>
                <w:rFonts w:ascii="Arial" w:eastAsia="Arial Unicode MS" w:hAnsi="Arial" w:cs="Arial"/>
                <w:sz w:val="18"/>
                <w:szCs w:val="18"/>
              </w:rPr>
              <w:t>c</w:t>
            </w:r>
            <w:r w:rsidRPr="009B7F95">
              <w:rPr>
                <w:rFonts w:ascii="Arial" w:eastAsia="Arial Unicode MS" w:hAnsi="Arial" w:cs="Arial"/>
                <w:sz w:val="18"/>
                <w:szCs w:val="18"/>
              </w:rPr>
              <w:t>))</w:t>
            </w:r>
          </w:p>
        </w:tc>
        <w:tc>
          <w:tcPr>
            <w:tcW w:w="1276" w:type="dxa"/>
            <w:gridSpan w:val="2"/>
            <w:tcBorders>
              <w:right w:val="nil"/>
            </w:tcBorders>
            <w:shd w:val="clear" w:color="auto" w:fill="auto"/>
            <w:vAlign w:val="bottom"/>
          </w:tcPr>
          <w:p w14:paraId="1D431B55" w14:textId="6E1564A3"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169,032</w:t>
            </w:r>
          </w:p>
        </w:tc>
        <w:tc>
          <w:tcPr>
            <w:tcW w:w="1244" w:type="dxa"/>
            <w:gridSpan w:val="2"/>
            <w:tcBorders>
              <w:left w:val="nil"/>
              <w:right w:val="nil"/>
            </w:tcBorders>
            <w:shd w:val="clear" w:color="auto" w:fill="auto"/>
            <w:vAlign w:val="bottom"/>
          </w:tcPr>
          <w:p w14:paraId="327C5F33" w14:textId="7340F2A1" w:rsidR="00352D33" w:rsidRPr="00FB1E58" w:rsidRDefault="00352D33" w:rsidP="00352D33">
            <w:pPr>
              <w:spacing w:after="0" w:line="240" w:lineRule="auto"/>
              <w:ind w:right="154"/>
              <w:jc w:val="right"/>
              <w:rPr>
                <w:rFonts w:ascii="Arial" w:hAnsi="Arial" w:cs="Arial"/>
                <w:sz w:val="18"/>
                <w:szCs w:val="18"/>
              </w:rPr>
            </w:pPr>
            <w:r w:rsidRPr="00FB1E58">
              <w:rPr>
                <w:rFonts w:ascii="Arial" w:hAnsi="Arial" w:cs="Arial"/>
                <w:sz w:val="18"/>
                <w:szCs w:val="18"/>
              </w:rPr>
              <w:t>338,065</w:t>
            </w:r>
          </w:p>
        </w:tc>
        <w:tc>
          <w:tcPr>
            <w:tcW w:w="992" w:type="dxa"/>
            <w:gridSpan w:val="2"/>
            <w:tcBorders>
              <w:left w:val="nil"/>
              <w:right w:val="nil"/>
            </w:tcBorders>
            <w:shd w:val="clear" w:color="auto" w:fill="auto"/>
            <w:vAlign w:val="bottom"/>
          </w:tcPr>
          <w:p w14:paraId="685D00C4" w14:textId="77290FC5"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52F345DB" w14:textId="5AE98108" w:rsidR="00352D33" w:rsidRPr="00FB1E58" w:rsidRDefault="00352D33"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59CBB68D" w14:textId="0C17799C"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772730D0" w14:textId="6DF3F0F0"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3588837D" w14:textId="3A0B1E52" w:rsidR="00352D33" w:rsidRPr="00FB1E58" w:rsidRDefault="00352D33" w:rsidP="00352D33">
            <w:pPr>
              <w:tabs>
                <w:tab w:val="decimal" w:pos="1126"/>
              </w:tabs>
              <w:spacing w:after="0" w:line="240" w:lineRule="auto"/>
              <w:ind w:right="142"/>
              <w:jc w:val="right"/>
              <w:rPr>
                <w:rFonts w:ascii="Arial" w:hAnsi="Arial" w:cs="Arial"/>
                <w:sz w:val="18"/>
                <w:szCs w:val="18"/>
              </w:rPr>
            </w:pPr>
            <w:r w:rsidRPr="00FB1E58">
              <w:rPr>
                <w:rFonts w:ascii="Arial" w:hAnsi="Arial" w:cs="Arial"/>
                <w:sz w:val="18"/>
                <w:szCs w:val="18"/>
              </w:rPr>
              <w:t>338,065</w:t>
            </w:r>
          </w:p>
        </w:tc>
      </w:tr>
      <w:tr w:rsidR="00352D33" w:rsidRPr="00370EC4" w14:paraId="4937B9DC" w14:textId="77777777" w:rsidTr="00FB3358">
        <w:trPr>
          <w:gridAfter w:val="1"/>
          <w:wAfter w:w="565" w:type="dxa"/>
          <w:trHeight w:hRule="exact" w:val="417"/>
        </w:trPr>
        <w:tc>
          <w:tcPr>
            <w:tcW w:w="2880" w:type="dxa"/>
            <w:tcBorders>
              <w:top w:val="nil"/>
              <w:left w:val="nil"/>
            </w:tcBorders>
            <w:noWrap/>
            <w:tcMar>
              <w:right w:w="216" w:type="dxa"/>
            </w:tcMar>
            <w:vAlign w:val="bottom"/>
          </w:tcPr>
          <w:p w14:paraId="77154AD2" w14:textId="5DC6E54A" w:rsidR="00352D33" w:rsidRPr="00370EC4" w:rsidRDefault="00352D33" w:rsidP="00352D33">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and warrants issued for cash</w:t>
            </w:r>
            <w:r>
              <w:rPr>
                <w:rFonts w:ascii="Arial" w:eastAsia="Arial Unicode MS" w:hAnsi="Arial" w:cs="Arial"/>
                <w:sz w:val="18"/>
                <w:szCs w:val="18"/>
              </w:rPr>
              <w:t xml:space="preserve"> (Note</w:t>
            </w:r>
            <w:r w:rsidR="00CA3E28">
              <w:rPr>
                <w:rFonts w:ascii="Arial" w:eastAsia="Arial Unicode MS" w:hAnsi="Arial" w:cs="Arial"/>
                <w:sz w:val="18"/>
                <w:szCs w:val="18"/>
              </w:rPr>
              <w:t xml:space="preserve"> </w:t>
            </w:r>
            <w:r>
              <w:rPr>
                <w:rFonts w:ascii="Arial" w:eastAsia="Arial Unicode MS" w:hAnsi="Arial" w:cs="Arial"/>
                <w:sz w:val="18"/>
                <w:szCs w:val="18"/>
              </w:rPr>
              <w:t>1</w:t>
            </w:r>
            <w:r w:rsidR="00CA3E28">
              <w:rPr>
                <w:rFonts w:ascii="Arial" w:eastAsia="Arial Unicode MS" w:hAnsi="Arial" w:cs="Arial"/>
                <w:sz w:val="18"/>
                <w:szCs w:val="18"/>
              </w:rPr>
              <w:t>1</w:t>
            </w:r>
            <w:r>
              <w:rPr>
                <w:rFonts w:ascii="Arial" w:eastAsia="Arial Unicode MS" w:hAnsi="Arial" w:cs="Arial"/>
                <w:sz w:val="18"/>
                <w:szCs w:val="18"/>
              </w:rPr>
              <w:t>(e))</w:t>
            </w:r>
          </w:p>
        </w:tc>
        <w:tc>
          <w:tcPr>
            <w:tcW w:w="1276" w:type="dxa"/>
            <w:gridSpan w:val="2"/>
            <w:tcBorders>
              <w:right w:val="nil"/>
            </w:tcBorders>
            <w:shd w:val="clear" w:color="auto" w:fill="auto"/>
            <w:vAlign w:val="bottom"/>
          </w:tcPr>
          <w:p w14:paraId="06E44896" w14:textId="22027236"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665,000</w:t>
            </w:r>
          </w:p>
        </w:tc>
        <w:tc>
          <w:tcPr>
            <w:tcW w:w="1244" w:type="dxa"/>
            <w:gridSpan w:val="2"/>
            <w:tcBorders>
              <w:left w:val="nil"/>
              <w:right w:val="nil"/>
            </w:tcBorders>
            <w:shd w:val="clear" w:color="auto" w:fill="auto"/>
            <w:vAlign w:val="bottom"/>
          </w:tcPr>
          <w:p w14:paraId="7EC1645A" w14:textId="06A0B139" w:rsidR="00352D33" w:rsidRPr="00FB1E58" w:rsidRDefault="00BB17FF" w:rsidP="00352D33">
            <w:pPr>
              <w:spacing w:after="0" w:line="240" w:lineRule="auto"/>
              <w:ind w:right="154"/>
              <w:jc w:val="right"/>
              <w:rPr>
                <w:rFonts w:ascii="Arial" w:hAnsi="Arial" w:cs="Arial"/>
                <w:sz w:val="18"/>
                <w:szCs w:val="18"/>
              </w:rPr>
            </w:pPr>
            <w:r>
              <w:rPr>
                <w:rFonts w:ascii="Arial" w:hAnsi="Arial" w:cs="Arial"/>
                <w:sz w:val="18"/>
                <w:szCs w:val="18"/>
              </w:rPr>
              <w:t>1,330,000</w:t>
            </w:r>
          </w:p>
        </w:tc>
        <w:tc>
          <w:tcPr>
            <w:tcW w:w="992" w:type="dxa"/>
            <w:gridSpan w:val="2"/>
            <w:tcBorders>
              <w:left w:val="nil"/>
              <w:right w:val="nil"/>
            </w:tcBorders>
            <w:shd w:val="clear" w:color="auto" w:fill="auto"/>
            <w:vAlign w:val="bottom"/>
          </w:tcPr>
          <w:p w14:paraId="5C33C3EF" w14:textId="24C9414A"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48F08FC0" w14:textId="738D85A1" w:rsidR="00352D33" w:rsidRPr="00FB1E58" w:rsidRDefault="00352D33"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4FC7901E" w14:textId="6AD7C34A"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35F0A0CC" w14:textId="2F40CED8"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6B557A0A" w14:textId="658495F3" w:rsidR="00352D33" w:rsidRPr="00FB1E58" w:rsidRDefault="00BB17FF"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1,330,000</w:t>
            </w:r>
          </w:p>
        </w:tc>
      </w:tr>
      <w:tr w:rsidR="00352D33" w:rsidRPr="00370EC4" w14:paraId="101C54F2" w14:textId="77777777" w:rsidTr="00FB1E58">
        <w:trPr>
          <w:gridAfter w:val="1"/>
          <w:wAfter w:w="565" w:type="dxa"/>
          <w:trHeight w:hRule="exact" w:val="639"/>
        </w:trPr>
        <w:tc>
          <w:tcPr>
            <w:tcW w:w="2880" w:type="dxa"/>
            <w:tcBorders>
              <w:top w:val="nil"/>
              <w:left w:val="nil"/>
            </w:tcBorders>
            <w:noWrap/>
            <w:tcMar>
              <w:right w:w="216" w:type="dxa"/>
            </w:tcMar>
            <w:vAlign w:val="bottom"/>
          </w:tcPr>
          <w:p w14:paraId="79E1F9DF" w14:textId="69B48C95" w:rsidR="00352D33" w:rsidRPr="00370EC4" w:rsidRDefault="00352D33" w:rsidP="00352D33">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Common shares and w</w:t>
            </w:r>
            <w:r w:rsidRPr="00370EC4">
              <w:rPr>
                <w:rFonts w:ascii="Arial" w:eastAsia="Arial Unicode MS" w:hAnsi="Arial" w:cs="Arial"/>
                <w:sz w:val="18"/>
                <w:szCs w:val="18"/>
              </w:rPr>
              <w:t>arrants issued</w:t>
            </w:r>
            <w:r>
              <w:rPr>
                <w:rFonts w:ascii="Arial" w:eastAsia="Arial Unicode MS" w:hAnsi="Arial" w:cs="Arial"/>
                <w:sz w:val="18"/>
                <w:szCs w:val="18"/>
              </w:rPr>
              <w:t xml:space="preserve"> as share issue costs (Notes </w:t>
            </w:r>
            <w:r w:rsidR="00CA3E28">
              <w:rPr>
                <w:rFonts w:ascii="Arial" w:eastAsia="Arial Unicode MS" w:hAnsi="Arial" w:cs="Arial"/>
                <w:sz w:val="18"/>
                <w:szCs w:val="18"/>
              </w:rPr>
              <w:t>11</w:t>
            </w:r>
            <w:r>
              <w:rPr>
                <w:rFonts w:ascii="Arial" w:eastAsia="Arial Unicode MS" w:hAnsi="Arial" w:cs="Arial"/>
                <w:sz w:val="18"/>
                <w:szCs w:val="18"/>
              </w:rPr>
              <w:t>(</w:t>
            </w:r>
            <w:r w:rsidR="00CA3E28">
              <w:rPr>
                <w:rFonts w:ascii="Arial" w:eastAsia="Arial Unicode MS" w:hAnsi="Arial" w:cs="Arial"/>
                <w:sz w:val="18"/>
                <w:szCs w:val="18"/>
              </w:rPr>
              <w:t>e</w:t>
            </w:r>
            <w:r>
              <w:rPr>
                <w:rFonts w:ascii="Arial" w:eastAsia="Arial Unicode MS" w:hAnsi="Arial" w:cs="Arial"/>
                <w:sz w:val="18"/>
                <w:szCs w:val="18"/>
              </w:rPr>
              <w:t>))</w:t>
            </w:r>
          </w:p>
        </w:tc>
        <w:tc>
          <w:tcPr>
            <w:tcW w:w="1276" w:type="dxa"/>
            <w:gridSpan w:val="2"/>
            <w:tcBorders>
              <w:right w:val="nil"/>
            </w:tcBorders>
            <w:shd w:val="clear" w:color="auto" w:fill="auto"/>
            <w:vAlign w:val="bottom"/>
          </w:tcPr>
          <w:p w14:paraId="6D3BCEC1" w14:textId="204849D1"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50,800</w:t>
            </w:r>
          </w:p>
        </w:tc>
        <w:tc>
          <w:tcPr>
            <w:tcW w:w="1244" w:type="dxa"/>
            <w:gridSpan w:val="2"/>
            <w:tcBorders>
              <w:left w:val="nil"/>
              <w:right w:val="nil"/>
            </w:tcBorders>
            <w:shd w:val="clear" w:color="auto" w:fill="auto"/>
            <w:vAlign w:val="bottom"/>
          </w:tcPr>
          <w:p w14:paraId="2A77ADF0" w14:textId="7777F94C" w:rsidR="00352D33" w:rsidRPr="00FB1E58" w:rsidRDefault="00BB17FF" w:rsidP="00352D33">
            <w:pPr>
              <w:spacing w:after="0" w:line="240" w:lineRule="auto"/>
              <w:ind w:right="154"/>
              <w:jc w:val="right"/>
              <w:rPr>
                <w:rFonts w:ascii="Arial" w:hAnsi="Arial" w:cs="Arial"/>
                <w:sz w:val="18"/>
                <w:szCs w:val="18"/>
              </w:rPr>
            </w:pPr>
            <w:r>
              <w:rPr>
                <w:rFonts w:ascii="Arial" w:hAnsi="Arial" w:cs="Arial"/>
                <w:sz w:val="18"/>
                <w:szCs w:val="18"/>
              </w:rPr>
              <w:t>(99,804)</w:t>
            </w:r>
          </w:p>
        </w:tc>
        <w:tc>
          <w:tcPr>
            <w:tcW w:w="992" w:type="dxa"/>
            <w:gridSpan w:val="2"/>
            <w:tcBorders>
              <w:left w:val="nil"/>
              <w:right w:val="nil"/>
            </w:tcBorders>
            <w:shd w:val="clear" w:color="auto" w:fill="auto"/>
            <w:vAlign w:val="bottom"/>
          </w:tcPr>
          <w:p w14:paraId="4C589259" w14:textId="442A3114"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7CF34914" w14:textId="577E0CD3" w:rsidR="00352D33" w:rsidRPr="00FB1E58" w:rsidRDefault="00BB17FF" w:rsidP="00352D33">
            <w:pPr>
              <w:spacing w:after="0" w:line="240" w:lineRule="auto"/>
              <w:ind w:right="5"/>
              <w:jc w:val="right"/>
              <w:rPr>
                <w:rFonts w:ascii="Arial" w:hAnsi="Arial" w:cs="Arial"/>
                <w:sz w:val="18"/>
                <w:szCs w:val="18"/>
              </w:rPr>
            </w:pPr>
            <w:r>
              <w:rPr>
                <w:rFonts w:ascii="Arial" w:hAnsi="Arial" w:cs="Arial"/>
                <w:sz w:val="18"/>
                <w:szCs w:val="18"/>
              </w:rPr>
              <w:t>19,804</w:t>
            </w:r>
          </w:p>
        </w:tc>
        <w:tc>
          <w:tcPr>
            <w:tcW w:w="1435" w:type="dxa"/>
            <w:gridSpan w:val="2"/>
            <w:tcBorders>
              <w:left w:val="nil"/>
              <w:right w:val="nil"/>
            </w:tcBorders>
            <w:shd w:val="clear" w:color="auto" w:fill="auto"/>
            <w:vAlign w:val="bottom"/>
          </w:tcPr>
          <w:p w14:paraId="1C4781EC" w14:textId="6F40FDDE"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7E5005BC" w14:textId="6E5FF2E9"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5EF8F6AE" w14:textId="20E6AD7B" w:rsidR="00352D33" w:rsidRPr="00FB1E58" w:rsidRDefault="00352D33"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(80,000)</w:t>
            </w:r>
          </w:p>
        </w:tc>
      </w:tr>
      <w:tr w:rsidR="00352D33" w:rsidRPr="00370EC4" w14:paraId="44C3F826" w14:textId="77777777" w:rsidTr="00FB3358">
        <w:trPr>
          <w:gridAfter w:val="1"/>
          <w:wAfter w:w="565" w:type="dxa"/>
          <w:trHeight w:hRule="exact" w:val="210"/>
        </w:trPr>
        <w:tc>
          <w:tcPr>
            <w:tcW w:w="2880" w:type="dxa"/>
            <w:tcBorders>
              <w:top w:val="nil"/>
              <w:left w:val="nil"/>
            </w:tcBorders>
            <w:noWrap/>
            <w:tcMar>
              <w:right w:w="216" w:type="dxa"/>
            </w:tcMar>
            <w:vAlign w:val="bottom"/>
          </w:tcPr>
          <w:p w14:paraId="29F37253" w14:textId="63C5B385" w:rsidR="00352D33" w:rsidRPr="00370EC4" w:rsidRDefault="00352D33" w:rsidP="00352D33">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payments</w:t>
            </w:r>
            <w:r w:rsidRPr="00370EC4">
              <w:rPr>
                <w:rFonts w:ascii="Arial" w:eastAsia="Arial Unicode MS" w:hAnsi="Arial" w:cs="Arial"/>
                <w:sz w:val="18"/>
                <w:szCs w:val="18"/>
              </w:rPr>
              <w:t xml:space="preserve"> </w:t>
            </w:r>
            <w:r>
              <w:rPr>
                <w:rFonts w:ascii="Arial" w:eastAsia="Arial Unicode MS" w:hAnsi="Arial" w:cs="Arial"/>
                <w:sz w:val="18"/>
                <w:szCs w:val="18"/>
              </w:rPr>
              <w:t>(Note 13</w:t>
            </w:r>
            <w:r w:rsidR="00FB3358">
              <w:rPr>
                <w:rFonts w:ascii="Arial" w:eastAsia="Arial Unicode MS" w:hAnsi="Arial" w:cs="Arial"/>
                <w:sz w:val="18"/>
                <w:szCs w:val="18"/>
              </w:rPr>
              <w:t>)</w:t>
            </w:r>
          </w:p>
        </w:tc>
        <w:tc>
          <w:tcPr>
            <w:tcW w:w="1276" w:type="dxa"/>
            <w:gridSpan w:val="2"/>
            <w:tcBorders>
              <w:right w:val="nil"/>
            </w:tcBorders>
            <w:shd w:val="clear" w:color="auto" w:fill="auto"/>
            <w:vAlign w:val="bottom"/>
          </w:tcPr>
          <w:p w14:paraId="7B75ACA5" w14:textId="533DA69C" w:rsidR="00352D33" w:rsidRPr="00FB1E58" w:rsidRDefault="00352D33" w:rsidP="00352D33">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right w:val="nil"/>
            </w:tcBorders>
            <w:shd w:val="clear" w:color="auto" w:fill="auto"/>
            <w:vAlign w:val="bottom"/>
          </w:tcPr>
          <w:p w14:paraId="6C6D359E" w14:textId="0FDDE6A5" w:rsidR="00352D33" w:rsidRPr="00FB1E58" w:rsidRDefault="00352D33" w:rsidP="00352D33">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right w:val="nil"/>
            </w:tcBorders>
            <w:shd w:val="clear" w:color="auto" w:fill="auto"/>
            <w:vAlign w:val="bottom"/>
          </w:tcPr>
          <w:p w14:paraId="34AEDC05" w14:textId="6A7A6C0E"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333B7BC4" w14:textId="4561DD8B" w:rsidR="00352D33" w:rsidRPr="00FB1E58" w:rsidRDefault="00BB17FF" w:rsidP="00352D33">
            <w:pPr>
              <w:spacing w:after="0" w:line="240" w:lineRule="auto"/>
              <w:ind w:right="5"/>
              <w:jc w:val="right"/>
              <w:rPr>
                <w:rFonts w:ascii="Arial" w:hAnsi="Arial" w:cs="Arial"/>
                <w:sz w:val="18"/>
                <w:szCs w:val="18"/>
              </w:rPr>
            </w:pPr>
            <w:r>
              <w:rPr>
                <w:rFonts w:ascii="Arial" w:hAnsi="Arial" w:cs="Arial"/>
                <w:sz w:val="18"/>
                <w:szCs w:val="18"/>
              </w:rPr>
              <w:t>5,896</w:t>
            </w:r>
          </w:p>
        </w:tc>
        <w:tc>
          <w:tcPr>
            <w:tcW w:w="1435" w:type="dxa"/>
            <w:gridSpan w:val="2"/>
            <w:tcBorders>
              <w:left w:val="nil"/>
              <w:right w:val="nil"/>
            </w:tcBorders>
            <w:shd w:val="clear" w:color="auto" w:fill="auto"/>
            <w:vAlign w:val="bottom"/>
          </w:tcPr>
          <w:p w14:paraId="0C07E0C7" w14:textId="55B5E1BB"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2546EC37" w14:textId="7DD9D4A6"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2CE0BD1E" w14:textId="1F1BC603" w:rsidR="00352D33" w:rsidRPr="00FB1E58" w:rsidRDefault="00BB17FF"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5,896</w:t>
            </w:r>
          </w:p>
        </w:tc>
      </w:tr>
      <w:tr w:rsidR="00352D33" w:rsidRPr="00370EC4" w14:paraId="25F33F48" w14:textId="77777777" w:rsidTr="00EE4151">
        <w:trPr>
          <w:gridAfter w:val="1"/>
          <w:wAfter w:w="565" w:type="dxa"/>
          <w:trHeight w:hRule="exact" w:val="449"/>
        </w:trPr>
        <w:tc>
          <w:tcPr>
            <w:tcW w:w="2880" w:type="dxa"/>
            <w:tcBorders>
              <w:top w:val="nil"/>
              <w:left w:val="nil"/>
            </w:tcBorders>
            <w:noWrap/>
            <w:tcMar>
              <w:right w:w="216" w:type="dxa"/>
            </w:tcMar>
            <w:vAlign w:val="bottom"/>
          </w:tcPr>
          <w:p w14:paraId="04436F95" w14:textId="2EAC410B" w:rsidR="00352D33" w:rsidRDefault="00352D33" w:rsidP="00352D33">
            <w:pPr>
              <w:tabs>
                <w:tab w:val="left" w:pos="4050"/>
              </w:tabs>
              <w:spacing w:after="0" w:line="240" w:lineRule="auto"/>
              <w:ind w:right="-36"/>
              <w:rPr>
                <w:rFonts w:ascii="Arial" w:eastAsia="Arial Unicode MS" w:hAnsi="Arial" w:cs="Arial"/>
                <w:sz w:val="18"/>
                <w:szCs w:val="18"/>
              </w:rPr>
            </w:pPr>
            <w:r w:rsidRPr="00BE5624">
              <w:rPr>
                <w:rFonts w:ascii="Arial" w:eastAsia="Arial Unicode MS" w:hAnsi="Arial" w:cs="Arial"/>
                <w:sz w:val="18"/>
                <w:szCs w:val="18"/>
              </w:rPr>
              <w:t>Foreign currency translation adjustment of foreign operations</w:t>
            </w:r>
          </w:p>
        </w:tc>
        <w:tc>
          <w:tcPr>
            <w:tcW w:w="1276" w:type="dxa"/>
            <w:gridSpan w:val="2"/>
            <w:tcBorders>
              <w:right w:val="nil"/>
            </w:tcBorders>
            <w:shd w:val="clear" w:color="auto" w:fill="auto"/>
            <w:vAlign w:val="bottom"/>
          </w:tcPr>
          <w:p w14:paraId="2A1C671F" w14:textId="671F688F" w:rsidR="00352D33" w:rsidRPr="00FB1E58" w:rsidRDefault="00352D33" w:rsidP="00352D33">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right w:val="nil"/>
            </w:tcBorders>
            <w:shd w:val="clear" w:color="auto" w:fill="auto"/>
            <w:vAlign w:val="bottom"/>
          </w:tcPr>
          <w:p w14:paraId="1EACC863" w14:textId="4E4B9687" w:rsidR="00352D33" w:rsidRPr="00FB1E58" w:rsidRDefault="00352D33" w:rsidP="00352D33">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right w:val="nil"/>
            </w:tcBorders>
            <w:shd w:val="clear" w:color="auto" w:fill="auto"/>
            <w:vAlign w:val="bottom"/>
          </w:tcPr>
          <w:p w14:paraId="65903350" w14:textId="0EEBA92B"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680D6A7D" w14:textId="10FF61E3" w:rsidR="00352D33" w:rsidRPr="00FB1E58" w:rsidRDefault="00352D33"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65BB22DC" w14:textId="591AABB6" w:rsidR="00352D33" w:rsidRPr="00FB1E58" w:rsidRDefault="00F86B66" w:rsidP="00352D33">
            <w:pPr>
              <w:tabs>
                <w:tab w:val="left" w:pos="1080"/>
              </w:tabs>
              <w:spacing w:after="0" w:line="240" w:lineRule="auto"/>
              <w:ind w:right="90"/>
              <w:jc w:val="right"/>
              <w:rPr>
                <w:rFonts w:ascii="Arial" w:hAnsi="Arial" w:cs="Arial"/>
                <w:sz w:val="18"/>
                <w:szCs w:val="18"/>
              </w:rPr>
            </w:pPr>
            <w:r>
              <w:rPr>
                <w:rFonts w:ascii="Arial" w:hAnsi="Arial" w:cs="Arial"/>
                <w:sz w:val="18"/>
                <w:szCs w:val="18"/>
              </w:rPr>
              <w:t>120,705</w:t>
            </w:r>
          </w:p>
        </w:tc>
        <w:tc>
          <w:tcPr>
            <w:tcW w:w="1276" w:type="dxa"/>
            <w:gridSpan w:val="2"/>
            <w:tcBorders>
              <w:left w:val="nil"/>
              <w:right w:val="nil"/>
            </w:tcBorders>
            <w:shd w:val="clear" w:color="auto" w:fill="auto"/>
            <w:vAlign w:val="bottom"/>
          </w:tcPr>
          <w:p w14:paraId="57354FE0" w14:textId="70599287"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33462B2D" w14:textId="17E3300C" w:rsidR="00352D33" w:rsidRPr="00FB1E58" w:rsidRDefault="00F86B66"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120,705</w:t>
            </w:r>
          </w:p>
        </w:tc>
      </w:tr>
      <w:tr w:rsidR="00352D33" w:rsidRPr="00370EC4" w14:paraId="0E01D443" w14:textId="77777777" w:rsidTr="00FB1E58">
        <w:trPr>
          <w:gridAfter w:val="1"/>
          <w:wAfter w:w="565" w:type="dxa"/>
          <w:trHeight w:val="267"/>
        </w:trPr>
        <w:tc>
          <w:tcPr>
            <w:tcW w:w="2880" w:type="dxa"/>
            <w:tcBorders>
              <w:left w:val="nil"/>
              <w:bottom w:val="single" w:sz="4" w:space="0" w:color="auto"/>
            </w:tcBorders>
            <w:noWrap/>
            <w:tcMar>
              <w:right w:w="216" w:type="dxa"/>
            </w:tcMar>
            <w:vAlign w:val="bottom"/>
          </w:tcPr>
          <w:p w14:paraId="2D1391E3" w14:textId="0D190092" w:rsidR="00352D33" w:rsidRPr="00370EC4" w:rsidRDefault="00352D33" w:rsidP="00352D33">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Net loss</w:t>
            </w:r>
          </w:p>
        </w:tc>
        <w:tc>
          <w:tcPr>
            <w:tcW w:w="1276" w:type="dxa"/>
            <w:gridSpan w:val="2"/>
            <w:tcBorders>
              <w:bottom w:val="single" w:sz="4" w:space="0" w:color="auto"/>
              <w:right w:val="nil"/>
            </w:tcBorders>
            <w:shd w:val="clear" w:color="auto" w:fill="auto"/>
            <w:vAlign w:val="bottom"/>
          </w:tcPr>
          <w:p w14:paraId="62D08143" w14:textId="59CFF504" w:rsidR="00352D33" w:rsidRPr="00FB1E58" w:rsidRDefault="00352D33" w:rsidP="00352D33">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73FBD256" w14:textId="46B0A1D9" w:rsidR="00352D33" w:rsidRPr="00FB1E58" w:rsidRDefault="00352D33" w:rsidP="00352D33">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bottom w:val="single" w:sz="4" w:space="0" w:color="auto"/>
              <w:right w:val="nil"/>
            </w:tcBorders>
            <w:shd w:val="clear" w:color="auto" w:fill="auto"/>
            <w:vAlign w:val="bottom"/>
          </w:tcPr>
          <w:p w14:paraId="1EC115C5" w14:textId="3C0773D5"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bottom w:val="single" w:sz="4" w:space="0" w:color="auto"/>
              <w:right w:val="nil"/>
            </w:tcBorders>
            <w:shd w:val="clear" w:color="auto" w:fill="auto"/>
            <w:vAlign w:val="bottom"/>
          </w:tcPr>
          <w:p w14:paraId="706CE906" w14:textId="0B8E3D8E" w:rsidR="00352D33" w:rsidRPr="00FB1E58" w:rsidRDefault="00352D33"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bottom w:val="single" w:sz="4" w:space="0" w:color="auto"/>
              <w:right w:val="nil"/>
            </w:tcBorders>
            <w:shd w:val="clear" w:color="auto" w:fill="auto"/>
            <w:vAlign w:val="bottom"/>
          </w:tcPr>
          <w:p w14:paraId="1D348FCE" w14:textId="1CCA4FAF"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bottom w:val="single" w:sz="4" w:space="0" w:color="auto"/>
              <w:right w:val="nil"/>
            </w:tcBorders>
            <w:shd w:val="clear" w:color="auto" w:fill="auto"/>
            <w:vAlign w:val="bottom"/>
          </w:tcPr>
          <w:p w14:paraId="047D98CC" w14:textId="3FFB7B35"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r w:rsidR="0069420D">
              <w:rPr>
                <w:rFonts w:ascii="Arial" w:hAnsi="Arial" w:cs="Arial"/>
                <w:sz w:val="18"/>
                <w:szCs w:val="18"/>
              </w:rPr>
              <w:t>1,</w:t>
            </w:r>
            <w:r w:rsidR="00F86B66">
              <w:rPr>
                <w:rFonts w:ascii="Arial" w:hAnsi="Arial" w:cs="Arial"/>
                <w:sz w:val="18"/>
                <w:szCs w:val="18"/>
              </w:rPr>
              <w:t>945,544</w:t>
            </w:r>
            <w:r w:rsidRPr="00FB1E58">
              <w:rPr>
                <w:rFonts w:ascii="Arial" w:hAnsi="Arial" w:cs="Arial"/>
                <w:sz w:val="18"/>
                <w:szCs w:val="18"/>
              </w:rPr>
              <w:t>)</w:t>
            </w:r>
          </w:p>
        </w:tc>
        <w:tc>
          <w:tcPr>
            <w:tcW w:w="1303" w:type="dxa"/>
            <w:gridSpan w:val="2"/>
            <w:tcBorders>
              <w:left w:val="nil"/>
              <w:bottom w:val="single" w:sz="4" w:space="0" w:color="auto"/>
              <w:right w:val="nil"/>
            </w:tcBorders>
            <w:shd w:val="clear" w:color="auto" w:fill="auto"/>
            <w:vAlign w:val="bottom"/>
          </w:tcPr>
          <w:p w14:paraId="615B7E1C" w14:textId="7AADF111" w:rsidR="00352D33" w:rsidRPr="00FB1E58" w:rsidRDefault="00352D33" w:rsidP="00352D33">
            <w:pPr>
              <w:tabs>
                <w:tab w:val="decimal" w:pos="1126"/>
              </w:tabs>
              <w:spacing w:after="0" w:line="240" w:lineRule="auto"/>
              <w:ind w:right="142"/>
              <w:jc w:val="right"/>
              <w:rPr>
                <w:rFonts w:ascii="Arial" w:hAnsi="Arial" w:cs="Arial"/>
                <w:sz w:val="18"/>
                <w:szCs w:val="18"/>
              </w:rPr>
            </w:pPr>
            <w:r w:rsidRPr="00FB1E58">
              <w:rPr>
                <w:rFonts w:ascii="Arial" w:hAnsi="Arial" w:cs="Arial"/>
                <w:sz w:val="18"/>
                <w:szCs w:val="18"/>
              </w:rPr>
              <w:t>(</w:t>
            </w:r>
            <w:r w:rsidR="0069420D">
              <w:rPr>
                <w:rFonts w:ascii="Arial" w:hAnsi="Arial" w:cs="Arial"/>
                <w:sz w:val="18"/>
                <w:szCs w:val="18"/>
              </w:rPr>
              <w:t>1,</w:t>
            </w:r>
            <w:r w:rsidR="00F86B66">
              <w:rPr>
                <w:rFonts w:ascii="Arial" w:hAnsi="Arial" w:cs="Arial"/>
                <w:sz w:val="18"/>
                <w:szCs w:val="18"/>
              </w:rPr>
              <w:t>945,544</w:t>
            </w:r>
            <w:r w:rsidRPr="00FB1E58">
              <w:rPr>
                <w:rFonts w:ascii="Arial" w:hAnsi="Arial" w:cs="Arial"/>
                <w:sz w:val="18"/>
                <w:szCs w:val="18"/>
              </w:rPr>
              <w:t>)</w:t>
            </w:r>
          </w:p>
        </w:tc>
      </w:tr>
      <w:tr w:rsidR="00352D33" w:rsidRPr="00370EC4" w14:paraId="7BEE3E6D" w14:textId="77777777" w:rsidTr="00FB1E58">
        <w:trPr>
          <w:gridAfter w:val="1"/>
          <w:wAfter w:w="565" w:type="dxa"/>
          <w:trHeight w:hRule="exact" w:val="101"/>
        </w:trPr>
        <w:tc>
          <w:tcPr>
            <w:tcW w:w="2880" w:type="dxa"/>
            <w:tcBorders>
              <w:top w:val="single" w:sz="4" w:space="0" w:color="auto"/>
              <w:left w:val="nil"/>
            </w:tcBorders>
            <w:noWrap/>
            <w:tcMar>
              <w:right w:w="216" w:type="dxa"/>
            </w:tcMar>
            <w:vAlign w:val="bottom"/>
          </w:tcPr>
          <w:p w14:paraId="7738CAE1" w14:textId="77777777" w:rsidR="00352D33" w:rsidRPr="00370EC4" w:rsidRDefault="00352D33" w:rsidP="00352D33">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58CC10F3" w14:textId="77777777" w:rsidR="00352D33" w:rsidRPr="00FB1E58" w:rsidRDefault="00352D33" w:rsidP="00352D33">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27B313D2" w14:textId="77777777" w:rsidR="00352D33" w:rsidRPr="00FB1E58" w:rsidRDefault="00352D33" w:rsidP="00352D33">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shd w:val="clear" w:color="auto" w:fill="auto"/>
            <w:vAlign w:val="bottom"/>
          </w:tcPr>
          <w:p w14:paraId="1C0C1517" w14:textId="77777777" w:rsidR="00352D33" w:rsidRPr="00FB1E58" w:rsidRDefault="00352D33" w:rsidP="00352D33">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shd w:val="clear" w:color="auto" w:fill="auto"/>
            <w:vAlign w:val="bottom"/>
          </w:tcPr>
          <w:p w14:paraId="1691D6DE" w14:textId="77777777" w:rsidR="00352D33" w:rsidRPr="00FB1E58" w:rsidRDefault="00352D33" w:rsidP="00352D33">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shd w:val="clear" w:color="auto" w:fill="auto"/>
          </w:tcPr>
          <w:p w14:paraId="73ECCF5F" w14:textId="77777777" w:rsidR="00352D33" w:rsidRPr="00FB1E58" w:rsidRDefault="00352D33" w:rsidP="00352D33">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5EDC6FB6" w14:textId="77777777" w:rsidR="00352D33" w:rsidRPr="00FB1E58" w:rsidRDefault="00352D33" w:rsidP="00352D33">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49B6913A" w14:textId="77777777" w:rsidR="00352D33" w:rsidRPr="00FB1E58" w:rsidRDefault="00352D33" w:rsidP="00352D33">
            <w:pPr>
              <w:tabs>
                <w:tab w:val="decimal" w:pos="1126"/>
              </w:tabs>
              <w:spacing w:after="0" w:line="240" w:lineRule="auto"/>
              <w:ind w:right="142"/>
              <w:jc w:val="right"/>
              <w:rPr>
                <w:rFonts w:ascii="Arial" w:hAnsi="Arial" w:cs="Arial"/>
                <w:sz w:val="18"/>
                <w:szCs w:val="18"/>
              </w:rPr>
            </w:pPr>
          </w:p>
        </w:tc>
      </w:tr>
      <w:tr w:rsidR="00352D33" w:rsidRPr="00FA3B86" w14:paraId="4F3BE3E2" w14:textId="77777777" w:rsidTr="00EE4151">
        <w:trPr>
          <w:gridAfter w:val="1"/>
          <w:wAfter w:w="565" w:type="dxa"/>
          <w:trHeight w:hRule="exact" w:val="205"/>
        </w:trPr>
        <w:tc>
          <w:tcPr>
            <w:tcW w:w="2880" w:type="dxa"/>
            <w:tcBorders>
              <w:top w:val="nil"/>
              <w:left w:val="nil"/>
              <w:bottom w:val="single" w:sz="12" w:space="0" w:color="auto"/>
            </w:tcBorders>
            <w:noWrap/>
            <w:tcMar>
              <w:right w:w="216" w:type="dxa"/>
            </w:tcMar>
            <w:vAlign w:val="bottom"/>
          </w:tcPr>
          <w:p w14:paraId="7DDDCC10" w14:textId="77B64FD5" w:rsidR="00352D33" w:rsidRPr="00370EC4" w:rsidRDefault="00352D33" w:rsidP="00352D33">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April 30, 2019</w:t>
            </w:r>
          </w:p>
        </w:tc>
        <w:tc>
          <w:tcPr>
            <w:tcW w:w="1276" w:type="dxa"/>
            <w:gridSpan w:val="2"/>
            <w:tcBorders>
              <w:bottom w:val="single" w:sz="12" w:space="0" w:color="auto"/>
              <w:right w:val="nil"/>
            </w:tcBorders>
            <w:shd w:val="clear" w:color="auto" w:fill="auto"/>
            <w:vAlign w:val="bottom"/>
          </w:tcPr>
          <w:p w14:paraId="40EA7461" w14:textId="169197E8"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10,594,422</w:t>
            </w:r>
          </w:p>
        </w:tc>
        <w:tc>
          <w:tcPr>
            <w:tcW w:w="1244" w:type="dxa"/>
            <w:gridSpan w:val="2"/>
            <w:tcBorders>
              <w:left w:val="nil"/>
              <w:bottom w:val="single" w:sz="12" w:space="0" w:color="auto"/>
              <w:right w:val="nil"/>
            </w:tcBorders>
            <w:shd w:val="clear" w:color="auto" w:fill="auto"/>
            <w:vAlign w:val="bottom"/>
          </w:tcPr>
          <w:p w14:paraId="7D7F7CBC" w14:textId="4BC8953D" w:rsidR="00352D33" w:rsidRPr="00FB1E58" w:rsidRDefault="00BB17FF" w:rsidP="00352D33">
            <w:pPr>
              <w:spacing w:after="0" w:line="240" w:lineRule="auto"/>
              <w:ind w:right="154"/>
              <w:jc w:val="right"/>
              <w:rPr>
                <w:rFonts w:ascii="Arial" w:hAnsi="Arial" w:cs="Arial"/>
                <w:sz w:val="18"/>
                <w:szCs w:val="18"/>
              </w:rPr>
            </w:pPr>
            <w:r>
              <w:rPr>
                <w:rFonts w:ascii="Arial" w:hAnsi="Arial" w:cs="Arial"/>
                <w:sz w:val="18"/>
                <w:szCs w:val="18"/>
              </w:rPr>
              <w:t>23,009,38</w:t>
            </w:r>
            <w:r w:rsidR="00873120">
              <w:rPr>
                <w:rFonts w:ascii="Arial" w:hAnsi="Arial" w:cs="Arial"/>
                <w:sz w:val="18"/>
                <w:szCs w:val="18"/>
              </w:rPr>
              <w:t>9</w:t>
            </w:r>
          </w:p>
        </w:tc>
        <w:tc>
          <w:tcPr>
            <w:tcW w:w="992" w:type="dxa"/>
            <w:gridSpan w:val="2"/>
            <w:tcBorders>
              <w:left w:val="nil"/>
              <w:bottom w:val="single" w:sz="12" w:space="0" w:color="auto"/>
              <w:right w:val="nil"/>
            </w:tcBorders>
            <w:shd w:val="clear" w:color="auto" w:fill="auto"/>
            <w:vAlign w:val="bottom"/>
          </w:tcPr>
          <w:p w14:paraId="1EE12DC9" w14:textId="213AA651" w:rsidR="00352D33" w:rsidRPr="00FB1E58" w:rsidRDefault="00352D33"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bottom w:val="single" w:sz="12" w:space="0" w:color="auto"/>
              <w:right w:val="nil"/>
            </w:tcBorders>
            <w:shd w:val="clear" w:color="auto" w:fill="auto"/>
            <w:vAlign w:val="bottom"/>
          </w:tcPr>
          <w:p w14:paraId="3FA64AAA" w14:textId="46B4771D" w:rsidR="00352D33" w:rsidRPr="00FB1E58" w:rsidRDefault="00BB17FF" w:rsidP="00352D33">
            <w:pPr>
              <w:spacing w:after="0" w:line="240" w:lineRule="auto"/>
              <w:ind w:right="5"/>
              <w:jc w:val="right"/>
              <w:rPr>
                <w:rFonts w:ascii="Arial" w:hAnsi="Arial" w:cs="Arial"/>
                <w:sz w:val="18"/>
                <w:szCs w:val="18"/>
              </w:rPr>
            </w:pPr>
            <w:r>
              <w:rPr>
                <w:rFonts w:ascii="Arial" w:hAnsi="Arial" w:cs="Arial"/>
                <w:sz w:val="18"/>
                <w:szCs w:val="18"/>
              </w:rPr>
              <w:t>17,063,902</w:t>
            </w:r>
          </w:p>
        </w:tc>
        <w:tc>
          <w:tcPr>
            <w:tcW w:w="1435" w:type="dxa"/>
            <w:gridSpan w:val="2"/>
            <w:tcBorders>
              <w:left w:val="nil"/>
              <w:bottom w:val="single" w:sz="12" w:space="0" w:color="auto"/>
              <w:right w:val="nil"/>
            </w:tcBorders>
            <w:shd w:val="clear" w:color="auto" w:fill="auto"/>
            <w:vAlign w:val="bottom"/>
          </w:tcPr>
          <w:p w14:paraId="698B4302" w14:textId="1F01B333" w:rsidR="00352D33" w:rsidRPr="00FB1E58" w:rsidRDefault="00F86B66" w:rsidP="00352D33">
            <w:pPr>
              <w:tabs>
                <w:tab w:val="left" w:pos="1080"/>
              </w:tabs>
              <w:spacing w:after="0" w:line="240" w:lineRule="auto"/>
              <w:ind w:right="90"/>
              <w:jc w:val="right"/>
              <w:rPr>
                <w:rFonts w:ascii="Arial" w:hAnsi="Arial" w:cs="Arial"/>
                <w:sz w:val="18"/>
                <w:szCs w:val="18"/>
              </w:rPr>
            </w:pPr>
            <w:r>
              <w:rPr>
                <w:rFonts w:ascii="Arial" w:hAnsi="Arial" w:cs="Arial"/>
                <w:sz w:val="18"/>
                <w:szCs w:val="18"/>
              </w:rPr>
              <w:t>243,770</w:t>
            </w:r>
          </w:p>
        </w:tc>
        <w:tc>
          <w:tcPr>
            <w:tcW w:w="1276" w:type="dxa"/>
            <w:gridSpan w:val="2"/>
            <w:tcBorders>
              <w:left w:val="nil"/>
              <w:bottom w:val="single" w:sz="12" w:space="0" w:color="auto"/>
              <w:right w:val="nil"/>
            </w:tcBorders>
            <w:shd w:val="clear" w:color="auto" w:fill="auto"/>
            <w:vAlign w:val="bottom"/>
          </w:tcPr>
          <w:p w14:paraId="1E96891B" w14:textId="31C96A7D" w:rsidR="00352D33" w:rsidRPr="00FB1E58" w:rsidRDefault="00352D33"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r w:rsidR="0069420D">
              <w:rPr>
                <w:rFonts w:ascii="Arial" w:hAnsi="Arial" w:cs="Arial"/>
                <w:sz w:val="18"/>
                <w:szCs w:val="18"/>
              </w:rPr>
              <w:t>37,</w:t>
            </w:r>
            <w:r w:rsidR="00F86B66">
              <w:rPr>
                <w:rFonts w:ascii="Arial" w:hAnsi="Arial" w:cs="Arial"/>
                <w:sz w:val="18"/>
                <w:szCs w:val="18"/>
              </w:rPr>
              <w:t>017,298</w:t>
            </w:r>
            <w:r w:rsidRPr="00FB1E58">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1016A16F" w14:textId="71809443" w:rsidR="00352D33" w:rsidRPr="004B6EDB" w:rsidRDefault="00F86B66"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3,299,763</w:t>
            </w:r>
          </w:p>
        </w:tc>
      </w:tr>
      <w:tr w:rsidR="00352D33" w:rsidRPr="00FA3B86" w14:paraId="43B04D35" w14:textId="77777777" w:rsidTr="00BB17FF">
        <w:trPr>
          <w:gridAfter w:val="1"/>
          <w:wAfter w:w="565" w:type="dxa"/>
          <w:trHeight w:hRule="exact" w:val="205"/>
        </w:trPr>
        <w:tc>
          <w:tcPr>
            <w:tcW w:w="2880" w:type="dxa"/>
            <w:tcBorders>
              <w:top w:val="nil"/>
              <w:left w:val="nil"/>
            </w:tcBorders>
            <w:noWrap/>
            <w:tcMar>
              <w:right w:w="216" w:type="dxa"/>
            </w:tcMar>
            <w:vAlign w:val="bottom"/>
          </w:tcPr>
          <w:p w14:paraId="7133F540" w14:textId="77777777" w:rsidR="00352D33" w:rsidRPr="00370EC4" w:rsidRDefault="00352D33" w:rsidP="00352D33">
            <w:pPr>
              <w:tabs>
                <w:tab w:val="left" w:pos="4050"/>
              </w:tabs>
              <w:spacing w:after="0" w:line="240" w:lineRule="auto"/>
              <w:ind w:right="-36"/>
              <w:rPr>
                <w:rFonts w:ascii="Arial" w:eastAsia="Arial Unicode MS" w:hAnsi="Arial" w:cs="Arial"/>
                <w:sz w:val="18"/>
                <w:szCs w:val="18"/>
              </w:rPr>
            </w:pPr>
          </w:p>
        </w:tc>
        <w:tc>
          <w:tcPr>
            <w:tcW w:w="1276" w:type="dxa"/>
            <w:gridSpan w:val="2"/>
            <w:tcBorders>
              <w:right w:val="nil"/>
            </w:tcBorders>
            <w:shd w:val="clear" w:color="auto" w:fill="auto"/>
            <w:vAlign w:val="bottom"/>
          </w:tcPr>
          <w:p w14:paraId="7154868B" w14:textId="77777777" w:rsidR="00352D33" w:rsidRPr="00FB1E58" w:rsidRDefault="00352D33" w:rsidP="00352D33">
            <w:pPr>
              <w:tabs>
                <w:tab w:val="left" w:pos="1155"/>
                <w:tab w:val="left" w:pos="3845"/>
              </w:tabs>
              <w:spacing w:after="0" w:line="240" w:lineRule="auto"/>
              <w:ind w:right="90"/>
              <w:jc w:val="right"/>
              <w:rPr>
                <w:rFonts w:ascii="Arial" w:hAnsi="Arial" w:cs="Arial"/>
                <w:sz w:val="18"/>
                <w:szCs w:val="18"/>
              </w:rPr>
            </w:pPr>
          </w:p>
        </w:tc>
        <w:tc>
          <w:tcPr>
            <w:tcW w:w="1244" w:type="dxa"/>
            <w:gridSpan w:val="2"/>
            <w:tcBorders>
              <w:left w:val="nil"/>
              <w:right w:val="nil"/>
            </w:tcBorders>
            <w:shd w:val="clear" w:color="auto" w:fill="auto"/>
            <w:vAlign w:val="bottom"/>
          </w:tcPr>
          <w:p w14:paraId="52BA6AB8" w14:textId="77777777" w:rsidR="00352D33" w:rsidRPr="00CA43EC" w:rsidRDefault="00352D33" w:rsidP="00352D33">
            <w:pPr>
              <w:spacing w:after="0" w:line="240" w:lineRule="auto"/>
              <w:ind w:right="154"/>
              <w:jc w:val="right"/>
              <w:rPr>
                <w:rFonts w:ascii="Arial" w:hAnsi="Arial" w:cs="Arial"/>
                <w:sz w:val="18"/>
                <w:szCs w:val="18"/>
              </w:rPr>
            </w:pPr>
          </w:p>
        </w:tc>
        <w:tc>
          <w:tcPr>
            <w:tcW w:w="992" w:type="dxa"/>
            <w:gridSpan w:val="2"/>
            <w:tcBorders>
              <w:left w:val="nil"/>
              <w:right w:val="nil"/>
            </w:tcBorders>
            <w:shd w:val="clear" w:color="auto" w:fill="auto"/>
            <w:vAlign w:val="bottom"/>
          </w:tcPr>
          <w:p w14:paraId="549D0828" w14:textId="77777777" w:rsidR="00352D33" w:rsidRPr="00FB1E58" w:rsidRDefault="00352D33" w:rsidP="00352D33">
            <w:pPr>
              <w:spacing w:after="0" w:line="240" w:lineRule="auto"/>
              <w:ind w:right="90"/>
              <w:jc w:val="right"/>
              <w:rPr>
                <w:rFonts w:ascii="Arial" w:hAnsi="Arial" w:cs="Arial"/>
                <w:sz w:val="18"/>
                <w:szCs w:val="18"/>
              </w:rPr>
            </w:pPr>
          </w:p>
        </w:tc>
        <w:tc>
          <w:tcPr>
            <w:tcW w:w="1134" w:type="dxa"/>
            <w:gridSpan w:val="2"/>
            <w:tcBorders>
              <w:left w:val="nil"/>
              <w:right w:val="nil"/>
            </w:tcBorders>
            <w:shd w:val="clear" w:color="auto" w:fill="auto"/>
            <w:vAlign w:val="bottom"/>
          </w:tcPr>
          <w:p w14:paraId="274ED547" w14:textId="77777777" w:rsidR="00352D33" w:rsidRDefault="00352D33" w:rsidP="00352D33">
            <w:pPr>
              <w:spacing w:after="0" w:line="240" w:lineRule="auto"/>
              <w:ind w:right="5"/>
              <w:jc w:val="right"/>
              <w:rPr>
                <w:rFonts w:ascii="Arial" w:hAnsi="Arial" w:cs="Arial"/>
                <w:sz w:val="18"/>
                <w:szCs w:val="18"/>
              </w:rPr>
            </w:pPr>
          </w:p>
        </w:tc>
        <w:tc>
          <w:tcPr>
            <w:tcW w:w="1435" w:type="dxa"/>
            <w:gridSpan w:val="2"/>
            <w:tcBorders>
              <w:left w:val="nil"/>
              <w:right w:val="nil"/>
            </w:tcBorders>
            <w:shd w:val="clear" w:color="auto" w:fill="auto"/>
            <w:vAlign w:val="bottom"/>
          </w:tcPr>
          <w:p w14:paraId="1658CA1B" w14:textId="77777777" w:rsidR="00352D33" w:rsidRDefault="00352D33" w:rsidP="00352D33">
            <w:pPr>
              <w:tabs>
                <w:tab w:val="left"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674E21F5" w14:textId="77777777" w:rsidR="00352D33" w:rsidRPr="00FB1E58" w:rsidRDefault="00352D33" w:rsidP="00352D33">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3B799E07" w14:textId="77777777" w:rsidR="00352D33" w:rsidRPr="00BC6B84" w:rsidRDefault="00352D33" w:rsidP="00352D33">
            <w:pPr>
              <w:tabs>
                <w:tab w:val="decimal" w:pos="1126"/>
              </w:tabs>
              <w:spacing w:after="0" w:line="240" w:lineRule="auto"/>
              <w:ind w:right="142"/>
              <w:jc w:val="right"/>
              <w:rPr>
                <w:rFonts w:ascii="Arial" w:hAnsi="Arial" w:cs="Arial"/>
                <w:sz w:val="18"/>
                <w:szCs w:val="18"/>
              </w:rPr>
            </w:pPr>
          </w:p>
        </w:tc>
      </w:tr>
      <w:tr w:rsidR="00BB17FF" w:rsidRPr="00370EC4" w14:paraId="4B143A77" w14:textId="77777777" w:rsidTr="009E6977">
        <w:trPr>
          <w:gridAfter w:val="1"/>
          <w:wAfter w:w="565" w:type="dxa"/>
          <w:trHeight w:hRule="exact" w:val="366"/>
        </w:trPr>
        <w:tc>
          <w:tcPr>
            <w:tcW w:w="2880" w:type="dxa"/>
            <w:tcBorders>
              <w:top w:val="nil"/>
              <w:left w:val="nil"/>
            </w:tcBorders>
            <w:noWrap/>
            <w:tcMar>
              <w:right w:w="216" w:type="dxa"/>
            </w:tcMar>
            <w:vAlign w:val="bottom"/>
          </w:tcPr>
          <w:p w14:paraId="2D31AB2B" w14:textId="00632C66" w:rsidR="00BB17FF" w:rsidRPr="00370EC4" w:rsidRDefault="00BB17FF" w:rsidP="00BB17FF">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January 31, 2020</w:t>
            </w:r>
          </w:p>
        </w:tc>
        <w:tc>
          <w:tcPr>
            <w:tcW w:w="1276" w:type="dxa"/>
            <w:gridSpan w:val="2"/>
            <w:tcBorders>
              <w:right w:val="nil"/>
            </w:tcBorders>
            <w:shd w:val="clear" w:color="auto" w:fill="auto"/>
            <w:vAlign w:val="bottom"/>
          </w:tcPr>
          <w:p w14:paraId="65805B79" w14:textId="2FEBFC88" w:rsidR="00BB17FF" w:rsidRPr="00370EC4" w:rsidRDefault="003A0CC4" w:rsidP="00BB17FF">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17,208,112</w:t>
            </w:r>
          </w:p>
        </w:tc>
        <w:tc>
          <w:tcPr>
            <w:tcW w:w="1244" w:type="dxa"/>
            <w:gridSpan w:val="2"/>
            <w:tcBorders>
              <w:left w:val="nil"/>
              <w:right w:val="nil"/>
            </w:tcBorders>
            <w:shd w:val="clear" w:color="auto" w:fill="auto"/>
            <w:vAlign w:val="bottom"/>
          </w:tcPr>
          <w:p w14:paraId="08421C68" w14:textId="33E2E260" w:rsidR="00BB17FF" w:rsidRPr="00370EC4" w:rsidRDefault="00BB17FF" w:rsidP="00BB17FF">
            <w:pPr>
              <w:spacing w:after="0" w:line="240" w:lineRule="auto"/>
              <w:ind w:right="154"/>
              <w:jc w:val="right"/>
              <w:rPr>
                <w:rFonts w:ascii="Arial" w:hAnsi="Arial" w:cs="Arial"/>
                <w:sz w:val="18"/>
                <w:szCs w:val="18"/>
              </w:rPr>
            </w:pPr>
            <w:r w:rsidRPr="00CA43EC">
              <w:rPr>
                <w:rFonts w:ascii="Arial" w:hAnsi="Arial" w:cs="Arial"/>
                <w:sz w:val="18"/>
                <w:szCs w:val="18"/>
              </w:rPr>
              <w:t>37,519,448</w:t>
            </w:r>
          </w:p>
        </w:tc>
        <w:tc>
          <w:tcPr>
            <w:tcW w:w="992" w:type="dxa"/>
            <w:gridSpan w:val="2"/>
            <w:tcBorders>
              <w:left w:val="nil"/>
              <w:right w:val="nil"/>
            </w:tcBorders>
            <w:vAlign w:val="bottom"/>
          </w:tcPr>
          <w:p w14:paraId="6B488763" w14:textId="5B42F888" w:rsidR="00BB17FF" w:rsidRPr="00370EC4" w:rsidRDefault="00BB17FF" w:rsidP="00BB17FF">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vAlign w:val="bottom"/>
          </w:tcPr>
          <w:p w14:paraId="587ED75A" w14:textId="057AAADB" w:rsidR="00BB17FF" w:rsidRPr="00370EC4" w:rsidRDefault="00BB17FF" w:rsidP="00BB17FF">
            <w:pPr>
              <w:spacing w:after="0" w:line="240" w:lineRule="auto"/>
              <w:ind w:right="5"/>
              <w:jc w:val="right"/>
              <w:rPr>
                <w:rFonts w:ascii="Arial" w:hAnsi="Arial" w:cs="Arial"/>
                <w:sz w:val="18"/>
                <w:szCs w:val="18"/>
              </w:rPr>
            </w:pPr>
            <w:r>
              <w:rPr>
                <w:rFonts w:ascii="Arial" w:hAnsi="Arial" w:cs="Arial"/>
                <w:sz w:val="18"/>
                <w:szCs w:val="18"/>
              </w:rPr>
              <w:t>19,625,602</w:t>
            </w:r>
          </w:p>
        </w:tc>
        <w:tc>
          <w:tcPr>
            <w:tcW w:w="1435" w:type="dxa"/>
            <w:gridSpan w:val="2"/>
            <w:tcBorders>
              <w:left w:val="nil"/>
              <w:right w:val="nil"/>
            </w:tcBorders>
            <w:vAlign w:val="bottom"/>
          </w:tcPr>
          <w:p w14:paraId="1518713D" w14:textId="6F82F1CD" w:rsidR="00BB17FF" w:rsidRPr="00CA4544" w:rsidRDefault="00BB17FF" w:rsidP="00BB17FF">
            <w:pPr>
              <w:tabs>
                <w:tab w:val="left" w:pos="1080"/>
              </w:tabs>
              <w:spacing w:after="0" w:line="240" w:lineRule="auto"/>
              <w:ind w:right="90"/>
              <w:jc w:val="right"/>
              <w:rPr>
                <w:rFonts w:ascii="Arial" w:hAnsi="Arial" w:cs="Arial"/>
                <w:sz w:val="18"/>
                <w:szCs w:val="18"/>
                <w:highlight w:val="yellow"/>
              </w:rPr>
            </w:pPr>
            <w:r>
              <w:rPr>
                <w:rFonts w:ascii="Arial" w:hAnsi="Arial" w:cs="Arial"/>
                <w:sz w:val="18"/>
                <w:szCs w:val="18"/>
              </w:rPr>
              <w:t>172,027</w:t>
            </w:r>
          </w:p>
        </w:tc>
        <w:tc>
          <w:tcPr>
            <w:tcW w:w="1276" w:type="dxa"/>
            <w:gridSpan w:val="2"/>
            <w:tcBorders>
              <w:left w:val="nil"/>
              <w:right w:val="nil"/>
            </w:tcBorders>
            <w:shd w:val="clear" w:color="auto" w:fill="auto"/>
            <w:vAlign w:val="bottom"/>
          </w:tcPr>
          <w:p w14:paraId="65BCE6F5" w14:textId="7D7FAD56" w:rsidR="00BB17FF" w:rsidRPr="00A734F6"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r w:rsidRPr="00BC6B84">
              <w:rPr>
                <w:rFonts w:ascii="Arial" w:hAnsi="Arial" w:cs="Arial"/>
                <w:sz w:val="18"/>
                <w:szCs w:val="18"/>
              </w:rPr>
              <w:t>54,660,516</w:t>
            </w: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1AF52EE1" w14:textId="297A1B3C" w:rsidR="00BB17FF" w:rsidRPr="00A734F6" w:rsidRDefault="00BB17FF" w:rsidP="00BB17FF">
            <w:pPr>
              <w:tabs>
                <w:tab w:val="decimal" w:pos="1126"/>
              </w:tabs>
              <w:spacing w:after="0" w:line="240" w:lineRule="auto"/>
              <w:ind w:right="142"/>
              <w:jc w:val="right"/>
              <w:rPr>
                <w:rFonts w:ascii="Arial" w:hAnsi="Arial" w:cs="Arial"/>
                <w:sz w:val="18"/>
                <w:szCs w:val="18"/>
              </w:rPr>
            </w:pPr>
            <w:r w:rsidRPr="00BC6B84">
              <w:rPr>
                <w:rFonts w:ascii="Arial" w:hAnsi="Arial" w:cs="Arial"/>
                <w:sz w:val="18"/>
                <w:szCs w:val="18"/>
              </w:rPr>
              <w:t>2,656,561</w:t>
            </w:r>
          </w:p>
        </w:tc>
      </w:tr>
      <w:tr w:rsidR="00352D33" w:rsidRPr="00FA3B86" w14:paraId="0E0567A4" w14:textId="77777777" w:rsidTr="00BB17FF">
        <w:trPr>
          <w:gridAfter w:val="1"/>
          <w:wAfter w:w="565" w:type="dxa"/>
          <w:trHeight w:hRule="exact" w:val="453"/>
        </w:trPr>
        <w:tc>
          <w:tcPr>
            <w:tcW w:w="2880" w:type="dxa"/>
            <w:tcBorders>
              <w:top w:val="nil"/>
              <w:left w:val="nil"/>
            </w:tcBorders>
            <w:noWrap/>
            <w:tcMar>
              <w:right w:w="216" w:type="dxa"/>
            </w:tcMar>
            <w:vAlign w:val="bottom"/>
          </w:tcPr>
          <w:p w14:paraId="4BAAB2E2" w14:textId="3AAD4442" w:rsidR="00352D33" w:rsidRPr="00370EC4" w:rsidRDefault="00BB17FF" w:rsidP="00352D33">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 xml:space="preserve">Common shares issued for services (Note </w:t>
            </w:r>
            <w:r w:rsidR="00CA3E28">
              <w:rPr>
                <w:rFonts w:ascii="Arial" w:eastAsia="Arial Unicode MS" w:hAnsi="Arial" w:cs="Arial"/>
                <w:sz w:val="18"/>
                <w:szCs w:val="18"/>
              </w:rPr>
              <w:t>11(a)</w:t>
            </w:r>
            <w:r>
              <w:rPr>
                <w:rFonts w:ascii="Arial" w:eastAsia="Arial Unicode MS" w:hAnsi="Arial" w:cs="Arial"/>
                <w:sz w:val="18"/>
                <w:szCs w:val="18"/>
              </w:rPr>
              <w:t>)</w:t>
            </w:r>
          </w:p>
        </w:tc>
        <w:tc>
          <w:tcPr>
            <w:tcW w:w="1276" w:type="dxa"/>
            <w:gridSpan w:val="2"/>
            <w:tcBorders>
              <w:right w:val="nil"/>
            </w:tcBorders>
            <w:shd w:val="clear" w:color="auto" w:fill="auto"/>
            <w:vAlign w:val="bottom"/>
          </w:tcPr>
          <w:p w14:paraId="6E9D5D98" w14:textId="097E466F" w:rsidR="00352D33" w:rsidRPr="00FB1E58" w:rsidRDefault="003A0CC4" w:rsidP="00352D33">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2,872</w:t>
            </w:r>
          </w:p>
        </w:tc>
        <w:tc>
          <w:tcPr>
            <w:tcW w:w="1244" w:type="dxa"/>
            <w:gridSpan w:val="2"/>
            <w:tcBorders>
              <w:left w:val="nil"/>
              <w:right w:val="nil"/>
            </w:tcBorders>
            <w:shd w:val="clear" w:color="auto" w:fill="auto"/>
            <w:vAlign w:val="bottom"/>
          </w:tcPr>
          <w:p w14:paraId="261C73BA" w14:textId="161CC491" w:rsidR="00352D33" w:rsidRPr="00CA43EC" w:rsidRDefault="00BB17FF" w:rsidP="00352D33">
            <w:pPr>
              <w:spacing w:after="0" w:line="240" w:lineRule="auto"/>
              <w:ind w:right="154"/>
              <w:jc w:val="right"/>
              <w:rPr>
                <w:rFonts w:ascii="Arial" w:hAnsi="Arial" w:cs="Arial"/>
                <w:sz w:val="18"/>
                <w:szCs w:val="18"/>
              </w:rPr>
            </w:pPr>
            <w:r>
              <w:rPr>
                <w:rFonts w:ascii="Arial" w:hAnsi="Arial" w:cs="Arial"/>
                <w:sz w:val="18"/>
                <w:szCs w:val="18"/>
              </w:rPr>
              <w:t>2,154</w:t>
            </w:r>
          </w:p>
        </w:tc>
        <w:tc>
          <w:tcPr>
            <w:tcW w:w="992" w:type="dxa"/>
            <w:gridSpan w:val="2"/>
            <w:tcBorders>
              <w:left w:val="nil"/>
              <w:right w:val="nil"/>
            </w:tcBorders>
            <w:shd w:val="clear" w:color="auto" w:fill="auto"/>
            <w:vAlign w:val="bottom"/>
          </w:tcPr>
          <w:p w14:paraId="2C906271" w14:textId="687A609B" w:rsidR="00352D33" w:rsidRPr="00FB1E58" w:rsidRDefault="00BB17FF" w:rsidP="00352D33">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3A1D418C" w14:textId="39D8FFC3" w:rsidR="00352D33" w:rsidRDefault="00BB17FF" w:rsidP="00352D33">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0F68700E" w14:textId="54D8B36E" w:rsidR="00352D33" w:rsidRDefault="00BB17FF"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349F748C" w14:textId="186869C4" w:rsidR="00352D33" w:rsidRPr="00FB1E58" w:rsidRDefault="00BB17FF" w:rsidP="00352D33">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6446DFD2" w14:textId="041E7564" w:rsidR="00352D33" w:rsidRPr="00BC6B84" w:rsidRDefault="00BB17FF" w:rsidP="00352D33">
            <w:pPr>
              <w:tabs>
                <w:tab w:val="decimal" w:pos="1126"/>
              </w:tabs>
              <w:spacing w:after="0" w:line="240" w:lineRule="auto"/>
              <w:ind w:right="142"/>
              <w:jc w:val="right"/>
              <w:rPr>
                <w:rFonts w:ascii="Arial" w:hAnsi="Arial" w:cs="Arial"/>
                <w:sz w:val="18"/>
                <w:szCs w:val="18"/>
              </w:rPr>
            </w:pPr>
            <w:r>
              <w:rPr>
                <w:rFonts w:ascii="Arial" w:hAnsi="Arial" w:cs="Arial"/>
                <w:sz w:val="18"/>
                <w:szCs w:val="18"/>
              </w:rPr>
              <w:t>2,154</w:t>
            </w:r>
          </w:p>
        </w:tc>
      </w:tr>
      <w:tr w:rsidR="00BB17FF" w:rsidRPr="00370EC4" w14:paraId="6FACFDE8" w14:textId="77777777" w:rsidTr="00FB3358">
        <w:trPr>
          <w:gridAfter w:val="1"/>
          <w:wAfter w:w="565" w:type="dxa"/>
          <w:trHeight w:hRule="exact" w:val="210"/>
        </w:trPr>
        <w:tc>
          <w:tcPr>
            <w:tcW w:w="2880" w:type="dxa"/>
            <w:tcBorders>
              <w:top w:val="nil"/>
              <w:left w:val="nil"/>
            </w:tcBorders>
            <w:noWrap/>
            <w:tcMar>
              <w:right w:w="216" w:type="dxa"/>
            </w:tcMar>
            <w:vAlign w:val="bottom"/>
          </w:tcPr>
          <w:p w14:paraId="083213CB" w14:textId="3F264629" w:rsidR="00BB17FF" w:rsidRPr="00370EC4" w:rsidRDefault="00BB17FF" w:rsidP="00BB17FF">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payments</w:t>
            </w:r>
            <w:r w:rsidRPr="00370EC4">
              <w:rPr>
                <w:rFonts w:ascii="Arial" w:eastAsia="Arial Unicode MS" w:hAnsi="Arial" w:cs="Arial"/>
                <w:sz w:val="18"/>
                <w:szCs w:val="18"/>
              </w:rPr>
              <w:t xml:space="preserve"> </w:t>
            </w:r>
            <w:r>
              <w:rPr>
                <w:rFonts w:ascii="Arial" w:eastAsia="Arial Unicode MS" w:hAnsi="Arial" w:cs="Arial"/>
                <w:sz w:val="18"/>
                <w:szCs w:val="18"/>
              </w:rPr>
              <w:t>(Note 13</w:t>
            </w:r>
            <w:r w:rsidR="00FB3358">
              <w:rPr>
                <w:rFonts w:ascii="Arial" w:eastAsia="Arial Unicode MS" w:hAnsi="Arial" w:cs="Arial"/>
                <w:sz w:val="18"/>
                <w:szCs w:val="18"/>
              </w:rPr>
              <w:t>)</w:t>
            </w:r>
          </w:p>
        </w:tc>
        <w:tc>
          <w:tcPr>
            <w:tcW w:w="1276" w:type="dxa"/>
            <w:gridSpan w:val="2"/>
            <w:tcBorders>
              <w:right w:val="nil"/>
            </w:tcBorders>
            <w:shd w:val="clear" w:color="auto" w:fill="auto"/>
            <w:vAlign w:val="bottom"/>
          </w:tcPr>
          <w:p w14:paraId="042E0ACC" w14:textId="77777777" w:rsidR="00BB17FF" w:rsidRPr="00FB1E58" w:rsidRDefault="00BB17FF" w:rsidP="00BB17FF">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right w:val="nil"/>
            </w:tcBorders>
            <w:shd w:val="clear" w:color="auto" w:fill="auto"/>
            <w:vAlign w:val="bottom"/>
          </w:tcPr>
          <w:p w14:paraId="7560E27D" w14:textId="77777777" w:rsidR="00BB17FF" w:rsidRPr="00FB1E58" w:rsidRDefault="00BB17FF" w:rsidP="00BB17FF">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right w:val="nil"/>
            </w:tcBorders>
            <w:shd w:val="clear" w:color="auto" w:fill="auto"/>
            <w:vAlign w:val="bottom"/>
          </w:tcPr>
          <w:p w14:paraId="20DDBFF6" w14:textId="77777777" w:rsidR="00BB17FF" w:rsidRPr="00FB1E58" w:rsidRDefault="00BB17FF" w:rsidP="00BB17FF">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7619FF3B" w14:textId="69C61A79" w:rsidR="00BB17FF" w:rsidRPr="00FB1E58" w:rsidRDefault="00BB17FF" w:rsidP="00BB17FF">
            <w:pPr>
              <w:spacing w:after="0" w:line="240" w:lineRule="auto"/>
              <w:ind w:right="5"/>
              <w:jc w:val="right"/>
              <w:rPr>
                <w:rFonts w:ascii="Arial" w:hAnsi="Arial" w:cs="Arial"/>
                <w:sz w:val="18"/>
                <w:szCs w:val="18"/>
              </w:rPr>
            </w:pPr>
            <w:r>
              <w:rPr>
                <w:rFonts w:ascii="Arial" w:hAnsi="Arial" w:cs="Arial"/>
                <w:sz w:val="18"/>
                <w:szCs w:val="18"/>
              </w:rPr>
              <w:t>15,413</w:t>
            </w:r>
          </w:p>
        </w:tc>
        <w:tc>
          <w:tcPr>
            <w:tcW w:w="1435" w:type="dxa"/>
            <w:gridSpan w:val="2"/>
            <w:tcBorders>
              <w:left w:val="nil"/>
              <w:right w:val="nil"/>
            </w:tcBorders>
            <w:shd w:val="clear" w:color="auto" w:fill="auto"/>
            <w:vAlign w:val="bottom"/>
          </w:tcPr>
          <w:p w14:paraId="5E61637B" w14:textId="77777777" w:rsidR="00BB17FF" w:rsidRPr="00FB1E58"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right w:val="nil"/>
            </w:tcBorders>
            <w:shd w:val="clear" w:color="auto" w:fill="auto"/>
            <w:vAlign w:val="bottom"/>
          </w:tcPr>
          <w:p w14:paraId="593258FF" w14:textId="77777777" w:rsidR="00BB17FF" w:rsidRPr="00FB1E58"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7B8D1D61" w14:textId="06C24C98" w:rsidR="00BB17FF" w:rsidRPr="00FB1E58" w:rsidRDefault="00BB17FF" w:rsidP="00BB17FF">
            <w:pPr>
              <w:tabs>
                <w:tab w:val="decimal" w:pos="1126"/>
              </w:tabs>
              <w:spacing w:after="0" w:line="240" w:lineRule="auto"/>
              <w:ind w:right="142"/>
              <w:jc w:val="right"/>
              <w:rPr>
                <w:rFonts w:ascii="Arial" w:hAnsi="Arial" w:cs="Arial"/>
                <w:sz w:val="18"/>
                <w:szCs w:val="18"/>
              </w:rPr>
            </w:pPr>
            <w:r>
              <w:rPr>
                <w:rFonts w:ascii="Arial" w:hAnsi="Arial" w:cs="Arial"/>
                <w:sz w:val="18"/>
                <w:szCs w:val="18"/>
              </w:rPr>
              <w:t>15,413</w:t>
            </w:r>
          </w:p>
        </w:tc>
      </w:tr>
      <w:tr w:rsidR="00BB17FF" w:rsidRPr="00370EC4" w14:paraId="435A264F" w14:textId="77777777" w:rsidTr="009E6977">
        <w:trPr>
          <w:gridAfter w:val="1"/>
          <w:wAfter w:w="565" w:type="dxa"/>
          <w:trHeight w:hRule="exact" w:val="449"/>
        </w:trPr>
        <w:tc>
          <w:tcPr>
            <w:tcW w:w="2880" w:type="dxa"/>
            <w:tcBorders>
              <w:top w:val="nil"/>
              <w:left w:val="nil"/>
            </w:tcBorders>
            <w:noWrap/>
            <w:tcMar>
              <w:right w:w="216" w:type="dxa"/>
            </w:tcMar>
            <w:vAlign w:val="bottom"/>
          </w:tcPr>
          <w:p w14:paraId="5A95AE3B" w14:textId="77777777" w:rsidR="00BB17FF" w:rsidRDefault="00BB17FF" w:rsidP="00BB17FF">
            <w:pPr>
              <w:tabs>
                <w:tab w:val="left" w:pos="4050"/>
              </w:tabs>
              <w:spacing w:after="0" w:line="240" w:lineRule="auto"/>
              <w:ind w:right="-36"/>
              <w:rPr>
                <w:rFonts w:ascii="Arial" w:eastAsia="Arial Unicode MS" w:hAnsi="Arial" w:cs="Arial"/>
                <w:sz w:val="18"/>
                <w:szCs w:val="18"/>
              </w:rPr>
            </w:pPr>
            <w:r w:rsidRPr="00BE5624">
              <w:rPr>
                <w:rFonts w:ascii="Arial" w:eastAsia="Arial Unicode MS" w:hAnsi="Arial" w:cs="Arial"/>
                <w:sz w:val="18"/>
                <w:szCs w:val="18"/>
              </w:rPr>
              <w:t>Foreign currency translation adjustment of foreign operations</w:t>
            </w:r>
          </w:p>
        </w:tc>
        <w:tc>
          <w:tcPr>
            <w:tcW w:w="1276" w:type="dxa"/>
            <w:gridSpan w:val="2"/>
            <w:tcBorders>
              <w:right w:val="nil"/>
            </w:tcBorders>
            <w:shd w:val="clear" w:color="auto" w:fill="auto"/>
            <w:vAlign w:val="bottom"/>
          </w:tcPr>
          <w:p w14:paraId="3B49FE80" w14:textId="77777777" w:rsidR="00BB17FF" w:rsidRPr="00FB1E58" w:rsidRDefault="00BB17FF" w:rsidP="00BB17FF">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right w:val="nil"/>
            </w:tcBorders>
            <w:shd w:val="clear" w:color="auto" w:fill="auto"/>
            <w:vAlign w:val="bottom"/>
          </w:tcPr>
          <w:p w14:paraId="20B55203" w14:textId="77777777" w:rsidR="00BB17FF" w:rsidRPr="00FB1E58" w:rsidRDefault="00BB17FF" w:rsidP="00BB17FF">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right w:val="nil"/>
            </w:tcBorders>
            <w:shd w:val="clear" w:color="auto" w:fill="auto"/>
            <w:vAlign w:val="bottom"/>
          </w:tcPr>
          <w:p w14:paraId="67180AF0" w14:textId="77777777" w:rsidR="00BB17FF" w:rsidRPr="00FB1E58" w:rsidRDefault="00BB17FF" w:rsidP="00BB17FF">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right w:val="nil"/>
            </w:tcBorders>
            <w:shd w:val="clear" w:color="auto" w:fill="auto"/>
            <w:vAlign w:val="bottom"/>
          </w:tcPr>
          <w:p w14:paraId="20688ED4" w14:textId="77777777" w:rsidR="00BB17FF" w:rsidRPr="00FB1E58" w:rsidRDefault="00BB17FF" w:rsidP="00BB17FF">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right w:val="nil"/>
            </w:tcBorders>
            <w:shd w:val="clear" w:color="auto" w:fill="auto"/>
            <w:vAlign w:val="bottom"/>
          </w:tcPr>
          <w:p w14:paraId="663C153C" w14:textId="5837E4E8" w:rsidR="00BB17FF" w:rsidRPr="00FB1E58" w:rsidRDefault="00BB17FF" w:rsidP="00BB17FF">
            <w:pPr>
              <w:tabs>
                <w:tab w:val="left" w:pos="1080"/>
              </w:tabs>
              <w:spacing w:after="0" w:line="240" w:lineRule="auto"/>
              <w:ind w:right="90"/>
              <w:jc w:val="right"/>
              <w:rPr>
                <w:rFonts w:ascii="Arial" w:hAnsi="Arial" w:cs="Arial"/>
                <w:sz w:val="18"/>
                <w:szCs w:val="18"/>
              </w:rPr>
            </w:pPr>
            <w:r>
              <w:rPr>
                <w:rFonts w:ascii="Arial" w:hAnsi="Arial" w:cs="Arial"/>
                <w:sz w:val="18"/>
                <w:szCs w:val="18"/>
              </w:rPr>
              <w:t>(77,70</w:t>
            </w:r>
            <w:r w:rsidR="009E6977">
              <w:rPr>
                <w:rFonts w:ascii="Arial" w:hAnsi="Arial" w:cs="Arial"/>
                <w:sz w:val="18"/>
                <w:szCs w:val="18"/>
              </w:rPr>
              <w:t>4</w:t>
            </w:r>
            <w:r>
              <w:rPr>
                <w:rFonts w:ascii="Arial" w:hAnsi="Arial" w:cs="Arial"/>
                <w:sz w:val="18"/>
                <w:szCs w:val="18"/>
              </w:rPr>
              <w:t>)</w:t>
            </w:r>
          </w:p>
        </w:tc>
        <w:tc>
          <w:tcPr>
            <w:tcW w:w="1276" w:type="dxa"/>
            <w:gridSpan w:val="2"/>
            <w:tcBorders>
              <w:left w:val="nil"/>
              <w:right w:val="nil"/>
            </w:tcBorders>
            <w:shd w:val="clear" w:color="auto" w:fill="auto"/>
            <w:vAlign w:val="bottom"/>
          </w:tcPr>
          <w:p w14:paraId="2A077DCF" w14:textId="77777777" w:rsidR="00BB17FF" w:rsidRPr="00FB1E58"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303" w:type="dxa"/>
            <w:gridSpan w:val="2"/>
            <w:tcBorders>
              <w:left w:val="nil"/>
              <w:right w:val="nil"/>
            </w:tcBorders>
            <w:shd w:val="clear" w:color="auto" w:fill="auto"/>
            <w:vAlign w:val="bottom"/>
          </w:tcPr>
          <w:p w14:paraId="7C722DF6" w14:textId="4C21C895" w:rsidR="00BB17FF" w:rsidRPr="00FB1E58" w:rsidRDefault="009E6977" w:rsidP="00BB17FF">
            <w:pPr>
              <w:tabs>
                <w:tab w:val="decimal" w:pos="1126"/>
              </w:tabs>
              <w:spacing w:after="0" w:line="240" w:lineRule="auto"/>
              <w:ind w:right="142"/>
              <w:jc w:val="right"/>
              <w:rPr>
                <w:rFonts w:ascii="Arial" w:hAnsi="Arial" w:cs="Arial"/>
                <w:sz w:val="18"/>
                <w:szCs w:val="18"/>
              </w:rPr>
            </w:pPr>
            <w:r>
              <w:rPr>
                <w:rFonts w:ascii="Arial" w:hAnsi="Arial" w:cs="Arial"/>
                <w:sz w:val="18"/>
                <w:szCs w:val="18"/>
              </w:rPr>
              <w:t>(77,704)</w:t>
            </w:r>
          </w:p>
        </w:tc>
      </w:tr>
      <w:tr w:rsidR="00BB17FF" w:rsidRPr="00370EC4" w14:paraId="2AEAAE2C" w14:textId="77777777" w:rsidTr="009E6977">
        <w:trPr>
          <w:gridAfter w:val="1"/>
          <w:wAfter w:w="565" w:type="dxa"/>
          <w:trHeight w:val="267"/>
        </w:trPr>
        <w:tc>
          <w:tcPr>
            <w:tcW w:w="2880" w:type="dxa"/>
            <w:tcBorders>
              <w:left w:val="nil"/>
              <w:bottom w:val="single" w:sz="4" w:space="0" w:color="auto"/>
            </w:tcBorders>
            <w:noWrap/>
            <w:tcMar>
              <w:right w:w="216" w:type="dxa"/>
            </w:tcMar>
            <w:vAlign w:val="bottom"/>
          </w:tcPr>
          <w:p w14:paraId="747C8CEC" w14:textId="46D73229" w:rsidR="00BB17FF" w:rsidRPr="00370EC4" w:rsidRDefault="00BB17FF" w:rsidP="00BB17FF">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Net </w:t>
            </w:r>
            <w:r>
              <w:rPr>
                <w:rFonts w:ascii="Arial" w:eastAsia="Arial Unicode MS" w:hAnsi="Arial" w:cs="Arial"/>
                <w:sz w:val="18"/>
                <w:szCs w:val="18"/>
              </w:rPr>
              <w:t>income</w:t>
            </w:r>
          </w:p>
        </w:tc>
        <w:tc>
          <w:tcPr>
            <w:tcW w:w="1276" w:type="dxa"/>
            <w:gridSpan w:val="2"/>
            <w:tcBorders>
              <w:bottom w:val="single" w:sz="4" w:space="0" w:color="auto"/>
              <w:right w:val="nil"/>
            </w:tcBorders>
            <w:shd w:val="clear" w:color="auto" w:fill="auto"/>
            <w:vAlign w:val="bottom"/>
          </w:tcPr>
          <w:p w14:paraId="69372CF9" w14:textId="77777777" w:rsidR="00BB17FF" w:rsidRPr="00FB1E58" w:rsidRDefault="00BB17FF" w:rsidP="00BB17FF">
            <w:pPr>
              <w:tabs>
                <w:tab w:val="left" w:pos="1155"/>
                <w:tab w:val="left" w:pos="3845"/>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04C53463" w14:textId="77777777" w:rsidR="00BB17FF" w:rsidRPr="00FB1E58" w:rsidRDefault="00BB17FF" w:rsidP="00BB17FF">
            <w:pPr>
              <w:spacing w:after="0" w:line="240" w:lineRule="auto"/>
              <w:ind w:right="154"/>
              <w:jc w:val="right"/>
              <w:rPr>
                <w:rFonts w:ascii="Arial" w:hAnsi="Arial" w:cs="Arial"/>
                <w:sz w:val="18"/>
                <w:szCs w:val="18"/>
              </w:rPr>
            </w:pPr>
            <w:r w:rsidRPr="00FB1E58">
              <w:rPr>
                <w:rFonts w:ascii="Arial" w:hAnsi="Arial" w:cs="Arial"/>
                <w:sz w:val="18"/>
                <w:szCs w:val="18"/>
              </w:rPr>
              <w:t>–</w:t>
            </w:r>
          </w:p>
        </w:tc>
        <w:tc>
          <w:tcPr>
            <w:tcW w:w="992" w:type="dxa"/>
            <w:gridSpan w:val="2"/>
            <w:tcBorders>
              <w:left w:val="nil"/>
              <w:bottom w:val="single" w:sz="4" w:space="0" w:color="auto"/>
              <w:right w:val="nil"/>
            </w:tcBorders>
            <w:shd w:val="clear" w:color="auto" w:fill="auto"/>
            <w:vAlign w:val="bottom"/>
          </w:tcPr>
          <w:p w14:paraId="1C776AF8" w14:textId="77777777" w:rsidR="00BB17FF" w:rsidRPr="00FB1E58" w:rsidRDefault="00BB17FF" w:rsidP="00BB17FF">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bottom w:val="single" w:sz="4" w:space="0" w:color="auto"/>
              <w:right w:val="nil"/>
            </w:tcBorders>
            <w:shd w:val="clear" w:color="auto" w:fill="auto"/>
            <w:vAlign w:val="bottom"/>
          </w:tcPr>
          <w:p w14:paraId="2C4F7DFE" w14:textId="77777777" w:rsidR="00BB17FF" w:rsidRPr="00FB1E58" w:rsidRDefault="00BB17FF" w:rsidP="00BB17FF">
            <w:pPr>
              <w:spacing w:after="0" w:line="240" w:lineRule="auto"/>
              <w:ind w:right="5"/>
              <w:jc w:val="right"/>
              <w:rPr>
                <w:rFonts w:ascii="Arial" w:hAnsi="Arial" w:cs="Arial"/>
                <w:sz w:val="18"/>
                <w:szCs w:val="18"/>
              </w:rPr>
            </w:pPr>
            <w:r w:rsidRPr="00FB1E58">
              <w:rPr>
                <w:rFonts w:ascii="Arial" w:hAnsi="Arial" w:cs="Arial"/>
                <w:sz w:val="18"/>
                <w:szCs w:val="18"/>
              </w:rPr>
              <w:t>–</w:t>
            </w:r>
          </w:p>
        </w:tc>
        <w:tc>
          <w:tcPr>
            <w:tcW w:w="1435" w:type="dxa"/>
            <w:gridSpan w:val="2"/>
            <w:tcBorders>
              <w:left w:val="nil"/>
              <w:bottom w:val="single" w:sz="4" w:space="0" w:color="auto"/>
              <w:right w:val="nil"/>
            </w:tcBorders>
            <w:shd w:val="clear" w:color="auto" w:fill="auto"/>
            <w:vAlign w:val="bottom"/>
          </w:tcPr>
          <w:p w14:paraId="00A14135" w14:textId="77777777" w:rsidR="00BB17FF" w:rsidRPr="00FB1E58"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p>
        </w:tc>
        <w:tc>
          <w:tcPr>
            <w:tcW w:w="1276" w:type="dxa"/>
            <w:gridSpan w:val="2"/>
            <w:tcBorders>
              <w:left w:val="nil"/>
              <w:bottom w:val="single" w:sz="4" w:space="0" w:color="auto"/>
              <w:right w:val="nil"/>
            </w:tcBorders>
            <w:shd w:val="clear" w:color="auto" w:fill="auto"/>
            <w:vAlign w:val="bottom"/>
          </w:tcPr>
          <w:p w14:paraId="454F501E" w14:textId="6D339091" w:rsidR="00BB17FF" w:rsidRPr="009E6977" w:rsidRDefault="009E6977" w:rsidP="00BB17FF">
            <w:pPr>
              <w:tabs>
                <w:tab w:val="left" w:pos="1080"/>
              </w:tabs>
              <w:spacing w:after="0" w:line="240" w:lineRule="auto"/>
              <w:ind w:right="90"/>
              <w:jc w:val="right"/>
              <w:rPr>
                <w:rFonts w:ascii="Arial" w:hAnsi="Arial" w:cs="Arial"/>
                <w:sz w:val="18"/>
                <w:szCs w:val="18"/>
              </w:rPr>
            </w:pPr>
            <w:r w:rsidRPr="009E6977">
              <w:rPr>
                <w:rFonts w:ascii="Arial" w:hAnsi="Arial" w:cs="Arial"/>
                <w:sz w:val="18"/>
                <w:szCs w:val="18"/>
              </w:rPr>
              <w:t>378,969</w:t>
            </w:r>
          </w:p>
        </w:tc>
        <w:tc>
          <w:tcPr>
            <w:tcW w:w="1303" w:type="dxa"/>
            <w:gridSpan w:val="2"/>
            <w:tcBorders>
              <w:left w:val="nil"/>
              <w:bottom w:val="single" w:sz="4" w:space="0" w:color="auto"/>
              <w:right w:val="nil"/>
            </w:tcBorders>
            <w:shd w:val="clear" w:color="auto" w:fill="auto"/>
            <w:vAlign w:val="bottom"/>
          </w:tcPr>
          <w:p w14:paraId="0EC15BC8" w14:textId="71D0160D" w:rsidR="00BB17FF" w:rsidRPr="00FB1E58" w:rsidRDefault="009E6977" w:rsidP="00BB17FF">
            <w:pPr>
              <w:tabs>
                <w:tab w:val="decimal" w:pos="1126"/>
              </w:tabs>
              <w:spacing w:after="0" w:line="240" w:lineRule="auto"/>
              <w:ind w:right="142"/>
              <w:jc w:val="right"/>
              <w:rPr>
                <w:rFonts w:ascii="Arial" w:hAnsi="Arial" w:cs="Arial"/>
                <w:sz w:val="18"/>
                <w:szCs w:val="18"/>
              </w:rPr>
            </w:pPr>
            <w:r w:rsidRPr="009E6977">
              <w:rPr>
                <w:rFonts w:ascii="Arial" w:hAnsi="Arial" w:cs="Arial"/>
                <w:sz w:val="18"/>
                <w:szCs w:val="18"/>
              </w:rPr>
              <w:t>378,969</w:t>
            </w:r>
          </w:p>
        </w:tc>
      </w:tr>
      <w:tr w:rsidR="00BB17FF" w:rsidRPr="00370EC4" w14:paraId="3C44B608" w14:textId="77777777" w:rsidTr="009E6977">
        <w:trPr>
          <w:gridAfter w:val="1"/>
          <w:wAfter w:w="565" w:type="dxa"/>
          <w:trHeight w:hRule="exact" w:val="101"/>
        </w:trPr>
        <w:tc>
          <w:tcPr>
            <w:tcW w:w="2880" w:type="dxa"/>
            <w:tcBorders>
              <w:top w:val="single" w:sz="4" w:space="0" w:color="auto"/>
              <w:left w:val="nil"/>
            </w:tcBorders>
            <w:noWrap/>
            <w:tcMar>
              <w:right w:w="216" w:type="dxa"/>
            </w:tcMar>
            <w:vAlign w:val="bottom"/>
          </w:tcPr>
          <w:p w14:paraId="08288F67" w14:textId="77777777" w:rsidR="00BB17FF" w:rsidRPr="00370EC4" w:rsidRDefault="00BB17FF" w:rsidP="00BB17FF">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1712057D" w14:textId="77777777" w:rsidR="00BB17FF" w:rsidRPr="00FB1E58" w:rsidRDefault="00BB17FF" w:rsidP="00BB17FF">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29694030" w14:textId="77777777" w:rsidR="00BB17FF" w:rsidRPr="00FB1E58" w:rsidRDefault="00BB17FF" w:rsidP="00BB17FF">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shd w:val="clear" w:color="auto" w:fill="auto"/>
            <w:vAlign w:val="bottom"/>
          </w:tcPr>
          <w:p w14:paraId="45D0389F" w14:textId="77777777" w:rsidR="00BB17FF" w:rsidRPr="00FB1E58" w:rsidRDefault="00BB17FF" w:rsidP="00BB17FF">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shd w:val="clear" w:color="auto" w:fill="auto"/>
            <w:vAlign w:val="bottom"/>
          </w:tcPr>
          <w:p w14:paraId="6018F4AA" w14:textId="77777777" w:rsidR="00BB17FF" w:rsidRPr="00FB1E58" w:rsidRDefault="00BB17FF" w:rsidP="00BB17FF">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shd w:val="clear" w:color="auto" w:fill="auto"/>
          </w:tcPr>
          <w:p w14:paraId="386F13D8" w14:textId="77777777" w:rsidR="00BB17FF" w:rsidRPr="00FB1E58" w:rsidRDefault="00BB17FF" w:rsidP="00BB17FF">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18592980" w14:textId="77777777" w:rsidR="00BB17FF" w:rsidRPr="00FB1E58" w:rsidRDefault="00BB17FF" w:rsidP="00BB17FF">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2F99D9C9" w14:textId="77777777" w:rsidR="00BB17FF" w:rsidRPr="00FB1E58" w:rsidRDefault="00BB17FF" w:rsidP="00BB17FF">
            <w:pPr>
              <w:tabs>
                <w:tab w:val="decimal" w:pos="1126"/>
              </w:tabs>
              <w:spacing w:after="0" w:line="240" w:lineRule="auto"/>
              <w:ind w:right="142"/>
              <w:jc w:val="right"/>
              <w:rPr>
                <w:rFonts w:ascii="Arial" w:hAnsi="Arial" w:cs="Arial"/>
                <w:sz w:val="18"/>
                <w:szCs w:val="18"/>
              </w:rPr>
            </w:pPr>
          </w:p>
        </w:tc>
      </w:tr>
      <w:tr w:rsidR="00BB17FF" w:rsidRPr="00FA3B86" w14:paraId="245D79FE" w14:textId="77777777" w:rsidTr="009E6977">
        <w:trPr>
          <w:gridAfter w:val="1"/>
          <w:wAfter w:w="565" w:type="dxa"/>
          <w:trHeight w:hRule="exact" w:val="205"/>
        </w:trPr>
        <w:tc>
          <w:tcPr>
            <w:tcW w:w="2880" w:type="dxa"/>
            <w:tcBorders>
              <w:top w:val="nil"/>
              <w:left w:val="nil"/>
              <w:bottom w:val="single" w:sz="12" w:space="0" w:color="auto"/>
            </w:tcBorders>
            <w:noWrap/>
            <w:tcMar>
              <w:right w:w="216" w:type="dxa"/>
            </w:tcMar>
            <w:vAlign w:val="bottom"/>
          </w:tcPr>
          <w:p w14:paraId="33082BB8" w14:textId="052F81D8" w:rsidR="00BB17FF" w:rsidRPr="00370EC4" w:rsidRDefault="00BB17FF" w:rsidP="00BB17FF">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April 30, 2020</w:t>
            </w:r>
          </w:p>
        </w:tc>
        <w:tc>
          <w:tcPr>
            <w:tcW w:w="1276" w:type="dxa"/>
            <w:gridSpan w:val="2"/>
            <w:tcBorders>
              <w:bottom w:val="single" w:sz="12" w:space="0" w:color="auto"/>
              <w:right w:val="nil"/>
            </w:tcBorders>
            <w:shd w:val="clear" w:color="auto" w:fill="auto"/>
            <w:vAlign w:val="bottom"/>
          </w:tcPr>
          <w:p w14:paraId="5B821160" w14:textId="5BB026C2" w:rsidR="00BB17FF" w:rsidRPr="00FB1E58" w:rsidRDefault="003A0CC4" w:rsidP="00BB17FF">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17,210,984</w:t>
            </w:r>
          </w:p>
        </w:tc>
        <w:tc>
          <w:tcPr>
            <w:tcW w:w="1244" w:type="dxa"/>
            <w:gridSpan w:val="2"/>
            <w:tcBorders>
              <w:left w:val="nil"/>
              <w:bottom w:val="single" w:sz="12" w:space="0" w:color="auto"/>
              <w:right w:val="nil"/>
            </w:tcBorders>
            <w:shd w:val="clear" w:color="auto" w:fill="auto"/>
            <w:vAlign w:val="bottom"/>
          </w:tcPr>
          <w:p w14:paraId="27E1806B" w14:textId="004DD719" w:rsidR="00BB17FF" w:rsidRPr="00FB1E58" w:rsidRDefault="00BB17FF" w:rsidP="00BB17FF">
            <w:pPr>
              <w:spacing w:after="0" w:line="240" w:lineRule="auto"/>
              <w:ind w:right="154"/>
              <w:jc w:val="right"/>
              <w:rPr>
                <w:rFonts w:ascii="Arial" w:hAnsi="Arial" w:cs="Arial"/>
                <w:sz w:val="18"/>
                <w:szCs w:val="18"/>
              </w:rPr>
            </w:pPr>
            <w:r w:rsidRPr="00CA43EC">
              <w:rPr>
                <w:rFonts w:ascii="Arial" w:hAnsi="Arial" w:cs="Arial"/>
                <w:sz w:val="18"/>
                <w:szCs w:val="18"/>
              </w:rPr>
              <w:t>37,</w:t>
            </w:r>
            <w:r>
              <w:rPr>
                <w:rFonts w:ascii="Arial" w:hAnsi="Arial" w:cs="Arial"/>
                <w:sz w:val="18"/>
                <w:szCs w:val="18"/>
              </w:rPr>
              <w:t>521,602</w:t>
            </w:r>
          </w:p>
        </w:tc>
        <w:tc>
          <w:tcPr>
            <w:tcW w:w="992" w:type="dxa"/>
            <w:gridSpan w:val="2"/>
            <w:tcBorders>
              <w:left w:val="nil"/>
              <w:bottom w:val="single" w:sz="12" w:space="0" w:color="auto"/>
              <w:right w:val="nil"/>
            </w:tcBorders>
            <w:shd w:val="clear" w:color="auto" w:fill="auto"/>
            <w:vAlign w:val="bottom"/>
          </w:tcPr>
          <w:p w14:paraId="11085BF8" w14:textId="77777777" w:rsidR="00BB17FF" w:rsidRPr="00FB1E58" w:rsidRDefault="00BB17FF" w:rsidP="00BB17FF">
            <w:pPr>
              <w:spacing w:after="0" w:line="240" w:lineRule="auto"/>
              <w:ind w:right="90"/>
              <w:jc w:val="right"/>
              <w:rPr>
                <w:rFonts w:ascii="Arial" w:hAnsi="Arial" w:cs="Arial"/>
                <w:sz w:val="18"/>
                <w:szCs w:val="18"/>
              </w:rPr>
            </w:pPr>
            <w:r w:rsidRPr="00FB1E58">
              <w:rPr>
                <w:rFonts w:ascii="Arial" w:hAnsi="Arial" w:cs="Arial"/>
                <w:sz w:val="18"/>
                <w:szCs w:val="18"/>
              </w:rPr>
              <w:t>–</w:t>
            </w:r>
          </w:p>
        </w:tc>
        <w:tc>
          <w:tcPr>
            <w:tcW w:w="1134" w:type="dxa"/>
            <w:gridSpan w:val="2"/>
            <w:tcBorders>
              <w:left w:val="nil"/>
              <w:bottom w:val="single" w:sz="12" w:space="0" w:color="auto"/>
              <w:right w:val="nil"/>
            </w:tcBorders>
            <w:shd w:val="clear" w:color="auto" w:fill="auto"/>
            <w:vAlign w:val="bottom"/>
          </w:tcPr>
          <w:p w14:paraId="08BCFD6F" w14:textId="00375843" w:rsidR="00BB17FF" w:rsidRPr="00FB1E58" w:rsidRDefault="00BB17FF" w:rsidP="00BB17FF">
            <w:pPr>
              <w:spacing w:after="0" w:line="240" w:lineRule="auto"/>
              <w:ind w:right="5"/>
              <w:jc w:val="right"/>
              <w:rPr>
                <w:rFonts w:ascii="Arial" w:hAnsi="Arial" w:cs="Arial"/>
                <w:sz w:val="18"/>
                <w:szCs w:val="18"/>
              </w:rPr>
            </w:pPr>
            <w:r>
              <w:rPr>
                <w:rFonts w:ascii="Arial" w:hAnsi="Arial" w:cs="Arial"/>
                <w:sz w:val="18"/>
                <w:szCs w:val="18"/>
              </w:rPr>
              <w:t>19,641,015</w:t>
            </w:r>
          </w:p>
        </w:tc>
        <w:tc>
          <w:tcPr>
            <w:tcW w:w="1435" w:type="dxa"/>
            <w:gridSpan w:val="2"/>
            <w:tcBorders>
              <w:left w:val="nil"/>
              <w:bottom w:val="single" w:sz="12" w:space="0" w:color="auto"/>
              <w:right w:val="nil"/>
            </w:tcBorders>
            <w:shd w:val="clear" w:color="auto" w:fill="auto"/>
            <w:vAlign w:val="bottom"/>
          </w:tcPr>
          <w:p w14:paraId="5553319D" w14:textId="7B4E2028" w:rsidR="00BB17FF" w:rsidRPr="00FB1E58" w:rsidRDefault="009E6977" w:rsidP="00BB17FF">
            <w:pPr>
              <w:tabs>
                <w:tab w:val="left" w:pos="1080"/>
              </w:tabs>
              <w:spacing w:after="0" w:line="240" w:lineRule="auto"/>
              <w:ind w:right="90"/>
              <w:jc w:val="right"/>
              <w:rPr>
                <w:rFonts w:ascii="Arial" w:hAnsi="Arial" w:cs="Arial"/>
                <w:sz w:val="18"/>
                <w:szCs w:val="18"/>
              </w:rPr>
            </w:pPr>
            <w:r w:rsidRPr="009E6977">
              <w:rPr>
                <w:rFonts w:ascii="Arial" w:hAnsi="Arial" w:cs="Arial"/>
                <w:sz w:val="18"/>
                <w:szCs w:val="18"/>
              </w:rPr>
              <w:t>94,32</w:t>
            </w:r>
            <w:r>
              <w:rPr>
                <w:rFonts w:ascii="Arial" w:hAnsi="Arial" w:cs="Arial"/>
                <w:sz w:val="18"/>
                <w:szCs w:val="18"/>
              </w:rPr>
              <w:t>3</w:t>
            </w:r>
          </w:p>
        </w:tc>
        <w:tc>
          <w:tcPr>
            <w:tcW w:w="1276" w:type="dxa"/>
            <w:gridSpan w:val="2"/>
            <w:tcBorders>
              <w:left w:val="nil"/>
              <w:bottom w:val="single" w:sz="12" w:space="0" w:color="auto"/>
              <w:right w:val="nil"/>
            </w:tcBorders>
            <w:shd w:val="clear" w:color="auto" w:fill="auto"/>
            <w:vAlign w:val="bottom"/>
          </w:tcPr>
          <w:p w14:paraId="73A326E7" w14:textId="1AC24CC0" w:rsidR="00BB17FF" w:rsidRPr="00FB1E58" w:rsidRDefault="00BB17FF" w:rsidP="00BB17FF">
            <w:pPr>
              <w:tabs>
                <w:tab w:val="left" w:pos="1080"/>
              </w:tabs>
              <w:spacing w:after="0" w:line="240" w:lineRule="auto"/>
              <w:ind w:right="90"/>
              <w:jc w:val="right"/>
              <w:rPr>
                <w:rFonts w:ascii="Arial" w:hAnsi="Arial" w:cs="Arial"/>
                <w:sz w:val="18"/>
                <w:szCs w:val="18"/>
              </w:rPr>
            </w:pPr>
            <w:r w:rsidRPr="00FB1E58">
              <w:rPr>
                <w:rFonts w:ascii="Arial" w:hAnsi="Arial" w:cs="Arial"/>
                <w:sz w:val="18"/>
                <w:szCs w:val="18"/>
              </w:rPr>
              <w:t>(</w:t>
            </w:r>
            <w:r w:rsidR="009E6977" w:rsidRPr="009E6977">
              <w:rPr>
                <w:rFonts w:ascii="Arial" w:hAnsi="Arial" w:cs="Arial"/>
                <w:sz w:val="18"/>
                <w:szCs w:val="18"/>
              </w:rPr>
              <w:t>54,</w:t>
            </w:r>
            <w:bookmarkStart w:id="0" w:name="_Hlk43997570"/>
            <w:r w:rsidR="009E6977" w:rsidRPr="009E6977">
              <w:rPr>
                <w:rFonts w:ascii="Arial" w:hAnsi="Arial" w:cs="Arial"/>
                <w:sz w:val="18"/>
                <w:szCs w:val="18"/>
              </w:rPr>
              <w:t>281,547</w:t>
            </w:r>
            <w:bookmarkEnd w:id="0"/>
            <w:r w:rsidR="009E6977">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55186813" w14:textId="0E2474FE" w:rsidR="00BB17FF" w:rsidRPr="004B6EDB" w:rsidRDefault="009E6977" w:rsidP="00BB17FF">
            <w:pPr>
              <w:tabs>
                <w:tab w:val="decimal" w:pos="1126"/>
              </w:tabs>
              <w:spacing w:after="0" w:line="240" w:lineRule="auto"/>
              <w:ind w:right="142"/>
              <w:jc w:val="right"/>
              <w:rPr>
                <w:rFonts w:ascii="Arial" w:hAnsi="Arial" w:cs="Arial"/>
                <w:sz w:val="18"/>
                <w:szCs w:val="18"/>
              </w:rPr>
            </w:pPr>
            <w:r w:rsidRPr="009E6977">
              <w:rPr>
                <w:rFonts w:ascii="Arial" w:hAnsi="Arial" w:cs="Arial"/>
                <w:sz w:val="18"/>
                <w:szCs w:val="18"/>
              </w:rPr>
              <w:t>2,975,393</w:t>
            </w:r>
          </w:p>
        </w:tc>
      </w:tr>
      <w:tr w:rsidR="00BB17FF" w:rsidRPr="00FA3B86" w14:paraId="333BEFBB" w14:textId="77777777" w:rsidTr="00BB17FF">
        <w:trPr>
          <w:gridAfter w:val="1"/>
          <w:wAfter w:w="565" w:type="dxa"/>
          <w:trHeight w:hRule="exact" w:val="205"/>
        </w:trPr>
        <w:tc>
          <w:tcPr>
            <w:tcW w:w="2880" w:type="dxa"/>
            <w:tcBorders>
              <w:top w:val="nil"/>
              <w:left w:val="nil"/>
            </w:tcBorders>
            <w:noWrap/>
            <w:tcMar>
              <w:right w:w="216" w:type="dxa"/>
            </w:tcMar>
            <w:vAlign w:val="bottom"/>
          </w:tcPr>
          <w:p w14:paraId="7914B882" w14:textId="77777777" w:rsidR="00BB17FF" w:rsidRPr="00370EC4" w:rsidRDefault="00BB17FF" w:rsidP="00352D33">
            <w:pPr>
              <w:tabs>
                <w:tab w:val="left" w:pos="4050"/>
              </w:tabs>
              <w:spacing w:after="0" w:line="240" w:lineRule="auto"/>
              <w:ind w:right="-36"/>
              <w:rPr>
                <w:rFonts w:ascii="Arial" w:eastAsia="Arial Unicode MS" w:hAnsi="Arial" w:cs="Arial"/>
                <w:sz w:val="18"/>
                <w:szCs w:val="18"/>
              </w:rPr>
            </w:pPr>
          </w:p>
        </w:tc>
        <w:tc>
          <w:tcPr>
            <w:tcW w:w="1276" w:type="dxa"/>
            <w:gridSpan w:val="2"/>
            <w:tcBorders>
              <w:right w:val="nil"/>
            </w:tcBorders>
            <w:shd w:val="clear" w:color="auto" w:fill="auto"/>
            <w:vAlign w:val="bottom"/>
          </w:tcPr>
          <w:p w14:paraId="2AF73B14" w14:textId="77777777" w:rsidR="00BB17FF" w:rsidRPr="00FB1E58" w:rsidRDefault="00BB17FF" w:rsidP="00352D33">
            <w:pPr>
              <w:tabs>
                <w:tab w:val="left" w:pos="1155"/>
                <w:tab w:val="left" w:pos="3845"/>
              </w:tabs>
              <w:spacing w:after="0" w:line="240" w:lineRule="auto"/>
              <w:ind w:right="90"/>
              <w:jc w:val="right"/>
              <w:rPr>
                <w:rFonts w:ascii="Arial" w:hAnsi="Arial" w:cs="Arial"/>
                <w:sz w:val="18"/>
                <w:szCs w:val="18"/>
              </w:rPr>
            </w:pPr>
          </w:p>
        </w:tc>
        <w:tc>
          <w:tcPr>
            <w:tcW w:w="1244" w:type="dxa"/>
            <w:gridSpan w:val="2"/>
            <w:tcBorders>
              <w:left w:val="nil"/>
              <w:right w:val="nil"/>
            </w:tcBorders>
            <w:shd w:val="clear" w:color="auto" w:fill="auto"/>
            <w:vAlign w:val="bottom"/>
          </w:tcPr>
          <w:p w14:paraId="69A23ED0" w14:textId="77777777" w:rsidR="00BB17FF" w:rsidRPr="00CA43EC" w:rsidRDefault="00BB17FF" w:rsidP="00352D33">
            <w:pPr>
              <w:spacing w:after="0" w:line="240" w:lineRule="auto"/>
              <w:ind w:right="154"/>
              <w:jc w:val="right"/>
              <w:rPr>
                <w:rFonts w:ascii="Arial" w:hAnsi="Arial" w:cs="Arial"/>
                <w:sz w:val="18"/>
                <w:szCs w:val="18"/>
              </w:rPr>
            </w:pPr>
          </w:p>
        </w:tc>
        <w:tc>
          <w:tcPr>
            <w:tcW w:w="992" w:type="dxa"/>
            <w:gridSpan w:val="2"/>
            <w:tcBorders>
              <w:left w:val="nil"/>
              <w:right w:val="nil"/>
            </w:tcBorders>
            <w:shd w:val="clear" w:color="auto" w:fill="auto"/>
            <w:vAlign w:val="bottom"/>
          </w:tcPr>
          <w:p w14:paraId="10509585" w14:textId="77777777" w:rsidR="00BB17FF" w:rsidRPr="00FB1E58" w:rsidRDefault="00BB17FF" w:rsidP="00352D33">
            <w:pPr>
              <w:spacing w:after="0" w:line="240" w:lineRule="auto"/>
              <w:ind w:right="90"/>
              <w:jc w:val="right"/>
              <w:rPr>
                <w:rFonts w:ascii="Arial" w:hAnsi="Arial" w:cs="Arial"/>
                <w:sz w:val="18"/>
                <w:szCs w:val="18"/>
              </w:rPr>
            </w:pPr>
          </w:p>
        </w:tc>
        <w:tc>
          <w:tcPr>
            <w:tcW w:w="1134" w:type="dxa"/>
            <w:gridSpan w:val="2"/>
            <w:tcBorders>
              <w:left w:val="nil"/>
              <w:right w:val="nil"/>
            </w:tcBorders>
            <w:shd w:val="clear" w:color="auto" w:fill="auto"/>
            <w:vAlign w:val="bottom"/>
          </w:tcPr>
          <w:p w14:paraId="7E84CEA1" w14:textId="77777777" w:rsidR="00BB17FF" w:rsidRDefault="00BB17FF" w:rsidP="00352D33">
            <w:pPr>
              <w:spacing w:after="0" w:line="240" w:lineRule="auto"/>
              <w:ind w:right="5"/>
              <w:jc w:val="right"/>
              <w:rPr>
                <w:rFonts w:ascii="Arial" w:hAnsi="Arial" w:cs="Arial"/>
                <w:sz w:val="18"/>
                <w:szCs w:val="18"/>
              </w:rPr>
            </w:pPr>
          </w:p>
        </w:tc>
        <w:tc>
          <w:tcPr>
            <w:tcW w:w="1435" w:type="dxa"/>
            <w:gridSpan w:val="2"/>
            <w:tcBorders>
              <w:left w:val="nil"/>
              <w:right w:val="nil"/>
            </w:tcBorders>
            <w:shd w:val="clear" w:color="auto" w:fill="auto"/>
            <w:vAlign w:val="bottom"/>
          </w:tcPr>
          <w:p w14:paraId="47F7E2FC" w14:textId="77777777" w:rsidR="00BB17FF" w:rsidRDefault="00BB17FF" w:rsidP="00352D33">
            <w:pPr>
              <w:tabs>
                <w:tab w:val="left"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0BCBB7FD" w14:textId="77777777" w:rsidR="00BB17FF" w:rsidRPr="00FB1E58" w:rsidRDefault="00BB17FF" w:rsidP="00352D33">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215E219B" w14:textId="77777777" w:rsidR="00BB17FF" w:rsidRPr="00BC6B84" w:rsidRDefault="00BB17FF" w:rsidP="00352D33">
            <w:pPr>
              <w:tabs>
                <w:tab w:val="decimal" w:pos="1126"/>
              </w:tabs>
              <w:spacing w:after="0" w:line="240" w:lineRule="auto"/>
              <w:ind w:right="142"/>
              <w:jc w:val="right"/>
              <w:rPr>
                <w:rFonts w:ascii="Arial" w:hAnsi="Arial" w:cs="Arial"/>
                <w:sz w:val="18"/>
                <w:szCs w:val="18"/>
              </w:rPr>
            </w:pPr>
          </w:p>
        </w:tc>
      </w:tr>
      <w:tr w:rsidR="00C3710E" w:rsidRPr="00370EC4" w14:paraId="276CE962" w14:textId="77777777" w:rsidTr="00EE4151">
        <w:trPr>
          <w:trHeight w:hRule="exact" w:val="57"/>
        </w:trPr>
        <w:tc>
          <w:tcPr>
            <w:tcW w:w="3229" w:type="dxa"/>
            <w:gridSpan w:val="2"/>
            <w:tcBorders>
              <w:left w:val="nil"/>
            </w:tcBorders>
            <w:noWrap/>
            <w:tcMar>
              <w:right w:w="216" w:type="dxa"/>
            </w:tcMar>
            <w:vAlign w:val="bottom"/>
          </w:tcPr>
          <w:p w14:paraId="6D8412A3" w14:textId="77777777" w:rsidR="00C3710E" w:rsidRPr="00370EC4" w:rsidRDefault="00C3710E" w:rsidP="00C3710E">
            <w:pPr>
              <w:tabs>
                <w:tab w:val="left" w:pos="4050"/>
              </w:tabs>
              <w:spacing w:after="0" w:line="240" w:lineRule="auto"/>
              <w:ind w:right="-36"/>
              <w:rPr>
                <w:rFonts w:ascii="Arial" w:eastAsia="Arial Unicode MS" w:hAnsi="Arial" w:cs="Arial"/>
                <w:sz w:val="18"/>
                <w:szCs w:val="18"/>
              </w:rPr>
            </w:pPr>
          </w:p>
        </w:tc>
        <w:tc>
          <w:tcPr>
            <w:tcW w:w="1350" w:type="dxa"/>
            <w:gridSpan w:val="2"/>
            <w:tcBorders>
              <w:right w:val="nil"/>
            </w:tcBorders>
            <w:shd w:val="clear" w:color="auto" w:fill="auto"/>
            <w:vAlign w:val="bottom"/>
          </w:tcPr>
          <w:p w14:paraId="7ECBF5D7" w14:textId="77777777" w:rsidR="00C3710E" w:rsidRPr="00370EC4" w:rsidRDefault="00C3710E" w:rsidP="00C3710E">
            <w:pPr>
              <w:tabs>
                <w:tab w:val="left" w:pos="1155"/>
                <w:tab w:val="left" w:pos="3845"/>
              </w:tabs>
              <w:spacing w:after="0" w:line="240" w:lineRule="auto"/>
              <w:ind w:right="284"/>
              <w:jc w:val="right"/>
              <w:rPr>
                <w:rFonts w:ascii="Arial" w:hAnsi="Arial" w:cs="Arial"/>
                <w:sz w:val="18"/>
                <w:szCs w:val="18"/>
              </w:rPr>
            </w:pPr>
          </w:p>
        </w:tc>
        <w:tc>
          <w:tcPr>
            <w:tcW w:w="1244" w:type="dxa"/>
            <w:gridSpan w:val="2"/>
            <w:tcBorders>
              <w:left w:val="nil"/>
              <w:right w:val="nil"/>
            </w:tcBorders>
            <w:shd w:val="clear" w:color="auto" w:fill="auto"/>
            <w:vAlign w:val="bottom"/>
          </w:tcPr>
          <w:p w14:paraId="71A33868" w14:textId="77777777" w:rsidR="00C3710E" w:rsidRPr="00370EC4" w:rsidRDefault="00C3710E" w:rsidP="00C3710E">
            <w:pPr>
              <w:spacing w:after="0" w:line="240" w:lineRule="auto"/>
              <w:ind w:right="154"/>
              <w:jc w:val="right"/>
              <w:rPr>
                <w:rFonts w:ascii="Arial" w:hAnsi="Arial" w:cs="Arial"/>
                <w:sz w:val="18"/>
                <w:szCs w:val="18"/>
              </w:rPr>
            </w:pPr>
          </w:p>
        </w:tc>
        <w:tc>
          <w:tcPr>
            <w:tcW w:w="1059" w:type="dxa"/>
            <w:gridSpan w:val="2"/>
            <w:tcBorders>
              <w:left w:val="nil"/>
              <w:right w:val="nil"/>
            </w:tcBorders>
            <w:vAlign w:val="bottom"/>
          </w:tcPr>
          <w:p w14:paraId="1DB7DF00" w14:textId="77777777" w:rsidR="00C3710E" w:rsidRPr="00370EC4" w:rsidRDefault="00C3710E" w:rsidP="00C3710E">
            <w:pPr>
              <w:spacing w:after="0" w:line="240" w:lineRule="auto"/>
              <w:ind w:right="90"/>
              <w:jc w:val="right"/>
              <w:rPr>
                <w:rFonts w:ascii="Arial" w:hAnsi="Arial" w:cs="Arial"/>
                <w:sz w:val="18"/>
                <w:szCs w:val="18"/>
              </w:rPr>
            </w:pPr>
          </w:p>
        </w:tc>
        <w:tc>
          <w:tcPr>
            <w:tcW w:w="1276" w:type="dxa"/>
            <w:gridSpan w:val="2"/>
            <w:tcBorders>
              <w:left w:val="nil"/>
              <w:right w:val="nil"/>
            </w:tcBorders>
          </w:tcPr>
          <w:p w14:paraId="31F2C829" w14:textId="77777777" w:rsidR="00C3710E" w:rsidRPr="00370EC4" w:rsidRDefault="00C3710E" w:rsidP="00C3710E">
            <w:pPr>
              <w:tabs>
                <w:tab w:val="decimal" w:pos="1080"/>
              </w:tabs>
              <w:spacing w:after="0" w:line="240" w:lineRule="auto"/>
              <w:ind w:right="90"/>
              <w:jc w:val="right"/>
              <w:rPr>
                <w:rFonts w:ascii="Arial" w:hAnsi="Arial" w:cs="Arial"/>
                <w:sz w:val="18"/>
                <w:szCs w:val="18"/>
              </w:rPr>
            </w:pPr>
          </w:p>
        </w:tc>
        <w:tc>
          <w:tcPr>
            <w:tcW w:w="1368" w:type="dxa"/>
            <w:gridSpan w:val="2"/>
            <w:tcBorders>
              <w:left w:val="nil"/>
              <w:right w:val="nil"/>
            </w:tcBorders>
            <w:vAlign w:val="bottom"/>
          </w:tcPr>
          <w:p w14:paraId="49F59979" w14:textId="77777777" w:rsidR="00C3710E" w:rsidRPr="00370EC4" w:rsidRDefault="00C3710E" w:rsidP="00C3710E">
            <w:pPr>
              <w:tabs>
                <w:tab w:val="decimal"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6E0D82DB" w14:textId="77777777" w:rsidR="00C3710E" w:rsidRPr="00370EC4" w:rsidRDefault="00C3710E" w:rsidP="00C3710E">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17620BD7" w14:textId="77777777" w:rsidR="00C3710E" w:rsidRPr="00370EC4" w:rsidRDefault="00C3710E" w:rsidP="00C3710E">
            <w:pPr>
              <w:tabs>
                <w:tab w:val="decimal" w:pos="1126"/>
              </w:tabs>
              <w:spacing w:after="0" w:line="240" w:lineRule="auto"/>
              <w:ind w:right="142"/>
              <w:jc w:val="right"/>
              <w:rPr>
                <w:rFonts w:ascii="Arial" w:hAnsi="Arial" w:cs="Arial"/>
                <w:sz w:val="18"/>
                <w:szCs w:val="18"/>
              </w:rPr>
            </w:pPr>
          </w:p>
        </w:tc>
      </w:tr>
    </w:tbl>
    <w:p w14:paraId="767160D4" w14:textId="613806B2" w:rsidR="00352D33" w:rsidRDefault="00352D33" w:rsidP="00B14849">
      <w:pPr>
        <w:spacing w:after="0"/>
        <w:jc w:val="center"/>
        <w:rPr>
          <w:rFonts w:ascii="Arial" w:hAnsi="Arial" w:cs="Arial"/>
          <w:sz w:val="18"/>
          <w:szCs w:val="18"/>
        </w:rPr>
      </w:pPr>
    </w:p>
    <w:p w14:paraId="3D65D6F9" w14:textId="06F4E60D" w:rsidR="004A4F80" w:rsidRDefault="004A4F80" w:rsidP="00B14849">
      <w:pPr>
        <w:spacing w:after="0"/>
        <w:jc w:val="center"/>
        <w:rPr>
          <w:rFonts w:ascii="Arial" w:hAnsi="Arial" w:cs="Arial"/>
          <w:sz w:val="18"/>
          <w:szCs w:val="18"/>
        </w:rPr>
      </w:pPr>
    </w:p>
    <w:p w14:paraId="7C2A4128" w14:textId="7C12A3D3" w:rsidR="004A4F80" w:rsidRDefault="004A4F80" w:rsidP="00B14849">
      <w:pPr>
        <w:spacing w:after="0"/>
        <w:jc w:val="center"/>
        <w:rPr>
          <w:rFonts w:ascii="Arial" w:hAnsi="Arial" w:cs="Arial"/>
          <w:sz w:val="18"/>
          <w:szCs w:val="18"/>
        </w:rPr>
      </w:pPr>
    </w:p>
    <w:p w14:paraId="7223BF13" w14:textId="60662B9E" w:rsidR="004A4F80" w:rsidRDefault="004A4F80" w:rsidP="00B14849">
      <w:pPr>
        <w:spacing w:after="0"/>
        <w:jc w:val="center"/>
        <w:rPr>
          <w:rFonts w:ascii="Arial" w:hAnsi="Arial" w:cs="Arial"/>
          <w:sz w:val="18"/>
          <w:szCs w:val="18"/>
        </w:rPr>
      </w:pPr>
    </w:p>
    <w:p w14:paraId="4AA44602" w14:textId="1B1E8D00" w:rsidR="004A4F80" w:rsidRDefault="004A4F80" w:rsidP="00B14849">
      <w:pPr>
        <w:spacing w:after="0"/>
        <w:jc w:val="center"/>
        <w:rPr>
          <w:rFonts w:ascii="Arial" w:hAnsi="Arial" w:cs="Arial"/>
          <w:sz w:val="18"/>
          <w:szCs w:val="18"/>
        </w:rPr>
      </w:pPr>
    </w:p>
    <w:p w14:paraId="7E13FD68" w14:textId="5FED78C3" w:rsidR="004A4F80" w:rsidRDefault="004A4F80" w:rsidP="00B14849">
      <w:pPr>
        <w:spacing w:after="0"/>
        <w:jc w:val="center"/>
        <w:rPr>
          <w:rFonts w:ascii="Arial" w:hAnsi="Arial" w:cs="Arial"/>
          <w:sz w:val="18"/>
          <w:szCs w:val="18"/>
        </w:rPr>
      </w:pPr>
    </w:p>
    <w:p w14:paraId="343EC5F4" w14:textId="673CF7CE" w:rsidR="004A4F80" w:rsidRDefault="004A4F80" w:rsidP="00B14849">
      <w:pPr>
        <w:spacing w:after="0"/>
        <w:jc w:val="center"/>
        <w:rPr>
          <w:rFonts w:ascii="Arial" w:hAnsi="Arial" w:cs="Arial"/>
          <w:sz w:val="18"/>
          <w:szCs w:val="18"/>
        </w:rPr>
      </w:pPr>
    </w:p>
    <w:p w14:paraId="28FB95B2" w14:textId="56AA8ACE" w:rsidR="004A4F80" w:rsidRDefault="004A4F80" w:rsidP="00B14849">
      <w:pPr>
        <w:spacing w:after="0"/>
        <w:jc w:val="center"/>
        <w:rPr>
          <w:rFonts w:ascii="Arial" w:hAnsi="Arial" w:cs="Arial"/>
          <w:sz w:val="18"/>
          <w:szCs w:val="18"/>
        </w:rPr>
      </w:pPr>
    </w:p>
    <w:p w14:paraId="679BE311" w14:textId="6262E209" w:rsidR="004A4F80" w:rsidRDefault="004A4F80" w:rsidP="00B14849">
      <w:pPr>
        <w:spacing w:after="0"/>
        <w:jc w:val="center"/>
        <w:rPr>
          <w:rFonts w:ascii="Arial" w:hAnsi="Arial" w:cs="Arial"/>
          <w:sz w:val="18"/>
          <w:szCs w:val="18"/>
        </w:rPr>
      </w:pPr>
    </w:p>
    <w:p w14:paraId="06864B77" w14:textId="6909BFB0" w:rsidR="004A4F80" w:rsidRDefault="004A4F80" w:rsidP="00B14849">
      <w:pPr>
        <w:spacing w:after="0"/>
        <w:jc w:val="center"/>
        <w:rPr>
          <w:rFonts w:ascii="Arial" w:hAnsi="Arial" w:cs="Arial"/>
          <w:sz w:val="18"/>
          <w:szCs w:val="18"/>
        </w:rPr>
      </w:pPr>
    </w:p>
    <w:p w14:paraId="360BAA44" w14:textId="788FB8AF" w:rsidR="004A4F80" w:rsidRDefault="004A4F80" w:rsidP="00B14849">
      <w:pPr>
        <w:spacing w:after="0"/>
        <w:jc w:val="center"/>
        <w:rPr>
          <w:rFonts w:ascii="Arial" w:hAnsi="Arial" w:cs="Arial"/>
          <w:sz w:val="18"/>
          <w:szCs w:val="18"/>
        </w:rPr>
      </w:pPr>
    </w:p>
    <w:p w14:paraId="3CAD0471" w14:textId="5490280F" w:rsidR="004A4F80" w:rsidRDefault="004A4F80" w:rsidP="00B14849">
      <w:pPr>
        <w:spacing w:after="0"/>
        <w:jc w:val="center"/>
        <w:rPr>
          <w:rFonts w:ascii="Arial" w:hAnsi="Arial" w:cs="Arial"/>
          <w:sz w:val="18"/>
          <w:szCs w:val="18"/>
        </w:rPr>
      </w:pPr>
    </w:p>
    <w:p w14:paraId="395DAC74" w14:textId="59ADB249" w:rsidR="004A4F80" w:rsidRDefault="004A4F80" w:rsidP="00B14849">
      <w:pPr>
        <w:spacing w:after="0"/>
        <w:jc w:val="center"/>
        <w:rPr>
          <w:rFonts w:ascii="Arial" w:hAnsi="Arial" w:cs="Arial"/>
          <w:sz w:val="18"/>
          <w:szCs w:val="18"/>
        </w:rPr>
      </w:pPr>
    </w:p>
    <w:p w14:paraId="779D73AE" w14:textId="77777777" w:rsidR="004A4F80" w:rsidRDefault="004A4F80" w:rsidP="00B14849">
      <w:pPr>
        <w:spacing w:after="0"/>
        <w:jc w:val="center"/>
        <w:rPr>
          <w:rFonts w:ascii="Arial" w:hAnsi="Arial" w:cs="Arial"/>
          <w:sz w:val="18"/>
          <w:szCs w:val="18"/>
        </w:rPr>
      </w:pPr>
    </w:p>
    <w:p w14:paraId="701CA24D" w14:textId="77777777" w:rsidR="00352D33" w:rsidRDefault="00352D33" w:rsidP="00B14849">
      <w:pPr>
        <w:spacing w:after="0"/>
        <w:jc w:val="center"/>
        <w:rPr>
          <w:rFonts w:ascii="Arial" w:hAnsi="Arial" w:cs="Arial"/>
          <w:sz w:val="18"/>
          <w:szCs w:val="18"/>
        </w:rPr>
      </w:pPr>
    </w:p>
    <w:p w14:paraId="1AABF5DD" w14:textId="769C9568" w:rsidR="00BE5624" w:rsidRDefault="00BE5624" w:rsidP="00B14849">
      <w:pPr>
        <w:spacing w:after="0"/>
        <w:jc w:val="center"/>
        <w:rPr>
          <w:rFonts w:ascii="Arial" w:hAnsi="Arial" w:cs="Arial"/>
          <w:sz w:val="18"/>
          <w:szCs w:val="18"/>
        </w:rPr>
        <w:sectPr w:rsidR="00BE5624" w:rsidSect="00B14849">
          <w:headerReference w:type="default" r:id="rId10"/>
          <w:pgSz w:w="12240" w:h="15840"/>
          <w:pgMar w:top="720" w:right="1296" w:bottom="720" w:left="1296" w:header="720" w:footer="720" w:gutter="0"/>
          <w:cols w:space="720"/>
          <w:docGrid w:linePitch="360"/>
        </w:sectPr>
      </w:pPr>
      <w:r w:rsidRPr="00370EC4">
        <w:rPr>
          <w:rFonts w:ascii="Arial" w:hAnsi="Arial" w:cs="Arial"/>
          <w:sz w:val="18"/>
          <w:szCs w:val="18"/>
        </w:rPr>
        <w:t xml:space="preserve">(The accompanying notes are an integral part of these </w:t>
      </w:r>
      <w:r w:rsidR="008F26A2" w:rsidRPr="008F26A2">
        <w:rPr>
          <w:rFonts w:ascii="Arial" w:hAnsi="Arial" w:cs="Arial"/>
          <w:sz w:val="18"/>
          <w:szCs w:val="18"/>
        </w:rPr>
        <w:t>condensed consolidated interim financial statements</w:t>
      </w:r>
      <w:r w:rsidRPr="00370EC4">
        <w:rPr>
          <w:rFonts w:ascii="Arial" w:hAnsi="Arial" w:cs="Arial"/>
          <w:sz w:val="18"/>
          <w:szCs w:val="18"/>
        </w:rPr>
        <w:t>)</w:t>
      </w:r>
    </w:p>
    <w:p w14:paraId="0CFF8FD4" w14:textId="7703EEF1" w:rsidR="00790828" w:rsidRPr="009F3026" w:rsidRDefault="000F2E3C" w:rsidP="00F9075E">
      <w:pPr>
        <w:spacing w:after="0"/>
        <w:rPr>
          <w:rFonts w:ascii="Arial" w:hAnsi="Arial" w:cs="Arial"/>
          <w:b/>
          <w:bCs/>
          <w:sz w:val="24"/>
        </w:rPr>
      </w:pPr>
      <w:r>
        <w:rPr>
          <w:rFonts w:ascii="Arial" w:hAnsi="Arial" w:cs="Arial"/>
          <w:b/>
          <w:bCs/>
          <w:sz w:val="24"/>
        </w:rPr>
        <w:lastRenderedPageBreak/>
        <w:t>BETTERLIFE PHARMA INC.</w:t>
      </w:r>
    </w:p>
    <w:p w14:paraId="433D60DA" w14:textId="0366DD29" w:rsidR="00790828" w:rsidRPr="009F3026" w:rsidRDefault="008F26A2"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jc w:val="both"/>
        <w:rPr>
          <w:rFonts w:ascii="Arial" w:hAnsi="Arial" w:cs="Arial"/>
          <w:bCs/>
          <w:szCs w:val="20"/>
        </w:rPr>
      </w:pPr>
      <w:r>
        <w:rPr>
          <w:rFonts w:ascii="Arial" w:hAnsi="Arial" w:cs="Arial"/>
          <w:bCs/>
          <w:szCs w:val="20"/>
        </w:rPr>
        <w:t xml:space="preserve">Condensed </w:t>
      </w:r>
      <w:r w:rsidR="008E7C6B">
        <w:rPr>
          <w:rFonts w:ascii="Arial" w:hAnsi="Arial" w:cs="Arial"/>
          <w:bCs/>
          <w:szCs w:val="20"/>
        </w:rPr>
        <w:t xml:space="preserve">Consolidated </w:t>
      </w:r>
      <w:r>
        <w:rPr>
          <w:rFonts w:ascii="Arial" w:hAnsi="Arial" w:cs="Arial"/>
          <w:bCs/>
          <w:szCs w:val="20"/>
        </w:rPr>
        <w:t xml:space="preserve">Interim </w:t>
      </w:r>
      <w:r w:rsidR="00790828" w:rsidRPr="009F3026">
        <w:rPr>
          <w:rFonts w:ascii="Arial" w:hAnsi="Arial" w:cs="Arial"/>
          <w:bCs/>
          <w:szCs w:val="20"/>
        </w:rPr>
        <w:t>Statements of Cash Flows</w:t>
      </w:r>
      <w:r w:rsidR="004056B2">
        <w:rPr>
          <w:rFonts w:ascii="Arial" w:hAnsi="Arial" w:cs="Arial"/>
          <w:bCs/>
          <w:szCs w:val="20"/>
        </w:rPr>
        <w:t xml:space="preserve"> </w:t>
      </w:r>
      <w:r>
        <w:rPr>
          <w:rFonts w:ascii="Arial" w:hAnsi="Arial" w:cs="Arial"/>
          <w:bCs/>
          <w:szCs w:val="20"/>
        </w:rPr>
        <w:t>(unaudited)</w:t>
      </w:r>
    </w:p>
    <w:p w14:paraId="24B964D0" w14:textId="47C0B94E"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bCs/>
          <w:szCs w:val="20"/>
        </w:rPr>
        <w:t xml:space="preserve">(Expressed in </w:t>
      </w:r>
      <w:r w:rsidR="008627E3">
        <w:rPr>
          <w:rFonts w:ascii="Arial" w:hAnsi="Arial" w:cs="Arial"/>
          <w:bCs/>
          <w:szCs w:val="20"/>
        </w:rPr>
        <w:t>Canadian</w:t>
      </w:r>
      <w:r w:rsidRPr="009F3026">
        <w:rPr>
          <w:rFonts w:ascii="Arial" w:hAnsi="Arial" w:cs="Arial"/>
        </w:rPr>
        <w:t xml:space="preserve"> dollars)</w:t>
      </w:r>
    </w:p>
    <w:tbl>
      <w:tblPr>
        <w:tblW w:w="9892" w:type="dxa"/>
        <w:tblInd w:w="8" w:type="dxa"/>
        <w:tblLayout w:type="fixed"/>
        <w:tblCellMar>
          <w:left w:w="0" w:type="dxa"/>
          <w:bottom w:w="29" w:type="dxa"/>
          <w:right w:w="0" w:type="dxa"/>
        </w:tblCellMar>
        <w:tblLook w:val="0000" w:firstRow="0" w:lastRow="0" w:firstColumn="0" w:lastColumn="0" w:noHBand="0" w:noVBand="0"/>
      </w:tblPr>
      <w:tblGrid>
        <w:gridCol w:w="7192"/>
        <w:gridCol w:w="1350"/>
        <w:gridCol w:w="1275"/>
        <w:gridCol w:w="75"/>
      </w:tblGrid>
      <w:tr w:rsidR="00681427" w:rsidRPr="00E139DF" w14:paraId="6AD0EEDA" w14:textId="77777777" w:rsidTr="00EE4151">
        <w:trPr>
          <w:gridAfter w:val="1"/>
          <w:wAfter w:w="75" w:type="dxa"/>
        </w:trPr>
        <w:tc>
          <w:tcPr>
            <w:tcW w:w="7192" w:type="dxa"/>
            <w:shd w:val="clear" w:color="auto" w:fill="auto"/>
            <w:vAlign w:val="bottom"/>
          </w:tcPr>
          <w:p w14:paraId="537FF7F8" w14:textId="77777777" w:rsidR="00681427" w:rsidRPr="00E139DF" w:rsidRDefault="00681427" w:rsidP="00CB11F8">
            <w:pPr>
              <w:tabs>
                <w:tab w:val="left" w:pos="7272"/>
                <w:tab w:val="decimal" w:pos="8136"/>
                <w:tab w:val="left" w:pos="8496"/>
                <w:tab w:val="decimal" w:pos="9360"/>
              </w:tabs>
              <w:spacing w:after="0" w:line="240" w:lineRule="auto"/>
              <w:rPr>
                <w:rFonts w:ascii="Arial" w:hAnsi="Arial" w:cs="Arial"/>
                <w:szCs w:val="20"/>
              </w:rPr>
            </w:pPr>
          </w:p>
        </w:tc>
        <w:tc>
          <w:tcPr>
            <w:tcW w:w="2625" w:type="dxa"/>
            <w:gridSpan w:val="2"/>
            <w:shd w:val="clear" w:color="auto" w:fill="auto"/>
            <w:vAlign w:val="bottom"/>
          </w:tcPr>
          <w:p w14:paraId="6B710B71" w14:textId="05AADABB" w:rsidR="00681427" w:rsidRPr="00151122" w:rsidRDefault="008F26A2">
            <w:pPr>
              <w:tabs>
                <w:tab w:val="left" w:pos="7214"/>
                <w:tab w:val="decimal" w:pos="8107"/>
                <w:tab w:val="left" w:pos="8467"/>
                <w:tab w:val="decimal" w:pos="9360"/>
              </w:tabs>
              <w:spacing w:after="0" w:line="240" w:lineRule="auto"/>
              <w:ind w:left="-20" w:right="-80"/>
              <w:jc w:val="center"/>
              <w:rPr>
                <w:rFonts w:ascii="Arial" w:hAnsi="Arial" w:cs="Arial"/>
                <w:szCs w:val="20"/>
                <w:highlight w:val="yellow"/>
              </w:rPr>
            </w:pPr>
            <w:r w:rsidRPr="00E12D65">
              <w:rPr>
                <w:rFonts w:ascii="Arial" w:hAnsi="Arial" w:cs="Arial"/>
                <w:szCs w:val="20"/>
              </w:rPr>
              <w:t>Three Months Ended</w:t>
            </w:r>
          </w:p>
        </w:tc>
      </w:tr>
      <w:tr w:rsidR="00790828" w:rsidRPr="00E139DF" w14:paraId="7472956E" w14:textId="77777777" w:rsidTr="00EE4151">
        <w:trPr>
          <w:gridAfter w:val="1"/>
          <w:wAfter w:w="75" w:type="dxa"/>
        </w:trPr>
        <w:tc>
          <w:tcPr>
            <w:tcW w:w="7192" w:type="dxa"/>
            <w:tcBorders>
              <w:bottom w:val="single" w:sz="4" w:space="0" w:color="auto"/>
            </w:tcBorders>
            <w:vAlign w:val="bottom"/>
          </w:tcPr>
          <w:p w14:paraId="775D3C54" w14:textId="77777777" w:rsidR="00790828" w:rsidRPr="00E139DF" w:rsidRDefault="00790828" w:rsidP="00CB11F8">
            <w:pPr>
              <w:tabs>
                <w:tab w:val="left" w:pos="7272"/>
                <w:tab w:val="decimal" w:pos="8136"/>
                <w:tab w:val="left" w:pos="8496"/>
                <w:tab w:val="decimal" w:pos="9360"/>
              </w:tabs>
              <w:spacing w:after="0" w:line="240" w:lineRule="auto"/>
              <w:rPr>
                <w:rFonts w:ascii="Arial" w:hAnsi="Arial" w:cs="Arial"/>
                <w:szCs w:val="20"/>
              </w:rPr>
            </w:pPr>
          </w:p>
        </w:tc>
        <w:tc>
          <w:tcPr>
            <w:tcW w:w="1350" w:type="dxa"/>
            <w:tcBorders>
              <w:bottom w:val="single" w:sz="4" w:space="0" w:color="auto"/>
            </w:tcBorders>
            <w:vAlign w:val="bottom"/>
          </w:tcPr>
          <w:p w14:paraId="54E87EC6" w14:textId="77777777" w:rsidR="008F26A2" w:rsidRDefault="008F26A2">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April 30,</w:t>
            </w:r>
          </w:p>
          <w:p w14:paraId="1D19A3AF" w14:textId="7654611F" w:rsidR="00790828" w:rsidRPr="00EE4151" w:rsidRDefault="00940941">
            <w:pPr>
              <w:tabs>
                <w:tab w:val="left" w:pos="7214"/>
                <w:tab w:val="decimal" w:pos="8107"/>
                <w:tab w:val="left" w:pos="8467"/>
                <w:tab w:val="decimal" w:pos="9360"/>
              </w:tabs>
              <w:spacing w:after="0" w:line="240" w:lineRule="auto"/>
              <w:ind w:left="-20" w:right="-80"/>
              <w:jc w:val="center"/>
              <w:rPr>
                <w:rFonts w:ascii="Arial" w:hAnsi="Arial" w:cs="Arial"/>
                <w:szCs w:val="20"/>
              </w:rPr>
            </w:pPr>
            <w:r w:rsidRPr="00EE4151">
              <w:rPr>
                <w:rFonts w:ascii="Arial" w:hAnsi="Arial" w:cs="Arial"/>
                <w:szCs w:val="20"/>
              </w:rPr>
              <w:t>2020</w:t>
            </w:r>
          </w:p>
          <w:p w14:paraId="7BA92565" w14:textId="77777777" w:rsidR="00790828" w:rsidRPr="00EE4151" w:rsidRDefault="00790828">
            <w:pPr>
              <w:tabs>
                <w:tab w:val="left" w:pos="7214"/>
                <w:tab w:val="decimal" w:pos="8107"/>
                <w:tab w:val="left" w:pos="8467"/>
                <w:tab w:val="decimal" w:pos="9360"/>
              </w:tabs>
              <w:spacing w:after="0" w:line="240" w:lineRule="auto"/>
              <w:jc w:val="center"/>
              <w:rPr>
                <w:rFonts w:ascii="Arial" w:hAnsi="Arial" w:cs="Arial"/>
                <w:szCs w:val="20"/>
              </w:rPr>
            </w:pPr>
            <w:r w:rsidRPr="00EE4151">
              <w:rPr>
                <w:rFonts w:ascii="Arial" w:hAnsi="Arial" w:cs="Arial"/>
                <w:szCs w:val="20"/>
              </w:rPr>
              <w:t>$</w:t>
            </w:r>
          </w:p>
        </w:tc>
        <w:tc>
          <w:tcPr>
            <w:tcW w:w="1275" w:type="dxa"/>
            <w:tcBorders>
              <w:bottom w:val="single" w:sz="4" w:space="0" w:color="auto"/>
            </w:tcBorders>
            <w:vAlign w:val="bottom"/>
          </w:tcPr>
          <w:p w14:paraId="72B9BB80" w14:textId="7E21655F" w:rsidR="00790828" w:rsidRPr="001638A2" w:rsidRDefault="008F26A2">
            <w:pPr>
              <w:tabs>
                <w:tab w:val="left" w:pos="7214"/>
                <w:tab w:val="decimal" w:pos="8107"/>
                <w:tab w:val="left" w:pos="8467"/>
                <w:tab w:val="decimal" w:pos="9360"/>
              </w:tabs>
              <w:spacing w:after="0" w:line="240" w:lineRule="auto"/>
              <w:ind w:left="-20" w:right="-80"/>
              <w:jc w:val="center"/>
              <w:rPr>
                <w:rFonts w:ascii="Arial" w:hAnsi="Arial" w:cs="Arial"/>
                <w:szCs w:val="20"/>
              </w:rPr>
            </w:pPr>
            <w:r w:rsidRPr="001638A2">
              <w:rPr>
                <w:rFonts w:ascii="Arial" w:hAnsi="Arial" w:cs="Arial"/>
                <w:szCs w:val="20"/>
              </w:rPr>
              <w:t>April 30</w:t>
            </w:r>
            <w:r w:rsidR="00790828" w:rsidRPr="001638A2">
              <w:rPr>
                <w:rFonts w:ascii="Arial" w:hAnsi="Arial" w:cs="Arial"/>
                <w:szCs w:val="20"/>
              </w:rPr>
              <w:t>,</w:t>
            </w:r>
          </w:p>
          <w:p w14:paraId="5A5B1CF4" w14:textId="51070945" w:rsidR="00790828" w:rsidRPr="00151122" w:rsidRDefault="008627E3">
            <w:pPr>
              <w:tabs>
                <w:tab w:val="left" w:pos="7214"/>
                <w:tab w:val="decimal" w:pos="8107"/>
                <w:tab w:val="left" w:pos="8467"/>
                <w:tab w:val="decimal" w:pos="9360"/>
              </w:tabs>
              <w:spacing w:after="0" w:line="240" w:lineRule="auto"/>
              <w:jc w:val="center"/>
              <w:rPr>
                <w:rFonts w:ascii="Arial" w:hAnsi="Arial" w:cs="Arial"/>
                <w:szCs w:val="20"/>
                <w:highlight w:val="yellow"/>
              </w:rPr>
            </w:pPr>
            <w:r w:rsidRPr="001638A2">
              <w:rPr>
                <w:rFonts w:ascii="Arial" w:hAnsi="Arial" w:cs="Arial"/>
                <w:szCs w:val="20"/>
              </w:rPr>
              <w:t>201</w:t>
            </w:r>
            <w:r w:rsidR="00940941" w:rsidRPr="001638A2">
              <w:rPr>
                <w:rFonts w:ascii="Arial" w:hAnsi="Arial" w:cs="Arial"/>
                <w:szCs w:val="20"/>
              </w:rPr>
              <w:t>9</w:t>
            </w:r>
            <w:r w:rsidR="00790828" w:rsidRPr="001638A2">
              <w:rPr>
                <w:rFonts w:ascii="Arial" w:hAnsi="Arial" w:cs="Arial"/>
                <w:szCs w:val="20"/>
              </w:rPr>
              <w:br/>
              <w:t>$</w:t>
            </w:r>
          </w:p>
        </w:tc>
      </w:tr>
      <w:tr w:rsidR="00790828" w:rsidRPr="00E139DF" w14:paraId="76AC0FC3" w14:textId="77777777" w:rsidTr="00EE4151">
        <w:trPr>
          <w:gridAfter w:val="1"/>
          <w:wAfter w:w="75" w:type="dxa"/>
        </w:trPr>
        <w:tc>
          <w:tcPr>
            <w:tcW w:w="7192" w:type="dxa"/>
            <w:tcBorders>
              <w:top w:val="single" w:sz="2" w:space="0" w:color="auto"/>
            </w:tcBorders>
            <w:vAlign w:val="bottom"/>
          </w:tcPr>
          <w:p w14:paraId="4D3C7114" w14:textId="77777777" w:rsidR="00790828" w:rsidRPr="00E139DF" w:rsidRDefault="00790828" w:rsidP="00EE4151">
            <w:pPr>
              <w:tabs>
                <w:tab w:val="left" w:pos="7272"/>
                <w:tab w:val="decimal" w:pos="8136"/>
                <w:tab w:val="left" w:pos="8496"/>
                <w:tab w:val="decimal" w:pos="9360"/>
              </w:tabs>
              <w:spacing w:before="120" w:after="0" w:line="240" w:lineRule="auto"/>
              <w:rPr>
                <w:rFonts w:ascii="Arial" w:hAnsi="Arial" w:cs="Arial"/>
                <w:szCs w:val="20"/>
              </w:rPr>
            </w:pPr>
            <w:r w:rsidRPr="00E139DF">
              <w:rPr>
                <w:rFonts w:ascii="Arial" w:hAnsi="Arial" w:cs="Arial"/>
                <w:szCs w:val="20"/>
              </w:rPr>
              <w:t>Operating activities</w:t>
            </w:r>
          </w:p>
        </w:tc>
        <w:tc>
          <w:tcPr>
            <w:tcW w:w="1350" w:type="dxa"/>
            <w:tcBorders>
              <w:top w:val="single" w:sz="2" w:space="0" w:color="auto"/>
            </w:tcBorders>
          </w:tcPr>
          <w:p w14:paraId="22CAF099" w14:textId="77777777" w:rsidR="00790828" w:rsidRPr="00E139DF" w:rsidRDefault="00790828" w:rsidP="00EE4151">
            <w:pPr>
              <w:tabs>
                <w:tab w:val="left" w:pos="7272"/>
                <w:tab w:val="decimal" w:pos="8136"/>
                <w:tab w:val="left" w:pos="8496"/>
                <w:tab w:val="decimal" w:pos="9360"/>
              </w:tabs>
              <w:spacing w:before="120" w:after="0" w:line="240" w:lineRule="auto"/>
              <w:ind w:right="29"/>
              <w:jc w:val="right"/>
              <w:rPr>
                <w:rFonts w:ascii="Arial" w:hAnsi="Arial" w:cs="Arial"/>
                <w:szCs w:val="20"/>
              </w:rPr>
            </w:pPr>
          </w:p>
        </w:tc>
        <w:tc>
          <w:tcPr>
            <w:tcW w:w="1275" w:type="dxa"/>
            <w:tcBorders>
              <w:top w:val="single" w:sz="2" w:space="0" w:color="auto"/>
            </w:tcBorders>
          </w:tcPr>
          <w:p w14:paraId="5E7CD960" w14:textId="629C0FD2" w:rsidR="00790828" w:rsidRPr="00CB11F8" w:rsidRDefault="00790828" w:rsidP="00EE4151">
            <w:pPr>
              <w:tabs>
                <w:tab w:val="left" w:pos="7272"/>
                <w:tab w:val="decimal" w:pos="8136"/>
                <w:tab w:val="left" w:pos="8496"/>
                <w:tab w:val="decimal" w:pos="9360"/>
              </w:tabs>
              <w:spacing w:before="120" w:after="0" w:line="240" w:lineRule="auto"/>
              <w:ind w:right="29"/>
              <w:jc w:val="center"/>
              <w:rPr>
                <w:rFonts w:ascii="Arial" w:hAnsi="Arial" w:cs="Arial"/>
                <w:szCs w:val="20"/>
              </w:rPr>
            </w:pPr>
          </w:p>
        </w:tc>
      </w:tr>
      <w:tr w:rsidR="00790828" w:rsidRPr="00E139DF" w14:paraId="4BF98682" w14:textId="77777777" w:rsidTr="00EE4151">
        <w:trPr>
          <w:gridAfter w:val="1"/>
          <w:wAfter w:w="75" w:type="dxa"/>
          <w:trHeight w:hRule="exact" w:val="58"/>
        </w:trPr>
        <w:tc>
          <w:tcPr>
            <w:tcW w:w="7192" w:type="dxa"/>
            <w:vAlign w:val="bottom"/>
          </w:tcPr>
          <w:p w14:paraId="41E5AE84" w14:textId="77777777" w:rsidR="00790828" w:rsidRPr="00E139DF" w:rsidRDefault="00790828" w:rsidP="00CB11F8">
            <w:pPr>
              <w:tabs>
                <w:tab w:val="left" w:pos="7272"/>
                <w:tab w:val="decimal" w:pos="8136"/>
                <w:tab w:val="left" w:pos="8496"/>
                <w:tab w:val="decimal" w:pos="9360"/>
              </w:tabs>
              <w:spacing w:after="0" w:line="240" w:lineRule="auto"/>
              <w:rPr>
                <w:rFonts w:ascii="Arial" w:hAnsi="Arial" w:cs="Arial"/>
                <w:szCs w:val="20"/>
              </w:rPr>
            </w:pPr>
          </w:p>
        </w:tc>
        <w:tc>
          <w:tcPr>
            <w:tcW w:w="1350" w:type="dxa"/>
          </w:tcPr>
          <w:p w14:paraId="2364CF67" w14:textId="77777777" w:rsidR="00790828" w:rsidRPr="00E139DF" w:rsidRDefault="00790828">
            <w:pPr>
              <w:tabs>
                <w:tab w:val="left" w:pos="7272"/>
                <w:tab w:val="decimal" w:pos="8136"/>
                <w:tab w:val="left" w:pos="8496"/>
                <w:tab w:val="decimal" w:pos="9360"/>
              </w:tabs>
              <w:spacing w:after="0" w:line="240" w:lineRule="auto"/>
              <w:ind w:right="29"/>
              <w:jc w:val="right"/>
              <w:rPr>
                <w:rFonts w:ascii="Arial" w:hAnsi="Arial" w:cs="Arial"/>
                <w:szCs w:val="20"/>
              </w:rPr>
            </w:pPr>
          </w:p>
        </w:tc>
        <w:tc>
          <w:tcPr>
            <w:tcW w:w="1275" w:type="dxa"/>
          </w:tcPr>
          <w:p w14:paraId="6D7566E6" w14:textId="77777777" w:rsidR="00790828" w:rsidRPr="00E139DF" w:rsidRDefault="00790828">
            <w:pPr>
              <w:tabs>
                <w:tab w:val="left" w:pos="7272"/>
                <w:tab w:val="decimal" w:pos="8136"/>
                <w:tab w:val="left" w:pos="8496"/>
                <w:tab w:val="decimal" w:pos="9360"/>
              </w:tabs>
              <w:spacing w:after="0" w:line="240" w:lineRule="auto"/>
              <w:ind w:right="29"/>
              <w:jc w:val="right"/>
              <w:rPr>
                <w:rFonts w:ascii="Arial" w:hAnsi="Arial" w:cs="Arial"/>
                <w:szCs w:val="20"/>
              </w:rPr>
            </w:pPr>
          </w:p>
        </w:tc>
      </w:tr>
      <w:tr w:rsidR="00894AEA" w:rsidRPr="00E139DF" w14:paraId="1AB049FA" w14:textId="77777777" w:rsidTr="00EE4151">
        <w:tc>
          <w:tcPr>
            <w:tcW w:w="7192" w:type="dxa"/>
            <w:vAlign w:val="bottom"/>
          </w:tcPr>
          <w:p w14:paraId="3EA9F3EE" w14:textId="51FDA3B9" w:rsidR="00894AEA" w:rsidRPr="00E139DF" w:rsidRDefault="00894AEA" w:rsidP="00CB11F8">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Net </w:t>
            </w:r>
            <w:r w:rsidR="00E12D65">
              <w:rPr>
                <w:rFonts w:ascii="Arial" w:hAnsi="Arial" w:cs="Arial"/>
                <w:szCs w:val="20"/>
              </w:rPr>
              <w:t>income (</w:t>
            </w:r>
            <w:r w:rsidRPr="00E139DF">
              <w:rPr>
                <w:rFonts w:ascii="Arial" w:hAnsi="Arial" w:cs="Arial"/>
                <w:szCs w:val="20"/>
              </w:rPr>
              <w:t>loss</w:t>
            </w:r>
            <w:r w:rsidR="00E12D65">
              <w:rPr>
                <w:rFonts w:ascii="Arial" w:hAnsi="Arial" w:cs="Arial"/>
                <w:szCs w:val="20"/>
              </w:rPr>
              <w:t>)</w:t>
            </w:r>
          </w:p>
        </w:tc>
        <w:tc>
          <w:tcPr>
            <w:tcW w:w="1350" w:type="dxa"/>
            <w:vAlign w:val="bottom"/>
          </w:tcPr>
          <w:p w14:paraId="18FFCEF9" w14:textId="4D4E9897" w:rsidR="00894AEA" w:rsidRPr="00E139DF"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378,969</w:t>
            </w:r>
          </w:p>
        </w:tc>
        <w:tc>
          <w:tcPr>
            <w:tcW w:w="1350" w:type="dxa"/>
            <w:gridSpan w:val="2"/>
            <w:vAlign w:val="bottom"/>
          </w:tcPr>
          <w:p w14:paraId="28B3F44F" w14:textId="7AE80EED" w:rsidR="00894AEA" w:rsidRPr="00E139DF" w:rsidRDefault="0048403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CB3671">
              <w:rPr>
                <w:rFonts w:ascii="Arial" w:hAnsi="Arial" w:cs="Arial"/>
                <w:szCs w:val="20"/>
              </w:rPr>
              <w:t>1</w:t>
            </w:r>
            <w:r w:rsidR="00CB3671" w:rsidRPr="00CB3671">
              <w:rPr>
                <w:rFonts w:ascii="Arial" w:hAnsi="Arial" w:cs="Arial"/>
                <w:szCs w:val="20"/>
              </w:rPr>
              <w:t>,945,544</w:t>
            </w:r>
            <w:r>
              <w:rPr>
                <w:rFonts w:ascii="Arial" w:hAnsi="Arial" w:cs="Arial"/>
                <w:szCs w:val="20"/>
              </w:rPr>
              <w:t>)</w:t>
            </w:r>
          </w:p>
        </w:tc>
      </w:tr>
      <w:tr w:rsidR="00894AEA" w:rsidRPr="00E139DF" w14:paraId="7BF63A55" w14:textId="77777777" w:rsidTr="00EE4151">
        <w:tc>
          <w:tcPr>
            <w:tcW w:w="7192" w:type="dxa"/>
            <w:vAlign w:val="bottom"/>
          </w:tcPr>
          <w:p w14:paraId="7812B609" w14:textId="5319A492" w:rsidR="00894AEA" w:rsidRPr="00E139DF" w:rsidRDefault="00894AEA" w:rsidP="00CB11F8">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Adjustments to reconcile net </w:t>
            </w:r>
            <w:r w:rsidR="00C226CC">
              <w:rPr>
                <w:rFonts w:ascii="Arial" w:hAnsi="Arial" w:cs="Arial"/>
                <w:szCs w:val="20"/>
              </w:rPr>
              <w:t>income (</w:t>
            </w:r>
            <w:r w:rsidRPr="00E139DF">
              <w:rPr>
                <w:rFonts w:ascii="Arial" w:hAnsi="Arial" w:cs="Arial"/>
                <w:szCs w:val="20"/>
              </w:rPr>
              <w:t>loss</w:t>
            </w:r>
            <w:r w:rsidR="00C226CC">
              <w:rPr>
                <w:rFonts w:ascii="Arial" w:hAnsi="Arial" w:cs="Arial"/>
                <w:szCs w:val="20"/>
              </w:rPr>
              <w:t>)</w:t>
            </w:r>
            <w:r w:rsidRPr="00E139DF">
              <w:rPr>
                <w:rFonts w:ascii="Arial" w:hAnsi="Arial" w:cs="Arial"/>
                <w:szCs w:val="20"/>
              </w:rPr>
              <w:t xml:space="preserve"> to net cash used in operating activities:</w:t>
            </w:r>
          </w:p>
        </w:tc>
        <w:tc>
          <w:tcPr>
            <w:tcW w:w="1350" w:type="dxa"/>
            <w:vAlign w:val="bottom"/>
          </w:tcPr>
          <w:p w14:paraId="00DE7CA5" w14:textId="77777777" w:rsidR="00894AEA" w:rsidRPr="00E139DF" w:rsidRDefault="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726085B4" w14:textId="77777777" w:rsidR="00894AEA" w:rsidRPr="00E139DF" w:rsidRDefault="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BF35C9" w:rsidRPr="00E139DF" w14:paraId="017FFD7F" w14:textId="77777777" w:rsidTr="00EE4151">
        <w:tc>
          <w:tcPr>
            <w:tcW w:w="7192" w:type="dxa"/>
            <w:vAlign w:val="bottom"/>
          </w:tcPr>
          <w:p w14:paraId="2B88868C" w14:textId="6A981451" w:rsidR="00BF35C9" w:rsidRPr="00E139DF" w:rsidRDefault="00BE5624" w:rsidP="00CB11F8">
            <w:pPr>
              <w:tabs>
                <w:tab w:val="left" w:pos="7272"/>
                <w:tab w:val="decimal" w:pos="8136"/>
                <w:tab w:val="left" w:pos="8496"/>
                <w:tab w:val="decimal" w:pos="9360"/>
              </w:tabs>
              <w:spacing w:after="0" w:line="240" w:lineRule="auto"/>
              <w:ind w:left="144"/>
              <w:rPr>
                <w:rFonts w:ascii="Arial" w:hAnsi="Arial" w:cs="Arial"/>
                <w:szCs w:val="20"/>
              </w:rPr>
            </w:pPr>
            <w:r w:rsidRPr="00BE5624">
              <w:rPr>
                <w:rFonts w:ascii="Arial" w:hAnsi="Arial" w:cs="Arial"/>
                <w:szCs w:val="20"/>
              </w:rPr>
              <w:t>Amortization and depreciation of equipment and intangible assets</w:t>
            </w:r>
          </w:p>
        </w:tc>
        <w:tc>
          <w:tcPr>
            <w:tcW w:w="1350" w:type="dxa"/>
            <w:vAlign w:val="bottom"/>
          </w:tcPr>
          <w:p w14:paraId="2F9E7C7B" w14:textId="0A2A3DD2" w:rsidR="00BF35C9" w:rsidRPr="00E139DF"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46,145</w:t>
            </w:r>
          </w:p>
        </w:tc>
        <w:tc>
          <w:tcPr>
            <w:tcW w:w="1350" w:type="dxa"/>
            <w:gridSpan w:val="2"/>
            <w:vAlign w:val="bottom"/>
          </w:tcPr>
          <w:p w14:paraId="6E1A496E" w14:textId="0CBAED16" w:rsidR="00BF35C9" w:rsidRPr="00E139D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241,099</w:t>
            </w:r>
          </w:p>
        </w:tc>
      </w:tr>
      <w:tr w:rsidR="00E12D65" w:rsidRPr="00E139DF" w14:paraId="39EB1774" w14:textId="77777777" w:rsidTr="00C226CC">
        <w:tc>
          <w:tcPr>
            <w:tcW w:w="7192" w:type="dxa"/>
            <w:vAlign w:val="bottom"/>
          </w:tcPr>
          <w:p w14:paraId="1A1CD1CD" w14:textId="77777777" w:rsidR="00E12D65" w:rsidRPr="00411C6A" w:rsidRDefault="00E12D65" w:rsidP="00C226CC">
            <w:pPr>
              <w:tabs>
                <w:tab w:val="left" w:pos="7272"/>
                <w:tab w:val="decimal" w:pos="8136"/>
                <w:tab w:val="left" w:pos="8496"/>
                <w:tab w:val="decimal" w:pos="9360"/>
              </w:tabs>
              <w:spacing w:after="0" w:line="240" w:lineRule="auto"/>
              <w:ind w:left="144"/>
              <w:rPr>
                <w:rFonts w:ascii="Arial" w:hAnsi="Arial" w:cs="Arial"/>
                <w:szCs w:val="20"/>
              </w:rPr>
            </w:pPr>
            <w:r w:rsidRPr="00411C6A">
              <w:rPr>
                <w:rFonts w:ascii="Arial" w:hAnsi="Arial" w:cs="Arial"/>
                <w:szCs w:val="20"/>
              </w:rPr>
              <w:t>Amortization of right-of-use assets</w:t>
            </w:r>
          </w:p>
        </w:tc>
        <w:tc>
          <w:tcPr>
            <w:tcW w:w="1350" w:type="dxa"/>
            <w:vAlign w:val="bottom"/>
          </w:tcPr>
          <w:p w14:paraId="5EA95DE4" w14:textId="51F9CC6D" w:rsidR="00E12D65" w:rsidRPr="00411C6A" w:rsidRDefault="00873120" w:rsidP="00C226C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79,308</w:t>
            </w:r>
          </w:p>
        </w:tc>
        <w:tc>
          <w:tcPr>
            <w:tcW w:w="1350" w:type="dxa"/>
            <w:gridSpan w:val="2"/>
            <w:vAlign w:val="bottom"/>
          </w:tcPr>
          <w:p w14:paraId="2283EB6A" w14:textId="77777777" w:rsidR="00E12D65" w:rsidRPr="00411C6A" w:rsidRDefault="00E12D65" w:rsidP="00C226C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103,498</w:t>
            </w:r>
          </w:p>
        </w:tc>
      </w:tr>
      <w:tr w:rsidR="00B21C1E" w:rsidRPr="00E139DF" w14:paraId="402E9584" w14:textId="77777777" w:rsidTr="00EE4151">
        <w:trPr>
          <w:trHeight w:val="243"/>
        </w:trPr>
        <w:tc>
          <w:tcPr>
            <w:tcW w:w="7192" w:type="dxa"/>
            <w:vAlign w:val="bottom"/>
          </w:tcPr>
          <w:p w14:paraId="1FCB8DED" w14:textId="77777777" w:rsidR="00B21C1E" w:rsidRPr="00411C6A" w:rsidRDefault="00B21C1E" w:rsidP="00CB11F8">
            <w:pPr>
              <w:tabs>
                <w:tab w:val="left" w:pos="7272"/>
                <w:tab w:val="decimal" w:pos="8136"/>
                <w:tab w:val="left" w:pos="8496"/>
                <w:tab w:val="decimal" w:pos="9360"/>
              </w:tabs>
              <w:spacing w:after="0" w:line="240" w:lineRule="auto"/>
              <w:ind w:left="144"/>
              <w:rPr>
                <w:rFonts w:ascii="Arial" w:hAnsi="Arial" w:cs="Arial"/>
                <w:szCs w:val="20"/>
              </w:rPr>
            </w:pPr>
            <w:r w:rsidRPr="00411C6A">
              <w:rPr>
                <w:rFonts w:ascii="Arial" w:hAnsi="Arial" w:cs="Arial"/>
                <w:szCs w:val="20"/>
              </w:rPr>
              <w:t>Common shares issued for services</w:t>
            </w:r>
          </w:p>
        </w:tc>
        <w:tc>
          <w:tcPr>
            <w:tcW w:w="1350" w:type="dxa"/>
            <w:vAlign w:val="bottom"/>
          </w:tcPr>
          <w:p w14:paraId="5F107A03" w14:textId="745FF533" w:rsidR="00B21C1E" w:rsidRPr="00411C6A" w:rsidRDefault="00E12D65">
            <w:pPr>
              <w:spacing w:after="0" w:line="240" w:lineRule="auto"/>
              <w:ind w:right="180"/>
              <w:jc w:val="right"/>
              <w:rPr>
                <w:rFonts w:ascii="Arial" w:hAnsi="Arial" w:cs="Arial"/>
                <w:szCs w:val="20"/>
              </w:rPr>
            </w:pPr>
            <w:r>
              <w:rPr>
                <w:rFonts w:ascii="Arial" w:hAnsi="Arial" w:cs="Arial"/>
                <w:szCs w:val="20"/>
              </w:rPr>
              <w:t>2,154</w:t>
            </w:r>
          </w:p>
        </w:tc>
        <w:tc>
          <w:tcPr>
            <w:tcW w:w="1350" w:type="dxa"/>
            <w:gridSpan w:val="2"/>
            <w:vAlign w:val="bottom"/>
          </w:tcPr>
          <w:p w14:paraId="1625B8C8" w14:textId="1FFACD81" w:rsidR="00B21C1E" w:rsidRPr="00EE4151" w:rsidRDefault="00CB3671">
            <w:pPr>
              <w:spacing w:after="0" w:line="240" w:lineRule="auto"/>
              <w:ind w:right="180"/>
              <w:jc w:val="right"/>
              <w:rPr>
                <w:rFonts w:ascii="Arial" w:hAnsi="Arial" w:cs="Arial"/>
                <w:szCs w:val="20"/>
              </w:rPr>
            </w:pPr>
            <w:r>
              <w:rPr>
                <w:rFonts w:ascii="Arial" w:hAnsi="Arial" w:cs="Arial"/>
                <w:szCs w:val="20"/>
              </w:rPr>
              <w:t>15,129</w:t>
            </w:r>
          </w:p>
        </w:tc>
      </w:tr>
      <w:tr w:rsidR="00B21C1E" w:rsidRPr="00E139DF" w14:paraId="410D52DB" w14:textId="77777777" w:rsidTr="00EE4151">
        <w:tc>
          <w:tcPr>
            <w:tcW w:w="7192" w:type="dxa"/>
            <w:vAlign w:val="bottom"/>
          </w:tcPr>
          <w:p w14:paraId="5EC3D9A1" w14:textId="035FD762" w:rsidR="00B21C1E" w:rsidRPr="00411C6A" w:rsidRDefault="0045782B" w:rsidP="00CB11F8">
            <w:pPr>
              <w:tabs>
                <w:tab w:val="left" w:pos="7272"/>
                <w:tab w:val="decimal" w:pos="8136"/>
                <w:tab w:val="left" w:pos="8496"/>
                <w:tab w:val="decimal" w:pos="9360"/>
              </w:tabs>
              <w:spacing w:after="0" w:line="240" w:lineRule="auto"/>
              <w:ind w:left="144"/>
              <w:rPr>
                <w:rFonts w:ascii="Arial" w:hAnsi="Arial" w:cs="Arial"/>
                <w:szCs w:val="20"/>
              </w:rPr>
            </w:pPr>
            <w:r w:rsidRPr="00411C6A">
              <w:rPr>
                <w:rFonts w:ascii="Arial" w:hAnsi="Arial" w:cs="Arial"/>
                <w:szCs w:val="20"/>
              </w:rPr>
              <w:t>Foreign e</w:t>
            </w:r>
            <w:r w:rsidR="00B21C1E" w:rsidRPr="00411C6A">
              <w:rPr>
                <w:rFonts w:ascii="Arial" w:hAnsi="Arial" w:cs="Arial"/>
                <w:szCs w:val="20"/>
              </w:rPr>
              <w:t xml:space="preserve">xchange </w:t>
            </w:r>
            <w:r w:rsidR="00E12D65">
              <w:rPr>
                <w:rFonts w:ascii="Arial" w:hAnsi="Arial" w:cs="Arial"/>
                <w:szCs w:val="20"/>
              </w:rPr>
              <w:t xml:space="preserve">(gain) </w:t>
            </w:r>
            <w:r w:rsidR="00B21C1E" w:rsidRPr="00411C6A">
              <w:rPr>
                <w:rFonts w:ascii="Arial" w:hAnsi="Arial" w:cs="Arial"/>
                <w:szCs w:val="20"/>
              </w:rPr>
              <w:t>loss</w:t>
            </w:r>
          </w:p>
        </w:tc>
        <w:tc>
          <w:tcPr>
            <w:tcW w:w="1350" w:type="dxa"/>
            <w:vAlign w:val="bottom"/>
          </w:tcPr>
          <w:p w14:paraId="1A80CBE2" w14:textId="415D0EE5" w:rsidR="00B21C1E" w:rsidRPr="00411C6A" w:rsidRDefault="000F26D9">
            <w:pPr>
              <w:tabs>
                <w:tab w:val="left" w:pos="7214"/>
                <w:tab w:val="decimal" w:pos="8107"/>
                <w:tab w:val="left" w:pos="8467"/>
                <w:tab w:val="decimal" w:pos="9360"/>
              </w:tabs>
              <w:spacing w:after="0" w:line="240" w:lineRule="auto"/>
              <w:ind w:right="180"/>
              <w:jc w:val="right"/>
              <w:rPr>
                <w:rFonts w:ascii="Arial" w:hAnsi="Arial" w:cs="Arial"/>
                <w:szCs w:val="20"/>
              </w:rPr>
            </w:pPr>
            <w:r w:rsidRPr="00411C6A">
              <w:rPr>
                <w:rFonts w:ascii="Arial" w:hAnsi="Arial" w:cs="Arial"/>
                <w:szCs w:val="20"/>
              </w:rPr>
              <w:t>(</w:t>
            </w:r>
            <w:r w:rsidR="00E12D65">
              <w:rPr>
                <w:rFonts w:ascii="Arial" w:hAnsi="Arial" w:cs="Arial"/>
                <w:szCs w:val="20"/>
              </w:rPr>
              <w:t>24,131</w:t>
            </w:r>
            <w:r w:rsidRPr="00411C6A">
              <w:rPr>
                <w:rFonts w:ascii="Arial" w:hAnsi="Arial" w:cs="Arial"/>
                <w:szCs w:val="20"/>
              </w:rPr>
              <w:t>)</w:t>
            </w:r>
          </w:p>
        </w:tc>
        <w:tc>
          <w:tcPr>
            <w:tcW w:w="1350" w:type="dxa"/>
            <w:gridSpan w:val="2"/>
            <w:vAlign w:val="bottom"/>
          </w:tcPr>
          <w:p w14:paraId="5A1A6123" w14:textId="6E78CA6D" w:rsidR="00B21C1E" w:rsidRPr="00411C6A"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33,479</w:t>
            </w:r>
          </w:p>
        </w:tc>
      </w:tr>
      <w:tr w:rsidR="00E12D65" w:rsidRPr="00E139DF" w14:paraId="100C61EA" w14:textId="77777777" w:rsidTr="00C226CC">
        <w:tc>
          <w:tcPr>
            <w:tcW w:w="7192" w:type="dxa"/>
            <w:vAlign w:val="bottom"/>
          </w:tcPr>
          <w:p w14:paraId="1ED20B44" w14:textId="7A605D22" w:rsidR="00E12D65" w:rsidRPr="00E139DF" w:rsidRDefault="00E12D65" w:rsidP="00C226CC">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Gain on extinguishment of lease liability (Note 9)</w:t>
            </w:r>
          </w:p>
        </w:tc>
        <w:tc>
          <w:tcPr>
            <w:tcW w:w="1350" w:type="dxa"/>
            <w:vAlign w:val="bottom"/>
          </w:tcPr>
          <w:p w14:paraId="7B06FBE7" w14:textId="2C76AB4C" w:rsidR="00E12D65" w:rsidRPr="00E139DF" w:rsidRDefault="00E12D65" w:rsidP="00C226C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(1,474,092)</w:t>
            </w:r>
          </w:p>
        </w:tc>
        <w:tc>
          <w:tcPr>
            <w:tcW w:w="1350" w:type="dxa"/>
            <w:gridSpan w:val="2"/>
            <w:vAlign w:val="bottom"/>
          </w:tcPr>
          <w:p w14:paraId="55FAC2B4" w14:textId="77777777" w:rsidR="00E12D65" w:rsidRPr="00E139DF" w:rsidRDefault="00E12D65" w:rsidP="00C226CC">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r>
      <w:tr w:rsidR="00B21C1E" w:rsidRPr="00E139DF" w14:paraId="21201A46" w14:textId="77777777" w:rsidTr="00EE4151">
        <w:tc>
          <w:tcPr>
            <w:tcW w:w="7192" w:type="dxa"/>
            <w:vAlign w:val="bottom"/>
          </w:tcPr>
          <w:p w14:paraId="54EBD360" w14:textId="77777777" w:rsidR="00B21C1E" w:rsidRPr="00411C6A" w:rsidRDefault="00B21C1E" w:rsidP="00CB11F8">
            <w:pPr>
              <w:tabs>
                <w:tab w:val="left" w:pos="7272"/>
                <w:tab w:val="decimal" w:pos="8136"/>
                <w:tab w:val="left" w:pos="8496"/>
                <w:tab w:val="decimal" w:pos="9360"/>
              </w:tabs>
              <w:spacing w:after="0" w:line="240" w:lineRule="auto"/>
              <w:ind w:left="144"/>
              <w:rPr>
                <w:rFonts w:ascii="Arial" w:hAnsi="Arial" w:cs="Arial"/>
                <w:szCs w:val="20"/>
              </w:rPr>
            </w:pPr>
            <w:r w:rsidRPr="00411C6A">
              <w:rPr>
                <w:rFonts w:ascii="Arial" w:hAnsi="Arial" w:cs="Arial"/>
                <w:szCs w:val="20"/>
              </w:rPr>
              <w:t xml:space="preserve">Interest accretion </w:t>
            </w:r>
          </w:p>
        </w:tc>
        <w:tc>
          <w:tcPr>
            <w:tcW w:w="1350" w:type="dxa"/>
            <w:vAlign w:val="bottom"/>
          </w:tcPr>
          <w:p w14:paraId="7618E403" w14:textId="2B64CB16" w:rsidR="00B21C1E" w:rsidRPr="00411C6A"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c>
          <w:tcPr>
            <w:tcW w:w="1350" w:type="dxa"/>
            <w:gridSpan w:val="2"/>
            <w:vAlign w:val="bottom"/>
          </w:tcPr>
          <w:p w14:paraId="33F034A3" w14:textId="7C638721" w:rsidR="00B21C1E" w:rsidRPr="00411C6A"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203,375</w:t>
            </w:r>
          </w:p>
        </w:tc>
      </w:tr>
      <w:tr w:rsidR="00CB3671" w:rsidRPr="00E139DF" w14:paraId="7D594F55" w14:textId="77777777" w:rsidTr="00EE4151">
        <w:tc>
          <w:tcPr>
            <w:tcW w:w="7192" w:type="dxa"/>
            <w:vAlign w:val="bottom"/>
          </w:tcPr>
          <w:p w14:paraId="4701FBEC" w14:textId="04F19B0B" w:rsidR="00CB3671" w:rsidRPr="00E139DF" w:rsidRDefault="00CB3671" w:rsidP="00CB11F8">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Loss on impairment of equipment</w:t>
            </w:r>
            <w:r w:rsidR="00C226CC">
              <w:rPr>
                <w:rFonts w:ascii="Arial" w:hAnsi="Arial" w:cs="Arial"/>
                <w:szCs w:val="20"/>
              </w:rPr>
              <w:t xml:space="preserve"> (Note 7)</w:t>
            </w:r>
          </w:p>
        </w:tc>
        <w:tc>
          <w:tcPr>
            <w:tcW w:w="1350" w:type="dxa"/>
            <w:vAlign w:val="bottom"/>
          </w:tcPr>
          <w:p w14:paraId="322A63CD" w14:textId="51DF4CDA" w:rsidR="00CB3671" w:rsidRPr="00E139D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c>
          <w:tcPr>
            <w:tcW w:w="1350" w:type="dxa"/>
            <w:gridSpan w:val="2"/>
            <w:vAlign w:val="bottom"/>
          </w:tcPr>
          <w:p w14:paraId="1F438BDD" w14:textId="20186329" w:rsidR="00CB3671" w:rsidRPr="002E06A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3,901</w:t>
            </w:r>
          </w:p>
        </w:tc>
      </w:tr>
      <w:tr w:rsidR="00B21C1E" w:rsidRPr="00E139DF" w14:paraId="301CDED9" w14:textId="77777777" w:rsidTr="00EE4151">
        <w:tc>
          <w:tcPr>
            <w:tcW w:w="7192" w:type="dxa"/>
            <w:vAlign w:val="bottom"/>
          </w:tcPr>
          <w:p w14:paraId="7F3DE2D9" w14:textId="0F1D0DD3" w:rsidR="00B21C1E" w:rsidRPr="00E139DF" w:rsidRDefault="00B21C1E" w:rsidP="00CB11F8">
            <w:pPr>
              <w:tabs>
                <w:tab w:val="left" w:pos="7272"/>
                <w:tab w:val="decimal" w:pos="8136"/>
                <w:tab w:val="left" w:pos="8496"/>
                <w:tab w:val="decimal" w:pos="9360"/>
              </w:tabs>
              <w:spacing w:after="0" w:line="240" w:lineRule="auto"/>
              <w:ind w:left="144"/>
              <w:rPr>
                <w:rFonts w:ascii="Arial" w:hAnsi="Arial" w:cs="Arial"/>
                <w:szCs w:val="20"/>
              </w:rPr>
            </w:pPr>
            <w:r w:rsidRPr="006A5C30">
              <w:rPr>
                <w:rFonts w:ascii="Arial" w:hAnsi="Arial" w:cs="Arial"/>
                <w:szCs w:val="20"/>
              </w:rPr>
              <w:t xml:space="preserve">Share-based </w:t>
            </w:r>
            <w:r w:rsidR="00BE5624">
              <w:rPr>
                <w:rFonts w:ascii="Arial" w:hAnsi="Arial" w:cs="Arial"/>
                <w:szCs w:val="20"/>
              </w:rPr>
              <w:t>compensation</w:t>
            </w:r>
          </w:p>
        </w:tc>
        <w:tc>
          <w:tcPr>
            <w:tcW w:w="1350" w:type="dxa"/>
            <w:vAlign w:val="bottom"/>
          </w:tcPr>
          <w:p w14:paraId="04349346" w14:textId="2242C12E" w:rsidR="00B21C1E" w:rsidRPr="00E139DF"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15,413</w:t>
            </w:r>
          </w:p>
        </w:tc>
        <w:tc>
          <w:tcPr>
            <w:tcW w:w="1350" w:type="dxa"/>
            <w:gridSpan w:val="2"/>
            <w:vAlign w:val="bottom"/>
          </w:tcPr>
          <w:p w14:paraId="7002A265" w14:textId="2EDAF606" w:rsidR="00B21C1E" w:rsidRPr="00E139D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5,896</w:t>
            </w:r>
          </w:p>
        </w:tc>
      </w:tr>
      <w:tr w:rsidR="00894AEA" w:rsidRPr="00E139DF" w14:paraId="11D5F7E5" w14:textId="77777777" w:rsidTr="00EE4151">
        <w:tc>
          <w:tcPr>
            <w:tcW w:w="7192" w:type="dxa"/>
            <w:vAlign w:val="bottom"/>
          </w:tcPr>
          <w:p w14:paraId="3C0D2583" w14:textId="68A8031C" w:rsidR="00894AEA" w:rsidRPr="00E139DF" w:rsidRDefault="00BE5624" w:rsidP="00CB11F8">
            <w:pPr>
              <w:tabs>
                <w:tab w:val="left" w:pos="7272"/>
                <w:tab w:val="decimal" w:pos="8136"/>
                <w:tab w:val="left" w:pos="8496"/>
                <w:tab w:val="decimal" w:pos="9360"/>
              </w:tabs>
              <w:spacing w:after="0" w:line="240" w:lineRule="auto"/>
              <w:rPr>
                <w:rFonts w:ascii="Arial" w:hAnsi="Arial" w:cs="Arial"/>
                <w:szCs w:val="20"/>
              </w:rPr>
            </w:pPr>
            <w:r w:rsidRPr="00BE5624">
              <w:rPr>
                <w:rFonts w:ascii="Arial" w:hAnsi="Arial" w:cs="Arial"/>
                <w:szCs w:val="20"/>
              </w:rPr>
              <w:t>Changes in working capital accounts</w:t>
            </w:r>
            <w:r w:rsidR="00894AEA" w:rsidRPr="00E139DF">
              <w:rPr>
                <w:rFonts w:ascii="Arial" w:hAnsi="Arial" w:cs="Arial"/>
                <w:szCs w:val="20"/>
              </w:rPr>
              <w:t>:</w:t>
            </w:r>
          </w:p>
        </w:tc>
        <w:tc>
          <w:tcPr>
            <w:tcW w:w="1350" w:type="dxa"/>
            <w:vAlign w:val="bottom"/>
          </w:tcPr>
          <w:p w14:paraId="5F64E263" w14:textId="77777777" w:rsidR="00894AEA" w:rsidRPr="00E139DF" w:rsidRDefault="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3C4DDAF7" w14:textId="77777777" w:rsidR="00894AEA" w:rsidRPr="00E139DF" w:rsidRDefault="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82382" w:rsidRPr="00E139DF" w14:paraId="35445DF6" w14:textId="77777777" w:rsidTr="00EE4151">
        <w:tc>
          <w:tcPr>
            <w:tcW w:w="7192" w:type="dxa"/>
            <w:vAlign w:val="bottom"/>
          </w:tcPr>
          <w:p w14:paraId="574B8FB8" w14:textId="108C3080" w:rsidR="00882382" w:rsidRPr="00E139DF" w:rsidRDefault="000F26D9" w:rsidP="00CB11F8">
            <w:pPr>
              <w:tabs>
                <w:tab w:val="left" w:pos="7272"/>
                <w:tab w:val="decimal" w:pos="8136"/>
                <w:tab w:val="left" w:pos="8496"/>
                <w:tab w:val="decimal" w:pos="9360"/>
              </w:tabs>
              <w:spacing w:after="0" w:line="240" w:lineRule="auto"/>
              <w:ind w:left="144"/>
              <w:rPr>
                <w:rFonts w:ascii="Arial" w:hAnsi="Arial" w:cs="Arial"/>
                <w:szCs w:val="20"/>
              </w:rPr>
            </w:pPr>
            <w:r w:rsidRPr="006D06C6">
              <w:rPr>
                <w:rFonts w:ascii="Arial" w:hAnsi="Arial" w:cs="Arial"/>
                <w:szCs w:val="20"/>
              </w:rPr>
              <w:t>Amounts receivable</w:t>
            </w:r>
          </w:p>
        </w:tc>
        <w:tc>
          <w:tcPr>
            <w:tcW w:w="1350" w:type="dxa"/>
            <w:vAlign w:val="bottom"/>
          </w:tcPr>
          <w:p w14:paraId="08D55BCA" w14:textId="0B637045" w:rsidR="00882382" w:rsidRPr="00E139DF" w:rsidRDefault="000F26D9">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r w:rsidR="00E12D65">
              <w:rPr>
                <w:rFonts w:ascii="Arial" w:hAnsi="Arial" w:cs="Arial"/>
                <w:szCs w:val="20"/>
              </w:rPr>
              <w:t>700</w:t>
            </w:r>
            <w:r w:rsidRPr="00E139DF">
              <w:rPr>
                <w:rFonts w:ascii="Arial" w:hAnsi="Arial" w:cs="Arial"/>
                <w:szCs w:val="20"/>
              </w:rPr>
              <w:t>)</w:t>
            </w:r>
          </w:p>
        </w:tc>
        <w:tc>
          <w:tcPr>
            <w:tcW w:w="1350" w:type="dxa"/>
            <w:gridSpan w:val="2"/>
            <w:vAlign w:val="bottom"/>
          </w:tcPr>
          <w:p w14:paraId="7C2F14F8" w14:textId="409E9EF3" w:rsidR="00882382" w:rsidRPr="00E139D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(7,714)</w:t>
            </w:r>
          </w:p>
        </w:tc>
      </w:tr>
      <w:tr w:rsidR="001135F5" w:rsidRPr="00E139DF" w14:paraId="637AFE9A" w14:textId="77777777" w:rsidTr="00EE4151">
        <w:tc>
          <w:tcPr>
            <w:tcW w:w="7192" w:type="dxa"/>
            <w:vAlign w:val="bottom"/>
          </w:tcPr>
          <w:p w14:paraId="021D31CA" w14:textId="0174B58E" w:rsidR="001135F5" w:rsidRPr="00E139DF" w:rsidRDefault="0045782B" w:rsidP="00CB11F8">
            <w:pPr>
              <w:tabs>
                <w:tab w:val="left" w:pos="7272"/>
                <w:tab w:val="decimal" w:pos="8136"/>
                <w:tab w:val="left" w:pos="8496"/>
                <w:tab w:val="decimal" w:pos="9360"/>
              </w:tabs>
              <w:spacing w:after="0" w:line="240" w:lineRule="auto"/>
              <w:ind w:left="144"/>
              <w:rPr>
                <w:rFonts w:ascii="Arial" w:hAnsi="Arial" w:cs="Arial"/>
                <w:szCs w:val="20"/>
              </w:rPr>
            </w:pPr>
            <w:r w:rsidRPr="006A5C30">
              <w:rPr>
                <w:rFonts w:ascii="Arial" w:hAnsi="Arial" w:cs="Arial"/>
                <w:szCs w:val="20"/>
              </w:rPr>
              <w:t>Prepaid</w:t>
            </w:r>
            <w:r w:rsidR="000F26D9" w:rsidRPr="006D06C6">
              <w:rPr>
                <w:rFonts w:ascii="Arial" w:hAnsi="Arial" w:cs="Arial"/>
                <w:szCs w:val="20"/>
              </w:rPr>
              <w:t>s and other current assets</w:t>
            </w:r>
          </w:p>
        </w:tc>
        <w:tc>
          <w:tcPr>
            <w:tcW w:w="1350" w:type="dxa"/>
            <w:vAlign w:val="bottom"/>
          </w:tcPr>
          <w:p w14:paraId="350BB779" w14:textId="05917259" w:rsidR="001135F5" w:rsidRPr="00E139DF"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(31,125)</w:t>
            </w:r>
          </w:p>
        </w:tc>
        <w:tc>
          <w:tcPr>
            <w:tcW w:w="1350" w:type="dxa"/>
            <w:gridSpan w:val="2"/>
            <w:vAlign w:val="bottom"/>
          </w:tcPr>
          <w:p w14:paraId="1D8A736E" w14:textId="21D48A34" w:rsidR="001135F5" w:rsidRPr="00E139DF" w:rsidRDefault="00CB367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24,095</w:t>
            </w:r>
          </w:p>
        </w:tc>
      </w:tr>
      <w:tr w:rsidR="000F26D9" w:rsidRPr="00E139DF" w14:paraId="4733777D" w14:textId="77777777" w:rsidTr="00EE4151">
        <w:tc>
          <w:tcPr>
            <w:tcW w:w="7192" w:type="dxa"/>
            <w:vAlign w:val="bottom"/>
          </w:tcPr>
          <w:p w14:paraId="15603974" w14:textId="2DCED430" w:rsidR="000F26D9" w:rsidRPr="006D06C6" w:rsidRDefault="00E12D65" w:rsidP="00CB11F8">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Inventory</w:t>
            </w:r>
          </w:p>
        </w:tc>
        <w:tc>
          <w:tcPr>
            <w:tcW w:w="1350" w:type="dxa"/>
            <w:vAlign w:val="bottom"/>
          </w:tcPr>
          <w:p w14:paraId="2788C61F" w14:textId="15C123B9" w:rsidR="000F26D9" w:rsidRPr="00E139DF" w:rsidRDefault="00E12D6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(83,837)</w:t>
            </w:r>
          </w:p>
        </w:tc>
        <w:tc>
          <w:tcPr>
            <w:tcW w:w="1350" w:type="dxa"/>
            <w:gridSpan w:val="2"/>
            <w:vAlign w:val="bottom"/>
          </w:tcPr>
          <w:p w14:paraId="452568D4" w14:textId="2517A808" w:rsidR="000F26D9" w:rsidRPr="00E139DF" w:rsidRDefault="0048403C">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r>
      <w:tr w:rsidR="00A13EED" w:rsidRPr="00E139DF" w14:paraId="76E6DB07" w14:textId="77777777" w:rsidTr="00EE4151">
        <w:tc>
          <w:tcPr>
            <w:tcW w:w="7192" w:type="dxa"/>
            <w:vAlign w:val="bottom"/>
          </w:tcPr>
          <w:p w14:paraId="0DF31C7C" w14:textId="7565A73B"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Accounts payable and accrued liabilities</w:t>
            </w:r>
          </w:p>
        </w:tc>
        <w:tc>
          <w:tcPr>
            <w:tcW w:w="1350" w:type="dxa"/>
            <w:vAlign w:val="bottom"/>
          </w:tcPr>
          <w:p w14:paraId="429868E9" w14:textId="6F177A0F"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(183,738)</w:t>
            </w:r>
          </w:p>
        </w:tc>
        <w:tc>
          <w:tcPr>
            <w:tcW w:w="1350" w:type="dxa"/>
            <w:gridSpan w:val="2"/>
            <w:vAlign w:val="bottom"/>
          </w:tcPr>
          <w:p w14:paraId="6BFD7E65" w14:textId="1AB9E06E" w:rsidR="00A13EED" w:rsidRPr="00E139DF" w:rsidRDefault="00CB3671"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1,239,108</w:t>
            </w:r>
          </w:p>
        </w:tc>
      </w:tr>
      <w:tr w:rsidR="00A13EED" w:rsidRPr="00E139DF" w14:paraId="0D10EA4B" w14:textId="77777777" w:rsidTr="00B14849">
        <w:tc>
          <w:tcPr>
            <w:tcW w:w="7192" w:type="dxa"/>
            <w:vAlign w:val="bottom"/>
          </w:tcPr>
          <w:p w14:paraId="5893CE94" w14:textId="6E9CE0C5"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6A5C30">
              <w:rPr>
                <w:rFonts w:ascii="Arial" w:hAnsi="Arial" w:cs="Arial"/>
                <w:szCs w:val="20"/>
              </w:rPr>
              <w:t>Due to related parties</w:t>
            </w:r>
          </w:p>
        </w:tc>
        <w:tc>
          <w:tcPr>
            <w:tcW w:w="1350" w:type="dxa"/>
            <w:vAlign w:val="bottom"/>
          </w:tcPr>
          <w:p w14:paraId="3968DB0F" w14:textId="6515307B"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1,749</w:t>
            </w:r>
          </w:p>
        </w:tc>
        <w:tc>
          <w:tcPr>
            <w:tcW w:w="1350" w:type="dxa"/>
            <w:gridSpan w:val="2"/>
            <w:vAlign w:val="bottom"/>
          </w:tcPr>
          <w:p w14:paraId="06A89962" w14:textId="1974214D" w:rsidR="00A13EED" w:rsidRPr="00E139DF" w:rsidRDefault="00CB3671"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(176,029)</w:t>
            </w:r>
          </w:p>
        </w:tc>
      </w:tr>
      <w:tr w:rsidR="00A13EED" w:rsidRPr="00E139DF" w14:paraId="12240760" w14:textId="77777777" w:rsidTr="00EE4151">
        <w:tc>
          <w:tcPr>
            <w:tcW w:w="7192" w:type="dxa"/>
            <w:vAlign w:val="bottom"/>
          </w:tcPr>
          <w:p w14:paraId="23A78BCE" w14:textId="358F45F7"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Deferred revenue</w:t>
            </w:r>
          </w:p>
        </w:tc>
        <w:tc>
          <w:tcPr>
            <w:tcW w:w="1350" w:type="dxa"/>
            <w:vAlign w:val="bottom"/>
          </w:tcPr>
          <w:p w14:paraId="6DAB13A2" w14:textId="70A46A1E"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c>
          <w:tcPr>
            <w:tcW w:w="1350" w:type="dxa"/>
            <w:gridSpan w:val="2"/>
            <w:vAlign w:val="bottom"/>
          </w:tcPr>
          <w:p w14:paraId="571D17B9" w14:textId="07CA41EF" w:rsidR="00A13EED" w:rsidRPr="00E139DF" w:rsidRDefault="00CB3671"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(159,852)</w:t>
            </w:r>
          </w:p>
        </w:tc>
      </w:tr>
      <w:tr w:rsidR="00A13EED" w:rsidRPr="00E139DF" w14:paraId="2E15899F" w14:textId="77777777" w:rsidTr="00B14849">
        <w:tc>
          <w:tcPr>
            <w:tcW w:w="7192" w:type="dxa"/>
            <w:tcBorders>
              <w:top w:val="single" w:sz="4" w:space="0" w:color="auto"/>
              <w:bottom w:val="single" w:sz="4" w:space="0" w:color="auto"/>
            </w:tcBorders>
            <w:vAlign w:val="bottom"/>
          </w:tcPr>
          <w:p w14:paraId="08945F0B" w14:textId="4A21FBA1"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Net cash used in operating activities</w:t>
            </w:r>
          </w:p>
        </w:tc>
        <w:tc>
          <w:tcPr>
            <w:tcW w:w="1350" w:type="dxa"/>
            <w:tcBorders>
              <w:top w:val="single" w:sz="4" w:space="0" w:color="auto"/>
              <w:bottom w:val="single" w:sz="4" w:space="0" w:color="auto"/>
            </w:tcBorders>
            <w:vAlign w:val="bottom"/>
          </w:tcPr>
          <w:p w14:paraId="3F0EEDC8" w14:textId="0FC89EC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r w:rsidR="00E12D65">
              <w:rPr>
                <w:rFonts w:ascii="Arial" w:hAnsi="Arial" w:cs="Arial"/>
                <w:szCs w:val="20"/>
              </w:rPr>
              <w:t>1,273,885</w:t>
            </w:r>
            <w:r w:rsidRPr="00E139DF">
              <w:rPr>
                <w:rFonts w:ascii="Arial" w:hAnsi="Arial" w:cs="Arial"/>
                <w:szCs w:val="20"/>
              </w:rPr>
              <w:t>)</w:t>
            </w:r>
          </w:p>
        </w:tc>
        <w:tc>
          <w:tcPr>
            <w:tcW w:w="1350" w:type="dxa"/>
            <w:gridSpan w:val="2"/>
            <w:tcBorders>
              <w:top w:val="single" w:sz="4" w:space="0" w:color="auto"/>
              <w:bottom w:val="single" w:sz="4" w:space="0" w:color="auto"/>
            </w:tcBorders>
            <w:vAlign w:val="bottom"/>
          </w:tcPr>
          <w:p w14:paraId="3AC4E1C1" w14:textId="7DCCB673"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CB3671">
              <w:rPr>
                <w:rFonts w:ascii="Arial" w:hAnsi="Arial" w:cs="Arial"/>
                <w:szCs w:val="20"/>
              </w:rPr>
              <w:t>419,559</w:t>
            </w:r>
            <w:r>
              <w:rPr>
                <w:rFonts w:ascii="Arial" w:hAnsi="Arial" w:cs="Arial"/>
                <w:szCs w:val="20"/>
              </w:rPr>
              <w:t>)</w:t>
            </w:r>
          </w:p>
        </w:tc>
      </w:tr>
      <w:tr w:rsidR="00A13EED" w:rsidRPr="00E139DF" w14:paraId="58DD96C4" w14:textId="77777777" w:rsidTr="00EE4151">
        <w:trPr>
          <w:trHeight w:hRule="exact" w:val="91"/>
        </w:trPr>
        <w:tc>
          <w:tcPr>
            <w:tcW w:w="7192" w:type="dxa"/>
            <w:tcBorders>
              <w:top w:val="single" w:sz="4" w:space="0" w:color="auto"/>
            </w:tcBorders>
            <w:vAlign w:val="bottom"/>
          </w:tcPr>
          <w:p w14:paraId="49E89C66"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BC4DA94"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4A0264B0"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31051372" w14:textId="77777777" w:rsidTr="00EE4151">
        <w:tc>
          <w:tcPr>
            <w:tcW w:w="7192" w:type="dxa"/>
            <w:vAlign w:val="bottom"/>
          </w:tcPr>
          <w:p w14:paraId="47EDCD72" w14:textId="07ABE6A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Investing activities</w:t>
            </w:r>
          </w:p>
        </w:tc>
        <w:tc>
          <w:tcPr>
            <w:tcW w:w="1350" w:type="dxa"/>
            <w:vAlign w:val="bottom"/>
          </w:tcPr>
          <w:p w14:paraId="08EF6C01"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40F10D1"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71D85CBC" w14:textId="77777777" w:rsidTr="00EE4151">
        <w:tc>
          <w:tcPr>
            <w:tcW w:w="7192" w:type="dxa"/>
            <w:vAlign w:val="bottom"/>
          </w:tcPr>
          <w:p w14:paraId="2569C0DA" w14:textId="07861C87"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Purchase of intangible assets</w:t>
            </w:r>
          </w:p>
        </w:tc>
        <w:tc>
          <w:tcPr>
            <w:tcW w:w="1350" w:type="dxa"/>
            <w:vAlign w:val="bottom"/>
          </w:tcPr>
          <w:p w14:paraId="651824F7" w14:textId="6435FC69"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(86,492)</w:t>
            </w:r>
          </w:p>
        </w:tc>
        <w:tc>
          <w:tcPr>
            <w:tcW w:w="1350" w:type="dxa"/>
            <w:gridSpan w:val="2"/>
            <w:vAlign w:val="bottom"/>
          </w:tcPr>
          <w:p w14:paraId="6A4EF34A" w14:textId="16030E14" w:rsidR="00A13EED" w:rsidRPr="00E139DF" w:rsidRDefault="00CB3671"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r>
      <w:tr w:rsidR="00A13EED" w:rsidRPr="00E139DF" w14:paraId="42EAA81A" w14:textId="77777777" w:rsidTr="00B14849">
        <w:tc>
          <w:tcPr>
            <w:tcW w:w="7192" w:type="dxa"/>
            <w:tcBorders>
              <w:top w:val="single" w:sz="4" w:space="0" w:color="auto"/>
              <w:bottom w:val="single" w:sz="4" w:space="0" w:color="auto"/>
            </w:tcBorders>
            <w:vAlign w:val="bottom"/>
          </w:tcPr>
          <w:p w14:paraId="19868322" w14:textId="141849B3"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Net cash used in </w:t>
            </w:r>
            <w:r>
              <w:rPr>
                <w:rFonts w:ascii="Arial" w:hAnsi="Arial" w:cs="Arial"/>
                <w:szCs w:val="20"/>
              </w:rPr>
              <w:t>investing</w:t>
            </w:r>
            <w:r w:rsidRPr="00E139DF">
              <w:rPr>
                <w:rFonts w:ascii="Arial" w:hAnsi="Arial" w:cs="Arial"/>
                <w:szCs w:val="20"/>
              </w:rPr>
              <w:t xml:space="preserve"> activities</w:t>
            </w:r>
          </w:p>
        </w:tc>
        <w:tc>
          <w:tcPr>
            <w:tcW w:w="1350" w:type="dxa"/>
            <w:tcBorders>
              <w:top w:val="single" w:sz="4" w:space="0" w:color="auto"/>
              <w:bottom w:val="single" w:sz="4" w:space="0" w:color="auto"/>
            </w:tcBorders>
            <w:vAlign w:val="bottom"/>
          </w:tcPr>
          <w:p w14:paraId="5861757C" w14:textId="0DEF2A19"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r w:rsidR="00E12D65">
              <w:rPr>
                <w:rFonts w:ascii="Arial" w:hAnsi="Arial" w:cs="Arial"/>
                <w:szCs w:val="20"/>
              </w:rPr>
              <w:t>86,492</w:t>
            </w:r>
            <w:r w:rsidRPr="00E139DF">
              <w:rPr>
                <w:rFonts w:ascii="Arial" w:hAnsi="Arial" w:cs="Arial"/>
                <w:szCs w:val="20"/>
              </w:rPr>
              <w:t>)</w:t>
            </w:r>
          </w:p>
        </w:tc>
        <w:tc>
          <w:tcPr>
            <w:tcW w:w="1350" w:type="dxa"/>
            <w:gridSpan w:val="2"/>
            <w:tcBorders>
              <w:top w:val="single" w:sz="4" w:space="0" w:color="auto"/>
              <w:bottom w:val="single" w:sz="4" w:space="0" w:color="auto"/>
            </w:tcBorders>
            <w:vAlign w:val="bottom"/>
          </w:tcPr>
          <w:p w14:paraId="2DE4F07D" w14:textId="4B860408"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2E06AF">
              <w:rPr>
                <w:rFonts w:ascii="Arial" w:hAnsi="Arial" w:cs="Arial"/>
                <w:szCs w:val="20"/>
              </w:rPr>
              <w:t>–</w:t>
            </w:r>
          </w:p>
        </w:tc>
      </w:tr>
      <w:tr w:rsidR="00A13EED" w:rsidRPr="00E139DF" w14:paraId="6DFF43BD" w14:textId="77777777" w:rsidTr="00EE4151">
        <w:trPr>
          <w:trHeight w:hRule="exact" w:val="91"/>
        </w:trPr>
        <w:tc>
          <w:tcPr>
            <w:tcW w:w="7192" w:type="dxa"/>
            <w:tcBorders>
              <w:top w:val="single" w:sz="4" w:space="0" w:color="auto"/>
            </w:tcBorders>
            <w:vAlign w:val="bottom"/>
          </w:tcPr>
          <w:p w14:paraId="0B4D70CE"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34ED52B9"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F8B4C6A"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09792DA6" w14:textId="77777777" w:rsidTr="00EE4151">
        <w:tc>
          <w:tcPr>
            <w:tcW w:w="7192" w:type="dxa"/>
            <w:vAlign w:val="bottom"/>
          </w:tcPr>
          <w:p w14:paraId="74D6A391"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Financing activities</w:t>
            </w:r>
          </w:p>
        </w:tc>
        <w:tc>
          <w:tcPr>
            <w:tcW w:w="1350" w:type="dxa"/>
            <w:vAlign w:val="bottom"/>
          </w:tcPr>
          <w:p w14:paraId="694DDFE5"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B933585"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1638A2" w:rsidRPr="00E139DF" w14:paraId="44E8D1CB" w14:textId="77777777" w:rsidTr="00677113">
        <w:tc>
          <w:tcPr>
            <w:tcW w:w="7192" w:type="dxa"/>
            <w:vAlign w:val="bottom"/>
          </w:tcPr>
          <w:p w14:paraId="7D3A8E8A" w14:textId="77777777" w:rsidR="001638A2" w:rsidRPr="00E139DF" w:rsidRDefault="001638A2" w:rsidP="00677113">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Lease payments</w:t>
            </w:r>
          </w:p>
        </w:tc>
        <w:tc>
          <w:tcPr>
            <w:tcW w:w="1350" w:type="dxa"/>
            <w:vAlign w:val="bottom"/>
          </w:tcPr>
          <w:p w14:paraId="4A7B4B9A" w14:textId="3C2C3E23" w:rsidR="001638A2" w:rsidRPr="00E139DF" w:rsidRDefault="001638A2" w:rsidP="00677113">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E12D65">
              <w:rPr>
                <w:rFonts w:ascii="Arial" w:hAnsi="Arial" w:cs="Arial"/>
                <w:szCs w:val="20"/>
              </w:rPr>
              <w:t>186,710</w:t>
            </w:r>
            <w:r>
              <w:rPr>
                <w:rFonts w:ascii="Arial" w:hAnsi="Arial" w:cs="Arial"/>
                <w:szCs w:val="20"/>
              </w:rPr>
              <w:t>)</w:t>
            </w:r>
          </w:p>
        </w:tc>
        <w:tc>
          <w:tcPr>
            <w:tcW w:w="1350" w:type="dxa"/>
            <w:gridSpan w:val="2"/>
            <w:vAlign w:val="bottom"/>
          </w:tcPr>
          <w:p w14:paraId="77103C5E" w14:textId="77777777" w:rsidR="001638A2" w:rsidRDefault="001638A2" w:rsidP="00677113">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(133,995)</w:t>
            </w:r>
          </w:p>
        </w:tc>
      </w:tr>
      <w:tr w:rsidR="00A13EED" w:rsidRPr="00E139DF" w14:paraId="5D085F5C" w14:textId="77777777" w:rsidTr="00EE4151">
        <w:tc>
          <w:tcPr>
            <w:tcW w:w="7192" w:type="dxa"/>
            <w:vAlign w:val="bottom"/>
          </w:tcPr>
          <w:p w14:paraId="62009408" w14:textId="6FE729A5"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Repayment of</w:t>
            </w:r>
            <w:r w:rsidR="001638A2">
              <w:rPr>
                <w:rFonts w:ascii="Arial" w:hAnsi="Arial" w:cs="Arial"/>
                <w:szCs w:val="20"/>
              </w:rPr>
              <w:t xml:space="preserve"> </w:t>
            </w:r>
            <w:r w:rsidRPr="00E139DF">
              <w:rPr>
                <w:rFonts w:ascii="Arial" w:hAnsi="Arial" w:cs="Arial"/>
                <w:szCs w:val="20"/>
              </w:rPr>
              <w:t>convertible debenture, net</w:t>
            </w:r>
          </w:p>
        </w:tc>
        <w:tc>
          <w:tcPr>
            <w:tcW w:w="1350" w:type="dxa"/>
            <w:vAlign w:val="bottom"/>
          </w:tcPr>
          <w:p w14:paraId="4B3BD474" w14:textId="5A6118F4"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p>
        </w:tc>
        <w:tc>
          <w:tcPr>
            <w:tcW w:w="1350" w:type="dxa"/>
            <w:gridSpan w:val="2"/>
            <w:vAlign w:val="bottom"/>
          </w:tcPr>
          <w:p w14:paraId="51524AB2" w14:textId="1ACB3B66"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(750,000)</w:t>
            </w:r>
          </w:p>
        </w:tc>
      </w:tr>
      <w:tr w:rsidR="00A13EED" w:rsidRPr="00E139DF" w14:paraId="2A663576" w14:textId="77777777" w:rsidTr="00EE4151">
        <w:tc>
          <w:tcPr>
            <w:tcW w:w="7192" w:type="dxa"/>
            <w:vAlign w:val="bottom"/>
          </w:tcPr>
          <w:p w14:paraId="08D8F660" w14:textId="0A65928F"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Payment for debt modification</w:t>
            </w:r>
          </w:p>
        </w:tc>
        <w:tc>
          <w:tcPr>
            <w:tcW w:w="1350" w:type="dxa"/>
            <w:vAlign w:val="bottom"/>
          </w:tcPr>
          <w:p w14:paraId="067075C7" w14:textId="619419E5"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p>
        </w:tc>
        <w:tc>
          <w:tcPr>
            <w:tcW w:w="1350" w:type="dxa"/>
            <w:gridSpan w:val="2"/>
            <w:vAlign w:val="bottom"/>
          </w:tcPr>
          <w:p w14:paraId="23630FE9" w14:textId="6C555999"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(250,000)</w:t>
            </w:r>
          </w:p>
        </w:tc>
      </w:tr>
      <w:tr w:rsidR="00A13EED" w:rsidRPr="00E139DF" w14:paraId="291EE192" w14:textId="77777777" w:rsidTr="00EE4151">
        <w:tc>
          <w:tcPr>
            <w:tcW w:w="7192" w:type="dxa"/>
            <w:vAlign w:val="bottom"/>
          </w:tcPr>
          <w:p w14:paraId="6669703D" w14:textId="7810AB70" w:rsidR="00A13EED" w:rsidRPr="00E139DF" w:rsidRDefault="00A13EED" w:rsidP="00A13EED">
            <w:pPr>
              <w:tabs>
                <w:tab w:val="left" w:pos="7272"/>
                <w:tab w:val="decimal" w:pos="8136"/>
                <w:tab w:val="left" w:pos="8496"/>
                <w:tab w:val="decimal" w:pos="9360"/>
              </w:tabs>
              <w:spacing w:after="0" w:line="240" w:lineRule="auto"/>
              <w:ind w:left="144"/>
              <w:rPr>
                <w:rFonts w:ascii="Arial" w:hAnsi="Arial" w:cs="Arial"/>
                <w:szCs w:val="20"/>
              </w:rPr>
            </w:pPr>
            <w:r w:rsidRPr="00E139DF">
              <w:rPr>
                <w:rFonts w:ascii="Arial" w:hAnsi="Arial" w:cs="Arial"/>
                <w:szCs w:val="20"/>
              </w:rPr>
              <w:t>Proceeds from issuance of common shares and warrants, net</w:t>
            </w:r>
          </w:p>
        </w:tc>
        <w:tc>
          <w:tcPr>
            <w:tcW w:w="1350" w:type="dxa"/>
            <w:vAlign w:val="bottom"/>
          </w:tcPr>
          <w:p w14:paraId="7603C380" w14:textId="1674A2E6"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p>
        </w:tc>
        <w:tc>
          <w:tcPr>
            <w:tcW w:w="1350" w:type="dxa"/>
            <w:gridSpan w:val="2"/>
            <w:vAlign w:val="bottom"/>
          </w:tcPr>
          <w:p w14:paraId="0970028F" w14:textId="050DB2F0"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w:t>
            </w:r>
            <w:r w:rsidR="001638A2">
              <w:rPr>
                <w:rFonts w:ascii="Arial" w:hAnsi="Arial" w:cs="Arial"/>
                <w:szCs w:val="20"/>
              </w:rPr>
              <w:t>250,000</w:t>
            </w:r>
          </w:p>
        </w:tc>
      </w:tr>
      <w:tr w:rsidR="00A13EED" w:rsidRPr="00E139DF" w14:paraId="5EF7C6BC" w14:textId="77777777" w:rsidTr="00EE4151">
        <w:tc>
          <w:tcPr>
            <w:tcW w:w="7192" w:type="dxa"/>
            <w:vAlign w:val="bottom"/>
          </w:tcPr>
          <w:p w14:paraId="61175CE4" w14:textId="4D9BF3B0" w:rsidR="00A13EED" w:rsidRPr="00E139DF" w:rsidRDefault="001638A2" w:rsidP="00A13EED">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Proceeds from</w:t>
            </w:r>
            <w:r w:rsidR="00A13EED" w:rsidRPr="00E139DF">
              <w:rPr>
                <w:rFonts w:ascii="Arial" w:hAnsi="Arial" w:cs="Arial"/>
                <w:szCs w:val="20"/>
              </w:rPr>
              <w:t xml:space="preserve"> promissory note</w:t>
            </w:r>
          </w:p>
        </w:tc>
        <w:tc>
          <w:tcPr>
            <w:tcW w:w="1350" w:type="dxa"/>
            <w:vAlign w:val="bottom"/>
          </w:tcPr>
          <w:p w14:paraId="585380B3" w14:textId="1A26CE65"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sidRPr="00E139DF">
              <w:rPr>
                <w:rFonts w:ascii="Arial" w:hAnsi="Arial" w:cs="Arial"/>
                <w:szCs w:val="20"/>
              </w:rPr>
              <w:t>–</w:t>
            </w:r>
          </w:p>
        </w:tc>
        <w:tc>
          <w:tcPr>
            <w:tcW w:w="1350" w:type="dxa"/>
            <w:gridSpan w:val="2"/>
            <w:vAlign w:val="bottom"/>
          </w:tcPr>
          <w:p w14:paraId="167D461F" w14:textId="28D6D5F7"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276,000</w:t>
            </w:r>
          </w:p>
        </w:tc>
      </w:tr>
      <w:tr w:rsidR="00A13EED" w:rsidRPr="00E139DF" w14:paraId="644E7D05" w14:textId="77777777" w:rsidTr="00B14849">
        <w:tc>
          <w:tcPr>
            <w:tcW w:w="7192" w:type="dxa"/>
            <w:tcBorders>
              <w:top w:val="single" w:sz="4" w:space="0" w:color="auto"/>
              <w:bottom w:val="single" w:sz="4" w:space="0" w:color="auto"/>
            </w:tcBorders>
            <w:vAlign w:val="bottom"/>
          </w:tcPr>
          <w:p w14:paraId="61A95B88" w14:textId="5A97FEA6"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Net cash </w:t>
            </w:r>
            <w:r w:rsidR="00E12D65">
              <w:rPr>
                <w:rFonts w:ascii="Arial" w:hAnsi="Arial" w:cs="Arial"/>
                <w:szCs w:val="20"/>
              </w:rPr>
              <w:t xml:space="preserve">(used in) </w:t>
            </w:r>
            <w:r w:rsidRPr="00E139DF">
              <w:rPr>
                <w:rFonts w:ascii="Arial" w:hAnsi="Arial" w:cs="Arial"/>
                <w:szCs w:val="20"/>
              </w:rPr>
              <w:t>provided by financing activities</w:t>
            </w:r>
          </w:p>
        </w:tc>
        <w:tc>
          <w:tcPr>
            <w:tcW w:w="1350" w:type="dxa"/>
            <w:tcBorders>
              <w:top w:val="single" w:sz="4" w:space="0" w:color="auto"/>
              <w:bottom w:val="single" w:sz="4" w:space="0" w:color="auto"/>
            </w:tcBorders>
            <w:vAlign w:val="bottom"/>
          </w:tcPr>
          <w:p w14:paraId="39295DA7" w14:textId="2BC81D85"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(186,710)</w:t>
            </w:r>
          </w:p>
        </w:tc>
        <w:tc>
          <w:tcPr>
            <w:tcW w:w="1350" w:type="dxa"/>
            <w:gridSpan w:val="2"/>
            <w:tcBorders>
              <w:top w:val="single" w:sz="4" w:space="0" w:color="auto"/>
              <w:bottom w:val="single" w:sz="4" w:space="0" w:color="auto"/>
            </w:tcBorders>
            <w:vAlign w:val="bottom"/>
          </w:tcPr>
          <w:p w14:paraId="02FAA311" w14:textId="5008C54A" w:rsidR="00A13EED" w:rsidRPr="00E139DF" w:rsidRDefault="005D4C7D"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392,005</w:t>
            </w:r>
          </w:p>
        </w:tc>
      </w:tr>
      <w:tr w:rsidR="00A13EED" w:rsidRPr="00E139DF" w14:paraId="5858DCD6" w14:textId="77777777" w:rsidTr="00EE4151">
        <w:trPr>
          <w:trHeight w:hRule="exact" w:val="91"/>
        </w:trPr>
        <w:tc>
          <w:tcPr>
            <w:tcW w:w="7192" w:type="dxa"/>
            <w:tcBorders>
              <w:top w:val="single" w:sz="4" w:space="0" w:color="auto"/>
            </w:tcBorders>
            <w:vAlign w:val="bottom"/>
          </w:tcPr>
          <w:p w14:paraId="321F0B5A"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6C0340B4"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53D61E65"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614A07AF" w14:textId="77777777" w:rsidTr="00EE4151">
        <w:tc>
          <w:tcPr>
            <w:tcW w:w="7192" w:type="dxa"/>
            <w:vAlign w:val="bottom"/>
          </w:tcPr>
          <w:p w14:paraId="641CD6E8"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Effects of exchange rate changes on cash </w:t>
            </w:r>
          </w:p>
        </w:tc>
        <w:tc>
          <w:tcPr>
            <w:tcW w:w="1350" w:type="dxa"/>
            <w:vAlign w:val="bottom"/>
          </w:tcPr>
          <w:p w14:paraId="416D61F7" w14:textId="3304EA99"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3,34</w:t>
            </w:r>
            <w:r w:rsidR="005D4C7D">
              <w:rPr>
                <w:rFonts w:ascii="Arial" w:hAnsi="Arial" w:cs="Arial"/>
                <w:szCs w:val="20"/>
              </w:rPr>
              <w:t>1</w:t>
            </w:r>
          </w:p>
        </w:tc>
        <w:tc>
          <w:tcPr>
            <w:tcW w:w="1350" w:type="dxa"/>
            <w:gridSpan w:val="2"/>
            <w:vAlign w:val="bottom"/>
          </w:tcPr>
          <w:p w14:paraId="1C5418D9" w14:textId="5AE13DBC"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(1,831)</w:t>
            </w:r>
          </w:p>
        </w:tc>
      </w:tr>
      <w:tr w:rsidR="00A13EED" w:rsidRPr="00E139DF" w14:paraId="7ACAA330" w14:textId="77777777" w:rsidTr="00EE4151">
        <w:trPr>
          <w:trHeight w:hRule="exact" w:val="91"/>
        </w:trPr>
        <w:tc>
          <w:tcPr>
            <w:tcW w:w="7192" w:type="dxa"/>
            <w:vAlign w:val="bottom"/>
          </w:tcPr>
          <w:p w14:paraId="7015B005"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p>
        </w:tc>
        <w:tc>
          <w:tcPr>
            <w:tcW w:w="1350" w:type="dxa"/>
            <w:vAlign w:val="bottom"/>
          </w:tcPr>
          <w:p w14:paraId="0B0E9BCB"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4A7B647B"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04A94BD5" w14:textId="77777777" w:rsidTr="00EE4151">
        <w:tc>
          <w:tcPr>
            <w:tcW w:w="7192" w:type="dxa"/>
            <w:vAlign w:val="bottom"/>
          </w:tcPr>
          <w:p w14:paraId="4AE366D7" w14:textId="2939B7E3"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 xml:space="preserve">Net change in cash </w:t>
            </w:r>
          </w:p>
        </w:tc>
        <w:tc>
          <w:tcPr>
            <w:tcW w:w="1350" w:type="dxa"/>
            <w:vAlign w:val="bottom"/>
          </w:tcPr>
          <w:p w14:paraId="10ED306F" w14:textId="45CFCCE5"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(1,543,746)</w:t>
            </w:r>
          </w:p>
        </w:tc>
        <w:tc>
          <w:tcPr>
            <w:tcW w:w="1350" w:type="dxa"/>
            <w:gridSpan w:val="2"/>
            <w:vAlign w:val="bottom"/>
          </w:tcPr>
          <w:p w14:paraId="7667BC22" w14:textId="464CB519"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1638A2">
              <w:rPr>
                <w:rFonts w:ascii="Arial" w:hAnsi="Arial" w:cs="Arial"/>
                <w:szCs w:val="20"/>
              </w:rPr>
              <w:t>29,385</w:t>
            </w:r>
            <w:r>
              <w:rPr>
                <w:rFonts w:ascii="Arial" w:hAnsi="Arial" w:cs="Arial"/>
                <w:szCs w:val="20"/>
              </w:rPr>
              <w:t>)</w:t>
            </w:r>
          </w:p>
        </w:tc>
      </w:tr>
      <w:tr w:rsidR="00A13EED" w:rsidRPr="00E139DF" w14:paraId="5AB0E5C6" w14:textId="77777777" w:rsidTr="00EE4151">
        <w:tc>
          <w:tcPr>
            <w:tcW w:w="7192" w:type="dxa"/>
            <w:tcBorders>
              <w:bottom w:val="single" w:sz="4" w:space="0" w:color="auto"/>
            </w:tcBorders>
            <w:vAlign w:val="bottom"/>
          </w:tcPr>
          <w:p w14:paraId="2D58ECDC"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Cash – beginning of period</w:t>
            </w:r>
          </w:p>
        </w:tc>
        <w:tc>
          <w:tcPr>
            <w:tcW w:w="1350" w:type="dxa"/>
            <w:tcBorders>
              <w:bottom w:val="single" w:sz="4" w:space="0" w:color="auto"/>
            </w:tcBorders>
            <w:vAlign w:val="bottom"/>
          </w:tcPr>
          <w:p w14:paraId="478389CA" w14:textId="0918B01B"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3,281,704</w:t>
            </w:r>
          </w:p>
        </w:tc>
        <w:tc>
          <w:tcPr>
            <w:tcW w:w="1350" w:type="dxa"/>
            <w:gridSpan w:val="2"/>
            <w:tcBorders>
              <w:bottom w:val="single" w:sz="4" w:space="0" w:color="auto"/>
            </w:tcBorders>
            <w:vAlign w:val="bottom"/>
          </w:tcPr>
          <w:p w14:paraId="1C49EA5E" w14:textId="1758F56B"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74,800</w:t>
            </w:r>
          </w:p>
        </w:tc>
      </w:tr>
      <w:tr w:rsidR="00A13EED" w:rsidRPr="00E139DF" w14:paraId="19DD882E" w14:textId="77777777" w:rsidTr="00EE4151">
        <w:trPr>
          <w:trHeight w:hRule="exact" w:val="91"/>
        </w:trPr>
        <w:tc>
          <w:tcPr>
            <w:tcW w:w="7192" w:type="dxa"/>
            <w:tcBorders>
              <w:top w:val="single" w:sz="4" w:space="0" w:color="auto"/>
            </w:tcBorders>
            <w:vAlign w:val="bottom"/>
          </w:tcPr>
          <w:p w14:paraId="4F6BBDA9"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357E956"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E9F8C7E" w14:textId="77777777" w:rsidR="00A13EED" w:rsidRPr="00E139DF" w:rsidRDefault="00A13EED" w:rsidP="00A13EED">
            <w:pPr>
              <w:tabs>
                <w:tab w:val="left" w:pos="7214"/>
                <w:tab w:val="decimal" w:pos="8107"/>
                <w:tab w:val="left" w:pos="8467"/>
                <w:tab w:val="decimal" w:pos="9360"/>
              </w:tabs>
              <w:spacing w:after="0" w:line="240" w:lineRule="auto"/>
              <w:ind w:right="180"/>
              <w:jc w:val="right"/>
              <w:rPr>
                <w:rFonts w:ascii="Arial" w:hAnsi="Arial" w:cs="Arial"/>
                <w:szCs w:val="20"/>
              </w:rPr>
            </w:pPr>
          </w:p>
        </w:tc>
      </w:tr>
      <w:tr w:rsidR="00A13EED" w:rsidRPr="00E139DF" w14:paraId="0AEFF2DD" w14:textId="77777777" w:rsidTr="00EE4151">
        <w:tc>
          <w:tcPr>
            <w:tcW w:w="7192" w:type="dxa"/>
            <w:tcBorders>
              <w:bottom w:val="single" w:sz="12" w:space="0" w:color="auto"/>
            </w:tcBorders>
            <w:vAlign w:val="bottom"/>
          </w:tcPr>
          <w:p w14:paraId="62BE0E59" w14:textId="77777777" w:rsidR="00A13EED" w:rsidRPr="00E139DF" w:rsidRDefault="00A13EED" w:rsidP="00A13EED">
            <w:pPr>
              <w:tabs>
                <w:tab w:val="left" w:pos="7272"/>
                <w:tab w:val="decimal" w:pos="8136"/>
                <w:tab w:val="left" w:pos="8496"/>
                <w:tab w:val="decimal" w:pos="9360"/>
              </w:tabs>
              <w:spacing w:after="0" w:line="240" w:lineRule="auto"/>
              <w:rPr>
                <w:rFonts w:ascii="Arial" w:hAnsi="Arial" w:cs="Arial"/>
                <w:szCs w:val="20"/>
              </w:rPr>
            </w:pPr>
            <w:r w:rsidRPr="00E139DF">
              <w:rPr>
                <w:rFonts w:ascii="Arial" w:hAnsi="Arial" w:cs="Arial"/>
                <w:szCs w:val="20"/>
              </w:rPr>
              <w:t>Cash – end of period</w:t>
            </w:r>
          </w:p>
        </w:tc>
        <w:tc>
          <w:tcPr>
            <w:tcW w:w="1350" w:type="dxa"/>
            <w:tcBorders>
              <w:bottom w:val="single" w:sz="12" w:space="0" w:color="auto"/>
            </w:tcBorders>
            <w:vAlign w:val="bottom"/>
          </w:tcPr>
          <w:p w14:paraId="30394AAB" w14:textId="2E382A0C" w:rsidR="00A13EED" w:rsidRPr="00E139DF" w:rsidRDefault="00E12D65"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1,737,958</w:t>
            </w:r>
          </w:p>
        </w:tc>
        <w:tc>
          <w:tcPr>
            <w:tcW w:w="1350" w:type="dxa"/>
            <w:gridSpan w:val="2"/>
            <w:tcBorders>
              <w:bottom w:val="single" w:sz="12" w:space="0" w:color="auto"/>
            </w:tcBorders>
            <w:vAlign w:val="bottom"/>
          </w:tcPr>
          <w:p w14:paraId="20F24FE6" w14:textId="28F7EF58" w:rsidR="00A13EED" w:rsidRPr="00E139DF" w:rsidRDefault="001638A2" w:rsidP="00A13EE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45,414</w:t>
            </w:r>
          </w:p>
        </w:tc>
      </w:tr>
    </w:tbl>
    <w:p w14:paraId="0E7062B3" w14:textId="1872CC1A" w:rsidR="00312261" w:rsidRPr="00E139DF" w:rsidRDefault="003E7327" w:rsidP="00EE4151">
      <w:pPr>
        <w:tabs>
          <w:tab w:val="left" w:pos="4032"/>
        </w:tabs>
        <w:spacing w:before="120" w:line="240" w:lineRule="auto"/>
        <w:rPr>
          <w:rFonts w:ascii="Arial" w:hAnsi="Arial" w:cs="Arial"/>
          <w:bCs/>
          <w:szCs w:val="20"/>
        </w:rPr>
      </w:pPr>
      <w:r w:rsidRPr="00E139DF">
        <w:rPr>
          <w:rFonts w:ascii="Arial" w:hAnsi="Arial" w:cs="Arial"/>
          <w:bCs/>
          <w:szCs w:val="20"/>
        </w:rPr>
        <w:t>Supplementa</w:t>
      </w:r>
      <w:r w:rsidR="005958EA" w:rsidRPr="00E139DF">
        <w:rPr>
          <w:rFonts w:ascii="Arial" w:hAnsi="Arial" w:cs="Arial"/>
          <w:bCs/>
          <w:szCs w:val="20"/>
        </w:rPr>
        <w:t>l cash flow disclosures (Note 1</w:t>
      </w:r>
      <w:r w:rsidR="00EE6741">
        <w:rPr>
          <w:rFonts w:ascii="Arial" w:hAnsi="Arial" w:cs="Arial"/>
          <w:bCs/>
          <w:szCs w:val="20"/>
        </w:rPr>
        <w:t>4</w:t>
      </w:r>
      <w:r w:rsidRPr="00E139DF">
        <w:rPr>
          <w:rFonts w:ascii="Arial" w:hAnsi="Arial" w:cs="Arial"/>
          <w:bCs/>
          <w:szCs w:val="20"/>
        </w:rPr>
        <w:t>)</w:t>
      </w:r>
    </w:p>
    <w:p w14:paraId="3B871C2B" w14:textId="77777777" w:rsidR="004A4F80" w:rsidRDefault="004A4F80" w:rsidP="00EE4151">
      <w:pPr>
        <w:tabs>
          <w:tab w:val="left" w:pos="4032"/>
        </w:tabs>
        <w:spacing w:before="120" w:line="240" w:lineRule="auto"/>
        <w:jc w:val="center"/>
        <w:rPr>
          <w:rFonts w:ascii="Arial" w:hAnsi="Arial" w:cs="Arial"/>
          <w:szCs w:val="20"/>
        </w:rPr>
      </w:pPr>
    </w:p>
    <w:p w14:paraId="42BC8B69" w14:textId="77777777" w:rsidR="004A4F80" w:rsidRDefault="004A4F80" w:rsidP="00EE4151">
      <w:pPr>
        <w:tabs>
          <w:tab w:val="left" w:pos="4032"/>
        </w:tabs>
        <w:spacing w:before="120" w:line="240" w:lineRule="auto"/>
        <w:jc w:val="center"/>
        <w:rPr>
          <w:rFonts w:ascii="Arial" w:hAnsi="Arial" w:cs="Arial"/>
          <w:szCs w:val="20"/>
        </w:rPr>
      </w:pPr>
    </w:p>
    <w:p w14:paraId="0271812B" w14:textId="77777777" w:rsidR="004A4F80" w:rsidRDefault="004A4F80" w:rsidP="00EE4151">
      <w:pPr>
        <w:tabs>
          <w:tab w:val="left" w:pos="4032"/>
        </w:tabs>
        <w:spacing w:before="120" w:line="240" w:lineRule="auto"/>
        <w:jc w:val="center"/>
        <w:rPr>
          <w:rFonts w:ascii="Arial" w:hAnsi="Arial" w:cs="Arial"/>
          <w:szCs w:val="20"/>
        </w:rPr>
      </w:pPr>
    </w:p>
    <w:p w14:paraId="5CE10A7A" w14:textId="563D22EB" w:rsidR="00E46B2D" w:rsidRPr="00E139DF" w:rsidRDefault="00790828" w:rsidP="00EE4151">
      <w:pPr>
        <w:tabs>
          <w:tab w:val="left" w:pos="4032"/>
        </w:tabs>
        <w:spacing w:before="120" w:line="240" w:lineRule="auto"/>
        <w:jc w:val="center"/>
        <w:rPr>
          <w:rFonts w:ascii="Arial" w:hAnsi="Arial" w:cs="Arial"/>
          <w:szCs w:val="20"/>
        </w:rPr>
      </w:pPr>
      <w:r w:rsidRPr="00E139DF">
        <w:rPr>
          <w:rFonts w:ascii="Arial" w:hAnsi="Arial" w:cs="Arial"/>
          <w:szCs w:val="20"/>
        </w:rPr>
        <w:t>(The accompanying notes are an integral part of these</w:t>
      </w:r>
      <w:r w:rsidR="008E7C6B" w:rsidRPr="00E139DF">
        <w:rPr>
          <w:rFonts w:ascii="Arial" w:hAnsi="Arial" w:cs="Arial"/>
          <w:szCs w:val="20"/>
        </w:rPr>
        <w:t xml:space="preserve"> </w:t>
      </w:r>
      <w:r w:rsidR="008F26A2">
        <w:rPr>
          <w:rFonts w:ascii="Arial" w:hAnsi="Arial" w:cs="Arial"/>
          <w:szCs w:val="20"/>
        </w:rPr>
        <w:t xml:space="preserve">condensed </w:t>
      </w:r>
      <w:r w:rsidR="008F26A2" w:rsidRPr="00EE4151">
        <w:rPr>
          <w:rFonts w:ascii="Arial" w:hAnsi="Arial" w:cs="Arial"/>
          <w:szCs w:val="20"/>
        </w:rPr>
        <w:t>consolidated</w:t>
      </w:r>
      <w:r w:rsidR="008F26A2">
        <w:rPr>
          <w:rFonts w:ascii="Arial" w:hAnsi="Arial" w:cs="Arial"/>
          <w:szCs w:val="20"/>
        </w:rPr>
        <w:t xml:space="preserve"> interim</w:t>
      </w:r>
      <w:r w:rsidR="008F26A2" w:rsidRPr="00EE4151">
        <w:rPr>
          <w:rFonts w:ascii="Arial" w:hAnsi="Arial" w:cs="Arial"/>
          <w:szCs w:val="20"/>
        </w:rPr>
        <w:t xml:space="preserve"> financial statements</w:t>
      </w:r>
      <w:r w:rsidRPr="00E139DF">
        <w:rPr>
          <w:rFonts w:ascii="Arial" w:hAnsi="Arial" w:cs="Arial"/>
          <w:szCs w:val="20"/>
        </w:rPr>
        <w:t>)</w:t>
      </w:r>
    </w:p>
    <w:p w14:paraId="2ADB356F" w14:textId="77777777" w:rsidR="00E139DF" w:rsidRDefault="00E139DF" w:rsidP="00790828">
      <w:pPr>
        <w:tabs>
          <w:tab w:val="left" w:pos="4032"/>
        </w:tabs>
        <w:jc w:val="center"/>
        <w:rPr>
          <w:rFonts w:ascii="Arial" w:hAnsi="Arial" w:cs="Arial"/>
          <w:szCs w:val="20"/>
        </w:rPr>
        <w:sectPr w:rsidR="00E139DF" w:rsidSect="00B14849">
          <w:headerReference w:type="default" r:id="rId11"/>
          <w:pgSz w:w="12240" w:h="15840" w:code="1"/>
          <w:pgMar w:top="432" w:right="1296" w:bottom="187" w:left="1296" w:header="288" w:footer="288" w:gutter="0"/>
          <w:cols w:space="720"/>
          <w:docGrid w:linePitch="360"/>
        </w:sectPr>
      </w:pPr>
    </w:p>
    <w:p w14:paraId="1CD17B70" w14:textId="02F145FE" w:rsidR="00790828" w:rsidRPr="00F60034" w:rsidRDefault="00790828"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sidRPr="00A4553B">
        <w:rPr>
          <w:rFonts w:ascii="Arial" w:hAnsi="Arial" w:cs="Arial"/>
          <w:b/>
          <w:bCs/>
          <w:szCs w:val="20"/>
        </w:rPr>
        <w:lastRenderedPageBreak/>
        <w:t>1.</w:t>
      </w:r>
      <w:r w:rsidRPr="00A4553B">
        <w:rPr>
          <w:rFonts w:ascii="Arial" w:hAnsi="Arial" w:cs="Arial"/>
          <w:b/>
          <w:bCs/>
          <w:szCs w:val="20"/>
        </w:rPr>
        <w:tab/>
        <w:t xml:space="preserve">Nature of Operations and </w:t>
      </w:r>
      <w:r w:rsidR="00C3710E">
        <w:rPr>
          <w:rFonts w:ascii="Arial" w:hAnsi="Arial" w:cs="Arial"/>
          <w:b/>
          <w:bCs/>
          <w:szCs w:val="20"/>
        </w:rPr>
        <w:t>Going Concern</w:t>
      </w:r>
    </w:p>
    <w:p w14:paraId="2F777726" w14:textId="77777777" w:rsidR="00F15B99" w:rsidRDefault="00F15B99" w:rsidP="00F15B99">
      <w:pPr>
        <w:pStyle w:val="BodyTextIndent"/>
        <w:spacing w:after="0" w:line="240" w:lineRule="auto"/>
        <w:ind w:left="426"/>
        <w:jc w:val="both"/>
        <w:rPr>
          <w:rFonts w:ascii="Arial" w:hAnsi="Arial" w:cs="Arial"/>
          <w:szCs w:val="20"/>
          <w:lang w:val="en-CA"/>
        </w:rPr>
      </w:pPr>
    </w:p>
    <w:p w14:paraId="2B793B46" w14:textId="4D724BCB" w:rsidR="00790828" w:rsidRPr="00F60034" w:rsidRDefault="00D61549" w:rsidP="00F15B99">
      <w:pPr>
        <w:pStyle w:val="BodyTextIndent"/>
        <w:spacing w:after="0" w:line="240" w:lineRule="auto"/>
        <w:ind w:left="426"/>
        <w:jc w:val="both"/>
        <w:rPr>
          <w:rFonts w:ascii="Arial" w:hAnsi="Arial" w:cs="Arial"/>
          <w:szCs w:val="20"/>
          <w:lang w:val="en-CA"/>
        </w:rPr>
      </w:pPr>
      <w:r>
        <w:rPr>
          <w:rFonts w:ascii="Arial" w:hAnsi="Arial" w:cs="Arial"/>
          <w:szCs w:val="20"/>
          <w:lang w:val="en-CA"/>
        </w:rPr>
        <w:t>BetterLife Pharma</w:t>
      </w:r>
      <w:r w:rsidR="00F80093">
        <w:rPr>
          <w:rFonts w:ascii="Arial" w:hAnsi="Arial" w:cs="Arial"/>
          <w:szCs w:val="20"/>
          <w:lang w:val="en-CA"/>
        </w:rPr>
        <w:t xml:space="preserve"> Inc. </w:t>
      </w:r>
      <w:r w:rsidR="00790828" w:rsidRPr="00F60034">
        <w:rPr>
          <w:rFonts w:ascii="Arial" w:hAnsi="Arial" w:cs="Arial"/>
          <w:szCs w:val="20"/>
          <w:lang w:val="en-CA"/>
        </w:rPr>
        <w:t xml:space="preserve">(the “Company”) was incorporated in British Columbia under the Business Corporations Act on June 10, 2002.  The Company is </w:t>
      </w:r>
      <w:r w:rsidR="00A14A61">
        <w:rPr>
          <w:rFonts w:ascii="Arial" w:hAnsi="Arial" w:cs="Arial"/>
          <w:szCs w:val="20"/>
          <w:lang w:val="en-CA"/>
        </w:rPr>
        <w:t xml:space="preserve">a </w:t>
      </w:r>
      <w:r w:rsidR="00312261" w:rsidRPr="00312261">
        <w:rPr>
          <w:rFonts w:ascii="Arial" w:hAnsi="Arial" w:cs="Arial"/>
          <w:szCs w:val="20"/>
          <w:lang w:val="en-CA"/>
        </w:rPr>
        <w:t xml:space="preserve">biopharmaceutical company engaged in the development and commercialization of patented, </w:t>
      </w:r>
      <w:proofErr w:type="gramStart"/>
      <w:r w:rsidR="00312261" w:rsidRPr="00312261">
        <w:rPr>
          <w:rFonts w:ascii="Arial" w:hAnsi="Arial" w:cs="Arial"/>
          <w:szCs w:val="20"/>
          <w:lang w:val="en-CA"/>
        </w:rPr>
        <w:t>differentiated</w:t>
      </w:r>
      <w:proofErr w:type="gramEnd"/>
      <w:r w:rsidR="00312261" w:rsidRPr="00312261">
        <w:rPr>
          <w:rFonts w:ascii="Arial" w:hAnsi="Arial" w:cs="Arial"/>
          <w:szCs w:val="20"/>
          <w:lang w:val="en-CA"/>
        </w:rPr>
        <w:t xml:space="preserve"> and premium quality nutraceuticals and pharmaceuticals</w:t>
      </w:r>
      <w:r w:rsidR="00A14A61">
        <w:rPr>
          <w:rFonts w:ascii="Arial" w:hAnsi="Arial" w:cs="Arial"/>
          <w:szCs w:val="20"/>
          <w:lang w:val="en-CA"/>
        </w:rPr>
        <w:t>.</w:t>
      </w:r>
    </w:p>
    <w:p w14:paraId="1522BE41" w14:textId="77777777" w:rsidR="00F15B99" w:rsidRDefault="00F15B99" w:rsidP="00F15B99">
      <w:pPr>
        <w:pStyle w:val="Ne3"/>
        <w:spacing w:before="0"/>
        <w:ind w:left="432"/>
        <w:jc w:val="both"/>
        <w:rPr>
          <w:rFonts w:cs="Arial"/>
          <w:szCs w:val="20"/>
        </w:rPr>
      </w:pPr>
    </w:p>
    <w:p w14:paraId="682EA56E" w14:textId="2CF9B2CD" w:rsidR="00D94545" w:rsidRPr="002E7911" w:rsidRDefault="00790828" w:rsidP="00EE4151">
      <w:pPr>
        <w:pStyle w:val="Ne3"/>
        <w:spacing w:before="0"/>
        <w:ind w:left="432"/>
        <w:jc w:val="both"/>
        <w:rPr>
          <w:rFonts w:cs="Arial"/>
          <w:szCs w:val="20"/>
        </w:rPr>
      </w:pPr>
      <w:r w:rsidRPr="002E7911">
        <w:rPr>
          <w:rFonts w:cs="Arial"/>
          <w:szCs w:val="20"/>
        </w:rPr>
        <w:t>These</w:t>
      </w:r>
      <w:r w:rsidR="00F37C1E" w:rsidRPr="002E7911">
        <w:rPr>
          <w:rFonts w:cs="Arial"/>
          <w:szCs w:val="20"/>
        </w:rPr>
        <w:t xml:space="preserve"> </w:t>
      </w:r>
      <w:r w:rsidR="008F26A2">
        <w:rPr>
          <w:rFonts w:cs="Arial"/>
          <w:szCs w:val="20"/>
        </w:rPr>
        <w:t xml:space="preserve">condensed </w:t>
      </w:r>
      <w:r w:rsidR="00F37C1E" w:rsidRPr="002E7911">
        <w:rPr>
          <w:rFonts w:cs="Arial"/>
          <w:szCs w:val="20"/>
        </w:rPr>
        <w:t>consolidated</w:t>
      </w:r>
      <w:r w:rsidR="0046105F" w:rsidRPr="002E7911">
        <w:rPr>
          <w:rFonts w:cs="Arial"/>
          <w:szCs w:val="20"/>
        </w:rPr>
        <w:t xml:space="preserve"> </w:t>
      </w:r>
      <w:r w:rsidR="008F26A2">
        <w:rPr>
          <w:rFonts w:cs="Arial"/>
          <w:szCs w:val="20"/>
        </w:rPr>
        <w:t xml:space="preserve">interim </w:t>
      </w:r>
      <w:r w:rsidRPr="002E7911">
        <w:rPr>
          <w:rFonts w:cs="Arial"/>
          <w:szCs w:val="20"/>
        </w:rPr>
        <w:t xml:space="preserve">financial statements have been prepared on the going concern basis, which assumes that the Company will be able to realize its assets and discharge its liabilities in the normal course of </w:t>
      </w:r>
      <w:r w:rsidR="00DD20F5" w:rsidRPr="002E7911">
        <w:rPr>
          <w:rFonts w:cs="Arial"/>
          <w:szCs w:val="20"/>
        </w:rPr>
        <w:t xml:space="preserve">business. </w:t>
      </w:r>
      <w:r w:rsidR="00D61549" w:rsidRPr="002E7911">
        <w:rPr>
          <w:rFonts w:cs="Arial"/>
          <w:szCs w:val="20"/>
        </w:rPr>
        <w:t xml:space="preserve"> </w:t>
      </w:r>
      <w:r w:rsidR="00C3710E" w:rsidRPr="002E7911">
        <w:rPr>
          <w:rFonts w:cs="Arial"/>
          <w:szCs w:val="20"/>
        </w:rPr>
        <w:t xml:space="preserve">Accordingly, no adjustments to the carrying value of the assets and liabilities have been made in these </w:t>
      </w:r>
      <w:r w:rsidR="008F26A2">
        <w:rPr>
          <w:rFonts w:cs="Arial"/>
          <w:szCs w:val="20"/>
        </w:rPr>
        <w:t>condensed</w:t>
      </w:r>
      <w:r w:rsidR="00C3710E" w:rsidRPr="002E7911">
        <w:rPr>
          <w:rFonts w:cs="Arial"/>
          <w:szCs w:val="20"/>
        </w:rPr>
        <w:t xml:space="preserve"> </w:t>
      </w:r>
      <w:r w:rsidR="00C3710E">
        <w:rPr>
          <w:rFonts w:cs="Arial"/>
          <w:szCs w:val="20"/>
        </w:rPr>
        <w:t>consolidated</w:t>
      </w:r>
      <w:r w:rsidR="008F26A2">
        <w:rPr>
          <w:rFonts w:cs="Arial"/>
          <w:szCs w:val="20"/>
        </w:rPr>
        <w:t xml:space="preserve"> interim</w:t>
      </w:r>
      <w:r w:rsidR="00C3710E">
        <w:rPr>
          <w:rFonts w:cs="Arial"/>
          <w:szCs w:val="20"/>
        </w:rPr>
        <w:t xml:space="preserve"> </w:t>
      </w:r>
      <w:r w:rsidR="00C3710E" w:rsidRPr="002E7911">
        <w:rPr>
          <w:rFonts w:cs="Arial"/>
          <w:szCs w:val="20"/>
        </w:rPr>
        <w:t xml:space="preserve">financial statements should </w:t>
      </w:r>
      <w:r w:rsidR="00C3710E">
        <w:rPr>
          <w:rFonts w:cs="Arial"/>
          <w:szCs w:val="20"/>
        </w:rPr>
        <w:t>the Company</w:t>
      </w:r>
      <w:r w:rsidR="00C3710E" w:rsidRPr="002E7911">
        <w:rPr>
          <w:rFonts w:cs="Arial"/>
          <w:szCs w:val="20"/>
        </w:rPr>
        <w:t xml:space="preserve"> no longer be able to continue as a going concern.</w:t>
      </w:r>
      <w:r w:rsidR="00477A22">
        <w:rPr>
          <w:rFonts w:cs="Arial"/>
          <w:szCs w:val="20"/>
        </w:rPr>
        <w:t xml:space="preserve"> Any such adjustments could be material.</w:t>
      </w:r>
      <w:r w:rsidR="00C3710E">
        <w:rPr>
          <w:rFonts w:cs="Arial"/>
          <w:szCs w:val="20"/>
        </w:rPr>
        <w:t xml:space="preserve">  </w:t>
      </w:r>
      <w:r w:rsidR="00DD20F5" w:rsidRPr="002E7911">
        <w:rPr>
          <w:rFonts w:cs="Arial"/>
          <w:szCs w:val="20"/>
        </w:rPr>
        <w:t xml:space="preserve">As at </w:t>
      </w:r>
      <w:r w:rsidR="008F26A2">
        <w:rPr>
          <w:rFonts w:cs="Arial"/>
          <w:szCs w:val="20"/>
        </w:rPr>
        <w:t>April 30</w:t>
      </w:r>
      <w:r w:rsidR="00F50FAA" w:rsidRPr="002E7911">
        <w:rPr>
          <w:rFonts w:cs="Arial"/>
          <w:szCs w:val="20"/>
        </w:rPr>
        <w:t>, 2020</w:t>
      </w:r>
      <w:r w:rsidRPr="002E7911">
        <w:rPr>
          <w:rFonts w:cs="Arial"/>
          <w:szCs w:val="20"/>
        </w:rPr>
        <w:t>, the Comp</w:t>
      </w:r>
      <w:r w:rsidR="004056B2" w:rsidRPr="002E7911">
        <w:rPr>
          <w:rFonts w:cs="Arial"/>
          <w:szCs w:val="20"/>
        </w:rPr>
        <w:t xml:space="preserve">any has not earned any revenue </w:t>
      </w:r>
      <w:r w:rsidRPr="002E7911">
        <w:rPr>
          <w:rFonts w:cs="Arial"/>
          <w:szCs w:val="20"/>
        </w:rPr>
        <w:t>and</w:t>
      </w:r>
      <w:r w:rsidR="004056B2" w:rsidRPr="002E7911">
        <w:rPr>
          <w:rFonts w:cs="Arial"/>
          <w:szCs w:val="20"/>
        </w:rPr>
        <w:t xml:space="preserve"> has</w:t>
      </w:r>
      <w:r w:rsidRPr="002E7911">
        <w:rPr>
          <w:rFonts w:cs="Arial"/>
          <w:szCs w:val="20"/>
        </w:rPr>
        <w:t xml:space="preserve"> an accumulated deficit of $</w:t>
      </w:r>
      <w:r w:rsidR="008F26A2" w:rsidRPr="008F26A2">
        <w:rPr>
          <w:rFonts w:cs="Arial"/>
          <w:szCs w:val="20"/>
        </w:rPr>
        <w:t>54,281,5</w:t>
      </w:r>
      <w:r w:rsidR="009E6977">
        <w:rPr>
          <w:rFonts w:cs="Arial"/>
          <w:szCs w:val="20"/>
        </w:rPr>
        <w:t>47</w:t>
      </w:r>
      <w:r w:rsidRPr="002E7911">
        <w:rPr>
          <w:rFonts w:cs="Arial"/>
          <w:szCs w:val="20"/>
        </w:rPr>
        <w:t xml:space="preserve">. The continued operations of the Company are dependent on its ability to generate future cash flows </w:t>
      </w:r>
      <w:r w:rsidR="004056B2" w:rsidRPr="002E7911">
        <w:rPr>
          <w:rFonts w:cs="Arial"/>
          <w:szCs w:val="20"/>
        </w:rPr>
        <w:t>through</w:t>
      </w:r>
      <w:r w:rsidRPr="002E7911">
        <w:rPr>
          <w:rFonts w:cs="Arial"/>
          <w:szCs w:val="20"/>
        </w:rPr>
        <w:t xml:space="preserve"> additional financing</w:t>
      </w:r>
      <w:r w:rsidR="004056B2" w:rsidRPr="002E7911">
        <w:rPr>
          <w:rFonts w:cs="Arial"/>
          <w:szCs w:val="20"/>
        </w:rPr>
        <w:t xml:space="preserve"> or commercialization</w:t>
      </w:r>
      <w:r w:rsidR="0054186A">
        <w:rPr>
          <w:rFonts w:cs="Arial"/>
          <w:szCs w:val="20"/>
        </w:rPr>
        <w:t xml:space="preserve">, which have been impacted as a result of the </w:t>
      </w:r>
      <w:r w:rsidR="0054186A" w:rsidRPr="00D7474A">
        <w:rPr>
          <w:rFonts w:cs="Arial"/>
          <w:szCs w:val="20"/>
        </w:rPr>
        <w:t xml:space="preserve">global outbreak of </w:t>
      </w:r>
      <w:r w:rsidR="0054186A">
        <w:rPr>
          <w:rFonts w:cs="Arial"/>
          <w:szCs w:val="20"/>
        </w:rPr>
        <w:t>coronavirus (“</w:t>
      </w:r>
      <w:r w:rsidR="0054186A" w:rsidRPr="00D7474A">
        <w:rPr>
          <w:rFonts w:cs="Arial"/>
          <w:szCs w:val="20"/>
        </w:rPr>
        <w:t>COVID-19</w:t>
      </w:r>
      <w:r w:rsidR="0054186A">
        <w:rPr>
          <w:rFonts w:cs="Arial"/>
          <w:szCs w:val="20"/>
        </w:rPr>
        <w:t>”) (Note 2(</w:t>
      </w:r>
      <w:r w:rsidR="00257809">
        <w:rPr>
          <w:rFonts w:cs="Arial"/>
          <w:szCs w:val="20"/>
        </w:rPr>
        <w:t>d</w:t>
      </w:r>
      <w:r w:rsidR="0054186A">
        <w:rPr>
          <w:rFonts w:cs="Arial"/>
          <w:szCs w:val="20"/>
        </w:rPr>
        <w:t>))</w:t>
      </w:r>
      <w:r w:rsidRPr="002E7911">
        <w:rPr>
          <w:rFonts w:cs="Arial"/>
          <w:szCs w:val="20"/>
        </w:rPr>
        <w:t xml:space="preserve">.  </w:t>
      </w:r>
      <w:r w:rsidR="00A40C2B">
        <w:rPr>
          <w:rFonts w:cs="Arial"/>
          <w:szCs w:val="20"/>
        </w:rPr>
        <w:t xml:space="preserve">Management </w:t>
      </w:r>
      <w:r w:rsidR="00B04051">
        <w:rPr>
          <w:rFonts w:cs="Arial"/>
          <w:szCs w:val="20"/>
        </w:rPr>
        <w:t>intends to</w:t>
      </w:r>
      <w:r w:rsidR="00A40C2B">
        <w:rPr>
          <w:rFonts w:cs="Arial"/>
          <w:szCs w:val="20"/>
        </w:rPr>
        <w:t xml:space="preserve"> continue to pursue additional financing through issuances of equity.  </w:t>
      </w:r>
      <w:r w:rsidR="0054186A" w:rsidRPr="002E7911">
        <w:rPr>
          <w:rFonts w:cs="Arial"/>
          <w:szCs w:val="20"/>
        </w:rPr>
        <w:t xml:space="preserve">There is no assurance that additional funding will be available on a timely basis or on terms acceptable to the Company. </w:t>
      </w:r>
      <w:r w:rsidR="00A40C2B">
        <w:rPr>
          <w:rFonts w:cs="Arial"/>
          <w:szCs w:val="20"/>
        </w:rPr>
        <w:t xml:space="preserve">In addition, the Company continues </w:t>
      </w:r>
      <w:r w:rsidR="00A40C2B" w:rsidRPr="00A40C2B">
        <w:rPr>
          <w:rFonts w:cs="Arial"/>
          <w:szCs w:val="20"/>
        </w:rPr>
        <w:t>procurement of its products set to launch in the US and anticipates its US launch to continue once the current pandemic situation improves</w:t>
      </w:r>
      <w:r w:rsidR="00A40C2B">
        <w:rPr>
          <w:rFonts w:cs="Arial"/>
          <w:szCs w:val="20"/>
        </w:rPr>
        <w:t>.</w:t>
      </w:r>
      <w:r w:rsidR="00A40C2B" w:rsidRPr="00A40C2B">
        <w:rPr>
          <w:rFonts w:cs="Arial"/>
          <w:szCs w:val="20"/>
        </w:rPr>
        <w:t xml:space="preserve"> </w:t>
      </w:r>
      <w:r w:rsidR="00527B79" w:rsidRPr="002E7911">
        <w:rPr>
          <w:rFonts w:cs="Arial"/>
          <w:szCs w:val="20"/>
        </w:rPr>
        <w:t xml:space="preserve">These events or conditions indicate that a material uncertainty exists that casts </w:t>
      </w:r>
      <w:r w:rsidR="00A1756F">
        <w:rPr>
          <w:rFonts w:cs="Arial"/>
          <w:szCs w:val="20"/>
        </w:rPr>
        <w:t>substantial</w:t>
      </w:r>
      <w:r w:rsidR="00C3710E" w:rsidRPr="002E7911">
        <w:rPr>
          <w:rFonts w:cs="Arial"/>
          <w:szCs w:val="20"/>
        </w:rPr>
        <w:t xml:space="preserve"> </w:t>
      </w:r>
      <w:r w:rsidR="00527B79" w:rsidRPr="002E7911">
        <w:rPr>
          <w:rFonts w:cs="Arial"/>
          <w:szCs w:val="20"/>
        </w:rPr>
        <w:t xml:space="preserve">doubts on the </w:t>
      </w:r>
      <w:r w:rsidR="00572DD0">
        <w:rPr>
          <w:rFonts w:cs="Arial"/>
          <w:szCs w:val="20"/>
        </w:rPr>
        <w:t>C</w:t>
      </w:r>
      <w:r w:rsidR="00527B79" w:rsidRPr="002E7911">
        <w:rPr>
          <w:rFonts w:cs="Arial"/>
          <w:szCs w:val="20"/>
        </w:rPr>
        <w:t>ompany’s ability to continue as a going concern.</w:t>
      </w:r>
      <w:r w:rsidR="004222A4" w:rsidRPr="002E7911">
        <w:rPr>
          <w:rFonts w:cs="Arial"/>
          <w:szCs w:val="20"/>
        </w:rPr>
        <w:t xml:space="preserve">  </w:t>
      </w:r>
    </w:p>
    <w:p w14:paraId="2726F50B" w14:textId="77777777" w:rsidR="00D94545" w:rsidRPr="002E7911" w:rsidRDefault="00D94545" w:rsidP="002E7911">
      <w:pPr>
        <w:pStyle w:val="BodyTextIndent"/>
        <w:spacing w:after="0" w:line="240" w:lineRule="auto"/>
        <w:ind w:left="426"/>
        <w:jc w:val="both"/>
        <w:rPr>
          <w:rFonts w:cs="Arial"/>
          <w:szCs w:val="20"/>
        </w:rPr>
      </w:pPr>
    </w:p>
    <w:p w14:paraId="0D327DA4" w14:textId="5EBE7FE1" w:rsidR="0046105F" w:rsidRPr="0046105F" w:rsidRDefault="0046105F" w:rsidP="0046105F">
      <w:pPr>
        <w:spacing w:after="0"/>
        <w:ind w:left="450"/>
        <w:jc w:val="both"/>
        <w:rPr>
          <w:rFonts w:ascii="Arial" w:hAnsi="Arial" w:cs="Arial"/>
          <w:lang w:val="en-CA"/>
        </w:rPr>
      </w:pPr>
      <w:r w:rsidRPr="0046105F">
        <w:rPr>
          <w:rFonts w:ascii="Arial" w:hAnsi="Arial" w:cs="Arial"/>
          <w:lang w:val="en-CA"/>
        </w:rPr>
        <w:t>The head o</w:t>
      </w:r>
      <w:r>
        <w:rPr>
          <w:rFonts w:ascii="Arial" w:hAnsi="Arial" w:cs="Arial"/>
          <w:lang w:val="en-CA"/>
        </w:rPr>
        <w:t xml:space="preserve">ffice and principal address of the Company is located at </w:t>
      </w:r>
      <w:r w:rsidR="00F50FAA">
        <w:rPr>
          <w:rFonts w:ascii="Arial" w:hAnsi="Arial" w:cs="Arial"/>
          <w:lang w:val="en-CA"/>
        </w:rPr>
        <w:t>1275 West 6</w:t>
      </w:r>
      <w:r w:rsidR="00F50FAA" w:rsidRPr="00F50FAA">
        <w:rPr>
          <w:rFonts w:ascii="Arial" w:hAnsi="Arial" w:cs="Arial"/>
          <w:vertAlign w:val="superscript"/>
          <w:lang w:val="en-CA"/>
        </w:rPr>
        <w:t>th</w:t>
      </w:r>
      <w:r w:rsidR="00F50FAA">
        <w:rPr>
          <w:rFonts w:ascii="Arial" w:hAnsi="Arial" w:cs="Arial"/>
          <w:lang w:val="en-CA"/>
        </w:rPr>
        <w:t xml:space="preserve"> Avenue, #300, Vancouver, BC, Canada, V6H 1A6</w:t>
      </w:r>
      <w:r>
        <w:rPr>
          <w:rFonts w:ascii="Arial" w:hAnsi="Arial" w:cs="Arial"/>
          <w:lang w:val="en-CA"/>
        </w:rPr>
        <w:t>.</w:t>
      </w:r>
    </w:p>
    <w:p w14:paraId="104E6159" w14:textId="77777777" w:rsidR="00F0480A" w:rsidRPr="00F0480A" w:rsidRDefault="00F0480A" w:rsidP="00F15B99">
      <w:pPr>
        <w:spacing w:after="0" w:line="240" w:lineRule="auto"/>
        <w:rPr>
          <w:lang w:val="en-CA"/>
        </w:rPr>
      </w:pPr>
    </w:p>
    <w:p w14:paraId="29F93F04" w14:textId="77777777" w:rsidR="00790828" w:rsidRDefault="00894AEA"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r>
        <w:rPr>
          <w:rFonts w:ascii="Arial" w:hAnsi="Arial" w:cs="Arial"/>
          <w:b/>
          <w:bCs/>
          <w:szCs w:val="20"/>
        </w:rPr>
        <w:t>2</w:t>
      </w:r>
      <w:r w:rsidR="00790828" w:rsidRPr="00F60034">
        <w:rPr>
          <w:rFonts w:ascii="Arial" w:hAnsi="Arial" w:cs="Arial"/>
          <w:b/>
          <w:bCs/>
          <w:szCs w:val="20"/>
        </w:rPr>
        <w:t>.</w:t>
      </w:r>
      <w:r w:rsidR="00790828" w:rsidRPr="00F60034">
        <w:rPr>
          <w:rFonts w:ascii="Arial" w:hAnsi="Arial" w:cs="Arial"/>
          <w:b/>
          <w:bCs/>
          <w:szCs w:val="20"/>
        </w:rPr>
        <w:tab/>
        <w:t>Significant Accounting Policies</w:t>
      </w:r>
    </w:p>
    <w:p w14:paraId="70E98818" w14:textId="77777777" w:rsidR="00F15B99" w:rsidRPr="00F60034"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p>
    <w:p w14:paraId="59F35252" w14:textId="604094CF" w:rsidR="00790828" w:rsidRPr="00F60034" w:rsidRDefault="00790828" w:rsidP="00F15B99">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sidR="007619C6">
        <w:rPr>
          <w:rFonts w:ascii="Arial" w:hAnsi="Arial" w:cs="Arial"/>
          <w:szCs w:val="20"/>
        </w:rPr>
        <w:t>Compliance</w:t>
      </w:r>
    </w:p>
    <w:p w14:paraId="186984F3"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266CA0A" w14:textId="5C368E7A" w:rsidR="00F50FAA" w:rsidRDefault="00F50FAA"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1203C9">
        <w:rPr>
          <w:rFonts w:ascii="Arial" w:hAnsi="Arial" w:cs="Arial"/>
          <w:szCs w:val="20"/>
        </w:rPr>
        <w:t>These</w:t>
      </w:r>
      <w:r>
        <w:rPr>
          <w:rFonts w:ascii="Arial" w:hAnsi="Arial" w:cs="Arial"/>
          <w:szCs w:val="20"/>
        </w:rPr>
        <w:t xml:space="preserve"> </w:t>
      </w:r>
      <w:r w:rsidR="00413445">
        <w:rPr>
          <w:rFonts w:ascii="Arial" w:hAnsi="Arial" w:cs="Arial"/>
          <w:szCs w:val="20"/>
        </w:rPr>
        <w:t>condensed consolidated interim financial statements</w:t>
      </w:r>
      <w:r>
        <w:rPr>
          <w:rFonts w:ascii="Arial" w:hAnsi="Arial" w:cs="Arial"/>
          <w:szCs w:val="20"/>
        </w:rPr>
        <w:t xml:space="preserve"> </w:t>
      </w:r>
      <w:r w:rsidRPr="001203C9">
        <w:rPr>
          <w:rFonts w:ascii="Arial" w:hAnsi="Arial" w:cs="Arial"/>
          <w:szCs w:val="20"/>
        </w:rPr>
        <w:t>have been prepared in accordance with International Financial Reporting Standards (“IFRS”) issued by the International Accounting Standards Board (“IASB”) and interpretations of the IFRS Interpretations Committee.</w:t>
      </w:r>
    </w:p>
    <w:p w14:paraId="45632443" w14:textId="77777777" w:rsidR="00F50FAA" w:rsidRDefault="00F50FAA"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43620BA9" w14:textId="040B1FCA" w:rsidR="00F50FAA" w:rsidRDefault="00F50FAA"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BD0602">
        <w:rPr>
          <w:rFonts w:ascii="Arial" w:hAnsi="Arial" w:cs="Arial"/>
          <w:szCs w:val="20"/>
        </w:rPr>
        <w:t xml:space="preserve">These </w:t>
      </w:r>
      <w:r w:rsidR="00413445">
        <w:rPr>
          <w:rFonts w:ascii="Arial" w:hAnsi="Arial" w:cs="Arial"/>
          <w:szCs w:val="20"/>
        </w:rPr>
        <w:t xml:space="preserve">condensed consolidated interim financial statements </w:t>
      </w:r>
      <w:r w:rsidR="001B6EF5">
        <w:rPr>
          <w:rFonts w:ascii="Arial" w:hAnsi="Arial" w:cs="Arial"/>
          <w:szCs w:val="20"/>
        </w:rPr>
        <w:t xml:space="preserve">are unaudited and </w:t>
      </w:r>
      <w:r w:rsidRPr="00BD0602">
        <w:rPr>
          <w:rFonts w:ascii="Arial" w:hAnsi="Arial" w:cs="Arial"/>
          <w:szCs w:val="20"/>
        </w:rPr>
        <w:t xml:space="preserve">have been prepared in accordance with </w:t>
      </w:r>
      <w:r w:rsidR="001B6EF5">
        <w:rPr>
          <w:rFonts w:ascii="Arial" w:hAnsi="Arial" w:cs="Arial"/>
          <w:szCs w:val="20"/>
        </w:rPr>
        <w:t>International Accounting Standards (“IAS”) 34</w:t>
      </w:r>
      <w:r w:rsidR="0018633A">
        <w:rPr>
          <w:rFonts w:ascii="Arial" w:hAnsi="Arial" w:cs="Arial"/>
          <w:szCs w:val="20"/>
        </w:rPr>
        <w:t>,</w:t>
      </w:r>
      <w:r w:rsidR="001B6EF5">
        <w:rPr>
          <w:rFonts w:ascii="Arial" w:hAnsi="Arial" w:cs="Arial"/>
          <w:szCs w:val="20"/>
        </w:rPr>
        <w:t xml:space="preserve"> </w:t>
      </w:r>
      <w:r w:rsidR="001B6EF5" w:rsidRPr="0018633A">
        <w:rPr>
          <w:rFonts w:ascii="Arial" w:hAnsi="Arial" w:cs="Arial"/>
          <w:szCs w:val="20"/>
        </w:rPr>
        <w:t>Interim Financial Reporting,</w:t>
      </w:r>
      <w:r w:rsidR="001B6EF5">
        <w:rPr>
          <w:rFonts w:ascii="Arial" w:hAnsi="Arial" w:cs="Arial"/>
          <w:szCs w:val="20"/>
        </w:rPr>
        <w:t xml:space="preserve"> using accounting policies which are consistent with IFRS as issued by the IASB.  They do not include </w:t>
      </w:r>
      <w:proofErr w:type="gramStart"/>
      <w:r w:rsidR="001B6EF5">
        <w:rPr>
          <w:rFonts w:ascii="Arial" w:hAnsi="Arial" w:cs="Arial"/>
          <w:szCs w:val="20"/>
        </w:rPr>
        <w:t>all of</w:t>
      </w:r>
      <w:proofErr w:type="gramEnd"/>
      <w:r w:rsidR="001B6EF5">
        <w:rPr>
          <w:rFonts w:ascii="Arial" w:hAnsi="Arial" w:cs="Arial"/>
          <w:szCs w:val="20"/>
        </w:rPr>
        <w:t xml:space="preserve"> the information required for full annual consolidated financial statements in compliance with </w:t>
      </w:r>
      <w:r w:rsidR="001B6EF5" w:rsidRPr="0018633A">
        <w:rPr>
          <w:rFonts w:ascii="Arial" w:hAnsi="Arial" w:cs="Arial"/>
          <w:szCs w:val="20"/>
        </w:rPr>
        <w:t>IAS 1</w:t>
      </w:r>
      <w:r w:rsidR="0018633A" w:rsidRPr="0018633A">
        <w:rPr>
          <w:rFonts w:ascii="Arial" w:hAnsi="Arial" w:cs="Arial"/>
          <w:szCs w:val="20"/>
        </w:rPr>
        <w:t>,</w:t>
      </w:r>
      <w:r w:rsidR="001B6EF5" w:rsidRPr="0018633A">
        <w:rPr>
          <w:rFonts w:ascii="Arial" w:hAnsi="Arial" w:cs="Arial"/>
          <w:szCs w:val="20"/>
        </w:rPr>
        <w:t xml:space="preserve"> Presentation of Financial Statements.</w:t>
      </w:r>
    </w:p>
    <w:p w14:paraId="2E147163"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5CD4E2A3" w14:textId="0FD6C4A3" w:rsidR="007619C6" w:rsidRDefault="001B6EF5"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 xml:space="preserve">These condensed consolidated interim financial statements follow the same accounting policies and methods of application as the most recent annual audited consolidated financial statements for the year ended January 31, 2020 and should be read in conjunction with those audited consolidated financial statements.  </w:t>
      </w:r>
      <w:r w:rsidR="007619C6" w:rsidRPr="009358AC">
        <w:rPr>
          <w:rFonts w:ascii="Arial" w:hAnsi="Arial" w:cs="Arial"/>
          <w:szCs w:val="20"/>
        </w:rPr>
        <w:t xml:space="preserve">These </w:t>
      </w:r>
      <w:r w:rsidR="00413445">
        <w:rPr>
          <w:rFonts w:ascii="Arial" w:hAnsi="Arial" w:cs="Arial"/>
          <w:szCs w:val="20"/>
        </w:rPr>
        <w:t>condensed consolidated interim financial statements</w:t>
      </w:r>
      <w:r w:rsidR="007619C6" w:rsidRPr="009358AC">
        <w:rPr>
          <w:rFonts w:ascii="Arial" w:hAnsi="Arial" w:cs="Arial"/>
          <w:szCs w:val="20"/>
        </w:rPr>
        <w:t xml:space="preserve"> were approved by the Board of Directors</w:t>
      </w:r>
      <w:r w:rsidR="007619C6">
        <w:rPr>
          <w:rFonts w:ascii="Arial" w:hAnsi="Arial" w:cs="Arial"/>
          <w:szCs w:val="20"/>
        </w:rPr>
        <w:t xml:space="preserve"> </w:t>
      </w:r>
      <w:r w:rsidR="007619C6" w:rsidRPr="009358AC">
        <w:rPr>
          <w:rFonts w:ascii="Arial" w:hAnsi="Arial" w:cs="Arial"/>
          <w:szCs w:val="20"/>
        </w:rPr>
        <w:t xml:space="preserve">and authorized for issue on </w:t>
      </w:r>
      <w:r w:rsidR="00257809">
        <w:rPr>
          <w:rFonts w:ascii="Arial" w:hAnsi="Arial" w:cs="Arial"/>
          <w:szCs w:val="20"/>
        </w:rPr>
        <w:t xml:space="preserve">June </w:t>
      </w:r>
      <w:r w:rsidR="0032772B">
        <w:rPr>
          <w:rFonts w:ascii="Arial" w:hAnsi="Arial" w:cs="Arial"/>
          <w:szCs w:val="20"/>
        </w:rPr>
        <w:t>29</w:t>
      </w:r>
      <w:r w:rsidR="00F50FAA">
        <w:rPr>
          <w:rFonts w:ascii="Arial" w:hAnsi="Arial" w:cs="Arial"/>
          <w:szCs w:val="20"/>
        </w:rPr>
        <w:t>, 2020</w:t>
      </w:r>
      <w:r w:rsidR="007619C6">
        <w:rPr>
          <w:rFonts w:ascii="Arial" w:hAnsi="Arial" w:cs="Arial"/>
          <w:szCs w:val="20"/>
        </w:rPr>
        <w:t>.</w:t>
      </w:r>
    </w:p>
    <w:p w14:paraId="214423D3" w14:textId="31B026E0"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9C8DAD4" w14:textId="77777777" w:rsidR="00413445" w:rsidRPr="00F60034" w:rsidRDefault="00413445" w:rsidP="00413445">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Pr>
          <w:rFonts w:ascii="Arial" w:hAnsi="Arial" w:cs="Arial"/>
          <w:szCs w:val="20"/>
        </w:rPr>
        <w:t>Measurement and Presentation</w:t>
      </w:r>
    </w:p>
    <w:p w14:paraId="497FC05F" w14:textId="77777777" w:rsidR="00413445" w:rsidRDefault="00413445" w:rsidP="00413445">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4503CFAF" w14:textId="77777777" w:rsidR="00413445" w:rsidRDefault="00413445" w:rsidP="00413445">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 xml:space="preserve">These condensed consolidated interim financial statements </w:t>
      </w:r>
      <w:r w:rsidRPr="00D936B8">
        <w:rPr>
          <w:rFonts w:ascii="Arial" w:hAnsi="Arial" w:cs="Arial"/>
          <w:szCs w:val="20"/>
        </w:rPr>
        <w:t>have been prepared on a historical cost basis, except for</w:t>
      </w:r>
      <w:r>
        <w:rPr>
          <w:rFonts w:ascii="Arial" w:hAnsi="Arial" w:cs="Arial"/>
          <w:szCs w:val="20"/>
        </w:rPr>
        <w:t xml:space="preserve"> </w:t>
      </w:r>
      <w:r w:rsidRPr="00D936B8">
        <w:rPr>
          <w:rFonts w:ascii="Arial" w:hAnsi="Arial" w:cs="Arial"/>
          <w:szCs w:val="20"/>
        </w:rPr>
        <w:t>cash and financial instruments classified as fair value through profit or loss that</w:t>
      </w:r>
      <w:r>
        <w:rPr>
          <w:rFonts w:ascii="Arial" w:hAnsi="Arial" w:cs="Arial"/>
          <w:szCs w:val="20"/>
        </w:rPr>
        <w:t xml:space="preserve"> </w:t>
      </w:r>
      <w:r w:rsidRPr="00D936B8">
        <w:rPr>
          <w:rFonts w:ascii="Arial" w:hAnsi="Arial" w:cs="Arial"/>
          <w:szCs w:val="20"/>
        </w:rPr>
        <w:t xml:space="preserve">have been measured at fair </w:t>
      </w:r>
      <w:proofErr w:type="gramStart"/>
      <w:r w:rsidRPr="00D936B8">
        <w:rPr>
          <w:rFonts w:ascii="Arial" w:hAnsi="Arial" w:cs="Arial"/>
          <w:szCs w:val="20"/>
        </w:rPr>
        <w:t>value</w:t>
      </w:r>
      <w:r>
        <w:rPr>
          <w:rFonts w:ascii="Arial" w:hAnsi="Arial" w:cs="Arial"/>
          <w:szCs w:val="20"/>
        </w:rPr>
        <w:t>,</w:t>
      </w:r>
      <w:r w:rsidRPr="00D936B8">
        <w:rPr>
          <w:rFonts w:ascii="Arial" w:hAnsi="Arial" w:cs="Arial"/>
          <w:szCs w:val="20"/>
        </w:rPr>
        <w:t xml:space="preserve"> and</w:t>
      </w:r>
      <w:proofErr w:type="gramEnd"/>
      <w:r w:rsidRPr="00D936B8">
        <w:rPr>
          <w:rFonts w:ascii="Arial" w:hAnsi="Arial" w:cs="Arial"/>
          <w:szCs w:val="20"/>
        </w:rPr>
        <w:t xml:space="preserve"> are presented in </w:t>
      </w:r>
      <w:r>
        <w:rPr>
          <w:rFonts w:ascii="Arial" w:hAnsi="Arial" w:cs="Arial"/>
          <w:szCs w:val="20"/>
        </w:rPr>
        <w:t>Canadian</w:t>
      </w:r>
      <w:r w:rsidRPr="00D936B8">
        <w:rPr>
          <w:rFonts w:ascii="Arial" w:hAnsi="Arial" w:cs="Arial"/>
          <w:szCs w:val="20"/>
        </w:rPr>
        <w:t xml:space="preserve"> dollars</w:t>
      </w:r>
      <w:r>
        <w:rPr>
          <w:rFonts w:ascii="Arial" w:hAnsi="Arial" w:cs="Arial"/>
          <w:szCs w:val="20"/>
        </w:rPr>
        <w:t>.</w:t>
      </w:r>
    </w:p>
    <w:p w14:paraId="2DD0582A" w14:textId="77777777" w:rsidR="006F2161" w:rsidRDefault="006F2161">
      <w:pPr>
        <w:rPr>
          <w:rFonts w:ascii="Arial" w:hAnsi="Arial" w:cs="Arial"/>
          <w:b/>
          <w:bCs/>
          <w:szCs w:val="20"/>
        </w:rPr>
      </w:pPr>
      <w:r>
        <w:rPr>
          <w:rFonts w:ascii="Arial" w:hAnsi="Arial" w:cs="Arial"/>
          <w:b/>
          <w:bCs/>
          <w:szCs w:val="20"/>
        </w:rPr>
        <w:br w:type="page"/>
      </w:r>
    </w:p>
    <w:p w14:paraId="488BC084" w14:textId="3465508F" w:rsidR="006F2161" w:rsidRPr="00F60034" w:rsidRDefault="006F2161" w:rsidP="006F2161">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DD03B9C" w14:textId="77777777" w:rsidR="006F2161" w:rsidRDefault="006F2161"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0F495860" w14:textId="77777777" w:rsidR="000645D8" w:rsidRPr="000645D8" w:rsidRDefault="000645D8" w:rsidP="00F15B99">
      <w:pPr>
        <w:pStyle w:val="ListParagraph"/>
        <w:numPr>
          <w:ilvl w:val="0"/>
          <w:numId w:val="20"/>
        </w:numPr>
        <w:tabs>
          <w:tab w:val="left" w:pos="810"/>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jc w:val="both"/>
        <w:rPr>
          <w:rFonts w:ascii="Arial" w:hAnsi="Arial" w:cs="Arial"/>
          <w:szCs w:val="20"/>
        </w:rPr>
      </w:pPr>
      <w:r>
        <w:rPr>
          <w:rFonts w:ascii="Arial" w:hAnsi="Arial" w:cs="Arial"/>
          <w:szCs w:val="20"/>
        </w:rPr>
        <w:t>Basis of Consolidation</w:t>
      </w:r>
    </w:p>
    <w:p w14:paraId="46B08D95" w14:textId="396DC024"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2"/>
        <w:jc w:val="both"/>
        <w:rPr>
          <w:rFonts w:ascii="Arial" w:hAnsi="Arial" w:cs="Arial"/>
          <w:szCs w:val="20"/>
        </w:rPr>
      </w:pPr>
    </w:p>
    <w:p w14:paraId="1E7CD7B5" w14:textId="3E4337E1" w:rsidR="00F15B99"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Pr>
          <w:rFonts w:ascii="Arial" w:hAnsi="Arial" w:cs="Arial"/>
          <w:szCs w:val="20"/>
        </w:rPr>
        <w:t xml:space="preserve">The </w:t>
      </w:r>
      <w:r w:rsidR="00413445">
        <w:rPr>
          <w:rFonts w:ascii="Arial" w:hAnsi="Arial" w:cs="Arial"/>
          <w:szCs w:val="20"/>
        </w:rPr>
        <w:t xml:space="preserve">condensed consolidated interim financial statements </w:t>
      </w:r>
      <w:r>
        <w:rPr>
          <w:rFonts w:ascii="Arial" w:hAnsi="Arial" w:cs="Arial"/>
          <w:szCs w:val="20"/>
        </w:rPr>
        <w:t xml:space="preserve">incorporate the financial statements of the Company and entities controlled by the Company.  Control is achieved where the Company has the power to govern the financial and operating policies of an entity </w:t>
      </w:r>
      <w:proofErr w:type="gramStart"/>
      <w:r>
        <w:rPr>
          <w:rFonts w:ascii="Arial" w:hAnsi="Arial" w:cs="Arial"/>
          <w:szCs w:val="20"/>
        </w:rPr>
        <w:t>so as to</w:t>
      </w:r>
      <w:proofErr w:type="gramEnd"/>
      <w:r>
        <w:rPr>
          <w:rFonts w:ascii="Arial" w:hAnsi="Arial" w:cs="Arial"/>
          <w:szCs w:val="20"/>
        </w:rPr>
        <w:t xml:space="preserve"> obtain benefits from its activities.  </w:t>
      </w:r>
    </w:p>
    <w:p w14:paraId="6862564B" w14:textId="77777777"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p w14:paraId="0BD01266" w14:textId="6636CDC0" w:rsidR="000645D8"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sidRPr="00DE2D61">
        <w:rPr>
          <w:rFonts w:ascii="Arial" w:hAnsi="Arial" w:cs="Arial"/>
          <w:szCs w:val="20"/>
        </w:rPr>
        <w:t>The consolidating entities include:</w:t>
      </w:r>
    </w:p>
    <w:p w14:paraId="5F8024BA" w14:textId="77777777" w:rsidR="006F2161" w:rsidRDefault="006F2161"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tbl>
      <w:tblPr>
        <w:tblW w:w="8280" w:type="dxa"/>
        <w:tblInd w:w="990" w:type="dxa"/>
        <w:tblLayout w:type="fixed"/>
        <w:tblCellMar>
          <w:left w:w="0" w:type="dxa"/>
          <w:right w:w="0" w:type="dxa"/>
        </w:tblCellMar>
        <w:tblLook w:val="0000" w:firstRow="0" w:lastRow="0" w:firstColumn="0" w:lastColumn="0" w:noHBand="0" w:noVBand="0"/>
      </w:tblPr>
      <w:tblGrid>
        <w:gridCol w:w="5490"/>
        <w:gridCol w:w="1530"/>
        <w:gridCol w:w="1260"/>
      </w:tblGrid>
      <w:tr w:rsidR="00D960D2" w:rsidRPr="00F60034" w14:paraId="4923AA40" w14:textId="77777777" w:rsidTr="006F2161">
        <w:tc>
          <w:tcPr>
            <w:tcW w:w="5490" w:type="dxa"/>
            <w:tcBorders>
              <w:top w:val="nil"/>
              <w:left w:val="nil"/>
              <w:bottom w:val="single" w:sz="4" w:space="0" w:color="auto"/>
            </w:tcBorders>
            <w:vAlign w:val="bottom"/>
          </w:tcPr>
          <w:p w14:paraId="485E9D62" w14:textId="77777777" w:rsidR="00D960D2" w:rsidRPr="00F60034" w:rsidRDefault="00D960D2" w:rsidP="00F15B99">
            <w:pPr>
              <w:spacing w:after="0" w:line="240" w:lineRule="auto"/>
              <w:rPr>
                <w:rFonts w:ascii="Arial" w:hAnsi="Arial" w:cs="Arial"/>
                <w:szCs w:val="20"/>
              </w:rPr>
            </w:pPr>
            <w:r w:rsidRPr="00F60034">
              <w:rPr>
                <w:rFonts w:ascii="Arial" w:hAnsi="Arial" w:cs="Arial"/>
                <w:b/>
                <w:bCs/>
                <w:szCs w:val="20"/>
              </w:rPr>
              <w:tab/>
            </w:r>
          </w:p>
        </w:tc>
        <w:tc>
          <w:tcPr>
            <w:tcW w:w="1530" w:type="dxa"/>
            <w:tcBorders>
              <w:top w:val="nil"/>
              <w:left w:val="nil"/>
              <w:bottom w:val="single" w:sz="4" w:space="0" w:color="auto"/>
              <w:right w:val="nil"/>
            </w:tcBorders>
            <w:vAlign w:val="bottom"/>
          </w:tcPr>
          <w:p w14:paraId="70C899A2"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 of ownership</w:t>
            </w:r>
          </w:p>
        </w:tc>
        <w:tc>
          <w:tcPr>
            <w:tcW w:w="1260" w:type="dxa"/>
            <w:tcBorders>
              <w:top w:val="nil"/>
              <w:left w:val="nil"/>
              <w:bottom w:val="single" w:sz="4" w:space="0" w:color="auto"/>
              <w:right w:val="nil"/>
            </w:tcBorders>
            <w:vAlign w:val="bottom"/>
          </w:tcPr>
          <w:p w14:paraId="5ABABE4E"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Jurisdiction</w:t>
            </w:r>
          </w:p>
        </w:tc>
      </w:tr>
      <w:tr w:rsidR="00D960D2" w:rsidRPr="00F60034" w14:paraId="7C26C2B7" w14:textId="77777777" w:rsidTr="006F2161">
        <w:trPr>
          <w:trHeight w:hRule="exact" w:val="113"/>
        </w:trPr>
        <w:tc>
          <w:tcPr>
            <w:tcW w:w="5490" w:type="dxa"/>
            <w:tcBorders>
              <w:top w:val="single" w:sz="4" w:space="0" w:color="auto"/>
              <w:left w:val="nil"/>
            </w:tcBorders>
            <w:vAlign w:val="bottom"/>
          </w:tcPr>
          <w:p w14:paraId="78473303"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5E7CEB28" w14:textId="77777777" w:rsidR="00D960D2" w:rsidRPr="00F60034" w:rsidRDefault="00D960D2" w:rsidP="00F15B99">
            <w:pPr>
              <w:spacing w:after="0" w:line="240" w:lineRule="auto"/>
              <w:ind w:right="369"/>
              <w:jc w:val="right"/>
              <w:rPr>
                <w:rFonts w:ascii="Arial" w:hAnsi="Arial" w:cs="Arial"/>
                <w:szCs w:val="20"/>
              </w:rPr>
            </w:pPr>
          </w:p>
        </w:tc>
        <w:tc>
          <w:tcPr>
            <w:tcW w:w="1260" w:type="dxa"/>
            <w:tcBorders>
              <w:top w:val="single" w:sz="4" w:space="0" w:color="auto"/>
              <w:left w:val="nil"/>
              <w:right w:val="nil"/>
            </w:tcBorders>
            <w:vAlign w:val="bottom"/>
          </w:tcPr>
          <w:p w14:paraId="79563B1D" w14:textId="77777777" w:rsidR="00D960D2" w:rsidRPr="00F60034" w:rsidRDefault="00D960D2" w:rsidP="00F15B99">
            <w:pPr>
              <w:spacing w:after="0" w:line="240" w:lineRule="auto"/>
              <w:ind w:right="369"/>
              <w:jc w:val="right"/>
              <w:rPr>
                <w:rFonts w:ascii="Arial" w:hAnsi="Arial" w:cs="Arial"/>
                <w:szCs w:val="20"/>
              </w:rPr>
            </w:pPr>
          </w:p>
        </w:tc>
      </w:tr>
      <w:tr w:rsidR="00D960D2" w:rsidRPr="00F60034" w14:paraId="56AB5709" w14:textId="77777777" w:rsidTr="006F2161">
        <w:tc>
          <w:tcPr>
            <w:tcW w:w="5490" w:type="dxa"/>
            <w:tcBorders>
              <w:left w:val="nil"/>
            </w:tcBorders>
            <w:vAlign w:val="bottom"/>
          </w:tcPr>
          <w:p w14:paraId="7608D7FE" w14:textId="7B22733C" w:rsidR="00D960D2" w:rsidRPr="00F60034" w:rsidRDefault="003E3602" w:rsidP="006F2161">
            <w:pPr>
              <w:spacing w:after="0" w:line="240" w:lineRule="auto"/>
              <w:rPr>
                <w:rFonts w:ascii="Arial" w:hAnsi="Arial" w:cs="Arial"/>
                <w:szCs w:val="20"/>
              </w:rPr>
            </w:pPr>
            <w:r>
              <w:rPr>
                <w:rFonts w:ascii="Arial" w:hAnsi="Arial" w:cs="Arial"/>
                <w:szCs w:val="20"/>
              </w:rPr>
              <w:t>BetterLife Pharma Inc.</w:t>
            </w:r>
          </w:p>
        </w:tc>
        <w:tc>
          <w:tcPr>
            <w:tcW w:w="1530" w:type="dxa"/>
            <w:tcBorders>
              <w:left w:val="nil"/>
              <w:right w:val="nil"/>
            </w:tcBorders>
            <w:vAlign w:val="bottom"/>
          </w:tcPr>
          <w:p w14:paraId="4C5332AB"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Parent</w:t>
            </w:r>
          </w:p>
        </w:tc>
        <w:tc>
          <w:tcPr>
            <w:tcW w:w="1260" w:type="dxa"/>
            <w:tcBorders>
              <w:left w:val="nil"/>
              <w:right w:val="nil"/>
            </w:tcBorders>
            <w:vAlign w:val="bottom"/>
          </w:tcPr>
          <w:p w14:paraId="2ECBACA7" w14:textId="77777777" w:rsidR="00D960D2" w:rsidRPr="00F60034" w:rsidRDefault="00D960D2" w:rsidP="006F2161">
            <w:pPr>
              <w:spacing w:after="0" w:line="240" w:lineRule="auto"/>
              <w:jc w:val="center"/>
              <w:rPr>
                <w:rFonts w:ascii="Arial" w:hAnsi="Arial" w:cs="Arial"/>
                <w:szCs w:val="20"/>
              </w:rPr>
            </w:pPr>
            <w:r>
              <w:rPr>
                <w:rFonts w:ascii="Arial" w:hAnsi="Arial" w:cs="Arial"/>
                <w:szCs w:val="20"/>
              </w:rPr>
              <w:t>Canada</w:t>
            </w:r>
          </w:p>
        </w:tc>
      </w:tr>
      <w:tr w:rsidR="003E3602" w:rsidRPr="00F60034" w14:paraId="1E99966E" w14:textId="77777777" w:rsidTr="006F2161">
        <w:tc>
          <w:tcPr>
            <w:tcW w:w="5490" w:type="dxa"/>
            <w:tcBorders>
              <w:left w:val="nil"/>
            </w:tcBorders>
            <w:vAlign w:val="bottom"/>
          </w:tcPr>
          <w:p w14:paraId="2F573B33" w14:textId="0D82CE08" w:rsidR="003E3602" w:rsidRDefault="003E3602" w:rsidP="00F15B99">
            <w:pPr>
              <w:spacing w:after="0" w:line="240" w:lineRule="auto"/>
              <w:rPr>
                <w:rFonts w:ascii="Arial" w:hAnsi="Arial" w:cs="Arial"/>
                <w:szCs w:val="20"/>
              </w:rPr>
            </w:pPr>
            <w:r>
              <w:rPr>
                <w:rFonts w:ascii="Arial" w:hAnsi="Arial" w:cs="Arial"/>
                <w:szCs w:val="20"/>
              </w:rPr>
              <w:t>Pivot Pharmaceuticals Manufacturing Corp.</w:t>
            </w:r>
          </w:p>
        </w:tc>
        <w:tc>
          <w:tcPr>
            <w:tcW w:w="1530" w:type="dxa"/>
            <w:tcBorders>
              <w:left w:val="nil"/>
              <w:right w:val="nil"/>
            </w:tcBorders>
            <w:vAlign w:val="bottom"/>
          </w:tcPr>
          <w:p w14:paraId="4086D012" w14:textId="56361CA6" w:rsidR="003E3602" w:rsidRDefault="003E3602"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0EE91364" w14:textId="4AD1AF05" w:rsidR="003E3602" w:rsidRDefault="003E3602" w:rsidP="006F2161">
            <w:pPr>
              <w:spacing w:after="0" w:line="240" w:lineRule="auto"/>
              <w:jc w:val="center"/>
              <w:rPr>
                <w:rFonts w:ascii="Arial" w:hAnsi="Arial" w:cs="Arial"/>
                <w:szCs w:val="20"/>
              </w:rPr>
            </w:pPr>
            <w:r>
              <w:rPr>
                <w:rFonts w:ascii="Arial" w:hAnsi="Arial" w:cs="Arial"/>
                <w:szCs w:val="20"/>
              </w:rPr>
              <w:t>Canada</w:t>
            </w:r>
          </w:p>
        </w:tc>
      </w:tr>
      <w:tr w:rsidR="003E3602" w:rsidRPr="00F60034" w14:paraId="4258EDEB" w14:textId="77777777" w:rsidTr="006F2161">
        <w:tc>
          <w:tcPr>
            <w:tcW w:w="5490" w:type="dxa"/>
            <w:tcBorders>
              <w:left w:val="nil"/>
            </w:tcBorders>
            <w:vAlign w:val="bottom"/>
          </w:tcPr>
          <w:p w14:paraId="1B70270D" w14:textId="17D4A0C6" w:rsidR="003E3602" w:rsidRDefault="00A5270C" w:rsidP="00F15B99">
            <w:pPr>
              <w:spacing w:after="0" w:line="240" w:lineRule="auto"/>
              <w:rPr>
                <w:rFonts w:ascii="Arial" w:hAnsi="Arial" w:cs="Arial"/>
                <w:szCs w:val="20"/>
              </w:rPr>
            </w:pPr>
            <w:r>
              <w:rPr>
                <w:rFonts w:ascii="Arial" w:hAnsi="Arial" w:cs="Arial"/>
                <w:szCs w:val="20"/>
              </w:rPr>
              <w:t>BetterLife Pharma US Inc.</w:t>
            </w:r>
          </w:p>
        </w:tc>
        <w:tc>
          <w:tcPr>
            <w:tcW w:w="1530" w:type="dxa"/>
            <w:tcBorders>
              <w:left w:val="nil"/>
              <w:right w:val="nil"/>
            </w:tcBorders>
            <w:vAlign w:val="bottom"/>
          </w:tcPr>
          <w:p w14:paraId="3896D5FF" w14:textId="0FDAD72F" w:rsidR="003E3602" w:rsidRDefault="003E3602"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0D9C5AED" w14:textId="07E5CB99" w:rsidR="003E3602" w:rsidRDefault="003E3602" w:rsidP="006F2161">
            <w:pPr>
              <w:spacing w:after="0" w:line="240" w:lineRule="auto"/>
              <w:jc w:val="center"/>
              <w:rPr>
                <w:rFonts w:ascii="Arial" w:hAnsi="Arial" w:cs="Arial"/>
                <w:szCs w:val="20"/>
              </w:rPr>
            </w:pPr>
            <w:r>
              <w:rPr>
                <w:rFonts w:ascii="Arial" w:hAnsi="Arial" w:cs="Arial"/>
                <w:szCs w:val="20"/>
              </w:rPr>
              <w:t>U.S.A.</w:t>
            </w:r>
          </w:p>
        </w:tc>
      </w:tr>
      <w:tr w:rsidR="009358AC" w:rsidRPr="00F60034" w14:paraId="618F9F20" w14:textId="77777777" w:rsidTr="006F2161">
        <w:tc>
          <w:tcPr>
            <w:tcW w:w="5490" w:type="dxa"/>
            <w:tcBorders>
              <w:left w:val="nil"/>
            </w:tcBorders>
            <w:vAlign w:val="bottom"/>
          </w:tcPr>
          <w:p w14:paraId="1C8C058B" w14:textId="39D6F10F" w:rsidR="009358AC" w:rsidRDefault="009358AC" w:rsidP="00F15B99">
            <w:pPr>
              <w:spacing w:after="0" w:line="240" w:lineRule="auto"/>
              <w:rPr>
                <w:rFonts w:ascii="Arial" w:hAnsi="Arial" w:cs="Arial"/>
                <w:szCs w:val="20"/>
              </w:rPr>
            </w:pPr>
            <w:r>
              <w:rPr>
                <w:rFonts w:ascii="Arial" w:hAnsi="Arial" w:cs="Arial"/>
                <w:szCs w:val="20"/>
              </w:rPr>
              <w:t>Pivot Naturals, LLC</w:t>
            </w:r>
            <w:r w:rsidR="00413445">
              <w:rPr>
                <w:rFonts w:ascii="Arial" w:hAnsi="Arial" w:cs="Arial"/>
                <w:szCs w:val="20"/>
              </w:rPr>
              <w:t xml:space="preserve"> (divested February 2020)</w:t>
            </w:r>
          </w:p>
        </w:tc>
        <w:tc>
          <w:tcPr>
            <w:tcW w:w="1530" w:type="dxa"/>
            <w:tcBorders>
              <w:left w:val="nil"/>
              <w:right w:val="nil"/>
            </w:tcBorders>
            <w:vAlign w:val="bottom"/>
          </w:tcPr>
          <w:p w14:paraId="42BD57C6" w14:textId="10BC8A8F"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74DD1C32" w14:textId="6D3476C0" w:rsidR="009358AC" w:rsidRDefault="009358AC" w:rsidP="006F2161">
            <w:pPr>
              <w:spacing w:after="0" w:line="240" w:lineRule="auto"/>
              <w:jc w:val="center"/>
              <w:rPr>
                <w:rFonts w:ascii="Arial" w:hAnsi="Arial" w:cs="Arial"/>
                <w:szCs w:val="20"/>
              </w:rPr>
            </w:pPr>
            <w:r>
              <w:rPr>
                <w:rFonts w:ascii="Arial" w:hAnsi="Arial" w:cs="Arial"/>
                <w:szCs w:val="20"/>
              </w:rPr>
              <w:t>U.S.A.</w:t>
            </w:r>
          </w:p>
        </w:tc>
      </w:tr>
      <w:tr w:rsidR="003E3602" w:rsidRPr="00F60034" w14:paraId="56EE635E" w14:textId="77777777" w:rsidTr="006F2161">
        <w:tc>
          <w:tcPr>
            <w:tcW w:w="5490" w:type="dxa"/>
            <w:tcBorders>
              <w:left w:val="nil"/>
            </w:tcBorders>
            <w:vAlign w:val="bottom"/>
          </w:tcPr>
          <w:p w14:paraId="38A59656" w14:textId="77777777" w:rsidR="003E3602" w:rsidRDefault="003E3602" w:rsidP="00B35340">
            <w:pPr>
              <w:spacing w:after="0" w:line="240" w:lineRule="auto"/>
              <w:rPr>
                <w:rFonts w:ascii="Arial" w:hAnsi="Arial" w:cs="Arial"/>
                <w:szCs w:val="20"/>
              </w:rPr>
            </w:pPr>
            <w:proofErr w:type="spellStart"/>
            <w:r>
              <w:rPr>
                <w:rFonts w:ascii="Arial" w:hAnsi="Arial" w:cs="Arial"/>
                <w:szCs w:val="20"/>
              </w:rPr>
              <w:t>Thrudermic</w:t>
            </w:r>
            <w:proofErr w:type="spellEnd"/>
            <w:r>
              <w:rPr>
                <w:rFonts w:ascii="Arial" w:hAnsi="Arial" w:cs="Arial"/>
                <w:szCs w:val="20"/>
              </w:rPr>
              <w:t>, LLC</w:t>
            </w:r>
          </w:p>
        </w:tc>
        <w:tc>
          <w:tcPr>
            <w:tcW w:w="1530" w:type="dxa"/>
            <w:tcBorders>
              <w:left w:val="nil"/>
              <w:right w:val="nil"/>
            </w:tcBorders>
            <w:vAlign w:val="bottom"/>
          </w:tcPr>
          <w:p w14:paraId="438544AC" w14:textId="77777777" w:rsidR="003E3602" w:rsidRDefault="003E3602" w:rsidP="00B35340">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6AA855BF" w14:textId="77777777" w:rsidR="003E3602" w:rsidRDefault="003E3602" w:rsidP="006F2161">
            <w:pPr>
              <w:spacing w:after="0" w:line="240" w:lineRule="auto"/>
              <w:jc w:val="center"/>
              <w:rPr>
                <w:rFonts w:ascii="Arial" w:hAnsi="Arial" w:cs="Arial"/>
                <w:szCs w:val="20"/>
              </w:rPr>
            </w:pPr>
            <w:r>
              <w:rPr>
                <w:rFonts w:ascii="Arial" w:hAnsi="Arial" w:cs="Arial"/>
                <w:szCs w:val="20"/>
              </w:rPr>
              <w:t>U.S.A.</w:t>
            </w:r>
          </w:p>
        </w:tc>
      </w:tr>
      <w:tr w:rsidR="009358AC" w:rsidRPr="00F60034" w14:paraId="03DE9E74" w14:textId="77777777" w:rsidTr="006F2161">
        <w:tc>
          <w:tcPr>
            <w:tcW w:w="5490" w:type="dxa"/>
            <w:tcBorders>
              <w:left w:val="nil"/>
            </w:tcBorders>
            <w:vAlign w:val="bottom"/>
          </w:tcPr>
          <w:p w14:paraId="6B0FD1CF" w14:textId="481ADC76" w:rsidR="009358AC" w:rsidRDefault="003E3602" w:rsidP="006F2161">
            <w:pPr>
              <w:spacing w:after="0" w:line="240" w:lineRule="auto"/>
              <w:rPr>
                <w:rFonts w:ascii="Arial" w:hAnsi="Arial" w:cs="Arial"/>
                <w:szCs w:val="20"/>
              </w:rPr>
            </w:pPr>
            <w:r>
              <w:rPr>
                <w:rFonts w:ascii="Arial" w:hAnsi="Arial" w:cs="Arial"/>
                <w:szCs w:val="20"/>
              </w:rPr>
              <w:t xml:space="preserve">Pivot </w:t>
            </w:r>
            <w:r w:rsidR="00DE2D61">
              <w:rPr>
                <w:rFonts w:ascii="Arial" w:hAnsi="Arial" w:cs="Arial"/>
                <w:szCs w:val="20"/>
              </w:rPr>
              <w:t xml:space="preserve">Europe </w:t>
            </w:r>
            <w:r>
              <w:rPr>
                <w:rFonts w:ascii="Arial" w:hAnsi="Arial" w:cs="Arial"/>
                <w:szCs w:val="20"/>
              </w:rPr>
              <w:t>Pharmaceuticals AG</w:t>
            </w:r>
          </w:p>
        </w:tc>
        <w:tc>
          <w:tcPr>
            <w:tcW w:w="1530" w:type="dxa"/>
            <w:tcBorders>
              <w:left w:val="nil"/>
              <w:right w:val="nil"/>
            </w:tcBorders>
            <w:vAlign w:val="bottom"/>
          </w:tcPr>
          <w:p w14:paraId="58F0E211" w14:textId="7FF8564A"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2C1D875C" w14:textId="2AA4E06E" w:rsidR="009358AC" w:rsidRDefault="003E3602" w:rsidP="006F2161">
            <w:pPr>
              <w:spacing w:after="0" w:line="240" w:lineRule="auto"/>
              <w:jc w:val="center"/>
              <w:rPr>
                <w:rFonts w:ascii="Arial" w:hAnsi="Arial" w:cs="Arial"/>
                <w:szCs w:val="20"/>
              </w:rPr>
            </w:pPr>
            <w:r>
              <w:rPr>
                <w:rFonts w:ascii="Arial" w:hAnsi="Arial" w:cs="Arial"/>
                <w:szCs w:val="20"/>
              </w:rPr>
              <w:t>Lichtenstein</w:t>
            </w:r>
          </w:p>
        </w:tc>
      </w:tr>
      <w:tr w:rsidR="00D960D2" w:rsidRPr="00F60034" w14:paraId="6F164956" w14:textId="77777777" w:rsidTr="006F2161">
        <w:trPr>
          <w:trHeight w:hRule="exact" w:val="86"/>
        </w:trPr>
        <w:tc>
          <w:tcPr>
            <w:tcW w:w="5490" w:type="dxa"/>
            <w:tcBorders>
              <w:top w:val="single" w:sz="4" w:space="0" w:color="auto"/>
              <w:left w:val="nil"/>
            </w:tcBorders>
            <w:vAlign w:val="bottom"/>
          </w:tcPr>
          <w:p w14:paraId="2F231431"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6FCA5DF6" w14:textId="77777777" w:rsidR="00D960D2" w:rsidRPr="00F60034" w:rsidRDefault="00D960D2" w:rsidP="00F15B99">
            <w:pPr>
              <w:spacing w:after="0" w:line="240" w:lineRule="auto"/>
              <w:ind w:right="173"/>
              <w:jc w:val="right"/>
              <w:rPr>
                <w:rFonts w:ascii="Arial" w:hAnsi="Arial" w:cs="Arial"/>
                <w:szCs w:val="20"/>
              </w:rPr>
            </w:pPr>
          </w:p>
        </w:tc>
        <w:tc>
          <w:tcPr>
            <w:tcW w:w="1260" w:type="dxa"/>
            <w:tcBorders>
              <w:top w:val="single" w:sz="4" w:space="0" w:color="auto"/>
              <w:left w:val="nil"/>
              <w:right w:val="nil"/>
            </w:tcBorders>
            <w:vAlign w:val="bottom"/>
          </w:tcPr>
          <w:p w14:paraId="41838F1E" w14:textId="77777777" w:rsidR="00D960D2" w:rsidRPr="00F60034" w:rsidRDefault="00D960D2" w:rsidP="00F15B99">
            <w:pPr>
              <w:spacing w:after="0" w:line="240" w:lineRule="auto"/>
              <w:ind w:right="173"/>
              <w:jc w:val="right"/>
              <w:rPr>
                <w:rFonts w:ascii="Arial" w:hAnsi="Arial" w:cs="Arial"/>
                <w:szCs w:val="20"/>
              </w:rPr>
            </w:pPr>
          </w:p>
        </w:tc>
      </w:tr>
    </w:tbl>
    <w:p w14:paraId="2D08374B" w14:textId="7777777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5282D4FE" w14:textId="77777777" w:rsidR="007619C6" w:rsidRPr="00F60034" w:rsidRDefault="007619C6"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Pr>
          <w:rFonts w:ascii="Arial" w:hAnsi="Arial" w:cs="Arial"/>
          <w:szCs w:val="20"/>
        </w:rPr>
        <w:t>Use of Estimates and Judgments</w:t>
      </w:r>
    </w:p>
    <w:p w14:paraId="003205DE"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168BA5BC" w14:textId="03E73F96" w:rsid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A30EE5">
        <w:rPr>
          <w:rFonts w:ascii="Arial" w:hAnsi="Arial" w:cs="Arial"/>
          <w:szCs w:val="20"/>
        </w:rPr>
        <w:t xml:space="preserve">The preparation of the </w:t>
      </w:r>
      <w:r w:rsidR="00413445">
        <w:rPr>
          <w:rFonts w:ascii="Arial" w:hAnsi="Arial" w:cs="Arial"/>
          <w:szCs w:val="20"/>
        </w:rPr>
        <w:t xml:space="preserve">condensed consolidated interim financial statements </w:t>
      </w:r>
      <w:r w:rsidRPr="00A30EE5">
        <w:rPr>
          <w:rFonts w:ascii="Arial" w:hAnsi="Arial" w:cs="Arial"/>
          <w:szCs w:val="20"/>
        </w:rPr>
        <w:t>in conformity with IFRS requires management to make judgments, estimates</w:t>
      </w:r>
      <w:r>
        <w:rPr>
          <w:rFonts w:ascii="Arial" w:hAnsi="Arial" w:cs="Arial"/>
          <w:szCs w:val="20"/>
        </w:rPr>
        <w:t xml:space="preserve"> </w:t>
      </w:r>
      <w:r w:rsidRPr="00A30EE5">
        <w:rPr>
          <w:rFonts w:ascii="Arial" w:hAnsi="Arial" w:cs="Arial"/>
          <w:szCs w:val="20"/>
        </w:rPr>
        <w:t xml:space="preserve">and assumptions that affect the application of accounting policies and the reported amounts of assets, liabilities, </w:t>
      </w:r>
      <w:proofErr w:type="gramStart"/>
      <w:r w:rsidRPr="00A30EE5">
        <w:rPr>
          <w:rFonts w:ascii="Arial" w:hAnsi="Arial" w:cs="Arial"/>
          <w:szCs w:val="20"/>
        </w:rPr>
        <w:t>income</w:t>
      </w:r>
      <w:proofErr w:type="gramEnd"/>
      <w:r w:rsidRPr="00A30EE5">
        <w:rPr>
          <w:rFonts w:ascii="Arial" w:hAnsi="Arial" w:cs="Arial"/>
          <w:szCs w:val="20"/>
        </w:rPr>
        <w:t xml:space="preserve"> and expenses.</w:t>
      </w:r>
      <w:r>
        <w:rPr>
          <w:rFonts w:ascii="Arial" w:hAnsi="Arial" w:cs="Arial"/>
          <w:szCs w:val="20"/>
        </w:rPr>
        <w:t xml:space="preserve"> </w:t>
      </w:r>
      <w:r w:rsidRPr="00A30EE5">
        <w:rPr>
          <w:rFonts w:ascii="Arial" w:hAnsi="Arial" w:cs="Arial"/>
          <w:szCs w:val="20"/>
        </w:rPr>
        <w:t>Actual results may differ from these estimates.</w:t>
      </w:r>
    </w:p>
    <w:p w14:paraId="399D8F41" w14:textId="77777777" w:rsidR="00A30EE5" w:rsidRP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5DD320BD" w14:textId="73A55F2E" w:rsid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A30EE5">
        <w:rPr>
          <w:rFonts w:ascii="Arial" w:hAnsi="Arial" w:cs="Arial"/>
          <w:szCs w:val="20"/>
        </w:rPr>
        <w:t>Estimates are based on management’s best knowledge of current events and actions that the Company may undertake in the future.</w:t>
      </w:r>
      <w:r>
        <w:rPr>
          <w:rFonts w:ascii="Arial" w:hAnsi="Arial" w:cs="Arial"/>
          <w:szCs w:val="20"/>
        </w:rPr>
        <w:t xml:space="preserve"> </w:t>
      </w:r>
      <w:r w:rsidRPr="00A30EE5">
        <w:rPr>
          <w:rFonts w:ascii="Arial" w:hAnsi="Arial" w:cs="Arial"/>
          <w:szCs w:val="20"/>
        </w:rPr>
        <w:t>Estimates and underlying assumptions are reviewed on an ongoing basis. Revisions to accounting estimates are recognized in the period</w:t>
      </w:r>
      <w:r>
        <w:rPr>
          <w:rFonts w:ascii="Arial" w:hAnsi="Arial" w:cs="Arial"/>
          <w:szCs w:val="20"/>
        </w:rPr>
        <w:t xml:space="preserve"> </w:t>
      </w:r>
      <w:r w:rsidRPr="00A30EE5">
        <w:rPr>
          <w:rFonts w:ascii="Arial" w:hAnsi="Arial" w:cs="Arial"/>
          <w:szCs w:val="20"/>
        </w:rPr>
        <w:t>in which the estimate is revised if the revision affects only that period, or in the period of the revision and future periods if the revision</w:t>
      </w:r>
      <w:r>
        <w:rPr>
          <w:rFonts w:ascii="Arial" w:hAnsi="Arial" w:cs="Arial"/>
          <w:szCs w:val="20"/>
        </w:rPr>
        <w:t xml:space="preserve"> </w:t>
      </w:r>
      <w:r w:rsidRPr="00A30EE5">
        <w:rPr>
          <w:rFonts w:ascii="Arial" w:hAnsi="Arial" w:cs="Arial"/>
          <w:szCs w:val="20"/>
        </w:rPr>
        <w:t>affects both current and future periods.</w:t>
      </w:r>
    </w:p>
    <w:p w14:paraId="2A415628" w14:textId="77777777" w:rsidR="00A30EE5" w:rsidRP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6FE87764" w14:textId="3FC19888" w:rsidR="007619C6" w:rsidRDefault="00A30EE5"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A30EE5">
        <w:rPr>
          <w:rFonts w:ascii="Arial" w:hAnsi="Arial" w:cs="Arial"/>
          <w:szCs w:val="20"/>
        </w:rPr>
        <w:t>The following are the critical judgments, apart from those involving estimations, that management have made in the process of applying</w:t>
      </w:r>
      <w:r>
        <w:rPr>
          <w:rFonts w:ascii="Arial" w:hAnsi="Arial" w:cs="Arial"/>
          <w:szCs w:val="20"/>
        </w:rPr>
        <w:t xml:space="preserve"> </w:t>
      </w:r>
      <w:r w:rsidRPr="00A30EE5">
        <w:rPr>
          <w:rFonts w:ascii="Arial" w:hAnsi="Arial" w:cs="Arial"/>
          <w:szCs w:val="20"/>
        </w:rPr>
        <w:t xml:space="preserve">the Company’s accounting policies and that have the most significant effect on the amounts recognized in the </w:t>
      </w:r>
      <w:r w:rsidR="00413445">
        <w:rPr>
          <w:rFonts w:ascii="Arial" w:hAnsi="Arial" w:cs="Arial"/>
          <w:szCs w:val="20"/>
        </w:rPr>
        <w:t>condensed consolidated interim financial statements</w:t>
      </w:r>
      <w:r w:rsidRPr="00A30EE5">
        <w:rPr>
          <w:rFonts w:ascii="Arial" w:hAnsi="Arial" w:cs="Arial"/>
          <w:szCs w:val="20"/>
        </w:rPr>
        <w:t>:</w:t>
      </w:r>
      <w:r w:rsidRPr="00A30EE5" w:rsidDel="00A30EE5">
        <w:rPr>
          <w:rFonts w:ascii="Arial" w:hAnsi="Arial" w:cs="Arial"/>
          <w:szCs w:val="20"/>
        </w:rPr>
        <w:t xml:space="preserve"> </w:t>
      </w:r>
    </w:p>
    <w:p w14:paraId="26E42E04" w14:textId="757BB05C" w:rsidR="006F2161" w:rsidRDefault="006F2161"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4C86A3A9" w14:textId="77777777" w:rsidR="00493AF3" w:rsidRPr="00B14849" w:rsidRDefault="00493AF3" w:rsidP="00493AF3">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Estimated useful life of long-lived assets</w:t>
      </w:r>
    </w:p>
    <w:p w14:paraId="2529B80D" w14:textId="64417B89" w:rsidR="00493AF3" w:rsidRDefault="00493AF3" w:rsidP="00493AF3">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EE4151">
        <w:rPr>
          <w:rFonts w:ascii="Arial" w:hAnsi="Arial" w:cs="Arial"/>
          <w:szCs w:val="20"/>
        </w:rPr>
        <w:t>Judgment is used to estimate each component of a long-lived asset’s useful life and is based on an analysis of all pertinent factors</w:t>
      </w:r>
      <w:r>
        <w:rPr>
          <w:rFonts w:ascii="Arial" w:hAnsi="Arial" w:cs="Arial"/>
          <w:szCs w:val="20"/>
        </w:rPr>
        <w:t xml:space="preserve"> </w:t>
      </w:r>
      <w:r w:rsidRPr="00EE4151">
        <w:rPr>
          <w:rFonts w:ascii="Arial" w:hAnsi="Arial" w:cs="Arial"/>
          <w:szCs w:val="20"/>
        </w:rPr>
        <w:t>including, but not limited to, the expected use of the asset and in the case of an intangible asset, contractual provisions that enable</w:t>
      </w:r>
      <w:r>
        <w:rPr>
          <w:rFonts w:ascii="Arial" w:hAnsi="Arial" w:cs="Arial"/>
          <w:szCs w:val="20"/>
        </w:rPr>
        <w:t xml:space="preserve"> </w:t>
      </w:r>
      <w:r w:rsidRPr="00EE4151">
        <w:rPr>
          <w:rFonts w:ascii="Arial" w:hAnsi="Arial" w:cs="Arial"/>
          <w:szCs w:val="20"/>
        </w:rPr>
        <w:t>renewal or extension of the asset’s legal or contractual life without substantial cost, and renewal history. If the estimated useful lives</w:t>
      </w:r>
      <w:r>
        <w:rPr>
          <w:rFonts w:ascii="Arial" w:hAnsi="Arial" w:cs="Arial"/>
          <w:szCs w:val="20"/>
        </w:rPr>
        <w:t xml:space="preserve"> </w:t>
      </w:r>
      <w:r w:rsidRPr="00EE4151">
        <w:rPr>
          <w:rFonts w:ascii="Arial" w:hAnsi="Arial" w:cs="Arial"/>
          <w:szCs w:val="20"/>
        </w:rPr>
        <w:t>were incorrect, it could result in an increase or decrease in the annual amortization expense, and future impairment charges or recoveries.</w:t>
      </w:r>
    </w:p>
    <w:p w14:paraId="2F14B5FE" w14:textId="77777777" w:rsidR="0055591C" w:rsidRPr="00F60034" w:rsidRDefault="006F2161" w:rsidP="0055591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br w:type="page"/>
      </w:r>
      <w:r w:rsidR="0055591C">
        <w:rPr>
          <w:rFonts w:ascii="Arial" w:hAnsi="Arial" w:cs="Arial"/>
          <w:b/>
          <w:bCs/>
          <w:szCs w:val="20"/>
        </w:rPr>
        <w:lastRenderedPageBreak/>
        <w:t>2</w:t>
      </w:r>
      <w:r w:rsidR="0055591C" w:rsidRPr="00F60034">
        <w:rPr>
          <w:rFonts w:ascii="Arial" w:hAnsi="Arial" w:cs="Arial"/>
          <w:b/>
          <w:bCs/>
          <w:szCs w:val="20"/>
        </w:rPr>
        <w:t>.</w:t>
      </w:r>
      <w:r w:rsidR="0055591C" w:rsidRPr="00F60034">
        <w:rPr>
          <w:rFonts w:ascii="Arial" w:hAnsi="Arial" w:cs="Arial"/>
          <w:b/>
          <w:bCs/>
          <w:szCs w:val="20"/>
        </w:rPr>
        <w:tab/>
        <w:t>Significant Accounting Policies</w:t>
      </w:r>
      <w:r w:rsidR="0055591C" w:rsidRPr="00F60034">
        <w:rPr>
          <w:rFonts w:ascii="Arial" w:hAnsi="Arial" w:cs="Arial"/>
          <w:bCs/>
          <w:szCs w:val="20"/>
        </w:rPr>
        <w:t xml:space="preserve"> (continued)</w:t>
      </w:r>
    </w:p>
    <w:p w14:paraId="6F3455CD" w14:textId="77777777" w:rsidR="0055591C" w:rsidRDefault="0055591C"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
          <w:szCs w:val="20"/>
        </w:rPr>
      </w:pPr>
    </w:p>
    <w:p w14:paraId="2DBFC704" w14:textId="77777777" w:rsidR="00A30EE5" w:rsidRPr="00B14849"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Impairment of long-lived assets</w:t>
      </w:r>
    </w:p>
    <w:p w14:paraId="0E42D1A9" w14:textId="2422E670" w:rsid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A30EE5">
        <w:rPr>
          <w:rFonts w:ascii="Arial" w:hAnsi="Arial" w:cs="Arial"/>
          <w:szCs w:val="20"/>
        </w:rPr>
        <w:t>Property and equipment and definite lived intangible assets are tested for impairment when events or changes in circumstances indicate</w:t>
      </w:r>
      <w:r>
        <w:rPr>
          <w:rFonts w:ascii="Arial" w:hAnsi="Arial" w:cs="Arial"/>
          <w:szCs w:val="20"/>
        </w:rPr>
        <w:t xml:space="preserve"> </w:t>
      </w:r>
      <w:r w:rsidRPr="00A30EE5">
        <w:rPr>
          <w:rFonts w:ascii="Arial" w:hAnsi="Arial" w:cs="Arial"/>
          <w:szCs w:val="20"/>
        </w:rPr>
        <w:t xml:space="preserve">that the carrying value may not be recoverable. Indefinite lived </w:t>
      </w:r>
      <w:r w:rsidR="00460F0E">
        <w:rPr>
          <w:rFonts w:ascii="Arial" w:hAnsi="Arial" w:cs="Arial"/>
          <w:szCs w:val="20"/>
        </w:rPr>
        <w:t>i</w:t>
      </w:r>
      <w:r w:rsidRPr="00A30EE5">
        <w:rPr>
          <w:rFonts w:ascii="Arial" w:hAnsi="Arial" w:cs="Arial"/>
          <w:szCs w:val="20"/>
        </w:rPr>
        <w:t>ntangible assets, including goodwill, are tested for impairment annually.</w:t>
      </w:r>
      <w:r>
        <w:rPr>
          <w:rFonts w:ascii="Arial" w:hAnsi="Arial" w:cs="Arial"/>
          <w:szCs w:val="20"/>
        </w:rPr>
        <w:t xml:space="preserve"> </w:t>
      </w:r>
      <w:r w:rsidRPr="00A30EE5">
        <w:rPr>
          <w:rFonts w:ascii="Arial" w:hAnsi="Arial" w:cs="Arial"/>
          <w:szCs w:val="20"/>
        </w:rPr>
        <w:t>For the purposes of measuring recoverable values, assets are aggregated into cash generating units (“CGUs”) based on an assessment of</w:t>
      </w:r>
      <w:r>
        <w:rPr>
          <w:rFonts w:ascii="Arial" w:hAnsi="Arial" w:cs="Arial"/>
          <w:szCs w:val="20"/>
        </w:rPr>
        <w:t xml:space="preserve"> </w:t>
      </w:r>
      <w:r w:rsidRPr="00A30EE5">
        <w:rPr>
          <w:rFonts w:ascii="Arial" w:hAnsi="Arial" w:cs="Arial"/>
          <w:szCs w:val="20"/>
        </w:rPr>
        <w:t>the lowest levels for which there are separately identifiable cash flows. The determination of individual CGUs is based on management’s</w:t>
      </w:r>
      <w:r>
        <w:rPr>
          <w:rFonts w:ascii="Arial" w:hAnsi="Arial" w:cs="Arial"/>
          <w:szCs w:val="20"/>
        </w:rPr>
        <w:t xml:space="preserve"> </w:t>
      </w:r>
      <w:r w:rsidRPr="00A30EE5">
        <w:rPr>
          <w:rFonts w:ascii="Arial" w:hAnsi="Arial" w:cs="Arial"/>
          <w:szCs w:val="20"/>
        </w:rPr>
        <w:t xml:space="preserve">judgement regarding shared infrastructure, geographical </w:t>
      </w:r>
      <w:proofErr w:type="gramStart"/>
      <w:r w:rsidRPr="00A30EE5">
        <w:rPr>
          <w:rFonts w:ascii="Arial" w:hAnsi="Arial" w:cs="Arial"/>
          <w:szCs w:val="20"/>
        </w:rPr>
        <w:t>proximity</w:t>
      </w:r>
      <w:proofErr w:type="gramEnd"/>
      <w:r w:rsidRPr="00A30EE5">
        <w:rPr>
          <w:rFonts w:ascii="Arial" w:hAnsi="Arial" w:cs="Arial"/>
          <w:szCs w:val="20"/>
        </w:rPr>
        <w:t xml:space="preserve"> and similar exposure to market risk. The recoverable value is the</w:t>
      </w:r>
      <w:r>
        <w:rPr>
          <w:rFonts w:ascii="Arial" w:hAnsi="Arial" w:cs="Arial"/>
          <w:szCs w:val="20"/>
        </w:rPr>
        <w:t xml:space="preserve"> </w:t>
      </w:r>
      <w:r w:rsidRPr="00A30EE5">
        <w:rPr>
          <w:rFonts w:ascii="Arial" w:hAnsi="Arial" w:cs="Arial"/>
          <w:szCs w:val="20"/>
        </w:rPr>
        <w:t>greater of an asset’s fair value less costs of disposal and value in use. In assessing the value in use, the estimated future cash flows are</w:t>
      </w:r>
      <w:r>
        <w:rPr>
          <w:rFonts w:ascii="Arial" w:hAnsi="Arial" w:cs="Arial"/>
          <w:szCs w:val="20"/>
        </w:rPr>
        <w:t xml:space="preserve"> </w:t>
      </w:r>
      <w:r w:rsidRPr="00A30EE5">
        <w:rPr>
          <w:rFonts w:ascii="Arial" w:hAnsi="Arial" w:cs="Arial"/>
          <w:szCs w:val="20"/>
        </w:rPr>
        <w:t>discounted to their present value using a pre-tax discount rate that reflects current market assessments of the time value of money and</w:t>
      </w:r>
      <w:r>
        <w:rPr>
          <w:rFonts w:ascii="Arial" w:hAnsi="Arial" w:cs="Arial"/>
          <w:szCs w:val="20"/>
        </w:rPr>
        <w:t xml:space="preserve"> </w:t>
      </w:r>
      <w:r w:rsidRPr="00A30EE5">
        <w:rPr>
          <w:rFonts w:ascii="Arial" w:hAnsi="Arial" w:cs="Arial"/>
          <w:szCs w:val="20"/>
        </w:rPr>
        <w:t>risk specific to the asset. An impairment loss is recognized for the value by which the asset’s carrying value exceeds its recoverable</w:t>
      </w:r>
      <w:r>
        <w:rPr>
          <w:rFonts w:ascii="Arial" w:hAnsi="Arial" w:cs="Arial"/>
          <w:szCs w:val="20"/>
        </w:rPr>
        <w:t xml:space="preserve"> </w:t>
      </w:r>
      <w:r w:rsidRPr="00A30EE5">
        <w:rPr>
          <w:rFonts w:ascii="Arial" w:hAnsi="Arial" w:cs="Arial"/>
          <w:szCs w:val="20"/>
        </w:rPr>
        <w:t>value.</w:t>
      </w:r>
      <w:r w:rsidRPr="00A30EE5">
        <w:rPr>
          <w:rFonts w:ascii="Arial" w:hAnsi="Arial" w:cs="Arial"/>
          <w:szCs w:val="20"/>
        </w:rPr>
        <w:cr/>
      </w:r>
    </w:p>
    <w:p w14:paraId="13F378C5" w14:textId="77777777" w:rsidR="00756C28" w:rsidRPr="00B14849" w:rsidRDefault="00756C28"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Functional currency</w:t>
      </w:r>
    </w:p>
    <w:p w14:paraId="44C28429" w14:textId="4650F252" w:rsidR="00756C28" w:rsidRDefault="00756C28"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756C28">
        <w:rPr>
          <w:rFonts w:ascii="Arial" w:hAnsi="Arial" w:cs="Arial"/>
          <w:szCs w:val="20"/>
        </w:rPr>
        <w:t>The functional currency for each of the Company’s subsidiaries is the currency of the primary economic environment in which the</w:t>
      </w:r>
      <w:r>
        <w:rPr>
          <w:rFonts w:ascii="Arial" w:hAnsi="Arial" w:cs="Arial"/>
          <w:szCs w:val="20"/>
        </w:rPr>
        <w:t xml:space="preserve"> </w:t>
      </w:r>
      <w:r w:rsidRPr="00756C28">
        <w:rPr>
          <w:rFonts w:ascii="Arial" w:hAnsi="Arial" w:cs="Arial"/>
          <w:szCs w:val="20"/>
        </w:rPr>
        <w:t>respective entity operates. Such determination involves certain judgements to identify the primary economic environment. The Company</w:t>
      </w:r>
      <w:r>
        <w:rPr>
          <w:rFonts w:ascii="Arial" w:hAnsi="Arial" w:cs="Arial"/>
          <w:szCs w:val="20"/>
        </w:rPr>
        <w:t xml:space="preserve"> </w:t>
      </w:r>
      <w:r w:rsidRPr="00756C28">
        <w:rPr>
          <w:rFonts w:ascii="Arial" w:hAnsi="Arial" w:cs="Arial"/>
          <w:szCs w:val="20"/>
        </w:rPr>
        <w:t>reconsiders the functional currency of its subsidiaries if there is a change in events and/or conditions which determine the primary</w:t>
      </w:r>
      <w:r>
        <w:rPr>
          <w:rFonts w:ascii="Arial" w:hAnsi="Arial" w:cs="Arial"/>
          <w:szCs w:val="20"/>
        </w:rPr>
        <w:t xml:space="preserve"> </w:t>
      </w:r>
      <w:r w:rsidRPr="00756C28">
        <w:rPr>
          <w:rFonts w:ascii="Arial" w:hAnsi="Arial" w:cs="Arial"/>
          <w:szCs w:val="20"/>
        </w:rPr>
        <w:t>economic environment.</w:t>
      </w:r>
    </w:p>
    <w:p w14:paraId="2A6CFFFE" w14:textId="32A582B3" w:rsidR="00756C28" w:rsidRDefault="00756C28"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48A9D490" w14:textId="77777777" w:rsidR="00756C28" w:rsidRPr="00B14849" w:rsidRDefault="00756C28"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Business combinations</w:t>
      </w:r>
    </w:p>
    <w:p w14:paraId="1293D530" w14:textId="3D799D4D" w:rsidR="00756C28" w:rsidRPr="006A5C30" w:rsidRDefault="00756C28" w:rsidP="00756C28">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756C28">
        <w:rPr>
          <w:rFonts w:ascii="Arial" w:hAnsi="Arial" w:cs="Arial"/>
          <w:szCs w:val="20"/>
        </w:rPr>
        <w:t>Determining whether an acquisition meets the definition of a business combination or represents an asset purchase requires judgment</w:t>
      </w:r>
      <w:r>
        <w:rPr>
          <w:rFonts w:ascii="Arial" w:hAnsi="Arial" w:cs="Arial"/>
          <w:szCs w:val="20"/>
        </w:rPr>
        <w:t xml:space="preserve"> </w:t>
      </w:r>
      <w:r w:rsidRPr="00756C28">
        <w:rPr>
          <w:rFonts w:ascii="Arial" w:hAnsi="Arial" w:cs="Arial"/>
          <w:szCs w:val="20"/>
        </w:rPr>
        <w:t>on a case by case basis. As outlined in IFRS 3</w:t>
      </w:r>
      <w:r w:rsidR="0055591C">
        <w:rPr>
          <w:rFonts w:ascii="Arial" w:hAnsi="Arial" w:cs="Arial"/>
          <w:szCs w:val="20"/>
        </w:rPr>
        <w:t xml:space="preserve"> Business Combinations</w:t>
      </w:r>
      <w:r w:rsidRPr="00756C28">
        <w:rPr>
          <w:rFonts w:ascii="Arial" w:hAnsi="Arial" w:cs="Arial"/>
          <w:szCs w:val="20"/>
        </w:rPr>
        <w:t xml:space="preserve">, the components of a business must include inputs, </w:t>
      </w:r>
      <w:proofErr w:type="gramStart"/>
      <w:r w:rsidRPr="00756C28">
        <w:rPr>
          <w:rFonts w:ascii="Arial" w:hAnsi="Arial" w:cs="Arial"/>
          <w:szCs w:val="20"/>
        </w:rPr>
        <w:t>processes</w:t>
      </w:r>
      <w:proofErr w:type="gramEnd"/>
      <w:r w:rsidRPr="00756C28">
        <w:rPr>
          <w:rFonts w:ascii="Arial" w:hAnsi="Arial" w:cs="Arial"/>
          <w:szCs w:val="20"/>
        </w:rPr>
        <w:t xml:space="preserve"> and outputs.</w:t>
      </w:r>
      <w:r w:rsidRPr="00756C28">
        <w:rPr>
          <w:rFonts w:ascii="Arial" w:hAnsi="Arial" w:cs="Arial"/>
          <w:szCs w:val="20"/>
        </w:rPr>
        <w:cr/>
      </w:r>
    </w:p>
    <w:p w14:paraId="4C638E3D" w14:textId="77777777" w:rsidR="00A30EE5" w:rsidRPr="00B14849"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Determination of share-based payments</w:t>
      </w:r>
    </w:p>
    <w:p w14:paraId="6C50490C" w14:textId="291091AF" w:rsidR="0054186A"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A30EE5">
        <w:rPr>
          <w:rFonts w:ascii="Arial" w:hAnsi="Arial" w:cs="Arial"/>
          <w:szCs w:val="20"/>
        </w:rPr>
        <w:t>The estimation of share-based payments (including warrants and stock options) requires the selection of an appropriate valuation model</w:t>
      </w:r>
      <w:r>
        <w:rPr>
          <w:rFonts w:ascii="Arial" w:hAnsi="Arial" w:cs="Arial"/>
          <w:szCs w:val="20"/>
        </w:rPr>
        <w:t xml:space="preserve"> </w:t>
      </w:r>
      <w:r w:rsidRPr="00A30EE5">
        <w:rPr>
          <w:rFonts w:ascii="Arial" w:hAnsi="Arial" w:cs="Arial"/>
          <w:szCs w:val="20"/>
        </w:rPr>
        <w:t>and consideration as to the inputs necessary for the valuation model chosen. The model used by the Company is the Black-Scholes</w:t>
      </w:r>
      <w:r>
        <w:rPr>
          <w:rFonts w:ascii="Arial" w:hAnsi="Arial" w:cs="Arial"/>
          <w:szCs w:val="20"/>
        </w:rPr>
        <w:t xml:space="preserve"> </w:t>
      </w:r>
      <w:r w:rsidRPr="00A30EE5">
        <w:rPr>
          <w:rFonts w:ascii="Arial" w:hAnsi="Arial" w:cs="Arial"/>
          <w:szCs w:val="20"/>
        </w:rPr>
        <w:t>valuation model at the date of the grant. The Company makes estimates as to the volatility, the expected life, dividend yield and the time</w:t>
      </w:r>
      <w:r>
        <w:rPr>
          <w:rFonts w:ascii="Arial" w:hAnsi="Arial" w:cs="Arial"/>
          <w:szCs w:val="20"/>
        </w:rPr>
        <w:t xml:space="preserve"> </w:t>
      </w:r>
      <w:r w:rsidRPr="00A30EE5">
        <w:rPr>
          <w:rFonts w:ascii="Arial" w:hAnsi="Arial" w:cs="Arial"/>
          <w:szCs w:val="20"/>
        </w:rPr>
        <w:t>of exercise, as applicable. The expected volatility is based on the average volatility of share prices of similar companies over the period</w:t>
      </w:r>
      <w:r>
        <w:rPr>
          <w:rFonts w:ascii="Arial" w:hAnsi="Arial" w:cs="Arial"/>
          <w:szCs w:val="20"/>
        </w:rPr>
        <w:t xml:space="preserve"> </w:t>
      </w:r>
      <w:r w:rsidRPr="00A30EE5">
        <w:rPr>
          <w:rFonts w:ascii="Arial" w:hAnsi="Arial" w:cs="Arial"/>
          <w:szCs w:val="20"/>
        </w:rPr>
        <w:t>of the expected life of the applicable warrants and stock options. The expected life is based on historical data. These estimates may not</w:t>
      </w:r>
      <w:r>
        <w:rPr>
          <w:rFonts w:ascii="Arial" w:hAnsi="Arial" w:cs="Arial"/>
          <w:szCs w:val="20"/>
        </w:rPr>
        <w:t xml:space="preserve"> </w:t>
      </w:r>
      <w:r w:rsidRPr="00A30EE5">
        <w:rPr>
          <w:rFonts w:ascii="Arial" w:hAnsi="Arial" w:cs="Arial"/>
          <w:szCs w:val="20"/>
        </w:rPr>
        <w:t>necessarily be indicative of future actual patterns</w:t>
      </w:r>
      <w:r w:rsidR="00257809">
        <w:rPr>
          <w:rFonts w:ascii="Arial" w:hAnsi="Arial" w:cs="Arial"/>
          <w:szCs w:val="20"/>
        </w:rPr>
        <w:t>.</w:t>
      </w:r>
    </w:p>
    <w:p w14:paraId="3A70CA9D" w14:textId="1BF0EB71" w:rsidR="00A30EE5"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01080225" w14:textId="77777777" w:rsidR="00493AF3" w:rsidRPr="00B14849" w:rsidRDefault="00493AF3" w:rsidP="00493AF3">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Leases</w:t>
      </w:r>
    </w:p>
    <w:p w14:paraId="2B46FD6A" w14:textId="77777777" w:rsidR="00493AF3" w:rsidRPr="00EE4151" w:rsidRDefault="00493AF3" w:rsidP="00493AF3">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EE4151">
        <w:rPr>
          <w:rFonts w:ascii="Arial" w:hAnsi="Arial" w:cs="Arial"/>
          <w:szCs w:val="20"/>
        </w:rPr>
        <w:t>Leases requires lessees to discount lease payments using the rate implicit in the lease if that rate is readily available. If that rate cannot</w:t>
      </w:r>
      <w:r>
        <w:rPr>
          <w:rFonts w:ascii="Arial" w:hAnsi="Arial" w:cs="Arial"/>
          <w:szCs w:val="20"/>
        </w:rPr>
        <w:t xml:space="preserve"> </w:t>
      </w:r>
      <w:r w:rsidRPr="00EE4151">
        <w:rPr>
          <w:rFonts w:ascii="Arial" w:hAnsi="Arial" w:cs="Arial"/>
          <w:szCs w:val="20"/>
        </w:rPr>
        <w:t>be readily determined, the lessee is required to use its incremental borrowing rate. The Company generally uses the incremental</w:t>
      </w:r>
      <w:r>
        <w:rPr>
          <w:rFonts w:ascii="Arial" w:hAnsi="Arial" w:cs="Arial"/>
          <w:szCs w:val="20"/>
        </w:rPr>
        <w:t xml:space="preserve"> </w:t>
      </w:r>
      <w:r w:rsidRPr="00EE4151">
        <w:rPr>
          <w:rFonts w:ascii="Arial" w:hAnsi="Arial" w:cs="Arial"/>
          <w:szCs w:val="20"/>
        </w:rPr>
        <w:t>borrowing rate when initially recording real estate leases as the implicit rates are not readily available as information from the lessor</w:t>
      </w:r>
      <w:r>
        <w:rPr>
          <w:rFonts w:ascii="Arial" w:hAnsi="Arial" w:cs="Arial"/>
          <w:szCs w:val="20"/>
        </w:rPr>
        <w:t xml:space="preserve"> </w:t>
      </w:r>
      <w:r w:rsidRPr="00EE4151">
        <w:rPr>
          <w:rFonts w:ascii="Arial" w:hAnsi="Arial" w:cs="Arial"/>
          <w:szCs w:val="20"/>
        </w:rPr>
        <w:t>regarding the fair value of underlying assets and initial direct costs incurred by the lessor related to the leased assets is not available.</w:t>
      </w:r>
      <w:r>
        <w:rPr>
          <w:rFonts w:ascii="Arial" w:hAnsi="Arial" w:cs="Arial"/>
          <w:szCs w:val="20"/>
        </w:rPr>
        <w:t xml:space="preserve"> </w:t>
      </w:r>
      <w:r w:rsidRPr="00EE4151">
        <w:rPr>
          <w:rFonts w:ascii="Arial" w:hAnsi="Arial" w:cs="Arial"/>
          <w:szCs w:val="20"/>
        </w:rPr>
        <w:t>The Company determines the incremental borrowing rate as the interest rate the Company would pay to borrow over a similar term the</w:t>
      </w:r>
      <w:r>
        <w:rPr>
          <w:rFonts w:ascii="Arial" w:hAnsi="Arial" w:cs="Arial"/>
          <w:szCs w:val="20"/>
        </w:rPr>
        <w:t xml:space="preserve"> </w:t>
      </w:r>
      <w:r w:rsidRPr="00EE4151">
        <w:rPr>
          <w:rFonts w:ascii="Arial" w:hAnsi="Arial" w:cs="Arial"/>
          <w:szCs w:val="20"/>
        </w:rPr>
        <w:t>funds necessary to obtain an asset of a similar value to the right-of-use asset in a similar economic environment.</w:t>
      </w:r>
      <w:r>
        <w:rPr>
          <w:rFonts w:ascii="Arial" w:hAnsi="Arial" w:cs="Arial"/>
          <w:szCs w:val="20"/>
        </w:rPr>
        <w:t xml:space="preserve"> </w:t>
      </w:r>
      <w:r w:rsidRPr="00A30EE5">
        <w:rPr>
          <w:rFonts w:ascii="Arial" w:hAnsi="Arial" w:cs="Arial"/>
          <w:szCs w:val="20"/>
        </w:rPr>
        <w:t>Leases requires lessees to estimate the lease term. In determining the period which the Company has the right to use an underlying asset,</w:t>
      </w:r>
      <w:r>
        <w:rPr>
          <w:rFonts w:ascii="Arial" w:hAnsi="Arial" w:cs="Arial"/>
          <w:szCs w:val="20"/>
        </w:rPr>
        <w:t xml:space="preserve"> </w:t>
      </w:r>
      <w:r w:rsidRPr="00A30EE5">
        <w:rPr>
          <w:rFonts w:ascii="Arial" w:hAnsi="Arial" w:cs="Arial"/>
          <w:szCs w:val="20"/>
        </w:rPr>
        <w:t>management considers the non-cancellable period along with all facts and circumstances that create an economic incentive to exercise</w:t>
      </w:r>
      <w:r>
        <w:rPr>
          <w:rFonts w:ascii="Arial" w:hAnsi="Arial" w:cs="Arial"/>
          <w:szCs w:val="20"/>
        </w:rPr>
        <w:t xml:space="preserve"> </w:t>
      </w:r>
      <w:r w:rsidRPr="00A30EE5">
        <w:rPr>
          <w:rFonts w:ascii="Arial" w:hAnsi="Arial" w:cs="Arial"/>
          <w:szCs w:val="20"/>
        </w:rPr>
        <w:t>an extension option, or not to exercise a termination option.</w:t>
      </w:r>
    </w:p>
    <w:p w14:paraId="0B4F2E30" w14:textId="77777777" w:rsidR="0055591C" w:rsidRDefault="0055591C">
      <w:pPr>
        <w:rPr>
          <w:rFonts w:ascii="Arial" w:hAnsi="Arial" w:cs="Arial"/>
          <w:b/>
          <w:bCs/>
          <w:szCs w:val="20"/>
        </w:rPr>
      </w:pPr>
      <w:r>
        <w:rPr>
          <w:rFonts w:ascii="Arial" w:hAnsi="Arial" w:cs="Arial"/>
          <w:b/>
          <w:bCs/>
          <w:szCs w:val="20"/>
        </w:rPr>
        <w:br w:type="page"/>
      </w:r>
    </w:p>
    <w:p w14:paraId="6830F01F" w14:textId="3878BF49" w:rsidR="0055591C" w:rsidRPr="00F60034" w:rsidRDefault="0055591C" w:rsidP="0055591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0C4C5A4D" w14:textId="77777777" w:rsidR="0055591C" w:rsidRDefault="0055591C"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38845D82" w14:textId="7EF4A9EB" w:rsidR="00A30EE5" w:rsidRPr="00B14849" w:rsidRDefault="00A30EE5" w:rsidP="00A30EE5">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iCs/>
          <w:szCs w:val="20"/>
          <w:u w:val="single"/>
        </w:rPr>
      </w:pPr>
      <w:r w:rsidRPr="00B14849">
        <w:rPr>
          <w:rFonts w:ascii="Arial" w:hAnsi="Arial" w:cs="Arial"/>
          <w:iCs/>
          <w:szCs w:val="20"/>
          <w:u w:val="single"/>
        </w:rPr>
        <w:t>Going concern</w:t>
      </w:r>
    </w:p>
    <w:p w14:paraId="677CCCB8" w14:textId="29331854" w:rsidR="0054186A" w:rsidRDefault="0054186A"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Pr>
          <w:rFonts w:ascii="Arial" w:hAnsi="Arial" w:cs="Arial"/>
          <w:szCs w:val="20"/>
        </w:rPr>
        <w:t>The</w:t>
      </w:r>
      <w:r w:rsidRPr="00D7474A">
        <w:rPr>
          <w:rFonts w:ascii="Arial" w:hAnsi="Arial" w:cs="Arial"/>
          <w:szCs w:val="20"/>
        </w:rPr>
        <w:t xml:space="preserve"> global outbreak of </w:t>
      </w:r>
      <w:r>
        <w:rPr>
          <w:rFonts w:ascii="Arial" w:hAnsi="Arial" w:cs="Arial"/>
          <w:szCs w:val="20"/>
        </w:rPr>
        <w:t>coronavirus (“</w:t>
      </w:r>
      <w:r w:rsidRPr="00D7474A">
        <w:rPr>
          <w:rFonts w:ascii="Arial" w:hAnsi="Arial" w:cs="Arial"/>
          <w:szCs w:val="20"/>
        </w:rPr>
        <w:t>COVID-19</w:t>
      </w:r>
      <w:r>
        <w:rPr>
          <w:rFonts w:ascii="Arial" w:hAnsi="Arial" w:cs="Arial"/>
          <w:szCs w:val="20"/>
        </w:rPr>
        <w:t xml:space="preserve">”) </w:t>
      </w:r>
      <w:r w:rsidRPr="00D7474A">
        <w:rPr>
          <w:rFonts w:ascii="Arial" w:hAnsi="Arial" w:cs="Arial"/>
          <w:szCs w:val="20"/>
        </w:rPr>
        <w:t>has had a significant impact on businesses through the restrictions put in place by the Canadian</w:t>
      </w:r>
      <w:r>
        <w:rPr>
          <w:rFonts w:ascii="Arial" w:hAnsi="Arial" w:cs="Arial"/>
          <w:szCs w:val="20"/>
        </w:rPr>
        <w:t xml:space="preserve"> and U.S. federal</w:t>
      </w:r>
      <w:r w:rsidRPr="00D7474A">
        <w:rPr>
          <w:rFonts w:ascii="Arial" w:hAnsi="Arial" w:cs="Arial"/>
          <w:szCs w:val="20"/>
        </w:rPr>
        <w:t>, provincial</w:t>
      </w:r>
      <w:r>
        <w:rPr>
          <w:rFonts w:ascii="Arial" w:hAnsi="Arial" w:cs="Arial"/>
          <w:szCs w:val="20"/>
        </w:rPr>
        <w:t>/state</w:t>
      </w:r>
      <w:r w:rsidRPr="00D7474A">
        <w:rPr>
          <w:rFonts w:ascii="Arial" w:hAnsi="Arial" w:cs="Arial"/>
          <w:szCs w:val="20"/>
        </w:rPr>
        <w:t xml:space="preserve"> and municipal governments regarding travel, business operations and isolation/quarantine orders. At this time, it is unknown the extent of the impact the COVID-19 outbreak may have on the Company as this will depend on future developments that are highly uncertain and that cannot be predicted with confidence. These uncertainties arise from the inability to predict the ultimate geographic spread of the disease, and the duration of the outbreak, including the duration of travel restrictions, business closures or disruptions, and quarantine/isolation measures that are currently, or may be put in place by Canada and other countries to fight the virus. While the extent of the impact is unknown, </w:t>
      </w:r>
      <w:r>
        <w:rPr>
          <w:rFonts w:ascii="Arial" w:hAnsi="Arial" w:cs="Arial"/>
          <w:szCs w:val="20"/>
        </w:rPr>
        <w:t>the Company</w:t>
      </w:r>
      <w:r w:rsidRPr="00D7474A">
        <w:rPr>
          <w:rFonts w:ascii="Arial" w:hAnsi="Arial" w:cs="Arial"/>
          <w:szCs w:val="20"/>
        </w:rPr>
        <w:t xml:space="preserve"> anticipate</w:t>
      </w:r>
      <w:r>
        <w:rPr>
          <w:rFonts w:ascii="Arial" w:hAnsi="Arial" w:cs="Arial"/>
          <w:szCs w:val="20"/>
        </w:rPr>
        <w:t>s</w:t>
      </w:r>
      <w:r w:rsidRPr="00D7474A">
        <w:rPr>
          <w:rFonts w:ascii="Arial" w:hAnsi="Arial" w:cs="Arial"/>
          <w:szCs w:val="20"/>
        </w:rPr>
        <w:t xml:space="preserve"> this outbreak may cause reduced customer demand, supply chain disruptions, staff shortages, and increased government regulations, all of which may negatively impact the Company’s business and financial condition</w:t>
      </w:r>
      <w:r>
        <w:rPr>
          <w:rFonts w:ascii="Arial" w:hAnsi="Arial" w:cs="Arial"/>
          <w:szCs w:val="20"/>
        </w:rPr>
        <w:t>.</w:t>
      </w:r>
      <w:r w:rsidR="006B6DE2">
        <w:rPr>
          <w:rFonts w:ascii="Arial" w:hAnsi="Arial" w:cs="Arial"/>
          <w:szCs w:val="20"/>
        </w:rPr>
        <w:t xml:space="preserve"> Refer to Note 1 for additional factors impacting going concern assessment done by management.</w:t>
      </w:r>
    </w:p>
    <w:p w14:paraId="54986CDA" w14:textId="77777777" w:rsidR="008B680A" w:rsidRDefault="008B680A"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6093171F" w14:textId="4D5F4644" w:rsidR="00790828" w:rsidRPr="00F60034" w:rsidRDefault="007619C6"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Foreign Currency</w:t>
      </w:r>
    </w:p>
    <w:p w14:paraId="74985FE6" w14:textId="77777777" w:rsidR="00F15B99" w:rsidRDefault="00F15B99" w:rsidP="00F15B99">
      <w:pPr>
        <w:pStyle w:val="BodyTextIndent"/>
        <w:spacing w:after="0" w:line="240" w:lineRule="auto"/>
        <w:ind w:left="792"/>
        <w:jc w:val="both"/>
        <w:rPr>
          <w:rFonts w:ascii="Arial" w:hAnsi="Arial" w:cs="Arial"/>
          <w:szCs w:val="20"/>
        </w:rPr>
      </w:pPr>
    </w:p>
    <w:p w14:paraId="2FE9F103" w14:textId="2039455F" w:rsidR="0012455C" w:rsidRDefault="008B680A" w:rsidP="00F15B99">
      <w:pPr>
        <w:pStyle w:val="BodyTextIndent"/>
        <w:spacing w:after="0" w:line="240" w:lineRule="auto"/>
        <w:ind w:left="792"/>
        <w:jc w:val="both"/>
        <w:rPr>
          <w:rFonts w:ascii="Arial" w:hAnsi="Arial" w:cs="Arial"/>
          <w:szCs w:val="20"/>
        </w:rPr>
      </w:pPr>
      <w:r>
        <w:rPr>
          <w:rFonts w:ascii="Arial" w:hAnsi="Arial" w:cs="Arial"/>
          <w:szCs w:val="20"/>
        </w:rPr>
        <w:t>The Company’s presentation currency is the Canadian dollar</w:t>
      </w:r>
      <w:r w:rsidRPr="0012455C">
        <w:rPr>
          <w:rFonts w:ascii="Arial" w:hAnsi="Arial" w:cs="Arial"/>
          <w:szCs w:val="20"/>
        </w:rPr>
        <w:t xml:space="preserve">. </w:t>
      </w:r>
      <w:r w:rsidR="0012455C" w:rsidRPr="0054049E">
        <w:rPr>
          <w:rFonts w:ascii="Arial" w:hAnsi="Arial" w:cs="Arial"/>
          <w:szCs w:val="20"/>
        </w:rPr>
        <w:t xml:space="preserve">The functional currency of </w:t>
      </w:r>
      <w:r w:rsidR="0012455C">
        <w:rPr>
          <w:rFonts w:ascii="Arial" w:hAnsi="Arial" w:cs="Arial"/>
          <w:szCs w:val="20"/>
        </w:rPr>
        <w:t>the</w:t>
      </w:r>
      <w:r w:rsidR="0012455C" w:rsidRPr="0054049E">
        <w:rPr>
          <w:rFonts w:ascii="Arial" w:hAnsi="Arial" w:cs="Arial"/>
          <w:szCs w:val="20"/>
        </w:rPr>
        <w:t xml:space="preserve"> parent entity, </w:t>
      </w:r>
      <w:r w:rsidR="00DE2D61">
        <w:rPr>
          <w:rFonts w:ascii="Arial" w:hAnsi="Arial" w:cs="Arial"/>
          <w:szCs w:val="20"/>
        </w:rPr>
        <w:t>BetterLife Pharma Inc.</w:t>
      </w:r>
      <w:r w:rsidR="0012455C" w:rsidRPr="0054049E">
        <w:rPr>
          <w:rFonts w:ascii="Arial" w:hAnsi="Arial" w:cs="Arial"/>
          <w:szCs w:val="20"/>
        </w:rPr>
        <w:t xml:space="preserve">, and </w:t>
      </w:r>
      <w:r w:rsidR="00080843">
        <w:rPr>
          <w:rFonts w:ascii="Arial" w:hAnsi="Arial" w:cs="Arial"/>
          <w:szCs w:val="20"/>
        </w:rPr>
        <w:t>its</w:t>
      </w:r>
      <w:r w:rsidR="0012455C" w:rsidRPr="0054049E">
        <w:rPr>
          <w:rFonts w:ascii="Arial" w:hAnsi="Arial" w:cs="Arial"/>
          <w:szCs w:val="20"/>
        </w:rPr>
        <w:t xml:space="preserve"> </w:t>
      </w:r>
      <w:proofErr w:type="gramStart"/>
      <w:r w:rsidR="0012455C" w:rsidRPr="0054049E">
        <w:rPr>
          <w:rFonts w:ascii="Arial" w:hAnsi="Arial" w:cs="Arial"/>
          <w:szCs w:val="20"/>
        </w:rPr>
        <w:t>wholly-owned</w:t>
      </w:r>
      <w:proofErr w:type="gramEnd"/>
      <w:r w:rsidR="0012455C" w:rsidRPr="0054049E">
        <w:rPr>
          <w:rFonts w:ascii="Arial" w:hAnsi="Arial" w:cs="Arial"/>
          <w:szCs w:val="20"/>
        </w:rPr>
        <w:t xml:space="preserve"> subsidiar</w:t>
      </w:r>
      <w:r w:rsidR="00493AF3">
        <w:rPr>
          <w:rFonts w:ascii="Arial" w:hAnsi="Arial" w:cs="Arial"/>
          <w:szCs w:val="20"/>
        </w:rPr>
        <w:t>y</w:t>
      </w:r>
      <w:r w:rsidR="0012455C" w:rsidRPr="0054049E">
        <w:rPr>
          <w:rFonts w:ascii="Arial" w:hAnsi="Arial" w:cs="Arial"/>
          <w:szCs w:val="20"/>
        </w:rPr>
        <w:t xml:space="preserve">, </w:t>
      </w:r>
      <w:r w:rsidR="00DE2D61">
        <w:rPr>
          <w:rFonts w:ascii="Arial" w:hAnsi="Arial" w:cs="Arial"/>
          <w:szCs w:val="20"/>
        </w:rPr>
        <w:t>Pivot Pharmaceuticals Manufacturing Corp.</w:t>
      </w:r>
      <w:r w:rsidR="0012455C" w:rsidRPr="0054049E">
        <w:rPr>
          <w:rFonts w:ascii="Arial" w:hAnsi="Arial" w:cs="Arial"/>
          <w:szCs w:val="20"/>
        </w:rPr>
        <w:t>, is the Canadian dollar</w:t>
      </w:r>
      <w:r w:rsidR="0012455C">
        <w:rPr>
          <w:rFonts w:ascii="Arial" w:hAnsi="Arial" w:cs="Arial"/>
          <w:szCs w:val="20"/>
        </w:rPr>
        <w:t xml:space="preserve">. </w:t>
      </w:r>
      <w:r w:rsidR="0012455C" w:rsidRPr="00F60034">
        <w:rPr>
          <w:rFonts w:ascii="Arial" w:hAnsi="Arial" w:cs="Arial"/>
          <w:szCs w:val="20"/>
        </w:rPr>
        <w:t xml:space="preserve"> </w:t>
      </w:r>
      <w:r w:rsidR="0012455C">
        <w:rPr>
          <w:rFonts w:ascii="Arial" w:hAnsi="Arial" w:cs="Arial"/>
          <w:szCs w:val="20"/>
        </w:rPr>
        <w:t xml:space="preserve">The functional currency of the </w:t>
      </w:r>
      <w:proofErr w:type="gramStart"/>
      <w:r w:rsidR="0012455C">
        <w:rPr>
          <w:rFonts w:ascii="Arial" w:hAnsi="Arial" w:cs="Arial"/>
          <w:szCs w:val="20"/>
        </w:rPr>
        <w:t>wholly-owned</w:t>
      </w:r>
      <w:proofErr w:type="gramEnd"/>
      <w:r w:rsidR="0012455C">
        <w:rPr>
          <w:rFonts w:ascii="Arial" w:hAnsi="Arial" w:cs="Arial"/>
          <w:szCs w:val="20"/>
        </w:rPr>
        <w:t xml:space="preserve"> </w:t>
      </w:r>
      <w:r w:rsidR="00DE2D61">
        <w:rPr>
          <w:rFonts w:ascii="Arial" w:hAnsi="Arial" w:cs="Arial"/>
          <w:szCs w:val="20"/>
        </w:rPr>
        <w:t xml:space="preserve">U.S. </w:t>
      </w:r>
      <w:r w:rsidR="0012455C">
        <w:rPr>
          <w:rFonts w:ascii="Arial" w:hAnsi="Arial" w:cs="Arial"/>
          <w:szCs w:val="20"/>
        </w:rPr>
        <w:t xml:space="preserve">subsidiaries, </w:t>
      </w:r>
      <w:r w:rsidR="00A563FB">
        <w:rPr>
          <w:rFonts w:ascii="Arial" w:hAnsi="Arial" w:cs="Arial"/>
          <w:szCs w:val="20"/>
        </w:rPr>
        <w:t>BetterLife Pharma</w:t>
      </w:r>
      <w:r w:rsidR="00DE2D61">
        <w:rPr>
          <w:rFonts w:ascii="Arial" w:hAnsi="Arial" w:cs="Arial"/>
          <w:szCs w:val="20"/>
        </w:rPr>
        <w:t xml:space="preserve"> US Inc., </w:t>
      </w:r>
      <w:r w:rsidR="0012455C">
        <w:rPr>
          <w:rFonts w:ascii="Arial" w:hAnsi="Arial" w:cs="Arial"/>
          <w:szCs w:val="20"/>
        </w:rPr>
        <w:t xml:space="preserve">Pivot Naturals, LLC and </w:t>
      </w:r>
      <w:proofErr w:type="spellStart"/>
      <w:r w:rsidR="0012455C">
        <w:rPr>
          <w:rFonts w:ascii="Arial" w:hAnsi="Arial" w:cs="Arial"/>
          <w:szCs w:val="20"/>
        </w:rPr>
        <w:t>Thrudermic</w:t>
      </w:r>
      <w:proofErr w:type="spellEnd"/>
      <w:r w:rsidR="0012455C">
        <w:rPr>
          <w:rFonts w:ascii="Arial" w:hAnsi="Arial" w:cs="Arial"/>
          <w:szCs w:val="20"/>
        </w:rPr>
        <w:t>, LLC, is the U</w:t>
      </w:r>
      <w:r w:rsidR="003225E6">
        <w:rPr>
          <w:rFonts w:ascii="Arial" w:hAnsi="Arial" w:cs="Arial"/>
          <w:szCs w:val="20"/>
        </w:rPr>
        <w:t>.</w:t>
      </w:r>
      <w:r w:rsidR="0012455C">
        <w:rPr>
          <w:rFonts w:ascii="Arial" w:hAnsi="Arial" w:cs="Arial"/>
          <w:szCs w:val="20"/>
        </w:rPr>
        <w:t>S</w:t>
      </w:r>
      <w:r w:rsidR="003225E6">
        <w:rPr>
          <w:rFonts w:ascii="Arial" w:hAnsi="Arial" w:cs="Arial"/>
          <w:szCs w:val="20"/>
        </w:rPr>
        <w:t>.</w:t>
      </w:r>
      <w:r w:rsidR="0012455C">
        <w:rPr>
          <w:rFonts w:ascii="Arial" w:hAnsi="Arial" w:cs="Arial"/>
          <w:szCs w:val="20"/>
        </w:rPr>
        <w:t xml:space="preserve"> dollar.   </w:t>
      </w:r>
      <w:r w:rsidR="00DE2D61">
        <w:rPr>
          <w:rFonts w:ascii="Arial" w:hAnsi="Arial" w:cs="Arial"/>
          <w:szCs w:val="20"/>
        </w:rPr>
        <w:t xml:space="preserve">The functional currency of the </w:t>
      </w:r>
      <w:proofErr w:type="gramStart"/>
      <w:r w:rsidR="00DE2D61">
        <w:rPr>
          <w:rFonts w:ascii="Arial" w:hAnsi="Arial" w:cs="Arial"/>
          <w:szCs w:val="20"/>
        </w:rPr>
        <w:t>wholly-owned</w:t>
      </w:r>
      <w:proofErr w:type="gramEnd"/>
      <w:r w:rsidR="00DE2D61">
        <w:rPr>
          <w:rFonts w:ascii="Arial" w:hAnsi="Arial" w:cs="Arial"/>
          <w:szCs w:val="20"/>
        </w:rPr>
        <w:t xml:space="preserve"> European subsidiar</w:t>
      </w:r>
      <w:r w:rsidR="00143DFB">
        <w:rPr>
          <w:rFonts w:ascii="Arial" w:hAnsi="Arial" w:cs="Arial"/>
          <w:szCs w:val="20"/>
        </w:rPr>
        <w:t>y</w:t>
      </w:r>
      <w:r w:rsidR="00DE2D61">
        <w:rPr>
          <w:rFonts w:ascii="Arial" w:hAnsi="Arial" w:cs="Arial"/>
          <w:szCs w:val="20"/>
        </w:rPr>
        <w:t xml:space="preserve">, Pivot Europe Pharmaceuticals AG, is </w:t>
      </w:r>
      <w:r w:rsidR="00C83768">
        <w:rPr>
          <w:rFonts w:ascii="Arial" w:hAnsi="Arial" w:cs="Arial"/>
          <w:szCs w:val="20"/>
        </w:rPr>
        <w:t>Swiss Francs</w:t>
      </w:r>
      <w:r w:rsidR="00DE2D61" w:rsidRPr="00313492">
        <w:rPr>
          <w:rFonts w:ascii="Arial" w:hAnsi="Arial" w:cs="Arial"/>
          <w:szCs w:val="20"/>
        </w:rPr>
        <w:t>.</w:t>
      </w:r>
    </w:p>
    <w:p w14:paraId="6F809E81" w14:textId="77777777" w:rsidR="0054186A" w:rsidRDefault="0054186A" w:rsidP="00511CCF">
      <w:pPr>
        <w:spacing w:after="0" w:line="240" w:lineRule="auto"/>
        <w:ind w:left="810"/>
        <w:jc w:val="both"/>
        <w:rPr>
          <w:rFonts w:ascii="Arial" w:hAnsi="Arial" w:cs="Arial"/>
          <w:szCs w:val="20"/>
          <w:u w:val="single"/>
        </w:rPr>
      </w:pPr>
    </w:p>
    <w:p w14:paraId="1ADA190F" w14:textId="4B9D6035" w:rsidR="007619C6" w:rsidRPr="006438B7" w:rsidRDefault="007619C6" w:rsidP="00511CCF">
      <w:pPr>
        <w:spacing w:after="0" w:line="240" w:lineRule="auto"/>
        <w:ind w:left="810"/>
        <w:jc w:val="both"/>
        <w:rPr>
          <w:rFonts w:ascii="Arial" w:hAnsi="Arial" w:cs="Arial"/>
          <w:szCs w:val="20"/>
          <w:u w:val="single"/>
        </w:rPr>
      </w:pPr>
      <w:r w:rsidRPr="006438B7">
        <w:rPr>
          <w:rFonts w:ascii="Arial" w:hAnsi="Arial" w:cs="Arial"/>
          <w:szCs w:val="20"/>
          <w:u w:val="single"/>
        </w:rPr>
        <w:t>Foreign currency transactions</w:t>
      </w:r>
    </w:p>
    <w:p w14:paraId="3C001C02" w14:textId="77777777" w:rsidR="007619C6" w:rsidRPr="006438B7" w:rsidRDefault="007619C6" w:rsidP="00511CCF">
      <w:pPr>
        <w:spacing w:after="0" w:line="240" w:lineRule="auto"/>
        <w:ind w:left="810"/>
        <w:jc w:val="both"/>
        <w:rPr>
          <w:rFonts w:ascii="Arial" w:hAnsi="Arial" w:cs="Arial"/>
          <w:szCs w:val="20"/>
        </w:rPr>
      </w:pPr>
      <w:r w:rsidRPr="006438B7">
        <w:rPr>
          <w:rFonts w:ascii="Arial" w:hAnsi="Arial" w:cs="Arial"/>
          <w:szCs w:val="20"/>
        </w:rPr>
        <w:t>Transactions in foreign currencies are translated to the respective functional currencies of the Company and its subsidiar</w:t>
      </w:r>
      <w:r>
        <w:rPr>
          <w:rFonts w:ascii="Arial" w:hAnsi="Arial" w:cs="Arial"/>
          <w:szCs w:val="20"/>
        </w:rPr>
        <w:t xml:space="preserve">ies </w:t>
      </w:r>
      <w:r w:rsidRPr="006438B7">
        <w:rPr>
          <w:rFonts w:ascii="Arial" w:hAnsi="Arial" w:cs="Arial"/>
          <w:szCs w:val="20"/>
        </w:rPr>
        <w:t xml:space="preserve">at the exchange rate in effect at the transaction date.  Monetary assets and liabilities denominated in other than the functional currency </w:t>
      </w:r>
      <w:proofErr w:type="gramStart"/>
      <w:r w:rsidRPr="006438B7">
        <w:rPr>
          <w:rFonts w:ascii="Arial" w:hAnsi="Arial" w:cs="Arial"/>
          <w:szCs w:val="20"/>
        </w:rPr>
        <w:t>are</w:t>
      </w:r>
      <w:proofErr w:type="gramEnd"/>
      <w:r w:rsidRPr="006438B7">
        <w:rPr>
          <w:rFonts w:ascii="Arial" w:hAnsi="Arial" w:cs="Arial"/>
          <w:szCs w:val="20"/>
        </w:rPr>
        <w:t xml:space="preserve"> translated at the exchange rates in effect at the financial position date.  The resulting exchange gains and losses are recognized in profit or loss. Non-monetary assets and liabilities denominated in other than the functional currency that are measured at fair value are translated to the functional currency at the exchange rate at the date that th</w:t>
      </w:r>
      <w:r>
        <w:rPr>
          <w:rFonts w:ascii="Arial" w:hAnsi="Arial" w:cs="Arial"/>
          <w:szCs w:val="20"/>
        </w:rPr>
        <w:t>e fair value is determined. Non</w:t>
      </w:r>
      <w:r w:rsidRPr="006438B7">
        <w:rPr>
          <w:rFonts w:ascii="Arial" w:hAnsi="Arial" w:cs="Arial"/>
          <w:szCs w:val="20"/>
        </w:rPr>
        <w:t xml:space="preserve">-monetary items that are measured in terms of historical cost in other than the functional currency </w:t>
      </w:r>
      <w:proofErr w:type="gramStart"/>
      <w:r w:rsidRPr="006438B7">
        <w:rPr>
          <w:rFonts w:ascii="Arial" w:hAnsi="Arial" w:cs="Arial"/>
          <w:szCs w:val="20"/>
        </w:rPr>
        <w:t>are</w:t>
      </w:r>
      <w:proofErr w:type="gramEnd"/>
      <w:r w:rsidRPr="006438B7">
        <w:rPr>
          <w:rFonts w:ascii="Arial" w:hAnsi="Arial" w:cs="Arial"/>
          <w:szCs w:val="20"/>
        </w:rPr>
        <w:t xml:space="preserve"> translated using the exchange rate at the date of transaction.    </w:t>
      </w:r>
    </w:p>
    <w:p w14:paraId="6B3F3E1C" w14:textId="26385658" w:rsidR="007619C6" w:rsidRDefault="007619C6" w:rsidP="00511CCF">
      <w:pPr>
        <w:spacing w:after="0" w:line="240" w:lineRule="auto"/>
        <w:ind w:left="810"/>
        <w:jc w:val="both"/>
        <w:rPr>
          <w:rFonts w:ascii="Arial" w:hAnsi="Arial" w:cs="Arial"/>
          <w:szCs w:val="20"/>
          <w:u w:val="single"/>
        </w:rPr>
      </w:pPr>
    </w:p>
    <w:p w14:paraId="0F5E1F2D" w14:textId="77777777" w:rsidR="007705ED" w:rsidRPr="006438B7" w:rsidRDefault="007705ED" w:rsidP="007705ED">
      <w:pPr>
        <w:spacing w:after="0" w:line="240" w:lineRule="auto"/>
        <w:ind w:left="810"/>
        <w:jc w:val="both"/>
        <w:rPr>
          <w:rFonts w:ascii="Arial" w:hAnsi="Arial" w:cs="Arial"/>
          <w:szCs w:val="20"/>
          <w:u w:val="single"/>
        </w:rPr>
      </w:pPr>
      <w:r w:rsidRPr="006438B7">
        <w:rPr>
          <w:rFonts w:ascii="Arial" w:hAnsi="Arial" w:cs="Arial"/>
          <w:szCs w:val="20"/>
          <w:u w:val="single"/>
        </w:rPr>
        <w:t>Foreign operations</w:t>
      </w:r>
    </w:p>
    <w:p w14:paraId="5A55244A" w14:textId="28DEB13B" w:rsidR="007705ED" w:rsidRDefault="007705ED" w:rsidP="007705ED">
      <w:pPr>
        <w:spacing w:after="0" w:line="240" w:lineRule="auto"/>
        <w:ind w:left="810"/>
        <w:jc w:val="both"/>
        <w:rPr>
          <w:rFonts w:ascii="Arial" w:hAnsi="Arial" w:cs="Arial"/>
          <w:szCs w:val="20"/>
          <w:u w:val="single"/>
        </w:rPr>
      </w:pPr>
      <w:r w:rsidRPr="006438B7">
        <w:rPr>
          <w:rFonts w:ascii="Arial" w:hAnsi="Arial" w:cs="Arial"/>
          <w:szCs w:val="20"/>
        </w:rPr>
        <w:t xml:space="preserve">For consolidation purposes, the assets and liabilities of foreign operations are translated to the presentation currency using the exchange rate prevailing at the financial position date.  The income and expenses of foreign operations are translated to the presentation currency using the average rates of exchange during the </w:t>
      </w:r>
      <w:r>
        <w:rPr>
          <w:rFonts w:ascii="Arial" w:hAnsi="Arial" w:cs="Arial"/>
          <w:szCs w:val="20"/>
        </w:rPr>
        <w:t>period</w:t>
      </w:r>
      <w:r w:rsidRPr="006438B7">
        <w:rPr>
          <w:rFonts w:ascii="Arial" w:hAnsi="Arial" w:cs="Arial"/>
          <w:szCs w:val="20"/>
        </w:rPr>
        <w:t xml:space="preserve">.  All resulting exchange differences are recorded as other comprehensive </w:t>
      </w:r>
      <w:r>
        <w:rPr>
          <w:rFonts w:ascii="Arial" w:hAnsi="Arial" w:cs="Arial"/>
          <w:szCs w:val="20"/>
        </w:rPr>
        <w:t>income (loss)</w:t>
      </w:r>
      <w:r w:rsidRPr="006438B7">
        <w:rPr>
          <w:rFonts w:ascii="Arial" w:hAnsi="Arial" w:cs="Arial"/>
          <w:szCs w:val="20"/>
        </w:rPr>
        <w:t xml:space="preserve"> and accumulated in a separate component of shareholders’ equity, described as foreign currency translation adjustment.</w:t>
      </w:r>
    </w:p>
    <w:p w14:paraId="6A612EE4" w14:textId="77777777" w:rsidR="00493AF3" w:rsidRDefault="00493AF3">
      <w:pPr>
        <w:rPr>
          <w:rFonts w:ascii="Arial" w:hAnsi="Arial" w:cs="Arial"/>
          <w:b/>
          <w:bCs/>
          <w:szCs w:val="20"/>
        </w:rPr>
      </w:pPr>
      <w:r>
        <w:rPr>
          <w:rFonts w:ascii="Arial" w:hAnsi="Arial" w:cs="Arial"/>
          <w:b/>
          <w:bCs/>
          <w:szCs w:val="20"/>
        </w:rPr>
        <w:br w:type="page"/>
      </w:r>
    </w:p>
    <w:p w14:paraId="50F3F505" w14:textId="3A0B9BB5" w:rsidR="00493AF3" w:rsidRPr="00F60034" w:rsidRDefault="00493AF3" w:rsidP="00493AF3">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B387BD8" w14:textId="77777777" w:rsidR="00493AF3" w:rsidRDefault="00493AF3" w:rsidP="00511CCF">
      <w:pPr>
        <w:spacing w:after="0" w:line="240" w:lineRule="auto"/>
        <w:ind w:left="810"/>
        <w:jc w:val="both"/>
        <w:rPr>
          <w:rFonts w:ascii="Arial" w:hAnsi="Arial" w:cs="Arial"/>
          <w:szCs w:val="20"/>
          <w:u w:val="single"/>
        </w:rPr>
      </w:pPr>
    </w:p>
    <w:p w14:paraId="06C6E606" w14:textId="09E0621C" w:rsidR="0012455C" w:rsidRPr="00F60034" w:rsidRDefault="00862D9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Financial Instruments</w:t>
      </w:r>
    </w:p>
    <w:p w14:paraId="1373510B"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7702D1C" w14:textId="3D483FC3" w:rsidR="007619C6" w:rsidRPr="00D301D2" w:rsidRDefault="00170927" w:rsidP="007619C6">
      <w:pPr>
        <w:spacing w:after="0" w:line="240" w:lineRule="auto"/>
        <w:ind w:left="810"/>
        <w:jc w:val="both"/>
        <w:rPr>
          <w:rFonts w:ascii="Arial" w:hAnsi="Arial" w:cs="Arial"/>
          <w:szCs w:val="20"/>
          <w:u w:val="single"/>
        </w:rPr>
      </w:pPr>
      <w:r>
        <w:rPr>
          <w:rFonts w:ascii="Arial" w:hAnsi="Arial" w:cs="Arial"/>
          <w:szCs w:val="20"/>
          <w:u w:val="single"/>
        </w:rPr>
        <w:t>Financial i</w:t>
      </w:r>
      <w:r w:rsidR="007619C6" w:rsidRPr="00D301D2">
        <w:rPr>
          <w:rFonts w:ascii="Arial" w:hAnsi="Arial" w:cs="Arial"/>
          <w:szCs w:val="20"/>
          <w:u w:val="single"/>
        </w:rPr>
        <w:t>nstruments - classification and measurement</w:t>
      </w:r>
    </w:p>
    <w:p w14:paraId="457F5640" w14:textId="77777777" w:rsidR="007619C6" w:rsidRDefault="007619C6" w:rsidP="007619C6">
      <w:pPr>
        <w:spacing w:after="0" w:line="240" w:lineRule="auto"/>
        <w:ind w:left="792"/>
        <w:jc w:val="both"/>
        <w:rPr>
          <w:rFonts w:ascii="Arial" w:hAnsi="Arial" w:cs="Arial"/>
          <w:szCs w:val="20"/>
        </w:rPr>
      </w:pPr>
    </w:p>
    <w:p w14:paraId="411CAF3D" w14:textId="051C0EEA" w:rsidR="007619C6" w:rsidRPr="00D301D2" w:rsidRDefault="007619C6" w:rsidP="007619C6">
      <w:pPr>
        <w:spacing w:after="0" w:line="240" w:lineRule="auto"/>
        <w:ind w:left="810"/>
        <w:jc w:val="both"/>
        <w:rPr>
          <w:rFonts w:ascii="Arial" w:hAnsi="Arial" w:cs="Arial"/>
          <w:i/>
          <w:iCs/>
          <w:szCs w:val="20"/>
        </w:rPr>
      </w:pPr>
      <w:r w:rsidRPr="00D301D2">
        <w:rPr>
          <w:rFonts w:ascii="Arial" w:hAnsi="Arial" w:cs="Arial"/>
          <w:i/>
          <w:iCs/>
          <w:szCs w:val="20"/>
        </w:rPr>
        <w:t>Financial Asset</w:t>
      </w:r>
      <w:r w:rsidR="00EF3554">
        <w:rPr>
          <w:rFonts w:ascii="Arial" w:hAnsi="Arial" w:cs="Arial"/>
          <w:i/>
          <w:iCs/>
          <w:szCs w:val="20"/>
        </w:rPr>
        <w:t>s</w:t>
      </w:r>
    </w:p>
    <w:p w14:paraId="047B96C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The classification and measurement of financial assets is based on the Company’s business</w:t>
      </w:r>
      <w:r>
        <w:rPr>
          <w:rFonts w:ascii="Arial" w:hAnsi="Arial" w:cs="Arial"/>
          <w:szCs w:val="20"/>
        </w:rPr>
        <w:t xml:space="preserve"> </w:t>
      </w:r>
      <w:r w:rsidRPr="00D301D2">
        <w:rPr>
          <w:rFonts w:ascii="Arial" w:hAnsi="Arial" w:cs="Arial"/>
          <w:szCs w:val="20"/>
        </w:rPr>
        <w:t>models for managing its financial assets and whether the contractual cash flows represent</w:t>
      </w:r>
      <w:r>
        <w:rPr>
          <w:rFonts w:ascii="Arial" w:hAnsi="Arial" w:cs="Arial"/>
          <w:szCs w:val="20"/>
        </w:rPr>
        <w:t xml:space="preserve"> </w:t>
      </w:r>
      <w:r w:rsidRPr="00D301D2">
        <w:rPr>
          <w:rFonts w:ascii="Arial" w:hAnsi="Arial" w:cs="Arial"/>
          <w:szCs w:val="20"/>
        </w:rPr>
        <w:t>solely payments of principal and interest (“SPPI”). Financial assets are initially measured at</w:t>
      </w:r>
      <w:r>
        <w:rPr>
          <w:rFonts w:ascii="Arial" w:hAnsi="Arial" w:cs="Arial"/>
          <w:szCs w:val="20"/>
        </w:rPr>
        <w:t xml:space="preserve"> </w:t>
      </w:r>
      <w:r w:rsidRPr="00D301D2">
        <w:rPr>
          <w:rFonts w:ascii="Arial" w:hAnsi="Arial" w:cs="Arial"/>
          <w:szCs w:val="20"/>
        </w:rPr>
        <w:t>fair value and are subsequently measured at either (</w:t>
      </w:r>
      <w:proofErr w:type="spellStart"/>
      <w:r w:rsidRPr="00D301D2">
        <w:rPr>
          <w:rFonts w:ascii="Arial" w:hAnsi="Arial" w:cs="Arial"/>
          <w:szCs w:val="20"/>
        </w:rPr>
        <w:t>i</w:t>
      </w:r>
      <w:proofErr w:type="spellEnd"/>
      <w:r w:rsidRPr="00D301D2">
        <w:rPr>
          <w:rFonts w:ascii="Arial" w:hAnsi="Arial" w:cs="Arial"/>
          <w:szCs w:val="20"/>
        </w:rPr>
        <w:t>) amortized cost; (ii) fair value through</w:t>
      </w:r>
      <w:r>
        <w:rPr>
          <w:rFonts w:ascii="Arial" w:hAnsi="Arial" w:cs="Arial"/>
          <w:szCs w:val="20"/>
        </w:rPr>
        <w:t xml:space="preserve"> </w:t>
      </w:r>
      <w:r w:rsidRPr="00D301D2">
        <w:rPr>
          <w:rFonts w:ascii="Arial" w:hAnsi="Arial" w:cs="Arial"/>
          <w:szCs w:val="20"/>
        </w:rPr>
        <w:t>other comprehensive income, or (iii) at fair value through profit or loss.</w:t>
      </w:r>
    </w:p>
    <w:p w14:paraId="1453D4B7" w14:textId="77777777" w:rsidR="007619C6" w:rsidRDefault="007619C6" w:rsidP="007619C6">
      <w:pPr>
        <w:spacing w:after="0" w:line="240" w:lineRule="auto"/>
        <w:ind w:left="810"/>
        <w:jc w:val="both"/>
        <w:rPr>
          <w:rFonts w:ascii="Arial" w:hAnsi="Arial" w:cs="Arial"/>
          <w:szCs w:val="20"/>
        </w:rPr>
      </w:pPr>
    </w:p>
    <w:p w14:paraId="6F143F74"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Amortized cost</w:t>
      </w:r>
    </w:p>
    <w:p w14:paraId="76D33036" w14:textId="5E3A84BF"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amortized cost are those assets that are held within</w:t>
      </w:r>
      <w:r>
        <w:rPr>
          <w:rFonts w:ascii="Arial" w:hAnsi="Arial" w:cs="Arial"/>
          <w:szCs w:val="20"/>
        </w:rPr>
        <w:t xml:space="preserve"> </w:t>
      </w:r>
      <w:r w:rsidRPr="00D301D2">
        <w:rPr>
          <w:rFonts w:ascii="Arial" w:hAnsi="Arial" w:cs="Arial"/>
          <w:szCs w:val="20"/>
        </w:rPr>
        <w:t>a business model whose objective is to hold financial assets in order to collect contractual</w:t>
      </w:r>
      <w:r>
        <w:rPr>
          <w:rFonts w:ascii="Arial" w:hAnsi="Arial" w:cs="Arial"/>
          <w:szCs w:val="20"/>
        </w:rPr>
        <w:t xml:space="preserve"> </w:t>
      </w:r>
      <w:r w:rsidRPr="00D301D2">
        <w:rPr>
          <w:rFonts w:ascii="Arial" w:hAnsi="Arial" w:cs="Arial"/>
          <w:szCs w:val="20"/>
        </w:rPr>
        <w:t>cash flows, and the contractual terms of the financial asset give rise to cash flows that are</w:t>
      </w:r>
      <w:r>
        <w:rPr>
          <w:rFonts w:ascii="Arial" w:hAnsi="Arial" w:cs="Arial"/>
          <w:szCs w:val="20"/>
        </w:rPr>
        <w:t xml:space="preserve"> </w:t>
      </w:r>
      <w:r w:rsidRPr="00D301D2">
        <w:rPr>
          <w:rFonts w:ascii="Arial" w:hAnsi="Arial" w:cs="Arial"/>
          <w:szCs w:val="20"/>
        </w:rPr>
        <w:t>SPPI. Financial assets classified at amortized cost are measured using the effective interest</w:t>
      </w:r>
      <w:r>
        <w:rPr>
          <w:rFonts w:ascii="Arial" w:hAnsi="Arial" w:cs="Arial"/>
          <w:szCs w:val="20"/>
        </w:rPr>
        <w:t xml:space="preserve"> </w:t>
      </w:r>
      <w:r w:rsidRPr="00D301D2">
        <w:rPr>
          <w:rFonts w:ascii="Arial" w:hAnsi="Arial" w:cs="Arial"/>
          <w:szCs w:val="20"/>
        </w:rPr>
        <w:t>method. The Company’s cash</w:t>
      </w:r>
      <w:r w:rsidR="00A563FB">
        <w:rPr>
          <w:rFonts w:ascii="Arial" w:hAnsi="Arial" w:cs="Arial"/>
          <w:szCs w:val="20"/>
        </w:rPr>
        <w:t xml:space="preserve"> and </w:t>
      </w:r>
      <w:r w:rsidR="00C135E2">
        <w:rPr>
          <w:rFonts w:ascii="Arial" w:hAnsi="Arial" w:cs="Arial"/>
          <w:szCs w:val="20"/>
        </w:rPr>
        <w:t>amounts receivable</w:t>
      </w:r>
      <w:r w:rsidR="00E13F53">
        <w:rPr>
          <w:rFonts w:ascii="Arial" w:hAnsi="Arial" w:cs="Arial"/>
          <w:szCs w:val="20"/>
        </w:rPr>
        <w:t xml:space="preserve"> </w:t>
      </w:r>
      <w:r w:rsidRPr="00D301D2">
        <w:rPr>
          <w:rFonts w:ascii="Arial" w:hAnsi="Arial" w:cs="Arial"/>
          <w:szCs w:val="20"/>
        </w:rPr>
        <w:t>are classified in this category.</w:t>
      </w:r>
    </w:p>
    <w:p w14:paraId="1EED7730" w14:textId="77777777" w:rsidR="007619C6" w:rsidRPr="00D301D2" w:rsidRDefault="007619C6" w:rsidP="007619C6">
      <w:pPr>
        <w:spacing w:after="0" w:line="240" w:lineRule="auto"/>
        <w:ind w:left="810"/>
        <w:jc w:val="both"/>
        <w:rPr>
          <w:rFonts w:ascii="Arial" w:hAnsi="Arial" w:cs="Arial"/>
          <w:szCs w:val="20"/>
        </w:rPr>
      </w:pPr>
    </w:p>
    <w:p w14:paraId="170231C0"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other comprehensive income (“FVTOCI”)</w:t>
      </w:r>
    </w:p>
    <w:p w14:paraId="4A3B46E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FVTOCI are those assets that are held within a</w:t>
      </w:r>
      <w:r>
        <w:rPr>
          <w:rFonts w:ascii="Arial" w:hAnsi="Arial" w:cs="Arial"/>
          <w:szCs w:val="20"/>
        </w:rPr>
        <w:t xml:space="preserve"> </w:t>
      </w:r>
      <w:r w:rsidRPr="00D301D2">
        <w:rPr>
          <w:rFonts w:ascii="Arial" w:hAnsi="Arial" w:cs="Arial"/>
          <w:szCs w:val="20"/>
        </w:rPr>
        <w:t>business model whose objective is achieved by both collecting contractual cash flows and</w:t>
      </w:r>
      <w:r>
        <w:rPr>
          <w:rFonts w:ascii="Arial" w:hAnsi="Arial" w:cs="Arial"/>
          <w:szCs w:val="20"/>
        </w:rPr>
        <w:t xml:space="preserve"> </w:t>
      </w:r>
      <w:r w:rsidRPr="00D301D2">
        <w:rPr>
          <w:rFonts w:ascii="Arial" w:hAnsi="Arial" w:cs="Arial"/>
          <w:szCs w:val="20"/>
        </w:rPr>
        <w:t>selling financial assets, and the contractual terms of the financial asset give rise to cash flows</w:t>
      </w:r>
      <w:r>
        <w:rPr>
          <w:rFonts w:ascii="Arial" w:hAnsi="Arial" w:cs="Arial"/>
          <w:szCs w:val="20"/>
        </w:rPr>
        <w:t xml:space="preserve"> </w:t>
      </w:r>
      <w:r w:rsidRPr="00D301D2">
        <w:rPr>
          <w:rFonts w:ascii="Arial" w:hAnsi="Arial" w:cs="Arial"/>
          <w:szCs w:val="20"/>
        </w:rPr>
        <w:t>that are SPPI.</w:t>
      </w:r>
    </w:p>
    <w:p w14:paraId="5F1BCF94" w14:textId="77777777" w:rsidR="007619C6" w:rsidRPr="00D301D2" w:rsidRDefault="007619C6" w:rsidP="007619C6">
      <w:pPr>
        <w:spacing w:after="0" w:line="240" w:lineRule="auto"/>
        <w:ind w:left="810"/>
        <w:jc w:val="both"/>
        <w:rPr>
          <w:rFonts w:ascii="Arial" w:hAnsi="Arial" w:cs="Arial"/>
          <w:szCs w:val="20"/>
        </w:rPr>
      </w:pPr>
    </w:p>
    <w:p w14:paraId="48F73B6E"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profit or loss (“FVTPL”)</w:t>
      </w:r>
    </w:p>
    <w:p w14:paraId="4FAFBC8F" w14:textId="1EED2998"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FVTPL are those assets that do not meet the</w:t>
      </w:r>
      <w:r>
        <w:rPr>
          <w:rFonts w:ascii="Arial" w:hAnsi="Arial" w:cs="Arial"/>
          <w:szCs w:val="20"/>
        </w:rPr>
        <w:t xml:space="preserve"> </w:t>
      </w:r>
      <w:r w:rsidRPr="00D301D2">
        <w:rPr>
          <w:rFonts w:ascii="Arial" w:hAnsi="Arial" w:cs="Arial"/>
          <w:szCs w:val="20"/>
        </w:rPr>
        <w:t>criteria to be classified at amortized cost or at FVTOCI.</w:t>
      </w:r>
    </w:p>
    <w:p w14:paraId="422B6FE3" w14:textId="2FF4EA2A" w:rsidR="007619C6" w:rsidRDefault="007619C6" w:rsidP="007619C6">
      <w:pPr>
        <w:spacing w:after="0" w:line="240" w:lineRule="auto"/>
        <w:ind w:left="810"/>
        <w:jc w:val="both"/>
        <w:rPr>
          <w:rFonts w:ascii="Arial" w:hAnsi="Arial" w:cs="Arial"/>
          <w:i/>
          <w:iCs/>
          <w:szCs w:val="20"/>
        </w:rPr>
      </w:pPr>
    </w:p>
    <w:p w14:paraId="5332628D" w14:textId="77777777" w:rsidR="00D27277" w:rsidRPr="00D301D2" w:rsidRDefault="00D27277" w:rsidP="00D27277">
      <w:pPr>
        <w:spacing w:after="0" w:line="240" w:lineRule="auto"/>
        <w:ind w:left="810"/>
        <w:jc w:val="both"/>
        <w:rPr>
          <w:rFonts w:ascii="Arial" w:hAnsi="Arial" w:cs="Arial"/>
          <w:i/>
          <w:iCs/>
          <w:szCs w:val="20"/>
        </w:rPr>
      </w:pPr>
      <w:r w:rsidRPr="00D301D2">
        <w:rPr>
          <w:rFonts w:ascii="Arial" w:hAnsi="Arial" w:cs="Arial"/>
          <w:i/>
          <w:iCs/>
          <w:szCs w:val="20"/>
        </w:rPr>
        <w:t>Financial Liabilities</w:t>
      </w:r>
    </w:p>
    <w:p w14:paraId="4EFB9D4E" w14:textId="452EAF8E" w:rsidR="00D27277" w:rsidRPr="00D301D2" w:rsidRDefault="00D27277" w:rsidP="00D27277">
      <w:pPr>
        <w:spacing w:after="0" w:line="240" w:lineRule="auto"/>
        <w:ind w:left="810"/>
        <w:jc w:val="both"/>
        <w:rPr>
          <w:rFonts w:ascii="Arial" w:hAnsi="Arial" w:cs="Arial"/>
          <w:szCs w:val="20"/>
        </w:rPr>
      </w:pPr>
      <w:r w:rsidRPr="00D301D2">
        <w:rPr>
          <w:rFonts w:ascii="Arial" w:hAnsi="Arial" w:cs="Arial"/>
          <w:szCs w:val="20"/>
        </w:rPr>
        <w:t>All financial li</w:t>
      </w:r>
      <w:r>
        <w:rPr>
          <w:rFonts w:ascii="Arial" w:hAnsi="Arial" w:cs="Arial"/>
          <w:szCs w:val="20"/>
        </w:rPr>
        <w:t>abilities are initially recogniz</w:t>
      </w:r>
      <w:r w:rsidRPr="00D301D2">
        <w:rPr>
          <w:rFonts w:ascii="Arial" w:hAnsi="Arial" w:cs="Arial"/>
          <w:szCs w:val="20"/>
        </w:rPr>
        <w:t>ed at fair value plus or minus transactions costs that are directly attributable to issuing the financial liability. Financial lia</w:t>
      </w:r>
      <w:r>
        <w:rPr>
          <w:rFonts w:ascii="Arial" w:hAnsi="Arial" w:cs="Arial"/>
          <w:szCs w:val="20"/>
        </w:rPr>
        <w:t>bilities are measured at amortiz</w:t>
      </w:r>
      <w:r w:rsidRPr="00D301D2">
        <w:rPr>
          <w:rFonts w:ascii="Arial" w:hAnsi="Arial" w:cs="Arial"/>
          <w:szCs w:val="20"/>
        </w:rPr>
        <w:t xml:space="preserve">ed </w:t>
      </w:r>
      <w:proofErr w:type="gramStart"/>
      <w:r w:rsidRPr="00D301D2">
        <w:rPr>
          <w:rFonts w:ascii="Arial" w:hAnsi="Arial" w:cs="Arial"/>
          <w:szCs w:val="20"/>
        </w:rPr>
        <w:t>cost, unless</w:t>
      </w:r>
      <w:proofErr w:type="gramEnd"/>
      <w:r w:rsidRPr="00D301D2">
        <w:rPr>
          <w:rFonts w:ascii="Arial" w:hAnsi="Arial" w:cs="Arial"/>
          <w:szCs w:val="20"/>
        </w:rPr>
        <w:t xml:space="preserve"> they are required to be measured at FVTPL. The Company’s accounts payable and accrued liabilities</w:t>
      </w:r>
      <w:r>
        <w:rPr>
          <w:rFonts w:ascii="Arial" w:hAnsi="Arial" w:cs="Arial"/>
          <w:szCs w:val="20"/>
        </w:rPr>
        <w:t xml:space="preserve"> and due to related parties </w:t>
      </w:r>
      <w:r w:rsidRPr="00D301D2">
        <w:rPr>
          <w:rFonts w:ascii="Arial" w:hAnsi="Arial" w:cs="Arial"/>
          <w:szCs w:val="20"/>
        </w:rPr>
        <w:t>are measured at amortized cost.</w:t>
      </w:r>
    </w:p>
    <w:p w14:paraId="61C8109E" w14:textId="2B043D49" w:rsidR="00D27277" w:rsidRDefault="00D27277" w:rsidP="007619C6">
      <w:pPr>
        <w:spacing w:after="0" w:line="240" w:lineRule="auto"/>
        <w:ind w:left="810"/>
        <w:jc w:val="both"/>
        <w:rPr>
          <w:rFonts w:ascii="Arial" w:hAnsi="Arial" w:cs="Arial"/>
          <w:i/>
          <w:iCs/>
          <w:szCs w:val="20"/>
        </w:rPr>
      </w:pPr>
    </w:p>
    <w:p w14:paraId="60A2B56F" w14:textId="77777777" w:rsidR="007705ED" w:rsidRPr="00240949" w:rsidRDefault="007705ED" w:rsidP="007705ED">
      <w:pPr>
        <w:spacing w:after="0" w:line="240" w:lineRule="auto"/>
        <w:ind w:left="810"/>
        <w:jc w:val="both"/>
        <w:rPr>
          <w:rFonts w:ascii="Arial" w:hAnsi="Arial" w:cs="Arial"/>
          <w:szCs w:val="20"/>
          <w:u w:val="single"/>
        </w:rPr>
      </w:pPr>
      <w:r w:rsidRPr="00240949">
        <w:rPr>
          <w:rFonts w:ascii="Arial" w:hAnsi="Arial" w:cs="Arial"/>
          <w:szCs w:val="20"/>
          <w:u w:val="single"/>
        </w:rPr>
        <w:t xml:space="preserve">Financial </w:t>
      </w:r>
      <w:r>
        <w:rPr>
          <w:rFonts w:ascii="Arial" w:hAnsi="Arial" w:cs="Arial"/>
          <w:szCs w:val="20"/>
          <w:u w:val="single"/>
        </w:rPr>
        <w:t>instruments - i</w:t>
      </w:r>
      <w:r w:rsidRPr="00240949">
        <w:rPr>
          <w:rFonts w:ascii="Arial" w:hAnsi="Arial" w:cs="Arial"/>
          <w:szCs w:val="20"/>
          <w:u w:val="single"/>
        </w:rPr>
        <w:t>mpairment of financial assets</w:t>
      </w:r>
    </w:p>
    <w:p w14:paraId="5D175583" w14:textId="77777777" w:rsidR="007705ED" w:rsidRPr="00240949" w:rsidRDefault="007705ED" w:rsidP="007705ED">
      <w:pPr>
        <w:spacing w:after="0" w:line="240" w:lineRule="auto"/>
        <w:ind w:left="810"/>
        <w:jc w:val="both"/>
        <w:rPr>
          <w:rFonts w:ascii="Arial" w:hAnsi="Arial" w:cs="Arial"/>
          <w:szCs w:val="20"/>
        </w:rPr>
      </w:pPr>
      <w:r w:rsidRPr="00240949">
        <w:rPr>
          <w:rFonts w:ascii="Arial" w:hAnsi="Arial" w:cs="Arial"/>
          <w:szCs w:val="20"/>
        </w:rPr>
        <w:t>The Company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w:t>
      </w:r>
      <w:r>
        <w:rPr>
          <w:rFonts w:ascii="Arial" w:hAnsi="Arial" w:cs="Arial"/>
          <w:szCs w:val="20"/>
        </w:rPr>
        <w:t xml:space="preserve"> condensed</w:t>
      </w:r>
      <w:r w:rsidRPr="00240949">
        <w:rPr>
          <w:rFonts w:ascii="Arial" w:hAnsi="Arial" w:cs="Arial"/>
          <w:szCs w:val="20"/>
        </w:rPr>
        <w:t xml:space="preserve"> </w:t>
      </w:r>
      <w:r>
        <w:rPr>
          <w:rFonts w:ascii="Arial" w:hAnsi="Arial" w:cs="Arial"/>
          <w:szCs w:val="20"/>
        </w:rPr>
        <w:t>c</w:t>
      </w:r>
      <w:r w:rsidRPr="00240949">
        <w:rPr>
          <w:rFonts w:ascii="Arial" w:hAnsi="Arial" w:cs="Arial"/>
          <w:szCs w:val="20"/>
        </w:rPr>
        <w:t xml:space="preserve">onsolidated </w:t>
      </w:r>
      <w:r>
        <w:rPr>
          <w:rFonts w:ascii="Arial" w:hAnsi="Arial" w:cs="Arial"/>
          <w:szCs w:val="20"/>
        </w:rPr>
        <w:t>interim s</w:t>
      </w:r>
      <w:r w:rsidRPr="00240949">
        <w:rPr>
          <w:rFonts w:ascii="Arial" w:hAnsi="Arial" w:cs="Arial"/>
          <w:szCs w:val="20"/>
        </w:rPr>
        <w:t xml:space="preserve">tatements of </w:t>
      </w:r>
      <w:r>
        <w:rPr>
          <w:rFonts w:ascii="Arial" w:hAnsi="Arial" w:cs="Arial"/>
          <w:szCs w:val="20"/>
        </w:rPr>
        <w:t>income (loss)</w:t>
      </w:r>
      <w:r w:rsidRPr="00240949">
        <w:rPr>
          <w:rFonts w:ascii="Arial" w:hAnsi="Arial" w:cs="Arial"/>
          <w:szCs w:val="20"/>
        </w:rPr>
        <w:t>, as an impairment gain or loss, the amount of expected credit losses (or reversal) that is required to adjust the loss allowance at the reporting date to the amount that is required to be recognized.</w:t>
      </w:r>
    </w:p>
    <w:p w14:paraId="63387BE6" w14:textId="77777777" w:rsidR="007705ED" w:rsidRDefault="007705ED" w:rsidP="007705ED">
      <w:pPr>
        <w:spacing w:after="0" w:line="240" w:lineRule="auto"/>
        <w:ind w:left="810"/>
        <w:jc w:val="both"/>
        <w:rPr>
          <w:rFonts w:ascii="Arial" w:hAnsi="Arial" w:cs="Arial"/>
          <w:szCs w:val="20"/>
        </w:rPr>
      </w:pPr>
    </w:p>
    <w:p w14:paraId="5CAFD59C" w14:textId="77777777" w:rsidR="007705ED" w:rsidRDefault="007705ED" w:rsidP="007619C6">
      <w:pPr>
        <w:spacing w:after="0" w:line="240" w:lineRule="auto"/>
        <w:ind w:left="810"/>
        <w:jc w:val="both"/>
        <w:rPr>
          <w:rFonts w:ascii="Arial" w:hAnsi="Arial" w:cs="Arial"/>
          <w:i/>
          <w:iCs/>
          <w:szCs w:val="20"/>
        </w:rPr>
      </w:pPr>
    </w:p>
    <w:p w14:paraId="105B2FBF" w14:textId="77777777" w:rsidR="0054186A" w:rsidRDefault="0054186A">
      <w:pPr>
        <w:rPr>
          <w:rFonts w:ascii="Arial" w:hAnsi="Arial" w:cs="Arial"/>
          <w:b/>
          <w:bCs/>
          <w:szCs w:val="20"/>
        </w:rPr>
      </w:pPr>
      <w:r>
        <w:rPr>
          <w:rFonts w:ascii="Arial" w:hAnsi="Arial" w:cs="Arial"/>
          <w:b/>
          <w:bCs/>
          <w:szCs w:val="20"/>
        </w:rPr>
        <w:br w:type="page"/>
      </w:r>
    </w:p>
    <w:p w14:paraId="31027760" w14:textId="46AA5A68" w:rsidR="0054186A" w:rsidRPr="006F2161" w:rsidRDefault="0054186A" w:rsidP="00EE4151">
      <w:pPr>
        <w:tabs>
          <w:tab w:val="left" w:pos="360"/>
        </w:tabs>
        <w:spacing w:after="0"/>
        <w:rPr>
          <w:rFonts w:ascii="Arial" w:hAnsi="Arial" w:cs="Arial"/>
          <w:bCs/>
          <w:szCs w:val="20"/>
        </w:rPr>
      </w:pPr>
      <w:r w:rsidRPr="006F2161">
        <w:rPr>
          <w:rFonts w:ascii="Arial" w:hAnsi="Arial" w:cs="Arial"/>
          <w:b/>
          <w:bCs/>
          <w:szCs w:val="20"/>
        </w:rPr>
        <w:lastRenderedPageBreak/>
        <w:t>2.</w:t>
      </w:r>
      <w:r w:rsidRPr="006F2161">
        <w:rPr>
          <w:rFonts w:ascii="Arial" w:hAnsi="Arial" w:cs="Arial"/>
          <w:b/>
          <w:bCs/>
          <w:szCs w:val="20"/>
        </w:rPr>
        <w:tab/>
        <w:t>Significant Accounting Policies</w:t>
      </w:r>
      <w:r w:rsidRPr="006F2161">
        <w:rPr>
          <w:rFonts w:ascii="Arial" w:hAnsi="Arial" w:cs="Arial"/>
          <w:bCs/>
          <w:szCs w:val="20"/>
        </w:rPr>
        <w:t xml:space="preserve"> (continued)</w:t>
      </w:r>
    </w:p>
    <w:p w14:paraId="05F8B348" w14:textId="77777777" w:rsidR="0054186A" w:rsidRDefault="0054186A" w:rsidP="007619C6">
      <w:pPr>
        <w:spacing w:after="0" w:line="240" w:lineRule="auto"/>
        <w:ind w:left="810"/>
        <w:jc w:val="both"/>
        <w:rPr>
          <w:rFonts w:ascii="Arial" w:hAnsi="Arial" w:cs="Arial"/>
          <w:i/>
          <w:iCs/>
          <w:szCs w:val="20"/>
        </w:rPr>
      </w:pPr>
    </w:p>
    <w:p w14:paraId="3F90E932" w14:textId="77777777"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The Company classifies and discloses fair value measurements based on a three-level hierarchy:</w:t>
      </w:r>
    </w:p>
    <w:p w14:paraId="354EE746" w14:textId="594BBD00" w:rsidR="007619C6" w:rsidRDefault="007619C6" w:rsidP="007619C6">
      <w:pPr>
        <w:spacing w:after="0" w:line="240" w:lineRule="auto"/>
        <w:ind w:left="810"/>
        <w:jc w:val="both"/>
        <w:rPr>
          <w:rFonts w:ascii="Arial" w:hAnsi="Arial" w:cs="Arial"/>
          <w:szCs w:val="20"/>
        </w:rPr>
      </w:pPr>
    </w:p>
    <w:p w14:paraId="6ED48912" w14:textId="77777777" w:rsidR="006F2161" w:rsidRDefault="007619C6" w:rsidP="007619C6">
      <w:pPr>
        <w:pStyle w:val="ListParagraph"/>
        <w:numPr>
          <w:ilvl w:val="0"/>
          <w:numId w:val="39"/>
        </w:numPr>
        <w:spacing w:after="0" w:line="240" w:lineRule="auto"/>
        <w:jc w:val="both"/>
        <w:rPr>
          <w:rFonts w:ascii="Arial" w:hAnsi="Arial" w:cs="Arial"/>
          <w:szCs w:val="20"/>
        </w:rPr>
      </w:pPr>
      <w:r w:rsidRPr="008D24ED">
        <w:rPr>
          <w:rFonts w:ascii="Arial" w:hAnsi="Arial" w:cs="Arial"/>
          <w:szCs w:val="20"/>
        </w:rPr>
        <w:t xml:space="preserve">Level 1 – inputs are unadjusted quoted prices in active markets for identical assets or </w:t>
      </w:r>
      <w:proofErr w:type="gramStart"/>
      <w:r w:rsidRPr="008D24ED">
        <w:rPr>
          <w:rFonts w:ascii="Arial" w:hAnsi="Arial" w:cs="Arial"/>
          <w:szCs w:val="20"/>
        </w:rPr>
        <w:t>liabilities;</w:t>
      </w:r>
      <w:proofErr w:type="gramEnd"/>
    </w:p>
    <w:p w14:paraId="5E9DFB5D"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2 – inputs other than quoted prices in Level 1 that are observable for the asset or liability, either directly or indirectly; and</w:t>
      </w:r>
    </w:p>
    <w:p w14:paraId="6DC119D1"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3 – inputs for the asset or liability are not based on observable market data.</w:t>
      </w:r>
    </w:p>
    <w:p w14:paraId="24084A82" w14:textId="77777777" w:rsidR="007619C6" w:rsidRDefault="007619C6" w:rsidP="007619C6">
      <w:pPr>
        <w:spacing w:after="0" w:line="240" w:lineRule="auto"/>
        <w:ind w:left="810"/>
        <w:jc w:val="both"/>
        <w:rPr>
          <w:rFonts w:ascii="Arial" w:hAnsi="Arial" w:cs="Arial"/>
          <w:szCs w:val="20"/>
        </w:rPr>
      </w:pPr>
    </w:p>
    <w:p w14:paraId="6D1F2023" w14:textId="0814B9F9"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 xml:space="preserve">The Company has determined the estimated fair values of its financial instruments based upon appropriate valuation methodologies. At </w:t>
      </w:r>
      <w:r w:rsidR="00D27277">
        <w:rPr>
          <w:rFonts w:ascii="Arial" w:hAnsi="Arial" w:cs="Arial"/>
          <w:szCs w:val="20"/>
        </w:rPr>
        <w:t xml:space="preserve">April 30, 2020 and </w:t>
      </w:r>
      <w:r w:rsidR="005E589D">
        <w:rPr>
          <w:rFonts w:ascii="Arial" w:hAnsi="Arial" w:cs="Arial"/>
          <w:szCs w:val="20"/>
        </w:rPr>
        <w:t>January 31, 2020</w:t>
      </w:r>
      <w:r w:rsidRPr="00E80074">
        <w:rPr>
          <w:rFonts w:ascii="Arial" w:hAnsi="Arial" w:cs="Arial"/>
          <w:szCs w:val="20"/>
        </w:rPr>
        <w:t xml:space="preserve">, cash </w:t>
      </w:r>
      <w:r w:rsidR="00C5307E">
        <w:rPr>
          <w:rFonts w:ascii="Arial" w:hAnsi="Arial" w:cs="Arial"/>
          <w:szCs w:val="20"/>
        </w:rPr>
        <w:t>was</w:t>
      </w:r>
      <w:r w:rsidRPr="00E80074">
        <w:rPr>
          <w:rFonts w:ascii="Arial" w:hAnsi="Arial" w:cs="Arial"/>
          <w:szCs w:val="20"/>
        </w:rPr>
        <w:t xml:space="preserve"> measured and recognized in the</w:t>
      </w:r>
      <w:r>
        <w:rPr>
          <w:rFonts w:ascii="Arial" w:hAnsi="Arial" w:cs="Arial"/>
          <w:szCs w:val="20"/>
        </w:rPr>
        <w:t xml:space="preserve"> </w:t>
      </w:r>
      <w:r w:rsidR="00D27277">
        <w:rPr>
          <w:rFonts w:ascii="Arial" w:hAnsi="Arial" w:cs="Arial"/>
          <w:szCs w:val="20"/>
        </w:rPr>
        <w:t xml:space="preserve">condensed </w:t>
      </w:r>
      <w:r>
        <w:rPr>
          <w:rFonts w:ascii="Arial" w:hAnsi="Arial" w:cs="Arial"/>
          <w:szCs w:val="20"/>
        </w:rPr>
        <w:t>consolidated</w:t>
      </w:r>
      <w:r w:rsidR="00C5307E">
        <w:rPr>
          <w:rFonts w:ascii="Arial" w:hAnsi="Arial" w:cs="Arial"/>
          <w:szCs w:val="20"/>
        </w:rPr>
        <w:t xml:space="preserve"> </w:t>
      </w:r>
      <w:r w:rsidR="00D27277">
        <w:rPr>
          <w:rFonts w:ascii="Arial" w:hAnsi="Arial" w:cs="Arial"/>
          <w:szCs w:val="20"/>
        </w:rPr>
        <w:t xml:space="preserve">interim </w:t>
      </w:r>
      <w:r w:rsidRPr="00E80074">
        <w:rPr>
          <w:rFonts w:ascii="Arial" w:hAnsi="Arial" w:cs="Arial"/>
          <w:szCs w:val="20"/>
        </w:rPr>
        <w:t xml:space="preserve">statement of financial </w:t>
      </w:r>
      <w:r>
        <w:rPr>
          <w:rFonts w:ascii="Arial" w:hAnsi="Arial" w:cs="Arial"/>
          <w:szCs w:val="20"/>
        </w:rPr>
        <w:t xml:space="preserve">position using Level 1 inputs in the fair value hierarchy.  </w:t>
      </w:r>
      <w:r w:rsidR="00D27277" w:rsidRPr="00E80074">
        <w:rPr>
          <w:rFonts w:ascii="Arial" w:hAnsi="Arial" w:cs="Arial"/>
          <w:szCs w:val="20"/>
        </w:rPr>
        <w:t xml:space="preserve">At </w:t>
      </w:r>
      <w:r w:rsidR="00D27277">
        <w:rPr>
          <w:rFonts w:ascii="Arial" w:hAnsi="Arial" w:cs="Arial"/>
          <w:szCs w:val="20"/>
        </w:rPr>
        <w:t>April 30, 2020 and January 31, 2020</w:t>
      </w:r>
      <w:r>
        <w:rPr>
          <w:rFonts w:ascii="Arial" w:hAnsi="Arial" w:cs="Arial"/>
          <w:szCs w:val="20"/>
        </w:rPr>
        <w:t>, there</w:t>
      </w:r>
      <w:r w:rsidRPr="00E80074">
        <w:rPr>
          <w:rFonts w:ascii="Arial" w:hAnsi="Arial" w:cs="Arial"/>
          <w:szCs w:val="20"/>
        </w:rPr>
        <w:t xml:space="preserve"> were no financial assets</w:t>
      </w:r>
      <w:r w:rsidR="00C135E2">
        <w:rPr>
          <w:rFonts w:ascii="Arial" w:hAnsi="Arial" w:cs="Arial"/>
          <w:szCs w:val="20"/>
        </w:rPr>
        <w:t xml:space="preserve"> or liabilities</w:t>
      </w:r>
      <w:r w:rsidRPr="00E80074">
        <w:rPr>
          <w:rFonts w:ascii="Arial" w:hAnsi="Arial" w:cs="Arial"/>
          <w:szCs w:val="20"/>
        </w:rPr>
        <w:t xml:space="preserve"> measured and recognized in the</w:t>
      </w:r>
      <w:r w:rsidR="00D27277">
        <w:rPr>
          <w:rFonts w:ascii="Arial" w:hAnsi="Arial" w:cs="Arial"/>
          <w:szCs w:val="20"/>
        </w:rPr>
        <w:t xml:space="preserve"> condensed</w:t>
      </w:r>
      <w:r w:rsidRPr="00E80074">
        <w:rPr>
          <w:rFonts w:ascii="Arial" w:hAnsi="Arial" w:cs="Arial"/>
          <w:szCs w:val="20"/>
        </w:rPr>
        <w:t xml:space="preserve"> </w:t>
      </w:r>
      <w:r w:rsidR="00C5307E">
        <w:rPr>
          <w:rFonts w:ascii="Arial" w:hAnsi="Arial" w:cs="Arial"/>
          <w:szCs w:val="20"/>
        </w:rPr>
        <w:t xml:space="preserve">consolidated </w:t>
      </w:r>
      <w:r w:rsidR="00D27277">
        <w:rPr>
          <w:rFonts w:ascii="Arial" w:hAnsi="Arial" w:cs="Arial"/>
          <w:szCs w:val="20"/>
        </w:rPr>
        <w:t xml:space="preserve">interim </w:t>
      </w:r>
      <w:r w:rsidR="00C5307E" w:rsidRPr="00E80074">
        <w:rPr>
          <w:rFonts w:ascii="Arial" w:hAnsi="Arial" w:cs="Arial"/>
          <w:szCs w:val="20"/>
        </w:rPr>
        <w:t xml:space="preserve">statement of financial </w:t>
      </w:r>
      <w:r w:rsidR="00C5307E">
        <w:rPr>
          <w:rFonts w:ascii="Arial" w:hAnsi="Arial" w:cs="Arial"/>
          <w:szCs w:val="20"/>
        </w:rPr>
        <w:t>position</w:t>
      </w:r>
      <w:r w:rsidR="00C5307E" w:rsidRPr="00E80074">
        <w:rPr>
          <w:rFonts w:ascii="Arial" w:hAnsi="Arial" w:cs="Arial"/>
          <w:szCs w:val="20"/>
        </w:rPr>
        <w:t xml:space="preserve"> </w:t>
      </w:r>
      <w:r w:rsidRPr="00E80074">
        <w:rPr>
          <w:rFonts w:ascii="Arial" w:hAnsi="Arial" w:cs="Arial"/>
          <w:szCs w:val="20"/>
        </w:rPr>
        <w:t>at fair value that would have been categorized as Level 3 in the fair value hierarchy above.</w:t>
      </w:r>
    </w:p>
    <w:p w14:paraId="17981A5B" w14:textId="6D1860ED" w:rsidR="00364E20" w:rsidRDefault="00364E2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6866B71" w14:textId="5341763B" w:rsidR="006023CF" w:rsidRPr="006023CF" w:rsidRDefault="006023CF">
      <w:pPr>
        <w:pStyle w:val="ListParagraph"/>
        <w:numPr>
          <w:ilvl w:val="0"/>
          <w:numId w:val="20"/>
        </w:numPr>
        <w:rPr>
          <w:rFonts w:ascii="Arial" w:hAnsi="Arial" w:cs="Arial"/>
          <w:szCs w:val="20"/>
        </w:rPr>
      </w:pPr>
      <w:r w:rsidRPr="006023CF">
        <w:rPr>
          <w:rFonts w:ascii="Arial" w:hAnsi="Arial" w:cs="Arial"/>
          <w:szCs w:val="20"/>
        </w:rPr>
        <w:t>Comprehensive Income (Loss)</w:t>
      </w:r>
    </w:p>
    <w:p w14:paraId="4294EE4A" w14:textId="357A0ED4" w:rsidR="006023CF" w:rsidRDefault="006023CF" w:rsidP="006023CF">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r w:rsidRPr="006023CF">
        <w:rPr>
          <w:rFonts w:ascii="Arial" w:hAnsi="Arial" w:cs="Arial"/>
          <w:szCs w:val="20"/>
        </w:rPr>
        <w:t xml:space="preserve">Comprehensive income or loss is the change in net assets arising from transactions and other events and circumstances from non-owner sources. Financial assets that are </w:t>
      </w:r>
      <w:r>
        <w:rPr>
          <w:rFonts w:ascii="Arial" w:hAnsi="Arial" w:cs="Arial"/>
          <w:szCs w:val="20"/>
        </w:rPr>
        <w:t>measured at FVOCI</w:t>
      </w:r>
      <w:r w:rsidRPr="006023CF">
        <w:rPr>
          <w:rFonts w:ascii="Arial" w:hAnsi="Arial" w:cs="Arial"/>
          <w:szCs w:val="20"/>
        </w:rPr>
        <w:t xml:space="preserve"> will have revaluation gains and losses included in other comprehensive income or loss until the asset is removed from the consolidated statement of financial position. Certain gains and losses on the translation of amounts between the functional and presentation currency of the Company are included in other comprehensive income or loss</w:t>
      </w:r>
      <w:r w:rsidR="006A62FC">
        <w:rPr>
          <w:rFonts w:ascii="Arial" w:hAnsi="Arial" w:cs="Arial"/>
          <w:szCs w:val="20"/>
        </w:rPr>
        <w:t>.</w:t>
      </w:r>
    </w:p>
    <w:p w14:paraId="7919D83F" w14:textId="77777777" w:rsidR="006023CF"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66123E2E" w14:textId="27C0214D" w:rsidR="00790828" w:rsidRPr="00F60034" w:rsidRDefault="003961A5"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Pr>
          <w:rFonts w:ascii="Arial" w:hAnsi="Arial" w:cs="Arial"/>
          <w:szCs w:val="20"/>
        </w:rPr>
        <w:t>Income (</w:t>
      </w:r>
      <w:r w:rsidR="00790828" w:rsidRPr="00F60034">
        <w:rPr>
          <w:rFonts w:ascii="Arial" w:hAnsi="Arial" w:cs="Arial"/>
          <w:szCs w:val="20"/>
        </w:rPr>
        <w:t>Loss</w:t>
      </w:r>
      <w:r>
        <w:rPr>
          <w:rFonts w:ascii="Arial" w:hAnsi="Arial" w:cs="Arial"/>
          <w:szCs w:val="20"/>
        </w:rPr>
        <w:t>)</w:t>
      </w:r>
      <w:r w:rsidR="00790828" w:rsidRPr="00F60034">
        <w:rPr>
          <w:rFonts w:ascii="Arial" w:hAnsi="Arial" w:cs="Arial"/>
          <w:szCs w:val="20"/>
        </w:rPr>
        <w:t xml:space="preserve"> Per Share</w:t>
      </w:r>
    </w:p>
    <w:p w14:paraId="5756E2DA" w14:textId="77777777" w:rsidR="006023CF"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64E85508" w14:textId="13463973" w:rsidR="00790828" w:rsidRDefault="00045254"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045254">
        <w:rPr>
          <w:rFonts w:ascii="Arial" w:hAnsi="Arial" w:cs="Arial"/>
          <w:szCs w:val="20"/>
        </w:rPr>
        <w:t>The Company presents the basic and diluted earnings or loss per share data for its common shares, calculated</w:t>
      </w:r>
      <w:r>
        <w:rPr>
          <w:rFonts w:ascii="Arial" w:hAnsi="Arial" w:cs="Arial"/>
          <w:szCs w:val="20"/>
        </w:rPr>
        <w:t xml:space="preserve"> </w:t>
      </w:r>
      <w:r w:rsidRPr="00045254">
        <w:rPr>
          <w:rFonts w:ascii="Arial" w:hAnsi="Arial" w:cs="Arial"/>
          <w:szCs w:val="20"/>
        </w:rPr>
        <w:t>by dividing the earnings or loss attributable to common shareholders of the Company by the weighted average</w:t>
      </w:r>
      <w:r>
        <w:rPr>
          <w:rFonts w:ascii="Arial" w:hAnsi="Arial" w:cs="Arial"/>
          <w:szCs w:val="20"/>
        </w:rPr>
        <w:t xml:space="preserve"> </w:t>
      </w:r>
      <w:r w:rsidRPr="00045254">
        <w:rPr>
          <w:rFonts w:ascii="Arial" w:hAnsi="Arial" w:cs="Arial"/>
          <w:szCs w:val="20"/>
        </w:rPr>
        <w:t>number of common shares outstanding during the year. Diluted earnings or loss per share is determined by</w:t>
      </w:r>
      <w:r>
        <w:rPr>
          <w:rFonts w:ascii="Arial" w:hAnsi="Arial" w:cs="Arial"/>
          <w:szCs w:val="20"/>
        </w:rPr>
        <w:t xml:space="preserve"> </w:t>
      </w:r>
      <w:r w:rsidRPr="00045254">
        <w:rPr>
          <w:rFonts w:ascii="Arial" w:hAnsi="Arial" w:cs="Arial"/>
          <w:szCs w:val="20"/>
        </w:rPr>
        <w:t>adjusting the earnings or loss attributable to common shareholders and the weighted average number of</w:t>
      </w:r>
      <w:r>
        <w:rPr>
          <w:rFonts w:ascii="Arial" w:hAnsi="Arial" w:cs="Arial"/>
          <w:szCs w:val="20"/>
        </w:rPr>
        <w:t xml:space="preserve"> </w:t>
      </w:r>
      <w:r w:rsidRPr="00045254">
        <w:rPr>
          <w:rFonts w:ascii="Arial" w:hAnsi="Arial" w:cs="Arial"/>
          <w:szCs w:val="20"/>
        </w:rPr>
        <w:t>common shares outstanding for the effects of all dilutive potential common shares</w:t>
      </w:r>
      <w:r w:rsidR="00790828" w:rsidRPr="00F60034">
        <w:rPr>
          <w:rFonts w:ascii="Arial" w:hAnsi="Arial" w:cs="Arial"/>
          <w:szCs w:val="20"/>
        </w:rPr>
        <w:t>.</w:t>
      </w:r>
    </w:p>
    <w:p w14:paraId="3B49AEC5" w14:textId="77777777" w:rsidR="006023CF" w:rsidRPr="00F60034"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3F9C0002" w14:textId="5029345D" w:rsidR="003C2EF4" w:rsidRPr="00BA56F7" w:rsidRDefault="003C2EF4" w:rsidP="00EE4151">
      <w:pPr>
        <w:tabs>
          <w:tab w:val="left" w:pos="360"/>
        </w:tabs>
        <w:spacing w:after="0"/>
        <w:rPr>
          <w:rFonts w:ascii="Arial" w:hAnsi="Arial" w:cs="Arial"/>
          <w:b/>
          <w:szCs w:val="20"/>
        </w:rPr>
      </w:pPr>
      <w:r w:rsidRPr="00BA56F7">
        <w:rPr>
          <w:rFonts w:ascii="Arial" w:hAnsi="Arial" w:cs="Arial"/>
          <w:b/>
          <w:szCs w:val="20"/>
        </w:rPr>
        <w:t xml:space="preserve">3.    </w:t>
      </w:r>
      <w:r w:rsidR="0050081F">
        <w:rPr>
          <w:rFonts w:ascii="Arial" w:hAnsi="Arial" w:cs="Arial"/>
          <w:b/>
          <w:szCs w:val="20"/>
        </w:rPr>
        <w:t>New Accounting Pronouncements</w:t>
      </w:r>
    </w:p>
    <w:p w14:paraId="5EB92DC2" w14:textId="77777777" w:rsidR="003C2EF4" w:rsidRDefault="003C2EF4" w:rsidP="003C2EF4">
      <w:pPr>
        <w:tabs>
          <w:tab w:val="left" w:pos="450"/>
        </w:tabs>
        <w:spacing w:after="0" w:line="240" w:lineRule="auto"/>
        <w:ind w:left="450"/>
        <w:jc w:val="both"/>
        <w:rPr>
          <w:rFonts w:ascii="Arial" w:eastAsia="Times New Roman" w:hAnsi="Arial" w:cs="Arial"/>
          <w:bCs/>
          <w:szCs w:val="20"/>
        </w:rPr>
      </w:pPr>
    </w:p>
    <w:p w14:paraId="6BD5452F" w14:textId="77777777" w:rsidR="00E57109" w:rsidRDefault="00E57109" w:rsidP="00E57109">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The following new accounting standards and interpretations have been adopted by the Company as of February 1, 2020.</w:t>
      </w:r>
    </w:p>
    <w:p w14:paraId="6FCC045F" w14:textId="77777777" w:rsidR="00E57109" w:rsidRDefault="00E57109" w:rsidP="00E57109">
      <w:pPr>
        <w:tabs>
          <w:tab w:val="left" w:pos="450"/>
        </w:tabs>
        <w:spacing w:after="0" w:line="240" w:lineRule="auto"/>
        <w:ind w:left="810"/>
        <w:jc w:val="both"/>
        <w:rPr>
          <w:rFonts w:ascii="Arial" w:eastAsia="Times New Roman" w:hAnsi="Arial" w:cs="Arial"/>
          <w:bCs/>
          <w:szCs w:val="20"/>
        </w:rPr>
      </w:pPr>
    </w:p>
    <w:p w14:paraId="00D0AAB9" w14:textId="77777777" w:rsidR="00E57109" w:rsidRDefault="00E57109" w:rsidP="00E57109">
      <w:pPr>
        <w:pStyle w:val="ListParagraph"/>
        <w:numPr>
          <w:ilvl w:val="0"/>
          <w:numId w:val="42"/>
        </w:numPr>
        <w:tabs>
          <w:tab w:val="left" w:pos="450"/>
        </w:tabs>
        <w:spacing w:after="0" w:line="240" w:lineRule="auto"/>
        <w:jc w:val="both"/>
        <w:rPr>
          <w:rFonts w:ascii="Arial" w:eastAsia="Times New Roman" w:hAnsi="Arial" w:cs="Arial"/>
          <w:bCs/>
          <w:szCs w:val="20"/>
        </w:rPr>
      </w:pPr>
      <w:r>
        <w:rPr>
          <w:rFonts w:ascii="Arial" w:eastAsia="Times New Roman" w:hAnsi="Arial" w:cs="Arial"/>
          <w:bCs/>
          <w:szCs w:val="20"/>
        </w:rPr>
        <w:t>IAS 1 – Presentation of Financial Statements (“IAS 1”)</w:t>
      </w:r>
    </w:p>
    <w:p w14:paraId="60323892" w14:textId="77777777" w:rsidR="00E57109" w:rsidRDefault="00E57109" w:rsidP="00E57109">
      <w:pPr>
        <w:pStyle w:val="ListParagraph"/>
        <w:tabs>
          <w:tab w:val="left" w:pos="450"/>
        </w:tabs>
        <w:spacing w:after="0" w:line="240" w:lineRule="auto"/>
        <w:ind w:left="810"/>
        <w:jc w:val="both"/>
        <w:rPr>
          <w:rFonts w:ascii="Arial" w:eastAsia="Times New Roman" w:hAnsi="Arial" w:cs="Arial"/>
          <w:bCs/>
          <w:szCs w:val="20"/>
        </w:rPr>
      </w:pPr>
    </w:p>
    <w:p w14:paraId="0AC680B0" w14:textId="05920C50" w:rsidR="0050081F" w:rsidRDefault="00E57109" w:rsidP="00E57109">
      <w:pPr>
        <w:spacing w:after="0" w:line="240" w:lineRule="auto"/>
        <w:ind w:left="810"/>
        <w:jc w:val="both"/>
        <w:rPr>
          <w:rFonts w:ascii="Arial" w:hAnsi="Arial" w:cs="Arial"/>
          <w:szCs w:val="20"/>
        </w:rPr>
      </w:pPr>
      <w:r w:rsidRPr="00180BA0">
        <w:rPr>
          <w:rFonts w:ascii="Arial" w:eastAsia="Times New Roman" w:hAnsi="Arial" w:cs="Arial"/>
          <w:bCs/>
          <w:szCs w:val="20"/>
        </w:rPr>
        <w:t>IAS 1 sets out the overall requirements for financial statements, including how they should be</w:t>
      </w:r>
      <w:r>
        <w:rPr>
          <w:rFonts w:ascii="Arial" w:eastAsia="Times New Roman" w:hAnsi="Arial" w:cs="Arial"/>
          <w:bCs/>
          <w:szCs w:val="20"/>
        </w:rPr>
        <w:t xml:space="preserve"> </w:t>
      </w:r>
      <w:r w:rsidRPr="00180BA0">
        <w:rPr>
          <w:rFonts w:ascii="Arial" w:eastAsia="Times New Roman" w:hAnsi="Arial" w:cs="Arial"/>
          <w:bCs/>
          <w:szCs w:val="20"/>
        </w:rPr>
        <w:t>structured, the minimum requirements for their content and overriding concepts such as going concern,</w:t>
      </w:r>
      <w:r>
        <w:rPr>
          <w:rFonts w:ascii="Arial" w:eastAsia="Times New Roman" w:hAnsi="Arial" w:cs="Arial"/>
          <w:bCs/>
          <w:szCs w:val="20"/>
        </w:rPr>
        <w:t xml:space="preserve"> </w:t>
      </w:r>
      <w:r w:rsidRPr="00180BA0">
        <w:rPr>
          <w:rFonts w:ascii="Arial" w:eastAsia="Times New Roman" w:hAnsi="Arial" w:cs="Arial"/>
          <w:bCs/>
          <w:szCs w:val="20"/>
        </w:rPr>
        <w:t>the accrual basis of accounting and the current/non-current distinction. The standard requires a complete</w:t>
      </w:r>
      <w:r>
        <w:rPr>
          <w:rFonts w:ascii="Arial" w:eastAsia="Times New Roman" w:hAnsi="Arial" w:cs="Arial"/>
          <w:bCs/>
          <w:szCs w:val="20"/>
        </w:rPr>
        <w:t xml:space="preserve"> </w:t>
      </w:r>
      <w:r w:rsidRPr="00180BA0">
        <w:rPr>
          <w:rFonts w:ascii="Arial" w:eastAsia="Times New Roman" w:hAnsi="Arial" w:cs="Arial"/>
          <w:bCs/>
          <w:szCs w:val="20"/>
        </w:rPr>
        <w:t>set of financial statements to comprise a statement of financial position, a statement of profit or loss and</w:t>
      </w:r>
      <w:r>
        <w:rPr>
          <w:rFonts w:ascii="Arial" w:eastAsia="Times New Roman" w:hAnsi="Arial" w:cs="Arial"/>
          <w:bCs/>
          <w:szCs w:val="20"/>
        </w:rPr>
        <w:t xml:space="preserve"> </w:t>
      </w:r>
      <w:r w:rsidRPr="00180BA0">
        <w:rPr>
          <w:rFonts w:ascii="Arial" w:eastAsia="Times New Roman" w:hAnsi="Arial" w:cs="Arial"/>
          <w:bCs/>
          <w:szCs w:val="20"/>
        </w:rPr>
        <w:t>other comprehensive income, a statement of changes in equity and a statement of cash flows.</w:t>
      </w:r>
    </w:p>
    <w:p w14:paraId="4EEAE59E" w14:textId="54AD446D" w:rsidR="0050081F" w:rsidRDefault="0050081F" w:rsidP="003C2EF4">
      <w:pPr>
        <w:tabs>
          <w:tab w:val="left" w:pos="450"/>
        </w:tabs>
        <w:spacing w:after="0" w:line="240" w:lineRule="auto"/>
        <w:ind w:left="450"/>
        <w:jc w:val="both"/>
        <w:rPr>
          <w:rFonts w:ascii="Arial" w:hAnsi="Arial" w:cs="Arial"/>
          <w:szCs w:val="20"/>
        </w:rPr>
      </w:pPr>
    </w:p>
    <w:p w14:paraId="72F3F025" w14:textId="77777777" w:rsidR="0055591C" w:rsidRDefault="0055591C">
      <w:pPr>
        <w:rPr>
          <w:rFonts w:ascii="Arial" w:hAnsi="Arial" w:cs="Arial"/>
          <w:b/>
          <w:szCs w:val="20"/>
        </w:rPr>
      </w:pPr>
      <w:r>
        <w:rPr>
          <w:rFonts w:ascii="Arial" w:hAnsi="Arial" w:cs="Arial"/>
          <w:b/>
          <w:szCs w:val="20"/>
        </w:rPr>
        <w:br w:type="page"/>
      </w:r>
    </w:p>
    <w:p w14:paraId="6D26AEE6" w14:textId="3990615D" w:rsidR="0055591C" w:rsidRPr="00B14849" w:rsidRDefault="0055591C" w:rsidP="0055591C">
      <w:pPr>
        <w:tabs>
          <w:tab w:val="left" w:pos="360"/>
        </w:tabs>
        <w:spacing w:after="0"/>
        <w:rPr>
          <w:rFonts w:ascii="Arial" w:hAnsi="Arial" w:cs="Arial"/>
          <w:bCs/>
          <w:szCs w:val="20"/>
        </w:rPr>
      </w:pPr>
      <w:r w:rsidRPr="00BA56F7">
        <w:rPr>
          <w:rFonts w:ascii="Arial" w:hAnsi="Arial" w:cs="Arial"/>
          <w:b/>
          <w:szCs w:val="20"/>
        </w:rPr>
        <w:lastRenderedPageBreak/>
        <w:t xml:space="preserve">3.    </w:t>
      </w:r>
      <w:r>
        <w:rPr>
          <w:rFonts w:ascii="Arial" w:hAnsi="Arial" w:cs="Arial"/>
          <w:b/>
          <w:szCs w:val="20"/>
        </w:rPr>
        <w:t xml:space="preserve">New Accounting Pronouncements </w:t>
      </w:r>
      <w:r>
        <w:rPr>
          <w:rFonts w:ascii="Arial" w:hAnsi="Arial" w:cs="Arial"/>
          <w:bCs/>
          <w:szCs w:val="20"/>
        </w:rPr>
        <w:t>(continued)</w:t>
      </w:r>
    </w:p>
    <w:p w14:paraId="1626E4DD" w14:textId="77777777" w:rsidR="0055591C" w:rsidRDefault="0055591C" w:rsidP="003C2EF4">
      <w:pPr>
        <w:tabs>
          <w:tab w:val="left" w:pos="450"/>
        </w:tabs>
        <w:spacing w:after="0" w:line="240" w:lineRule="auto"/>
        <w:ind w:left="450"/>
        <w:jc w:val="both"/>
        <w:rPr>
          <w:rFonts w:ascii="Arial" w:hAnsi="Arial" w:cs="Arial"/>
          <w:szCs w:val="20"/>
        </w:rPr>
      </w:pPr>
    </w:p>
    <w:p w14:paraId="5E374994" w14:textId="2CE6E93F"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r w:rsidRPr="00180BA0">
        <w:rPr>
          <w:rFonts w:ascii="Arial" w:eastAsia="Times New Roman" w:hAnsi="Arial" w:cs="Arial"/>
          <w:bCs/>
          <w:szCs w:val="20"/>
        </w:rPr>
        <w:t xml:space="preserve">IAS 1 has been revised to incorporate a new definition of “material” and IAS 8 </w:t>
      </w:r>
      <w:r>
        <w:rPr>
          <w:rFonts w:ascii="Arial" w:eastAsia="Times New Roman" w:hAnsi="Arial" w:cs="Arial"/>
          <w:bCs/>
          <w:szCs w:val="20"/>
        </w:rPr>
        <w:t xml:space="preserve">– Accounting Policies, Changes in Accounting Estimates and Errors </w:t>
      </w:r>
      <w:r w:rsidRPr="00180BA0">
        <w:rPr>
          <w:rFonts w:ascii="Arial" w:eastAsia="Times New Roman" w:hAnsi="Arial" w:cs="Arial"/>
          <w:bCs/>
          <w:szCs w:val="20"/>
        </w:rPr>
        <w:t>has been revised to refer</w:t>
      </w:r>
      <w:r>
        <w:rPr>
          <w:rFonts w:ascii="Arial" w:eastAsia="Times New Roman" w:hAnsi="Arial" w:cs="Arial"/>
          <w:bCs/>
          <w:szCs w:val="20"/>
        </w:rPr>
        <w:t xml:space="preserve"> </w:t>
      </w:r>
      <w:r w:rsidRPr="00180BA0">
        <w:rPr>
          <w:rFonts w:ascii="Arial" w:eastAsia="Times New Roman" w:hAnsi="Arial" w:cs="Arial"/>
          <w:bCs/>
          <w:szCs w:val="20"/>
        </w:rPr>
        <w:t>to this new definition in IAS 1. The amendments are effective for annual reporting periods beginning on</w:t>
      </w:r>
      <w:r>
        <w:rPr>
          <w:rFonts w:ascii="Arial" w:eastAsia="Times New Roman" w:hAnsi="Arial" w:cs="Arial"/>
          <w:bCs/>
          <w:szCs w:val="20"/>
        </w:rPr>
        <w:t xml:space="preserve"> </w:t>
      </w:r>
      <w:r w:rsidRPr="00180BA0">
        <w:rPr>
          <w:rFonts w:ascii="Arial" w:eastAsia="Times New Roman" w:hAnsi="Arial" w:cs="Arial"/>
          <w:bCs/>
          <w:szCs w:val="20"/>
        </w:rPr>
        <w:t>or after January 1, 2020. Earlier application is permitted.</w:t>
      </w:r>
    </w:p>
    <w:p w14:paraId="318EE802" w14:textId="52677190"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p>
    <w:p w14:paraId="657C7D2C" w14:textId="2A2C9354"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r w:rsidRPr="00180BA0">
        <w:rPr>
          <w:rFonts w:ascii="Arial" w:eastAsia="Times New Roman" w:hAnsi="Arial" w:cs="Arial"/>
          <w:bCs/>
          <w:szCs w:val="20"/>
        </w:rPr>
        <w:t xml:space="preserve">As of </w:t>
      </w:r>
      <w:r>
        <w:rPr>
          <w:rFonts w:ascii="Arial" w:eastAsia="Times New Roman" w:hAnsi="Arial" w:cs="Arial"/>
          <w:bCs/>
          <w:szCs w:val="20"/>
        </w:rPr>
        <w:t>February</w:t>
      </w:r>
      <w:r w:rsidRPr="00180BA0">
        <w:rPr>
          <w:rFonts w:ascii="Arial" w:eastAsia="Times New Roman" w:hAnsi="Arial" w:cs="Arial"/>
          <w:bCs/>
          <w:szCs w:val="20"/>
        </w:rPr>
        <w:t xml:space="preserve"> 1, 2020, the Company adopted IAS 1</w:t>
      </w:r>
      <w:r w:rsidR="004A4F80">
        <w:rPr>
          <w:rFonts w:ascii="Arial" w:eastAsia="Times New Roman" w:hAnsi="Arial" w:cs="Arial"/>
          <w:bCs/>
          <w:szCs w:val="20"/>
        </w:rPr>
        <w:t>.</w:t>
      </w:r>
      <w:r w:rsidRPr="00180BA0">
        <w:rPr>
          <w:rFonts w:ascii="Arial" w:eastAsia="Times New Roman" w:hAnsi="Arial" w:cs="Arial"/>
          <w:bCs/>
          <w:szCs w:val="20"/>
        </w:rPr>
        <w:t xml:space="preserve"> </w:t>
      </w:r>
      <w:r w:rsidR="004A4F80">
        <w:rPr>
          <w:rFonts w:ascii="Arial" w:eastAsia="Times New Roman" w:hAnsi="Arial" w:cs="Arial"/>
          <w:bCs/>
          <w:szCs w:val="20"/>
        </w:rPr>
        <w:t xml:space="preserve">The </w:t>
      </w:r>
      <w:r w:rsidRPr="00180BA0">
        <w:rPr>
          <w:rFonts w:ascii="Arial" w:eastAsia="Times New Roman" w:hAnsi="Arial" w:cs="Arial"/>
          <w:bCs/>
          <w:szCs w:val="20"/>
        </w:rPr>
        <w:t xml:space="preserve">adoption of IAS 1 had no significant impact on the Company’s </w:t>
      </w:r>
      <w:r w:rsidR="00413445">
        <w:rPr>
          <w:rFonts w:ascii="Arial" w:eastAsia="Times New Roman" w:hAnsi="Arial" w:cs="Arial"/>
          <w:bCs/>
          <w:szCs w:val="20"/>
        </w:rPr>
        <w:t>condensed consolidated interim financial statements</w:t>
      </w:r>
      <w:r w:rsidRPr="00180BA0">
        <w:rPr>
          <w:rFonts w:ascii="Arial" w:eastAsia="Times New Roman" w:hAnsi="Arial" w:cs="Arial"/>
          <w:bCs/>
          <w:szCs w:val="20"/>
        </w:rPr>
        <w:t>.</w:t>
      </w:r>
    </w:p>
    <w:p w14:paraId="0BCD4DAB" w14:textId="77777777" w:rsidR="005054A6" w:rsidRDefault="005054A6" w:rsidP="00180BA0">
      <w:pPr>
        <w:pStyle w:val="ListParagraph"/>
        <w:tabs>
          <w:tab w:val="left" w:pos="450"/>
        </w:tabs>
        <w:spacing w:after="0" w:line="240" w:lineRule="auto"/>
        <w:ind w:left="810"/>
        <w:jc w:val="both"/>
        <w:rPr>
          <w:rFonts w:ascii="Arial" w:eastAsia="Times New Roman" w:hAnsi="Arial" w:cs="Arial"/>
          <w:bCs/>
          <w:szCs w:val="20"/>
        </w:rPr>
      </w:pPr>
    </w:p>
    <w:p w14:paraId="383860D7" w14:textId="375C7612" w:rsidR="00180BA0" w:rsidRDefault="00180BA0" w:rsidP="00180BA0">
      <w:pPr>
        <w:pStyle w:val="ListParagraph"/>
        <w:numPr>
          <w:ilvl w:val="0"/>
          <w:numId w:val="42"/>
        </w:numPr>
        <w:tabs>
          <w:tab w:val="left" w:pos="450"/>
        </w:tabs>
        <w:spacing w:after="0" w:line="240" w:lineRule="auto"/>
        <w:jc w:val="both"/>
        <w:rPr>
          <w:rFonts w:ascii="Arial" w:eastAsia="Times New Roman" w:hAnsi="Arial" w:cs="Arial"/>
          <w:bCs/>
          <w:szCs w:val="20"/>
        </w:rPr>
      </w:pPr>
      <w:r>
        <w:rPr>
          <w:rFonts w:ascii="Arial" w:eastAsia="Times New Roman" w:hAnsi="Arial" w:cs="Arial"/>
          <w:bCs/>
          <w:szCs w:val="20"/>
        </w:rPr>
        <w:t>IAS 8 - Accounting Policies, Changes in Accounting Estimates and Errors (“IAS 8”)</w:t>
      </w:r>
    </w:p>
    <w:p w14:paraId="712A5326" w14:textId="7FC4C4FF"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p>
    <w:p w14:paraId="3AC675EE" w14:textId="6EA5892F"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r w:rsidRPr="00180BA0">
        <w:rPr>
          <w:rFonts w:ascii="Arial" w:eastAsia="Times New Roman" w:hAnsi="Arial" w:cs="Arial"/>
          <w:bCs/>
          <w:szCs w:val="20"/>
        </w:rPr>
        <w:t>IAS 8 is applied in selecting and applying accounting policies, accounting for changes in estimates and</w:t>
      </w:r>
      <w:r>
        <w:rPr>
          <w:rFonts w:ascii="Arial" w:eastAsia="Times New Roman" w:hAnsi="Arial" w:cs="Arial"/>
          <w:bCs/>
          <w:szCs w:val="20"/>
        </w:rPr>
        <w:t xml:space="preserve"> </w:t>
      </w:r>
      <w:r w:rsidRPr="00180BA0">
        <w:rPr>
          <w:rFonts w:ascii="Arial" w:eastAsia="Times New Roman" w:hAnsi="Arial" w:cs="Arial"/>
          <w:bCs/>
          <w:szCs w:val="20"/>
        </w:rPr>
        <w:t>reflecting corrections of prior period errors. The standard requires compliance with any specific IAS</w:t>
      </w:r>
      <w:r>
        <w:rPr>
          <w:rFonts w:ascii="Arial" w:eastAsia="Times New Roman" w:hAnsi="Arial" w:cs="Arial"/>
          <w:bCs/>
          <w:szCs w:val="20"/>
        </w:rPr>
        <w:t xml:space="preserve"> </w:t>
      </w:r>
      <w:r w:rsidRPr="00180BA0">
        <w:rPr>
          <w:rFonts w:ascii="Arial" w:eastAsia="Times New Roman" w:hAnsi="Arial" w:cs="Arial"/>
          <w:bCs/>
          <w:szCs w:val="20"/>
        </w:rPr>
        <w:t xml:space="preserve">applying to a transaction, </w:t>
      </w:r>
      <w:proofErr w:type="gramStart"/>
      <w:r w:rsidRPr="00180BA0">
        <w:rPr>
          <w:rFonts w:ascii="Arial" w:eastAsia="Times New Roman" w:hAnsi="Arial" w:cs="Arial"/>
          <w:bCs/>
          <w:szCs w:val="20"/>
        </w:rPr>
        <w:t>event</w:t>
      </w:r>
      <w:proofErr w:type="gramEnd"/>
      <w:r w:rsidRPr="00180BA0">
        <w:rPr>
          <w:rFonts w:ascii="Arial" w:eastAsia="Times New Roman" w:hAnsi="Arial" w:cs="Arial"/>
          <w:bCs/>
          <w:szCs w:val="20"/>
        </w:rPr>
        <w:t xml:space="preserve"> or condition, and provides guidance on developing accounting policies</w:t>
      </w:r>
      <w:r>
        <w:rPr>
          <w:rFonts w:ascii="Arial" w:eastAsia="Times New Roman" w:hAnsi="Arial" w:cs="Arial"/>
          <w:bCs/>
          <w:szCs w:val="20"/>
        </w:rPr>
        <w:t xml:space="preserve"> </w:t>
      </w:r>
      <w:r w:rsidRPr="00180BA0">
        <w:rPr>
          <w:rFonts w:ascii="Arial" w:eastAsia="Times New Roman" w:hAnsi="Arial" w:cs="Arial"/>
          <w:bCs/>
          <w:szCs w:val="20"/>
        </w:rPr>
        <w:t>for other items that result in relevant and reliable information. Changes in accounting policies and</w:t>
      </w:r>
      <w:r>
        <w:rPr>
          <w:rFonts w:ascii="Arial" w:eastAsia="Times New Roman" w:hAnsi="Arial" w:cs="Arial"/>
          <w:bCs/>
          <w:szCs w:val="20"/>
        </w:rPr>
        <w:t xml:space="preserve"> </w:t>
      </w:r>
      <w:r w:rsidRPr="00180BA0">
        <w:rPr>
          <w:rFonts w:ascii="Arial" w:eastAsia="Times New Roman" w:hAnsi="Arial" w:cs="Arial"/>
          <w:bCs/>
          <w:szCs w:val="20"/>
        </w:rPr>
        <w:t>corrections of errors are generally retrospectively accounted for, whereas changes in accounting</w:t>
      </w:r>
      <w:r>
        <w:rPr>
          <w:rFonts w:ascii="Arial" w:eastAsia="Times New Roman" w:hAnsi="Arial" w:cs="Arial"/>
          <w:bCs/>
          <w:szCs w:val="20"/>
        </w:rPr>
        <w:t xml:space="preserve"> </w:t>
      </w:r>
      <w:r w:rsidRPr="00180BA0">
        <w:rPr>
          <w:rFonts w:ascii="Arial" w:eastAsia="Times New Roman" w:hAnsi="Arial" w:cs="Arial"/>
          <w:bCs/>
          <w:szCs w:val="20"/>
        </w:rPr>
        <w:t>estimates are generally accounted for on a prospective basis. The amendment is effective for annual</w:t>
      </w:r>
      <w:r>
        <w:rPr>
          <w:rFonts w:ascii="Arial" w:eastAsia="Times New Roman" w:hAnsi="Arial" w:cs="Arial"/>
          <w:bCs/>
          <w:szCs w:val="20"/>
        </w:rPr>
        <w:t xml:space="preserve"> </w:t>
      </w:r>
      <w:r w:rsidRPr="00180BA0">
        <w:rPr>
          <w:rFonts w:ascii="Arial" w:eastAsia="Times New Roman" w:hAnsi="Arial" w:cs="Arial"/>
          <w:bCs/>
          <w:szCs w:val="20"/>
        </w:rPr>
        <w:t xml:space="preserve">reporting periods beginning on or after </w:t>
      </w:r>
      <w:r>
        <w:rPr>
          <w:rFonts w:ascii="Arial" w:eastAsia="Times New Roman" w:hAnsi="Arial" w:cs="Arial"/>
          <w:bCs/>
          <w:szCs w:val="20"/>
        </w:rPr>
        <w:t>January</w:t>
      </w:r>
      <w:r w:rsidRPr="00180BA0">
        <w:rPr>
          <w:rFonts w:ascii="Arial" w:eastAsia="Times New Roman" w:hAnsi="Arial" w:cs="Arial"/>
          <w:bCs/>
          <w:szCs w:val="20"/>
        </w:rPr>
        <w:t xml:space="preserve"> 1, 2020. Earlier application is permitted.</w:t>
      </w:r>
    </w:p>
    <w:p w14:paraId="5F8CC03E" w14:textId="35B7E137" w:rsidR="00180BA0" w:rsidRDefault="00180BA0" w:rsidP="00180BA0">
      <w:pPr>
        <w:pStyle w:val="ListParagraph"/>
        <w:tabs>
          <w:tab w:val="left" w:pos="450"/>
        </w:tabs>
        <w:spacing w:after="0" w:line="240" w:lineRule="auto"/>
        <w:ind w:left="810"/>
        <w:jc w:val="both"/>
        <w:rPr>
          <w:rFonts w:ascii="Arial" w:eastAsia="Times New Roman" w:hAnsi="Arial" w:cs="Arial"/>
          <w:bCs/>
          <w:szCs w:val="20"/>
        </w:rPr>
      </w:pPr>
    </w:p>
    <w:p w14:paraId="34081415" w14:textId="5D8F9812" w:rsidR="00647F67" w:rsidRDefault="00180BA0" w:rsidP="00F9075E">
      <w:pPr>
        <w:pStyle w:val="ListParagraph"/>
        <w:tabs>
          <w:tab w:val="left" w:pos="450"/>
        </w:tabs>
        <w:spacing w:after="0" w:line="240" w:lineRule="auto"/>
        <w:ind w:left="810"/>
        <w:jc w:val="both"/>
        <w:rPr>
          <w:rFonts w:ascii="Arial" w:eastAsia="Times New Roman" w:hAnsi="Arial" w:cs="Arial"/>
          <w:bCs/>
          <w:szCs w:val="20"/>
        </w:rPr>
      </w:pPr>
      <w:r w:rsidRPr="00180BA0">
        <w:rPr>
          <w:rFonts w:ascii="Arial" w:eastAsia="Times New Roman" w:hAnsi="Arial" w:cs="Arial"/>
          <w:bCs/>
          <w:szCs w:val="20"/>
        </w:rPr>
        <w:t xml:space="preserve">As of </w:t>
      </w:r>
      <w:r>
        <w:rPr>
          <w:rFonts w:ascii="Arial" w:eastAsia="Times New Roman" w:hAnsi="Arial" w:cs="Arial"/>
          <w:bCs/>
          <w:szCs w:val="20"/>
        </w:rPr>
        <w:t>February</w:t>
      </w:r>
      <w:r w:rsidRPr="00180BA0">
        <w:rPr>
          <w:rFonts w:ascii="Arial" w:eastAsia="Times New Roman" w:hAnsi="Arial" w:cs="Arial"/>
          <w:bCs/>
          <w:szCs w:val="20"/>
        </w:rPr>
        <w:t xml:space="preserve"> 1, 2020, the Company adopted IAS 8</w:t>
      </w:r>
      <w:r w:rsidR="004A4F80">
        <w:rPr>
          <w:rFonts w:ascii="Arial" w:eastAsia="Times New Roman" w:hAnsi="Arial" w:cs="Arial"/>
          <w:bCs/>
          <w:szCs w:val="20"/>
        </w:rPr>
        <w:t>.</w:t>
      </w:r>
      <w:r w:rsidRPr="00180BA0">
        <w:rPr>
          <w:rFonts w:ascii="Arial" w:eastAsia="Times New Roman" w:hAnsi="Arial" w:cs="Arial"/>
          <w:bCs/>
          <w:szCs w:val="20"/>
        </w:rPr>
        <w:t xml:space="preserve"> </w:t>
      </w:r>
      <w:r w:rsidR="004A4F80">
        <w:rPr>
          <w:rFonts w:ascii="Arial" w:eastAsia="Times New Roman" w:hAnsi="Arial" w:cs="Arial"/>
          <w:bCs/>
          <w:szCs w:val="20"/>
        </w:rPr>
        <w:t>The</w:t>
      </w:r>
      <w:r w:rsidRPr="00180BA0">
        <w:rPr>
          <w:rFonts w:ascii="Arial" w:eastAsia="Times New Roman" w:hAnsi="Arial" w:cs="Arial"/>
          <w:bCs/>
          <w:szCs w:val="20"/>
        </w:rPr>
        <w:t xml:space="preserve"> adoption of IAS 8 had no significant impact on the Company’s </w:t>
      </w:r>
      <w:r w:rsidR="00413445">
        <w:rPr>
          <w:rFonts w:ascii="Arial" w:eastAsia="Times New Roman" w:hAnsi="Arial" w:cs="Arial"/>
          <w:bCs/>
          <w:szCs w:val="20"/>
        </w:rPr>
        <w:t>condensed consolidated interim financial statements</w:t>
      </w:r>
      <w:r>
        <w:rPr>
          <w:rFonts w:ascii="Arial" w:eastAsia="Times New Roman" w:hAnsi="Arial" w:cs="Arial"/>
          <w:bCs/>
          <w:szCs w:val="20"/>
        </w:rPr>
        <w:t>.</w:t>
      </w:r>
    </w:p>
    <w:p w14:paraId="0E00B777" w14:textId="77777777" w:rsidR="00647F67" w:rsidRPr="00F9075E" w:rsidRDefault="00647F67" w:rsidP="00F9075E">
      <w:pPr>
        <w:pStyle w:val="ListParagraph"/>
        <w:tabs>
          <w:tab w:val="left" w:pos="450"/>
        </w:tabs>
        <w:spacing w:after="0" w:line="240" w:lineRule="auto"/>
        <w:ind w:left="810"/>
        <w:jc w:val="both"/>
        <w:rPr>
          <w:rFonts w:ascii="Arial" w:eastAsia="Times New Roman" w:hAnsi="Arial" w:cs="Arial"/>
          <w:bCs/>
          <w:szCs w:val="20"/>
        </w:rPr>
      </w:pPr>
    </w:p>
    <w:p w14:paraId="2E84957D" w14:textId="384E417A" w:rsidR="00956447" w:rsidRPr="00CB56D5" w:rsidRDefault="009E6977" w:rsidP="0018633A">
      <w:pPr>
        <w:tabs>
          <w:tab w:val="left" w:pos="360"/>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Pr>
          <w:rFonts w:ascii="Arial" w:hAnsi="Arial" w:cs="Arial"/>
          <w:b/>
          <w:bCs/>
          <w:szCs w:val="20"/>
        </w:rPr>
        <w:t>4</w:t>
      </w:r>
      <w:r w:rsidR="00956447" w:rsidRPr="00CB56D5">
        <w:rPr>
          <w:rFonts w:ascii="Arial" w:hAnsi="Arial" w:cs="Arial"/>
          <w:b/>
          <w:bCs/>
          <w:szCs w:val="20"/>
        </w:rPr>
        <w:t>.</w:t>
      </w:r>
      <w:r w:rsidR="00956447" w:rsidRPr="00CB56D5">
        <w:rPr>
          <w:rFonts w:ascii="Arial" w:hAnsi="Arial" w:cs="Arial"/>
          <w:b/>
          <w:bCs/>
          <w:szCs w:val="20"/>
        </w:rPr>
        <w:tab/>
      </w:r>
      <w:r w:rsidR="00C759CF">
        <w:rPr>
          <w:rFonts w:ascii="Arial" w:hAnsi="Arial" w:cs="Arial"/>
          <w:b/>
          <w:bCs/>
          <w:szCs w:val="20"/>
        </w:rPr>
        <w:t xml:space="preserve">Settlement and </w:t>
      </w:r>
      <w:r w:rsidR="00956447" w:rsidRPr="00CB56D5">
        <w:rPr>
          <w:rFonts w:ascii="Arial" w:hAnsi="Arial" w:cs="Arial"/>
          <w:b/>
          <w:bCs/>
          <w:szCs w:val="20"/>
        </w:rPr>
        <w:t>Asset Abandonment</w:t>
      </w:r>
      <w:r w:rsidR="00C759CF">
        <w:rPr>
          <w:rFonts w:ascii="Arial" w:hAnsi="Arial" w:cs="Arial"/>
          <w:b/>
          <w:bCs/>
          <w:szCs w:val="20"/>
        </w:rPr>
        <w:t xml:space="preserve"> </w:t>
      </w:r>
    </w:p>
    <w:p w14:paraId="3DA123C9" w14:textId="77777777" w:rsidR="00761F37" w:rsidRPr="00CB56D5" w:rsidRDefault="00761F37" w:rsidP="00C23BFD">
      <w:pPr>
        <w:spacing w:after="0" w:line="240" w:lineRule="auto"/>
        <w:ind w:left="450"/>
        <w:jc w:val="both"/>
        <w:rPr>
          <w:rFonts w:ascii="Arial" w:hAnsi="Arial" w:cs="Arial"/>
          <w:bCs/>
          <w:szCs w:val="20"/>
          <w:lang w:val="en-CA"/>
        </w:rPr>
      </w:pPr>
    </w:p>
    <w:p w14:paraId="3F1D9AE1" w14:textId="4F11443A" w:rsidR="00A865BD" w:rsidRPr="00A865BD" w:rsidRDefault="00A865BD" w:rsidP="00A865BD">
      <w:pPr>
        <w:spacing w:after="0" w:line="240" w:lineRule="auto"/>
        <w:ind w:left="360"/>
        <w:jc w:val="both"/>
        <w:rPr>
          <w:rFonts w:ascii="Arial" w:hAnsi="Arial" w:cs="Arial"/>
          <w:szCs w:val="20"/>
        </w:rPr>
      </w:pPr>
      <w:r w:rsidRPr="00A865BD">
        <w:rPr>
          <w:rFonts w:ascii="Arial" w:hAnsi="Arial" w:cs="Arial"/>
          <w:szCs w:val="20"/>
        </w:rPr>
        <w:t>On February 13, 2020, the Company signed a Settlement Agreement and Release Agreement (“Settlement Agreement”) with two of its former employees in Pivot Naturals</w:t>
      </w:r>
      <w:r w:rsidR="00EA7527">
        <w:rPr>
          <w:rFonts w:ascii="Arial" w:hAnsi="Arial" w:cs="Arial"/>
          <w:szCs w:val="20"/>
        </w:rPr>
        <w:t>, LLC (“Pivot Naturals”)</w:t>
      </w:r>
      <w:r w:rsidRPr="00A865BD">
        <w:rPr>
          <w:rFonts w:ascii="Arial" w:hAnsi="Arial" w:cs="Arial"/>
          <w:szCs w:val="20"/>
        </w:rPr>
        <w:t xml:space="preserve"> to settle the following legal matters:  </w:t>
      </w:r>
    </w:p>
    <w:p w14:paraId="6DCB8107" w14:textId="77777777" w:rsidR="00A865BD" w:rsidRPr="00CB56D5" w:rsidRDefault="00A865BD" w:rsidP="00A865BD">
      <w:pPr>
        <w:pStyle w:val="ListParagraph"/>
        <w:spacing w:after="0" w:line="240" w:lineRule="auto"/>
        <w:ind w:left="810"/>
        <w:jc w:val="both"/>
        <w:rPr>
          <w:rFonts w:ascii="Arial" w:hAnsi="Arial" w:cs="Arial"/>
          <w:szCs w:val="20"/>
        </w:rPr>
      </w:pPr>
    </w:p>
    <w:p w14:paraId="3321DAD6" w14:textId="1D938806" w:rsidR="00A865BD" w:rsidRPr="00CB56D5" w:rsidRDefault="00A865BD" w:rsidP="00A865BD">
      <w:pPr>
        <w:pStyle w:val="ListParagraph"/>
        <w:numPr>
          <w:ilvl w:val="0"/>
          <w:numId w:val="51"/>
        </w:numPr>
        <w:spacing w:after="0" w:line="240" w:lineRule="auto"/>
        <w:ind w:left="810"/>
        <w:jc w:val="both"/>
        <w:rPr>
          <w:rFonts w:ascii="Arial" w:hAnsi="Arial" w:cs="Arial"/>
          <w:szCs w:val="20"/>
        </w:rPr>
      </w:pPr>
      <w:bookmarkStart w:id="1" w:name="_Hlk41481599"/>
      <w:r w:rsidRPr="00CB56D5">
        <w:rPr>
          <w:rFonts w:ascii="Arial" w:hAnsi="Arial" w:cs="Arial"/>
          <w:szCs w:val="20"/>
        </w:rPr>
        <w:t>A demand for arbitration filed by these former employees before the American Arbitration Association alleging claims for breach of the written employment contracts, fraud, illegal retaliation in violation of California’s whistleblower statute and tortious discharge in violation of public policy seeking, among other things, recovery of damages for breach of employment contracts, including recovery of severance amounts, damages for breach of alleged option rights, waiting time penalties, as well as other general and punitive damages on the tort claims; and</w:t>
      </w:r>
    </w:p>
    <w:bookmarkEnd w:id="1"/>
    <w:p w14:paraId="34D50FCC" w14:textId="77777777" w:rsidR="00A865BD" w:rsidRPr="00CB56D5" w:rsidRDefault="00A865BD" w:rsidP="00A865BD">
      <w:pPr>
        <w:pStyle w:val="ListParagraph"/>
        <w:numPr>
          <w:ilvl w:val="0"/>
          <w:numId w:val="51"/>
        </w:numPr>
        <w:spacing w:after="0" w:line="240" w:lineRule="auto"/>
        <w:ind w:left="810"/>
        <w:jc w:val="both"/>
        <w:rPr>
          <w:rFonts w:ascii="Arial" w:hAnsi="Arial" w:cs="Arial"/>
          <w:szCs w:val="20"/>
        </w:rPr>
      </w:pPr>
      <w:r w:rsidRPr="00CB56D5">
        <w:rPr>
          <w:rFonts w:ascii="Arial" w:hAnsi="Arial" w:cs="Arial"/>
          <w:szCs w:val="20"/>
        </w:rPr>
        <w:t xml:space="preserve">A suit filed in British Columbia by the Company against the former employees for declaratory relief and related matters concerning control and use of the Company’s assets.  </w:t>
      </w:r>
    </w:p>
    <w:p w14:paraId="6CCBC698" w14:textId="77777777" w:rsidR="00A865BD" w:rsidRPr="00CB56D5" w:rsidRDefault="00A865BD" w:rsidP="00A865BD">
      <w:pPr>
        <w:pStyle w:val="ListParagraph"/>
        <w:spacing w:after="0" w:line="240" w:lineRule="auto"/>
        <w:ind w:left="810"/>
        <w:jc w:val="both"/>
        <w:rPr>
          <w:rFonts w:ascii="Arial" w:hAnsi="Arial" w:cs="Arial"/>
          <w:szCs w:val="20"/>
        </w:rPr>
      </w:pPr>
    </w:p>
    <w:p w14:paraId="608EABFA" w14:textId="77777777" w:rsidR="00A865BD" w:rsidRPr="00CB56D5" w:rsidRDefault="00A865BD" w:rsidP="00EA7527">
      <w:pPr>
        <w:pStyle w:val="ListParagraph"/>
        <w:spacing w:after="0" w:line="240" w:lineRule="auto"/>
        <w:ind w:left="360"/>
        <w:jc w:val="both"/>
        <w:rPr>
          <w:rFonts w:ascii="Arial" w:hAnsi="Arial" w:cs="Arial"/>
          <w:szCs w:val="20"/>
        </w:rPr>
      </w:pPr>
      <w:r w:rsidRPr="00CB56D5">
        <w:rPr>
          <w:rFonts w:ascii="Arial" w:hAnsi="Arial" w:cs="Arial"/>
          <w:szCs w:val="20"/>
        </w:rPr>
        <w:t>Consideration for the Settlement Agreement included:</w:t>
      </w:r>
    </w:p>
    <w:p w14:paraId="5C689246" w14:textId="77777777" w:rsidR="00A865BD" w:rsidRPr="00CB56D5" w:rsidRDefault="00A865BD" w:rsidP="00A865BD">
      <w:pPr>
        <w:pStyle w:val="ListParagraph"/>
        <w:spacing w:after="0" w:line="240" w:lineRule="auto"/>
        <w:ind w:left="810"/>
        <w:jc w:val="both"/>
        <w:rPr>
          <w:rFonts w:ascii="Arial" w:hAnsi="Arial" w:cs="Arial"/>
          <w:szCs w:val="20"/>
        </w:rPr>
      </w:pPr>
    </w:p>
    <w:p w14:paraId="32C07C52" w14:textId="30AC3AE3" w:rsidR="00A865BD" w:rsidRPr="00CB56D5" w:rsidRDefault="00A865BD" w:rsidP="00EA7527">
      <w:pPr>
        <w:pStyle w:val="ListParagraph"/>
        <w:numPr>
          <w:ilvl w:val="0"/>
          <w:numId w:val="52"/>
        </w:numPr>
        <w:spacing w:after="0" w:line="240" w:lineRule="auto"/>
        <w:ind w:left="810"/>
        <w:jc w:val="both"/>
        <w:rPr>
          <w:rFonts w:ascii="Arial" w:hAnsi="Arial" w:cs="Arial"/>
          <w:szCs w:val="20"/>
        </w:rPr>
      </w:pPr>
      <w:r w:rsidRPr="00CB56D5">
        <w:rPr>
          <w:rFonts w:ascii="Arial" w:hAnsi="Arial" w:cs="Arial"/>
          <w:szCs w:val="20"/>
        </w:rPr>
        <w:t xml:space="preserve">Assignment of Pivot Naturals to </w:t>
      </w:r>
      <w:proofErr w:type="spellStart"/>
      <w:r w:rsidRPr="00CB56D5">
        <w:rPr>
          <w:rFonts w:ascii="Arial" w:hAnsi="Arial" w:cs="Arial"/>
          <w:szCs w:val="20"/>
        </w:rPr>
        <w:t>Goodbuzz</w:t>
      </w:r>
      <w:proofErr w:type="spellEnd"/>
      <w:r w:rsidRPr="00CB56D5">
        <w:rPr>
          <w:rFonts w:ascii="Arial" w:hAnsi="Arial" w:cs="Arial"/>
          <w:szCs w:val="20"/>
        </w:rPr>
        <w:t xml:space="preserve"> Inc. as follows:  1) 80% on the initial closing date (“Initial Closing Date”), and 2) 20% on a second closing date which is the earlier of April 30, 2020 and a date upon with certain conditions are met (“Second Closing Date”).  </w:t>
      </w:r>
    </w:p>
    <w:p w14:paraId="3767B484" w14:textId="761E0B39" w:rsidR="00EA7527" w:rsidRDefault="00A865BD" w:rsidP="00EA7527">
      <w:pPr>
        <w:pStyle w:val="ListParagraph"/>
        <w:numPr>
          <w:ilvl w:val="0"/>
          <w:numId w:val="52"/>
        </w:numPr>
        <w:spacing w:after="0" w:line="240" w:lineRule="auto"/>
        <w:ind w:left="810"/>
        <w:jc w:val="both"/>
        <w:rPr>
          <w:rFonts w:ascii="Arial" w:hAnsi="Arial" w:cs="Arial"/>
          <w:szCs w:val="20"/>
        </w:rPr>
      </w:pPr>
      <w:r w:rsidRPr="00CB56D5">
        <w:rPr>
          <w:rFonts w:ascii="Arial" w:hAnsi="Arial" w:cs="Arial"/>
          <w:szCs w:val="20"/>
        </w:rPr>
        <w:t>$264,660 (</w:t>
      </w:r>
      <w:bookmarkStart w:id="2" w:name="_Hlk43998053"/>
      <w:r w:rsidRPr="00CB56D5">
        <w:rPr>
          <w:rFonts w:ascii="Arial" w:hAnsi="Arial" w:cs="Arial"/>
          <w:szCs w:val="20"/>
        </w:rPr>
        <w:t>US$200,000)</w:t>
      </w:r>
      <w:bookmarkEnd w:id="2"/>
      <w:r w:rsidRPr="00CB56D5">
        <w:rPr>
          <w:rFonts w:ascii="Arial" w:hAnsi="Arial" w:cs="Arial"/>
          <w:szCs w:val="20"/>
        </w:rPr>
        <w:t xml:space="preserve"> payment to be made as follows:  1) $165,413 (US$125,000) upon Initial Closing Date (completed in February 2020), and 2) $99,247 (US$75,000) upon Second Closing Date (completed in April 2020).  </w:t>
      </w:r>
      <w:r>
        <w:rPr>
          <w:rFonts w:ascii="Arial" w:hAnsi="Arial" w:cs="Arial"/>
          <w:szCs w:val="20"/>
        </w:rPr>
        <w:t xml:space="preserve">  </w:t>
      </w:r>
    </w:p>
    <w:p w14:paraId="5C008AA5" w14:textId="77777777" w:rsidR="004A4F80" w:rsidRPr="00EA7527" w:rsidRDefault="004A4F80" w:rsidP="004A4F80">
      <w:pPr>
        <w:pStyle w:val="ListParagraph"/>
        <w:numPr>
          <w:ilvl w:val="0"/>
          <w:numId w:val="52"/>
        </w:numPr>
        <w:spacing w:after="0" w:line="240" w:lineRule="auto"/>
        <w:ind w:left="810"/>
        <w:jc w:val="both"/>
        <w:rPr>
          <w:rFonts w:ascii="Arial" w:hAnsi="Arial" w:cs="Arial"/>
          <w:szCs w:val="20"/>
        </w:rPr>
      </w:pPr>
      <w:r w:rsidRPr="00EA7527">
        <w:rPr>
          <w:rFonts w:ascii="Arial" w:hAnsi="Arial" w:cs="Arial"/>
          <w:szCs w:val="20"/>
        </w:rPr>
        <w:t xml:space="preserve">Payment of the monthly lease due on the lease at 3595 Cadillac Avenue in California, U.S.A. for the months of February, </w:t>
      </w:r>
      <w:proofErr w:type="gramStart"/>
      <w:r w:rsidRPr="00EA7527">
        <w:rPr>
          <w:rFonts w:ascii="Arial" w:hAnsi="Arial" w:cs="Arial"/>
          <w:szCs w:val="20"/>
        </w:rPr>
        <w:t>March</w:t>
      </w:r>
      <w:proofErr w:type="gramEnd"/>
      <w:r w:rsidRPr="00EA7527">
        <w:rPr>
          <w:rFonts w:ascii="Arial" w:hAnsi="Arial" w:cs="Arial"/>
          <w:szCs w:val="20"/>
        </w:rPr>
        <w:t xml:space="preserve"> and April 2020 (completed in February 2020).</w:t>
      </w:r>
    </w:p>
    <w:p w14:paraId="1BD3CECF" w14:textId="77777777" w:rsidR="004A4F80" w:rsidRDefault="004A4F80" w:rsidP="004A4F80">
      <w:pPr>
        <w:spacing w:after="0" w:line="240" w:lineRule="auto"/>
        <w:ind w:left="450"/>
        <w:jc w:val="both"/>
        <w:rPr>
          <w:rFonts w:ascii="Arial" w:hAnsi="Arial" w:cs="Arial"/>
          <w:bCs/>
          <w:szCs w:val="20"/>
          <w:lang w:val="en-CA"/>
        </w:rPr>
      </w:pPr>
    </w:p>
    <w:p w14:paraId="4226A491" w14:textId="77777777" w:rsidR="004A4F80" w:rsidRDefault="004A4F80">
      <w:pPr>
        <w:rPr>
          <w:rFonts w:ascii="Arial" w:hAnsi="Arial" w:cs="Arial"/>
          <w:b/>
          <w:bCs/>
          <w:szCs w:val="20"/>
        </w:rPr>
      </w:pPr>
      <w:r>
        <w:rPr>
          <w:rFonts w:ascii="Arial" w:hAnsi="Arial" w:cs="Arial"/>
          <w:b/>
          <w:bCs/>
          <w:szCs w:val="20"/>
        </w:rPr>
        <w:br w:type="page"/>
      </w:r>
    </w:p>
    <w:p w14:paraId="12CC5CF6" w14:textId="79A17587" w:rsidR="00C759CF" w:rsidRPr="00C759CF" w:rsidRDefault="00C759CF" w:rsidP="00C759CF">
      <w:pPr>
        <w:tabs>
          <w:tab w:val="left" w:pos="360"/>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szCs w:val="20"/>
        </w:rPr>
      </w:pPr>
      <w:r w:rsidRPr="00C759CF">
        <w:rPr>
          <w:rFonts w:ascii="Arial" w:hAnsi="Arial" w:cs="Arial"/>
          <w:b/>
          <w:bCs/>
          <w:szCs w:val="20"/>
        </w:rPr>
        <w:lastRenderedPageBreak/>
        <w:t>4.</w:t>
      </w:r>
      <w:r w:rsidRPr="00C759CF">
        <w:rPr>
          <w:rFonts w:ascii="Arial" w:hAnsi="Arial" w:cs="Arial"/>
          <w:b/>
          <w:bCs/>
          <w:szCs w:val="20"/>
        </w:rPr>
        <w:tab/>
        <w:t xml:space="preserve">Settlement and Asset Abandonment </w:t>
      </w:r>
      <w:r>
        <w:rPr>
          <w:rFonts w:ascii="Arial" w:hAnsi="Arial" w:cs="Arial"/>
          <w:szCs w:val="20"/>
        </w:rPr>
        <w:t>(continued)</w:t>
      </w:r>
    </w:p>
    <w:p w14:paraId="4D53D7A4" w14:textId="77777777" w:rsidR="00C759CF" w:rsidRPr="00C759CF" w:rsidRDefault="00C759CF" w:rsidP="00C759CF">
      <w:pPr>
        <w:spacing w:after="0" w:line="240" w:lineRule="auto"/>
        <w:jc w:val="both"/>
        <w:rPr>
          <w:rFonts w:ascii="Arial" w:hAnsi="Arial" w:cs="Arial"/>
          <w:szCs w:val="20"/>
        </w:rPr>
      </w:pPr>
    </w:p>
    <w:p w14:paraId="6B2C49E3" w14:textId="59C2353A" w:rsidR="008725DE" w:rsidRDefault="003A5289" w:rsidP="00B14849">
      <w:pPr>
        <w:spacing w:after="0" w:line="240" w:lineRule="auto"/>
        <w:ind w:left="446"/>
        <w:jc w:val="both"/>
        <w:rPr>
          <w:rFonts w:ascii="Arial" w:hAnsi="Arial" w:cs="Arial"/>
          <w:szCs w:val="20"/>
        </w:rPr>
      </w:pPr>
      <w:r>
        <w:rPr>
          <w:rFonts w:ascii="Arial" w:hAnsi="Arial" w:cs="Arial"/>
          <w:szCs w:val="20"/>
        </w:rPr>
        <w:t xml:space="preserve">The Company evaluated </w:t>
      </w:r>
      <w:r w:rsidR="0018633A">
        <w:rPr>
          <w:rFonts w:ascii="Arial" w:hAnsi="Arial" w:cs="Arial"/>
          <w:szCs w:val="20"/>
        </w:rPr>
        <w:t xml:space="preserve">the </w:t>
      </w:r>
      <w:r w:rsidR="00675AE8">
        <w:rPr>
          <w:rFonts w:ascii="Arial" w:hAnsi="Arial" w:cs="Arial"/>
          <w:szCs w:val="20"/>
        </w:rPr>
        <w:t>assignment</w:t>
      </w:r>
      <w:r w:rsidR="0018633A">
        <w:rPr>
          <w:rFonts w:ascii="Arial" w:hAnsi="Arial" w:cs="Arial"/>
          <w:szCs w:val="20"/>
        </w:rPr>
        <w:t xml:space="preserve"> of Pivot Naturals in accordance with IFRS 5, Non-current Assets Held for Sale and Discontinued Operations</w:t>
      </w:r>
      <w:r w:rsidR="00C759CF">
        <w:rPr>
          <w:rFonts w:ascii="Arial" w:hAnsi="Arial" w:cs="Arial"/>
          <w:szCs w:val="20"/>
        </w:rPr>
        <w:t>,</w:t>
      </w:r>
      <w:r w:rsidR="0018633A">
        <w:rPr>
          <w:rFonts w:ascii="Arial" w:hAnsi="Arial" w:cs="Arial"/>
          <w:szCs w:val="20"/>
        </w:rPr>
        <w:t xml:space="preserve"> and determined</w:t>
      </w:r>
      <w:r>
        <w:rPr>
          <w:rFonts w:ascii="Arial" w:hAnsi="Arial" w:cs="Arial"/>
          <w:szCs w:val="20"/>
        </w:rPr>
        <w:t xml:space="preserve"> </w:t>
      </w:r>
      <w:r w:rsidR="0018633A">
        <w:rPr>
          <w:rFonts w:ascii="Arial" w:hAnsi="Arial" w:cs="Arial"/>
          <w:szCs w:val="20"/>
        </w:rPr>
        <w:t xml:space="preserve">that </w:t>
      </w:r>
      <w:r w:rsidR="00675AE8">
        <w:rPr>
          <w:rFonts w:ascii="Arial" w:hAnsi="Arial" w:cs="Arial"/>
          <w:szCs w:val="20"/>
        </w:rPr>
        <w:t>it</w:t>
      </w:r>
      <w:r w:rsidR="0018633A">
        <w:rPr>
          <w:rFonts w:ascii="Arial" w:hAnsi="Arial" w:cs="Arial"/>
          <w:szCs w:val="20"/>
        </w:rPr>
        <w:t xml:space="preserve"> </w:t>
      </w:r>
      <w:r w:rsidR="004A4A51">
        <w:rPr>
          <w:rFonts w:ascii="Arial" w:hAnsi="Arial" w:cs="Arial"/>
          <w:szCs w:val="20"/>
        </w:rPr>
        <w:t xml:space="preserve">did not </w:t>
      </w:r>
      <w:r w:rsidR="0018633A">
        <w:rPr>
          <w:rFonts w:ascii="Arial" w:hAnsi="Arial" w:cs="Arial"/>
          <w:szCs w:val="20"/>
        </w:rPr>
        <w:t>met the definition of discontinued operations.</w:t>
      </w:r>
    </w:p>
    <w:p w14:paraId="7E246DCA" w14:textId="5694CCC0" w:rsidR="003A5289" w:rsidRDefault="003A5289" w:rsidP="00B14849">
      <w:pPr>
        <w:spacing w:after="0" w:line="240" w:lineRule="auto"/>
        <w:ind w:left="446"/>
        <w:jc w:val="both"/>
        <w:rPr>
          <w:rFonts w:ascii="Arial" w:hAnsi="Arial" w:cs="Arial"/>
          <w:szCs w:val="20"/>
        </w:rPr>
      </w:pPr>
    </w:p>
    <w:p w14:paraId="5D49092B" w14:textId="2481E401" w:rsidR="0051490C" w:rsidRDefault="00C759CF" w:rsidP="0051490C">
      <w:pPr>
        <w:tabs>
          <w:tab w:val="left" w:pos="450"/>
        </w:tabs>
        <w:spacing w:after="0" w:line="240" w:lineRule="auto"/>
        <w:jc w:val="both"/>
        <w:rPr>
          <w:rFonts w:ascii="Arial" w:hAnsi="Arial" w:cs="Arial"/>
          <w:b/>
          <w:szCs w:val="20"/>
        </w:rPr>
      </w:pPr>
      <w:r>
        <w:rPr>
          <w:rFonts w:ascii="Arial" w:hAnsi="Arial" w:cs="Arial"/>
          <w:b/>
          <w:szCs w:val="20"/>
        </w:rPr>
        <w:t>5</w:t>
      </w:r>
      <w:r w:rsidR="0051490C" w:rsidRPr="00DE7889">
        <w:rPr>
          <w:rFonts w:ascii="Arial" w:hAnsi="Arial" w:cs="Arial"/>
          <w:b/>
          <w:szCs w:val="20"/>
        </w:rPr>
        <w:t xml:space="preserve">.    </w:t>
      </w:r>
      <w:r w:rsidR="0051490C" w:rsidRPr="00DE7889">
        <w:rPr>
          <w:rFonts w:ascii="Arial" w:hAnsi="Arial" w:cs="Arial"/>
          <w:b/>
          <w:szCs w:val="20"/>
        </w:rPr>
        <w:tab/>
        <w:t>Cash - Restricted</w:t>
      </w:r>
    </w:p>
    <w:p w14:paraId="55F1B147" w14:textId="77777777" w:rsidR="0051490C" w:rsidRDefault="0051490C" w:rsidP="0051490C">
      <w:pPr>
        <w:tabs>
          <w:tab w:val="left" w:pos="450"/>
        </w:tabs>
        <w:spacing w:after="0" w:line="240" w:lineRule="auto"/>
        <w:jc w:val="both"/>
        <w:rPr>
          <w:rFonts w:ascii="Arial" w:hAnsi="Arial" w:cs="Arial"/>
          <w:b/>
          <w:szCs w:val="20"/>
        </w:rPr>
      </w:pPr>
    </w:p>
    <w:p w14:paraId="6402B927" w14:textId="463F57B3" w:rsidR="00B256C2" w:rsidRDefault="00B5181F" w:rsidP="00F9075E">
      <w:pPr>
        <w:tabs>
          <w:tab w:val="left" w:pos="450"/>
        </w:tabs>
        <w:spacing w:after="0" w:line="240" w:lineRule="auto"/>
        <w:ind w:left="450"/>
        <w:jc w:val="both"/>
        <w:rPr>
          <w:rFonts w:ascii="Arial" w:hAnsi="Arial" w:cs="Arial"/>
          <w:szCs w:val="20"/>
        </w:rPr>
      </w:pPr>
      <w:r>
        <w:rPr>
          <w:rFonts w:ascii="Arial" w:hAnsi="Arial" w:cs="Arial"/>
          <w:szCs w:val="20"/>
        </w:rPr>
        <w:t xml:space="preserve">Restricted cash includes cash held at the Supreme Court of British Columbia pursuant to the </w:t>
      </w:r>
      <w:r w:rsidRPr="003F7A39">
        <w:rPr>
          <w:rFonts w:ascii="Arial" w:hAnsi="Arial" w:cs="Arial"/>
          <w:szCs w:val="20"/>
        </w:rPr>
        <w:t>claim from Green Stream Botanicals Corp. (“GSB”)</w:t>
      </w:r>
      <w:r>
        <w:rPr>
          <w:rFonts w:ascii="Arial" w:hAnsi="Arial" w:cs="Arial"/>
          <w:szCs w:val="20"/>
        </w:rPr>
        <w:t xml:space="preserve"> (Note </w:t>
      </w:r>
      <w:r w:rsidR="0049787F">
        <w:rPr>
          <w:rFonts w:ascii="Arial" w:hAnsi="Arial" w:cs="Arial"/>
          <w:szCs w:val="20"/>
        </w:rPr>
        <w:t>17</w:t>
      </w:r>
      <w:r>
        <w:rPr>
          <w:rFonts w:ascii="Arial" w:hAnsi="Arial" w:cs="Arial"/>
          <w:szCs w:val="20"/>
        </w:rPr>
        <w:t>(</w:t>
      </w:r>
      <w:r w:rsidR="001A7352">
        <w:rPr>
          <w:rFonts w:ascii="Arial" w:hAnsi="Arial" w:cs="Arial"/>
          <w:szCs w:val="20"/>
        </w:rPr>
        <w:t>a</w:t>
      </w:r>
      <w:r>
        <w:rPr>
          <w:rFonts w:ascii="Arial" w:hAnsi="Arial" w:cs="Arial"/>
          <w:szCs w:val="20"/>
        </w:rPr>
        <w:t>)).</w:t>
      </w:r>
    </w:p>
    <w:p w14:paraId="5AB84BAC" w14:textId="0A80C865" w:rsidR="00C759CF" w:rsidRDefault="00C759CF" w:rsidP="004A4A51">
      <w:pPr>
        <w:spacing w:after="0"/>
        <w:rPr>
          <w:rFonts w:ascii="Arial" w:hAnsi="Arial" w:cs="Arial"/>
          <w:b/>
          <w:szCs w:val="20"/>
        </w:rPr>
      </w:pPr>
    </w:p>
    <w:p w14:paraId="14ACE14F" w14:textId="6B6C4B7C" w:rsidR="00C759CF" w:rsidRPr="00F60034" w:rsidRDefault="00C759CF" w:rsidP="00C759C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Pr>
          <w:rFonts w:ascii="Arial" w:hAnsi="Arial" w:cs="Arial"/>
          <w:b/>
          <w:bCs/>
          <w:szCs w:val="20"/>
        </w:rPr>
        <w:t>6</w:t>
      </w:r>
      <w:r w:rsidRPr="00235786">
        <w:rPr>
          <w:rFonts w:ascii="Arial" w:hAnsi="Arial" w:cs="Arial"/>
          <w:b/>
          <w:bCs/>
          <w:szCs w:val="20"/>
        </w:rPr>
        <w:t>.</w:t>
      </w:r>
      <w:r w:rsidRPr="00235786">
        <w:rPr>
          <w:rFonts w:ascii="Arial" w:hAnsi="Arial" w:cs="Arial"/>
          <w:b/>
          <w:bCs/>
          <w:szCs w:val="20"/>
        </w:rPr>
        <w:tab/>
      </w:r>
      <w:r>
        <w:rPr>
          <w:rFonts w:ascii="Arial" w:hAnsi="Arial" w:cs="Arial"/>
          <w:b/>
          <w:bCs/>
          <w:szCs w:val="20"/>
        </w:rPr>
        <w:t>Inventory</w:t>
      </w:r>
    </w:p>
    <w:tbl>
      <w:tblPr>
        <w:tblW w:w="9162" w:type="dxa"/>
        <w:tblInd w:w="450" w:type="dxa"/>
        <w:tblLayout w:type="fixed"/>
        <w:tblCellMar>
          <w:left w:w="0" w:type="dxa"/>
          <w:right w:w="0" w:type="dxa"/>
        </w:tblCellMar>
        <w:tblLook w:val="0000" w:firstRow="0" w:lastRow="0" w:firstColumn="0" w:lastColumn="0" w:noHBand="0" w:noVBand="0"/>
      </w:tblPr>
      <w:tblGrid>
        <w:gridCol w:w="2610"/>
        <w:gridCol w:w="3150"/>
        <w:gridCol w:w="119"/>
        <w:gridCol w:w="1559"/>
        <w:gridCol w:w="23"/>
        <w:gridCol w:w="1701"/>
      </w:tblGrid>
      <w:tr w:rsidR="00C759CF" w:rsidRPr="009858B0" w14:paraId="5189FCEA" w14:textId="77777777" w:rsidTr="00C759CF">
        <w:tc>
          <w:tcPr>
            <w:tcW w:w="5760" w:type="dxa"/>
            <w:gridSpan w:val="2"/>
            <w:tcBorders>
              <w:top w:val="nil"/>
              <w:left w:val="nil"/>
              <w:bottom w:val="single" w:sz="4" w:space="0" w:color="auto"/>
            </w:tcBorders>
            <w:vAlign w:val="bottom"/>
          </w:tcPr>
          <w:p w14:paraId="474C453A" w14:textId="77777777" w:rsidR="00C759CF" w:rsidRPr="009858B0" w:rsidRDefault="00C759CF" w:rsidP="007D2503">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54089E62" w14:textId="50692CB2" w:rsidR="00C759CF" w:rsidRDefault="008E2E67" w:rsidP="007D2503">
            <w:pPr>
              <w:spacing w:after="0" w:line="240" w:lineRule="auto"/>
              <w:jc w:val="center"/>
              <w:rPr>
                <w:rFonts w:ascii="Arial" w:hAnsi="Arial" w:cs="Arial"/>
                <w:szCs w:val="20"/>
              </w:rPr>
            </w:pPr>
            <w:r>
              <w:rPr>
                <w:rFonts w:ascii="Arial" w:hAnsi="Arial" w:cs="Arial"/>
                <w:szCs w:val="20"/>
              </w:rPr>
              <w:t>April 30</w:t>
            </w:r>
            <w:r w:rsidR="00C759CF">
              <w:rPr>
                <w:rFonts w:ascii="Arial" w:hAnsi="Arial" w:cs="Arial"/>
                <w:szCs w:val="20"/>
              </w:rPr>
              <w:t>,</w:t>
            </w:r>
          </w:p>
          <w:p w14:paraId="69B0E70C" w14:textId="77777777" w:rsidR="00C759CF" w:rsidRPr="009858B0" w:rsidRDefault="00C759CF" w:rsidP="007D2503">
            <w:pPr>
              <w:spacing w:after="0" w:line="240" w:lineRule="auto"/>
              <w:jc w:val="center"/>
              <w:rPr>
                <w:rFonts w:ascii="Arial" w:hAnsi="Arial" w:cs="Arial"/>
                <w:szCs w:val="20"/>
              </w:rPr>
            </w:pPr>
            <w:r>
              <w:rPr>
                <w:rFonts w:ascii="Arial" w:hAnsi="Arial" w:cs="Arial"/>
                <w:szCs w:val="20"/>
              </w:rPr>
              <w:t>2020</w:t>
            </w:r>
          </w:p>
          <w:p w14:paraId="429CA235" w14:textId="77777777" w:rsidR="00C759CF" w:rsidRDefault="00C759CF" w:rsidP="007D2503">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0E07A5D8" w14:textId="77777777" w:rsidR="00C759CF" w:rsidRPr="009858B0" w:rsidRDefault="00C759CF" w:rsidP="007D2503">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56721A19" w14:textId="26A11BFF" w:rsidR="00C759CF" w:rsidRPr="009858B0" w:rsidRDefault="00DE65CB" w:rsidP="007D2503">
            <w:pPr>
              <w:spacing w:after="0" w:line="240" w:lineRule="auto"/>
              <w:jc w:val="center"/>
              <w:rPr>
                <w:rFonts w:ascii="Arial" w:hAnsi="Arial" w:cs="Arial"/>
                <w:szCs w:val="20"/>
              </w:rPr>
            </w:pPr>
            <w:r>
              <w:rPr>
                <w:rFonts w:ascii="Arial" w:hAnsi="Arial" w:cs="Arial"/>
                <w:szCs w:val="20"/>
              </w:rPr>
              <w:t>2020</w:t>
            </w:r>
          </w:p>
          <w:p w14:paraId="7260079F" w14:textId="77777777" w:rsidR="00C759CF" w:rsidRPr="009858B0" w:rsidRDefault="00C759CF" w:rsidP="007D2503">
            <w:pPr>
              <w:spacing w:after="0" w:line="240" w:lineRule="auto"/>
              <w:jc w:val="center"/>
              <w:rPr>
                <w:rFonts w:ascii="Arial" w:hAnsi="Arial" w:cs="Arial"/>
                <w:szCs w:val="20"/>
              </w:rPr>
            </w:pPr>
            <w:r w:rsidRPr="009858B0">
              <w:rPr>
                <w:rFonts w:ascii="Arial" w:hAnsi="Arial" w:cs="Arial"/>
                <w:szCs w:val="20"/>
              </w:rPr>
              <w:t>$</w:t>
            </w:r>
          </w:p>
        </w:tc>
      </w:tr>
      <w:tr w:rsidR="00C759CF" w:rsidRPr="009858B0" w14:paraId="2EFC15D8" w14:textId="77777777" w:rsidTr="00C759CF">
        <w:trPr>
          <w:trHeight w:hRule="exact" w:val="113"/>
        </w:trPr>
        <w:tc>
          <w:tcPr>
            <w:tcW w:w="5760" w:type="dxa"/>
            <w:gridSpan w:val="2"/>
            <w:tcBorders>
              <w:top w:val="single" w:sz="4" w:space="0" w:color="auto"/>
              <w:left w:val="nil"/>
            </w:tcBorders>
            <w:vAlign w:val="bottom"/>
          </w:tcPr>
          <w:p w14:paraId="35B88203" w14:textId="77777777" w:rsidR="00C759CF" w:rsidRPr="009858B0" w:rsidRDefault="00C759CF" w:rsidP="007D2503">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0260813D" w14:textId="77777777" w:rsidR="00C759CF" w:rsidRPr="009858B0" w:rsidRDefault="00C759CF" w:rsidP="007D2503">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4B4AB3F6" w14:textId="77777777" w:rsidR="00C759CF" w:rsidRPr="009858B0" w:rsidRDefault="00C759CF" w:rsidP="007D2503">
            <w:pPr>
              <w:spacing w:after="0" w:line="240" w:lineRule="auto"/>
              <w:ind w:right="369"/>
              <w:jc w:val="right"/>
              <w:rPr>
                <w:rFonts w:ascii="Arial" w:hAnsi="Arial" w:cs="Arial"/>
                <w:szCs w:val="20"/>
              </w:rPr>
            </w:pPr>
          </w:p>
        </w:tc>
      </w:tr>
      <w:tr w:rsidR="00C759CF" w:rsidRPr="009858B0" w14:paraId="306473C0" w14:textId="77777777" w:rsidTr="00C759CF">
        <w:tc>
          <w:tcPr>
            <w:tcW w:w="5760" w:type="dxa"/>
            <w:gridSpan w:val="2"/>
            <w:tcBorders>
              <w:left w:val="nil"/>
              <w:bottom w:val="single" w:sz="4" w:space="0" w:color="auto"/>
            </w:tcBorders>
            <w:vAlign w:val="bottom"/>
          </w:tcPr>
          <w:p w14:paraId="17DEC142" w14:textId="7F843758" w:rsidR="00C759CF" w:rsidRPr="009858B0" w:rsidRDefault="00DE65CB" w:rsidP="007D2503">
            <w:pPr>
              <w:spacing w:after="0"/>
              <w:rPr>
                <w:rFonts w:ascii="Arial" w:hAnsi="Arial" w:cs="Arial"/>
                <w:szCs w:val="20"/>
              </w:rPr>
            </w:pPr>
            <w:r>
              <w:rPr>
                <w:rFonts w:ascii="Arial" w:hAnsi="Arial" w:cs="Arial"/>
                <w:szCs w:val="20"/>
              </w:rPr>
              <w:t>Raw materials</w:t>
            </w:r>
            <w:r w:rsidR="00C759CF">
              <w:rPr>
                <w:rFonts w:ascii="Arial" w:hAnsi="Arial" w:cs="Arial"/>
                <w:szCs w:val="20"/>
              </w:rPr>
              <w:t xml:space="preserve"> </w:t>
            </w:r>
          </w:p>
        </w:tc>
        <w:tc>
          <w:tcPr>
            <w:tcW w:w="1701" w:type="dxa"/>
            <w:gridSpan w:val="3"/>
            <w:tcBorders>
              <w:left w:val="nil"/>
              <w:bottom w:val="single" w:sz="4" w:space="0" w:color="auto"/>
            </w:tcBorders>
            <w:vAlign w:val="bottom"/>
          </w:tcPr>
          <w:p w14:paraId="57A8C6E2" w14:textId="3408754E" w:rsidR="00C759CF" w:rsidRPr="009858B0" w:rsidRDefault="00DE65CB" w:rsidP="007D2503">
            <w:pPr>
              <w:spacing w:after="0"/>
              <w:ind w:right="173"/>
              <w:jc w:val="right"/>
              <w:rPr>
                <w:rFonts w:ascii="Arial" w:hAnsi="Arial" w:cs="Arial"/>
                <w:szCs w:val="20"/>
              </w:rPr>
            </w:pPr>
            <w:r>
              <w:rPr>
                <w:rFonts w:ascii="Arial" w:hAnsi="Arial" w:cs="Arial"/>
                <w:szCs w:val="20"/>
              </w:rPr>
              <w:t>84,659</w:t>
            </w:r>
          </w:p>
        </w:tc>
        <w:tc>
          <w:tcPr>
            <w:tcW w:w="1701" w:type="dxa"/>
            <w:tcBorders>
              <w:left w:val="nil"/>
              <w:bottom w:val="single" w:sz="4" w:space="0" w:color="auto"/>
              <w:right w:val="nil"/>
            </w:tcBorders>
            <w:vAlign w:val="bottom"/>
          </w:tcPr>
          <w:p w14:paraId="00E2B801" w14:textId="652EF77E" w:rsidR="00C759CF" w:rsidRPr="009858B0" w:rsidRDefault="00DE65CB" w:rsidP="007D2503">
            <w:pPr>
              <w:spacing w:after="0"/>
              <w:ind w:right="173"/>
              <w:jc w:val="right"/>
              <w:rPr>
                <w:rFonts w:ascii="Arial" w:hAnsi="Arial" w:cs="Arial"/>
                <w:szCs w:val="20"/>
              </w:rPr>
            </w:pPr>
            <w:r w:rsidRPr="009858B0">
              <w:rPr>
                <w:rFonts w:ascii="Arial" w:hAnsi="Arial" w:cs="Arial"/>
                <w:szCs w:val="20"/>
              </w:rPr>
              <w:t>–</w:t>
            </w:r>
          </w:p>
        </w:tc>
      </w:tr>
      <w:tr w:rsidR="00C759CF" w:rsidRPr="00BA56F7" w14:paraId="71257C78" w14:textId="77777777" w:rsidTr="00C759CF">
        <w:trPr>
          <w:gridAfter w:val="2"/>
          <w:wAfter w:w="1724" w:type="dxa"/>
          <w:trHeight w:hRule="exact" w:val="86"/>
        </w:trPr>
        <w:tc>
          <w:tcPr>
            <w:tcW w:w="2610" w:type="dxa"/>
            <w:tcBorders>
              <w:left w:val="nil"/>
            </w:tcBorders>
            <w:vAlign w:val="bottom"/>
          </w:tcPr>
          <w:p w14:paraId="18B94DAE" w14:textId="77777777" w:rsidR="00C759CF" w:rsidRPr="00BA56F7" w:rsidRDefault="00C759CF" w:rsidP="007D2503">
            <w:pPr>
              <w:spacing w:after="0"/>
              <w:rPr>
                <w:rFonts w:ascii="Arial" w:hAnsi="Arial" w:cs="Arial"/>
                <w:szCs w:val="20"/>
              </w:rPr>
            </w:pPr>
          </w:p>
        </w:tc>
        <w:tc>
          <w:tcPr>
            <w:tcW w:w="3269" w:type="dxa"/>
            <w:gridSpan w:val="2"/>
            <w:tcBorders>
              <w:left w:val="nil"/>
            </w:tcBorders>
          </w:tcPr>
          <w:p w14:paraId="17E5BB88" w14:textId="77777777" w:rsidR="00C759CF" w:rsidRPr="00BA56F7" w:rsidRDefault="00C759CF" w:rsidP="007D2503">
            <w:pPr>
              <w:spacing w:after="0"/>
              <w:ind w:right="173"/>
              <w:jc w:val="right"/>
              <w:rPr>
                <w:rFonts w:ascii="Arial" w:hAnsi="Arial" w:cs="Arial"/>
                <w:szCs w:val="20"/>
              </w:rPr>
            </w:pPr>
          </w:p>
        </w:tc>
        <w:tc>
          <w:tcPr>
            <w:tcW w:w="1559" w:type="dxa"/>
            <w:tcBorders>
              <w:left w:val="nil"/>
              <w:right w:val="nil"/>
            </w:tcBorders>
          </w:tcPr>
          <w:p w14:paraId="63580BC9" w14:textId="77777777" w:rsidR="00C759CF" w:rsidRPr="00BA56F7" w:rsidRDefault="00C759CF" w:rsidP="007D2503">
            <w:pPr>
              <w:spacing w:after="0"/>
              <w:ind w:right="173"/>
              <w:jc w:val="right"/>
              <w:rPr>
                <w:rFonts w:ascii="Arial" w:hAnsi="Arial" w:cs="Arial"/>
                <w:szCs w:val="20"/>
              </w:rPr>
            </w:pPr>
          </w:p>
        </w:tc>
      </w:tr>
      <w:tr w:rsidR="00C759CF" w:rsidRPr="009858B0" w14:paraId="2FFC3927" w14:textId="77777777" w:rsidTr="00C759CF">
        <w:tc>
          <w:tcPr>
            <w:tcW w:w="5760" w:type="dxa"/>
            <w:gridSpan w:val="2"/>
            <w:tcBorders>
              <w:left w:val="nil"/>
              <w:bottom w:val="single" w:sz="12" w:space="0" w:color="auto"/>
            </w:tcBorders>
            <w:vAlign w:val="bottom"/>
          </w:tcPr>
          <w:p w14:paraId="4624F4B0" w14:textId="77777777" w:rsidR="00C759CF" w:rsidRPr="009858B0" w:rsidRDefault="00C759CF" w:rsidP="007D2503">
            <w:pPr>
              <w:spacing w:after="0"/>
              <w:rPr>
                <w:rFonts w:ascii="Arial" w:hAnsi="Arial" w:cs="Arial"/>
                <w:szCs w:val="20"/>
              </w:rPr>
            </w:pPr>
          </w:p>
        </w:tc>
        <w:tc>
          <w:tcPr>
            <w:tcW w:w="1701" w:type="dxa"/>
            <w:gridSpan w:val="3"/>
            <w:tcBorders>
              <w:left w:val="nil"/>
              <w:bottom w:val="single" w:sz="12" w:space="0" w:color="auto"/>
            </w:tcBorders>
            <w:vAlign w:val="bottom"/>
          </w:tcPr>
          <w:p w14:paraId="12CBEFC3" w14:textId="7967E712" w:rsidR="00C759CF" w:rsidRPr="009858B0" w:rsidRDefault="00DE65CB" w:rsidP="007D2503">
            <w:pPr>
              <w:spacing w:after="0"/>
              <w:ind w:right="173"/>
              <w:jc w:val="right"/>
              <w:rPr>
                <w:rFonts w:ascii="Arial" w:hAnsi="Arial" w:cs="Arial"/>
                <w:szCs w:val="20"/>
              </w:rPr>
            </w:pPr>
            <w:r>
              <w:rPr>
                <w:rFonts w:ascii="Arial" w:hAnsi="Arial" w:cs="Arial"/>
                <w:szCs w:val="20"/>
              </w:rPr>
              <w:t>84,659</w:t>
            </w:r>
          </w:p>
        </w:tc>
        <w:tc>
          <w:tcPr>
            <w:tcW w:w="1701" w:type="dxa"/>
            <w:tcBorders>
              <w:left w:val="nil"/>
              <w:bottom w:val="single" w:sz="12" w:space="0" w:color="auto"/>
              <w:right w:val="nil"/>
            </w:tcBorders>
            <w:vAlign w:val="bottom"/>
          </w:tcPr>
          <w:p w14:paraId="34B9CDED" w14:textId="147FA180" w:rsidR="00C759CF" w:rsidRPr="009858B0" w:rsidRDefault="00DE65CB" w:rsidP="007D2503">
            <w:pPr>
              <w:spacing w:after="0"/>
              <w:ind w:right="173"/>
              <w:jc w:val="right"/>
              <w:rPr>
                <w:rFonts w:ascii="Arial" w:hAnsi="Arial" w:cs="Arial"/>
                <w:szCs w:val="20"/>
              </w:rPr>
            </w:pPr>
            <w:r w:rsidRPr="009858B0">
              <w:rPr>
                <w:rFonts w:ascii="Arial" w:hAnsi="Arial" w:cs="Arial"/>
                <w:szCs w:val="20"/>
              </w:rPr>
              <w:t>–</w:t>
            </w:r>
          </w:p>
        </w:tc>
      </w:tr>
      <w:tr w:rsidR="00C759CF" w:rsidRPr="009858B0" w14:paraId="2A3469D7" w14:textId="77777777" w:rsidTr="00C759CF">
        <w:trPr>
          <w:trHeight w:hRule="exact" w:val="86"/>
        </w:trPr>
        <w:tc>
          <w:tcPr>
            <w:tcW w:w="5760" w:type="dxa"/>
            <w:gridSpan w:val="2"/>
            <w:tcBorders>
              <w:top w:val="single" w:sz="12" w:space="0" w:color="auto"/>
              <w:left w:val="nil"/>
            </w:tcBorders>
            <w:vAlign w:val="bottom"/>
          </w:tcPr>
          <w:p w14:paraId="7A2957B8" w14:textId="77777777" w:rsidR="00C759CF" w:rsidRPr="009858B0" w:rsidRDefault="00C759CF" w:rsidP="007D2503">
            <w:pPr>
              <w:spacing w:after="0"/>
              <w:rPr>
                <w:rFonts w:ascii="Arial" w:hAnsi="Arial" w:cs="Arial"/>
                <w:szCs w:val="20"/>
              </w:rPr>
            </w:pPr>
          </w:p>
        </w:tc>
        <w:tc>
          <w:tcPr>
            <w:tcW w:w="1701" w:type="dxa"/>
            <w:gridSpan w:val="3"/>
            <w:tcBorders>
              <w:top w:val="single" w:sz="12" w:space="0" w:color="auto"/>
              <w:left w:val="nil"/>
            </w:tcBorders>
            <w:vAlign w:val="bottom"/>
          </w:tcPr>
          <w:p w14:paraId="1F1723C9" w14:textId="77777777" w:rsidR="00C759CF" w:rsidRPr="009858B0" w:rsidRDefault="00C759CF" w:rsidP="007D2503">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55C485E6" w14:textId="77777777" w:rsidR="00C759CF" w:rsidRPr="009858B0" w:rsidRDefault="00C759CF" w:rsidP="007D2503">
            <w:pPr>
              <w:spacing w:after="0"/>
              <w:ind w:right="173"/>
              <w:jc w:val="right"/>
              <w:rPr>
                <w:rFonts w:ascii="Arial" w:hAnsi="Arial" w:cs="Arial"/>
                <w:szCs w:val="20"/>
              </w:rPr>
            </w:pPr>
          </w:p>
        </w:tc>
      </w:tr>
    </w:tbl>
    <w:p w14:paraId="37CD196C" w14:textId="77777777" w:rsidR="00C759CF" w:rsidRDefault="00C759CF" w:rsidP="00C759CF">
      <w:pPr>
        <w:pStyle w:val="BodyTextIndent"/>
        <w:spacing w:after="0" w:line="240" w:lineRule="auto"/>
        <w:ind w:left="450"/>
        <w:jc w:val="both"/>
        <w:rPr>
          <w:rFonts w:ascii="Arial" w:hAnsi="Arial" w:cs="Arial"/>
          <w:bCs/>
          <w:szCs w:val="20"/>
        </w:rPr>
      </w:pPr>
    </w:p>
    <w:p w14:paraId="35BF5A6C" w14:textId="15D1D565" w:rsidR="00DE7889" w:rsidRDefault="00DE7889" w:rsidP="00DE7889">
      <w:pPr>
        <w:tabs>
          <w:tab w:val="left" w:pos="450"/>
        </w:tabs>
        <w:spacing w:after="0" w:line="240" w:lineRule="auto"/>
        <w:jc w:val="both"/>
        <w:rPr>
          <w:rFonts w:ascii="Arial" w:hAnsi="Arial" w:cs="Arial"/>
          <w:b/>
          <w:szCs w:val="20"/>
        </w:rPr>
      </w:pPr>
      <w:r>
        <w:rPr>
          <w:rFonts w:ascii="Arial" w:hAnsi="Arial" w:cs="Arial"/>
          <w:b/>
          <w:szCs w:val="20"/>
        </w:rPr>
        <w:t>7</w:t>
      </w:r>
      <w:r w:rsidRPr="00BA56F7">
        <w:rPr>
          <w:rFonts w:ascii="Arial" w:hAnsi="Arial" w:cs="Arial"/>
          <w:b/>
          <w:szCs w:val="20"/>
        </w:rPr>
        <w:t xml:space="preserve">.    </w:t>
      </w:r>
      <w:r w:rsidRPr="00BA56F7">
        <w:rPr>
          <w:rFonts w:ascii="Arial" w:hAnsi="Arial" w:cs="Arial"/>
          <w:b/>
          <w:szCs w:val="20"/>
        </w:rPr>
        <w:tab/>
      </w:r>
      <w:r w:rsidR="00580C5C">
        <w:rPr>
          <w:rFonts w:ascii="Arial" w:hAnsi="Arial" w:cs="Arial"/>
          <w:b/>
          <w:szCs w:val="20"/>
        </w:rPr>
        <w:t xml:space="preserve">Property and </w:t>
      </w:r>
      <w:r>
        <w:rPr>
          <w:rFonts w:ascii="Arial" w:hAnsi="Arial" w:cs="Arial"/>
          <w:b/>
          <w:szCs w:val="20"/>
        </w:rPr>
        <w:t>Equipment</w:t>
      </w:r>
    </w:p>
    <w:p w14:paraId="2DF43705" w14:textId="77777777" w:rsidR="004A4A51" w:rsidRDefault="004A4A51" w:rsidP="00DE7889">
      <w:pPr>
        <w:tabs>
          <w:tab w:val="left" w:pos="450"/>
        </w:tabs>
        <w:spacing w:after="0" w:line="240" w:lineRule="auto"/>
        <w:jc w:val="both"/>
        <w:rPr>
          <w:rFonts w:ascii="Arial" w:hAnsi="Arial" w:cs="Arial"/>
          <w:b/>
          <w:szCs w:val="20"/>
        </w:rPr>
      </w:pPr>
    </w:p>
    <w:tbl>
      <w:tblPr>
        <w:tblW w:w="9720" w:type="dxa"/>
        <w:tblInd w:w="450" w:type="dxa"/>
        <w:tblLayout w:type="fixed"/>
        <w:tblCellMar>
          <w:left w:w="0" w:type="dxa"/>
          <w:right w:w="0" w:type="dxa"/>
        </w:tblCellMar>
        <w:tblLook w:val="0000" w:firstRow="0" w:lastRow="0" w:firstColumn="0" w:lastColumn="0" w:noHBand="0" w:noVBand="0"/>
      </w:tblPr>
      <w:tblGrid>
        <w:gridCol w:w="2250"/>
        <w:gridCol w:w="1559"/>
        <w:gridCol w:w="1411"/>
        <w:gridCol w:w="1530"/>
        <w:gridCol w:w="1440"/>
        <w:gridCol w:w="1530"/>
      </w:tblGrid>
      <w:tr w:rsidR="00DE7889" w:rsidRPr="006359BD" w14:paraId="190253BC" w14:textId="77777777" w:rsidTr="00C3710E">
        <w:tc>
          <w:tcPr>
            <w:tcW w:w="2250" w:type="dxa"/>
            <w:tcBorders>
              <w:top w:val="nil"/>
              <w:left w:val="nil"/>
              <w:bottom w:val="single" w:sz="4" w:space="0" w:color="auto"/>
            </w:tcBorders>
            <w:vAlign w:val="bottom"/>
          </w:tcPr>
          <w:p w14:paraId="08FCA220" w14:textId="77777777" w:rsidR="00DE7889" w:rsidRPr="006359BD" w:rsidRDefault="00DE7889" w:rsidP="00C3710E">
            <w:pPr>
              <w:spacing w:after="0" w:line="240" w:lineRule="auto"/>
              <w:rPr>
                <w:rFonts w:ascii="Arial" w:hAnsi="Arial" w:cs="Arial"/>
                <w:szCs w:val="20"/>
              </w:rPr>
            </w:pPr>
            <w:r w:rsidRPr="006359BD">
              <w:rPr>
                <w:rFonts w:ascii="Arial" w:hAnsi="Arial" w:cs="Arial"/>
                <w:b/>
                <w:bCs/>
                <w:szCs w:val="20"/>
              </w:rPr>
              <w:t>Cost</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5EE464A3" w14:textId="77777777" w:rsidR="00DE7889" w:rsidRDefault="00DE7889" w:rsidP="00C3710E">
            <w:pPr>
              <w:spacing w:after="0" w:line="240" w:lineRule="auto"/>
              <w:jc w:val="center"/>
              <w:rPr>
                <w:rFonts w:ascii="Arial" w:hAnsi="Arial" w:cs="Arial"/>
                <w:szCs w:val="20"/>
              </w:rPr>
            </w:pPr>
            <w:r>
              <w:rPr>
                <w:rFonts w:ascii="Arial" w:hAnsi="Arial" w:cs="Arial"/>
                <w:szCs w:val="20"/>
              </w:rPr>
              <w:t>Computer</w:t>
            </w:r>
          </w:p>
          <w:p w14:paraId="7AF5B833" w14:textId="77777777" w:rsidR="00DE7889" w:rsidRDefault="00DE7889" w:rsidP="00C3710E">
            <w:pPr>
              <w:spacing w:after="0" w:line="240" w:lineRule="auto"/>
              <w:jc w:val="center"/>
              <w:rPr>
                <w:rFonts w:ascii="Arial" w:hAnsi="Arial" w:cs="Arial"/>
                <w:szCs w:val="20"/>
              </w:rPr>
            </w:pPr>
            <w:r>
              <w:rPr>
                <w:rFonts w:ascii="Arial" w:hAnsi="Arial" w:cs="Arial"/>
                <w:szCs w:val="20"/>
              </w:rPr>
              <w:t>Equipment</w:t>
            </w:r>
          </w:p>
          <w:p w14:paraId="3FA86773" w14:textId="77777777" w:rsidR="00DE7889" w:rsidRPr="006359BD" w:rsidRDefault="00DE7889" w:rsidP="00C3710E">
            <w:pPr>
              <w:spacing w:after="0" w:line="240" w:lineRule="auto"/>
              <w:jc w:val="center"/>
              <w:rPr>
                <w:rFonts w:ascii="Arial" w:hAnsi="Arial" w:cs="Arial"/>
                <w:szCs w:val="20"/>
              </w:rPr>
            </w:pPr>
            <w:r>
              <w:rPr>
                <w:rFonts w:ascii="Arial" w:hAnsi="Arial" w:cs="Arial"/>
                <w:szCs w:val="20"/>
              </w:rPr>
              <w:t>$</w:t>
            </w:r>
          </w:p>
        </w:tc>
        <w:tc>
          <w:tcPr>
            <w:tcW w:w="1411" w:type="dxa"/>
            <w:tcBorders>
              <w:top w:val="nil"/>
              <w:left w:val="nil"/>
              <w:bottom w:val="single" w:sz="4" w:space="0" w:color="auto"/>
              <w:right w:val="nil"/>
            </w:tcBorders>
          </w:tcPr>
          <w:p w14:paraId="3A958869" w14:textId="77777777" w:rsidR="00DE7889" w:rsidRDefault="00DE7889" w:rsidP="00C3710E">
            <w:pPr>
              <w:spacing w:after="0" w:line="240" w:lineRule="auto"/>
              <w:ind w:left="90"/>
              <w:jc w:val="center"/>
              <w:rPr>
                <w:rFonts w:ascii="Arial" w:hAnsi="Arial" w:cs="Arial"/>
                <w:szCs w:val="20"/>
              </w:rPr>
            </w:pPr>
          </w:p>
          <w:p w14:paraId="159EF1A0" w14:textId="77777777" w:rsidR="00DE7889" w:rsidRDefault="00DE7889" w:rsidP="00C3710E">
            <w:pPr>
              <w:spacing w:after="0" w:line="240" w:lineRule="auto"/>
              <w:ind w:left="90"/>
              <w:jc w:val="center"/>
              <w:rPr>
                <w:rFonts w:ascii="Arial" w:hAnsi="Arial" w:cs="Arial"/>
                <w:szCs w:val="20"/>
              </w:rPr>
            </w:pPr>
            <w:r>
              <w:rPr>
                <w:rFonts w:ascii="Arial" w:hAnsi="Arial" w:cs="Arial"/>
                <w:szCs w:val="20"/>
              </w:rPr>
              <w:t>Equipment</w:t>
            </w:r>
          </w:p>
          <w:p w14:paraId="0DA83390" w14:textId="77777777" w:rsidR="00DE7889" w:rsidRPr="005E7A4B" w:rsidRDefault="00DE7889" w:rsidP="00C3710E">
            <w:pPr>
              <w:spacing w:after="0" w:line="240" w:lineRule="auto"/>
              <w:ind w:left="90"/>
              <w:jc w:val="center"/>
              <w:rPr>
                <w:rFonts w:ascii="Arial" w:hAnsi="Arial" w:cs="Arial"/>
                <w:szCs w:val="20"/>
              </w:rPr>
            </w:pPr>
            <w:r>
              <w:rPr>
                <w:rFonts w:ascii="Arial" w:hAnsi="Arial" w:cs="Arial"/>
                <w:szCs w:val="20"/>
              </w:rPr>
              <w:t>$</w:t>
            </w:r>
          </w:p>
        </w:tc>
        <w:tc>
          <w:tcPr>
            <w:tcW w:w="1530" w:type="dxa"/>
            <w:tcBorders>
              <w:top w:val="nil"/>
              <w:left w:val="nil"/>
              <w:bottom w:val="single" w:sz="4" w:space="0" w:color="auto"/>
              <w:right w:val="nil"/>
            </w:tcBorders>
          </w:tcPr>
          <w:p w14:paraId="08CEC3C7" w14:textId="77777777" w:rsidR="00DE7889" w:rsidRDefault="00DE7889" w:rsidP="00C3710E">
            <w:pPr>
              <w:spacing w:after="0" w:line="240" w:lineRule="auto"/>
              <w:ind w:left="90"/>
              <w:jc w:val="center"/>
              <w:rPr>
                <w:rFonts w:ascii="Arial" w:hAnsi="Arial" w:cs="Arial"/>
                <w:szCs w:val="20"/>
              </w:rPr>
            </w:pPr>
            <w:r>
              <w:rPr>
                <w:rFonts w:ascii="Arial" w:hAnsi="Arial" w:cs="Arial"/>
                <w:szCs w:val="20"/>
              </w:rPr>
              <w:t>Leasehold</w:t>
            </w:r>
          </w:p>
          <w:p w14:paraId="7F396010" w14:textId="77777777" w:rsidR="00DE7889" w:rsidRDefault="00DE7889" w:rsidP="00C3710E">
            <w:pPr>
              <w:spacing w:after="0" w:line="240" w:lineRule="auto"/>
              <w:ind w:left="90"/>
              <w:jc w:val="center"/>
              <w:rPr>
                <w:rFonts w:ascii="Arial" w:hAnsi="Arial" w:cs="Arial"/>
                <w:szCs w:val="20"/>
              </w:rPr>
            </w:pPr>
            <w:r>
              <w:rPr>
                <w:rFonts w:ascii="Arial" w:hAnsi="Arial" w:cs="Arial"/>
                <w:szCs w:val="20"/>
              </w:rPr>
              <w:t>Improvements</w:t>
            </w:r>
          </w:p>
          <w:p w14:paraId="57273D8C" w14:textId="77777777" w:rsidR="00DE7889" w:rsidRPr="005E7A4B" w:rsidRDefault="00DE7889" w:rsidP="00C3710E">
            <w:pPr>
              <w:spacing w:after="0" w:line="240" w:lineRule="auto"/>
              <w:ind w:left="90"/>
              <w:jc w:val="center"/>
              <w:rPr>
                <w:rFonts w:ascii="Arial" w:hAnsi="Arial" w:cs="Arial"/>
                <w:szCs w:val="20"/>
              </w:rPr>
            </w:pPr>
            <w:r>
              <w:rPr>
                <w:rFonts w:ascii="Arial" w:hAnsi="Arial" w:cs="Arial"/>
                <w:szCs w:val="20"/>
              </w:rPr>
              <w:t>$</w:t>
            </w:r>
          </w:p>
        </w:tc>
        <w:tc>
          <w:tcPr>
            <w:tcW w:w="1440" w:type="dxa"/>
            <w:tcBorders>
              <w:top w:val="nil"/>
              <w:left w:val="nil"/>
              <w:bottom w:val="single" w:sz="4" w:space="0" w:color="auto"/>
              <w:right w:val="nil"/>
            </w:tcBorders>
          </w:tcPr>
          <w:p w14:paraId="177107E4" w14:textId="77777777" w:rsidR="00DE7889" w:rsidRDefault="00DE7889" w:rsidP="00C3710E">
            <w:pPr>
              <w:spacing w:after="0" w:line="240" w:lineRule="auto"/>
              <w:ind w:left="90"/>
              <w:jc w:val="center"/>
              <w:rPr>
                <w:rFonts w:ascii="Arial" w:hAnsi="Arial" w:cs="Arial"/>
                <w:szCs w:val="20"/>
              </w:rPr>
            </w:pPr>
            <w:r>
              <w:rPr>
                <w:rFonts w:ascii="Arial" w:hAnsi="Arial" w:cs="Arial"/>
                <w:szCs w:val="20"/>
              </w:rPr>
              <w:t>Security</w:t>
            </w:r>
          </w:p>
          <w:p w14:paraId="66487C1C" w14:textId="77777777" w:rsidR="00DE7889" w:rsidRDefault="00DE7889" w:rsidP="00C3710E">
            <w:pPr>
              <w:spacing w:after="0" w:line="240" w:lineRule="auto"/>
              <w:ind w:left="90"/>
              <w:jc w:val="center"/>
              <w:rPr>
                <w:rFonts w:ascii="Arial" w:hAnsi="Arial" w:cs="Arial"/>
                <w:szCs w:val="20"/>
              </w:rPr>
            </w:pPr>
            <w:r>
              <w:rPr>
                <w:rFonts w:ascii="Arial" w:hAnsi="Arial" w:cs="Arial"/>
                <w:szCs w:val="20"/>
              </w:rPr>
              <w:t>System</w:t>
            </w:r>
          </w:p>
          <w:p w14:paraId="05CE268D" w14:textId="77777777" w:rsidR="00DE7889" w:rsidRPr="005E7A4B" w:rsidRDefault="00DE7889" w:rsidP="00C3710E">
            <w:pPr>
              <w:spacing w:after="0" w:line="240" w:lineRule="auto"/>
              <w:ind w:left="90"/>
              <w:jc w:val="center"/>
              <w:rPr>
                <w:rFonts w:ascii="Arial" w:hAnsi="Arial" w:cs="Arial"/>
                <w:szCs w:val="20"/>
              </w:rPr>
            </w:pPr>
            <w:r>
              <w:rPr>
                <w:rFonts w:ascii="Arial" w:hAnsi="Arial" w:cs="Arial"/>
                <w:szCs w:val="20"/>
              </w:rPr>
              <w:t>$</w:t>
            </w:r>
          </w:p>
        </w:tc>
        <w:tc>
          <w:tcPr>
            <w:tcW w:w="1530" w:type="dxa"/>
            <w:tcBorders>
              <w:top w:val="nil"/>
              <w:left w:val="nil"/>
              <w:bottom w:val="single" w:sz="4" w:space="0" w:color="auto"/>
              <w:right w:val="nil"/>
            </w:tcBorders>
          </w:tcPr>
          <w:p w14:paraId="50A9A3AC" w14:textId="77777777" w:rsidR="00DE7889" w:rsidRDefault="00DE7889" w:rsidP="00C3710E">
            <w:pPr>
              <w:spacing w:after="0" w:line="240" w:lineRule="auto"/>
              <w:ind w:left="90"/>
              <w:jc w:val="center"/>
              <w:rPr>
                <w:rFonts w:ascii="Arial" w:hAnsi="Arial" w:cs="Arial"/>
                <w:szCs w:val="20"/>
              </w:rPr>
            </w:pPr>
          </w:p>
          <w:p w14:paraId="16F8DD05" w14:textId="77777777" w:rsidR="00DE7889" w:rsidRPr="006359BD" w:rsidRDefault="00DE7889" w:rsidP="00C3710E">
            <w:pPr>
              <w:spacing w:after="0" w:line="240" w:lineRule="auto"/>
              <w:ind w:left="90"/>
              <w:jc w:val="center"/>
              <w:rPr>
                <w:rFonts w:ascii="Arial" w:hAnsi="Arial" w:cs="Arial"/>
                <w:szCs w:val="20"/>
              </w:rPr>
            </w:pPr>
            <w:r>
              <w:rPr>
                <w:rFonts w:ascii="Arial" w:hAnsi="Arial" w:cs="Arial"/>
                <w:szCs w:val="20"/>
              </w:rPr>
              <w:t>Total</w:t>
            </w:r>
          </w:p>
          <w:p w14:paraId="6443D2FE" w14:textId="77777777" w:rsidR="00DE7889" w:rsidRPr="006359BD" w:rsidRDefault="00DE7889" w:rsidP="00C3710E">
            <w:pPr>
              <w:spacing w:after="0" w:line="240" w:lineRule="auto"/>
              <w:ind w:left="90"/>
              <w:jc w:val="center"/>
              <w:rPr>
                <w:rFonts w:ascii="Arial" w:hAnsi="Arial" w:cs="Arial"/>
                <w:szCs w:val="20"/>
              </w:rPr>
            </w:pPr>
            <w:r w:rsidRPr="006359BD">
              <w:rPr>
                <w:rFonts w:ascii="Arial" w:hAnsi="Arial" w:cs="Arial"/>
                <w:szCs w:val="20"/>
              </w:rPr>
              <w:t>$</w:t>
            </w:r>
          </w:p>
        </w:tc>
      </w:tr>
      <w:tr w:rsidR="00DE7889" w:rsidRPr="006359BD" w14:paraId="048A7457" w14:textId="77777777" w:rsidTr="00C3710E">
        <w:trPr>
          <w:trHeight w:hRule="exact" w:val="113"/>
        </w:trPr>
        <w:tc>
          <w:tcPr>
            <w:tcW w:w="2250" w:type="dxa"/>
            <w:tcBorders>
              <w:top w:val="single" w:sz="4" w:space="0" w:color="auto"/>
              <w:left w:val="nil"/>
            </w:tcBorders>
            <w:vAlign w:val="bottom"/>
          </w:tcPr>
          <w:p w14:paraId="095317A3" w14:textId="77777777" w:rsidR="00DE7889" w:rsidRPr="006359BD" w:rsidRDefault="00DE7889" w:rsidP="00C3710E">
            <w:pPr>
              <w:spacing w:after="0" w:line="240" w:lineRule="auto"/>
              <w:rPr>
                <w:rFonts w:ascii="Arial" w:hAnsi="Arial" w:cs="Arial"/>
                <w:szCs w:val="20"/>
              </w:rPr>
            </w:pPr>
          </w:p>
        </w:tc>
        <w:tc>
          <w:tcPr>
            <w:tcW w:w="1559" w:type="dxa"/>
            <w:tcBorders>
              <w:top w:val="single" w:sz="4" w:space="0" w:color="auto"/>
              <w:left w:val="nil"/>
              <w:right w:val="nil"/>
            </w:tcBorders>
            <w:vAlign w:val="bottom"/>
          </w:tcPr>
          <w:p w14:paraId="53BE6E81" w14:textId="77777777" w:rsidR="00DE7889" w:rsidRPr="006359BD" w:rsidRDefault="00DE7889" w:rsidP="00C3710E">
            <w:pPr>
              <w:spacing w:after="0" w:line="240" w:lineRule="auto"/>
              <w:ind w:right="369"/>
              <w:jc w:val="right"/>
              <w:rPr>
                <w:rFonts w:ascii="Arial" w:hAnsi="Arial" w:cs="Arial"/>
                <w:szCs w:val="20"/>
              </w:rPr>
            </w:pPr>
          </w:p>
        </w:tc>
        <w:tc>
          <w:tcPr>
            <w:tcW w:w="1411" w:type="dxa"/>
            <w:tcBorders>
              <w:top w:val="single" w:sz="4" w:space="0" w:color="auto"/>
              <w:left w:val="nil"/>
              <w:right w:val="nil"/>
            </w:tcBorders>
          </w:tcPr>
          <w:p w14:paraId="4BA21DBC" w14:textId="77777777" w:rsidR="00DE7889" w:rsidRPr="006359BD" w:rsidRDefault="00DE7889" w:rsidP="00C3710E">
            <w:pPr>
              <w:spacing w:after="0" w:line="240" w:lineRule="auto"/>
              <w:ind w:right="369"/>
              <w:jc w:val="right"/>
              <w:rPr>
                <w:rFonts w:ascii="Arial" w:hAnsi="Arial" w:cs="Arial"/>
                <w:szCs w:val="20"/>
              </w:rPr>
            </w:pPr>
          </w:p>
        </w:tc>
        <w:tc>
          <w:tcPr>
            <w:tcW w:w="1530" w:type="dxa"/>
            <w:tcBorders>
              <w:top w:val="single" w:sz="4" w:space="0" w:color="auto"/>
              <w:left w:val="nil"/>
              <w:right w:val="nil"/>
            </w:tcBorders>
          </w:tcPr>
          <w:p w14:paraId="255B8B17" w14:textId="77777777" w:rsidR="00DE7889" w:rsidRPr="006359BD" w:rsidRDefault="00DE7889" w:rsidP="00C3710E">
            <w:pPr>
              <w:spacing w:after="0" w:line="240" w:lineRule="auto"/>
              <w:ind w:right="369"/>
              <w:jc w:val="right"/>
              <w:rPr>
                <w:rFonts w:ascii="Arial" w:hAnsi="Arial" w:cs="Arial"/>
                <w:szCs w:val="20"/>
              </w:rPr>
            </w:pPr>
          </w:p>
        </w:tc>
        <w:tc>
          <w:tcPr>
            <w:tcW w:w="1440" w:type="dxa"/>
            <w:tcBorders>
              <w:top w:val="single" w:sz="4" w:space="0" w:color="auto"/>
              <w:left w:val="nil"/>
              <w:right w:val="nil"/>
            </w:tcBorders>
          </w:tcPr>
          <w:p w14:paraId="43F3CA5F" w14:textId="77777777" w:rsidR="00DE7889" w:rsidRPr="006359BD" w:rsidRDefault="00DE7889" w:rsidP="00C3710E">
            <w:pPr>
              <w:spacing w:after="0" w:line="240" w:lineRule="auto"/>
              <w:ind w:right="369"/>
              <w:jc w:val="right"/>
              <w:rPr>
                <w:rFonts w:ascii="Arial" w:hAnsi="Arial" w:cs="Arial"/>
                <w:szCs w:val="20"/>
              </w:rPr>
            </w:pPr>
          </w:p>
        </w:tc>
        <w:tc>
          <w:tcPr>
            <w:tcW w:w="1530" w:type="dxa"/>
            <w:tcBorders>
              <w:top w:val="single" w:sz="4" w:space="0" w:color="auto"/>
              <w:left w:val="nil"/>
              <w:right w:val="nil"/>
            </w:tcBorders>
          </w:tcPr>
          <w:p w14:paraId="7AA77041" w14:textId="77777777" w:rsidR="00DE7889" w:rsidRPr="006359BD" w:rsidRDefault="00DE7889" w:rsidP="00C3710E">
            <w:pPr>
              <w:spacing w:after="0" w:line="240" w:lineRule="auto"/>
              <w:ind w:right="369"/>
              <w:jc w:val="right"/>
              <w:rPr>
                <w:rFonts w:ascii="Arial" w:hAnsi="Arial" w:cs="Arial"/>
                <w:szCs w:val="20"/>
              </w:rPr>
            </w:pPr>
          </w:p>
        </w:tc>
      </w:tr>
      <w:tr w:rsidR="00DE7889" w:rsidRPr="006359BD" w14:paraId="3EDA64B7" w14:textId="77777777" w:rsidTr="00C3710E">
        <w:tc>
          <w:tcPr>
            <w:tcW w:w="2250" w:type="dxa"/>
            <w:tcBorders>
              <w:left w:val="nil"/>
            </w:tcBorders>
            <w:vAlign w:val="bottom"/>
          </w:tcPr>
          <w:p w14:paraId="74C30DE9" w14:textId="77777777" w:rsidR="00DE7889" w:rsidRPr="006359BD" w:rsidRDefault="00DE7889" w:rsidP="00C3710E">
            <w:pPr>
              <w:spacing w:after="0" w:line="240" w:lineRule="auto"/>
              <w:rPr>
                <w:rFonts w:ascii="Arial" w:hAnsi="Arial" w:cs="Arial"/>
                <w:szCs w:val="20"/>
              </w:rPr>
            </w:pPr>
            <w:r w:rsidRPr="006359BD">
              <w:rPr>
                <w:rFonts w:ascii="Arial" w:hAnsi="Arial" w:cs="Arial"/>
                <w:szCs w:val="20"/>
              </w:rPr>
              <w:t xml:space="preserve">Balance,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right w:val="nil"/>
            </w:tcBorders>
            <w:vAlign w:val="bottom"/>
          </w:tcPr>
          <w:p w14:paraId="79F9A81D" w14:textId="77777777" w:rsidR="00DE7889" w:rsidRPr="006359BD"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79B36621" w14:textId="77777777" w:rsidR="00DE7889" w:rsidRDefault="00DE7889" w:rsidP="00C3710E">
            <w:pPr>
              <w:spacing w:after="0" w:line="240" w:lineRule="auto"/>
              <w:ind w:right="173"/>
              <w:jc w:val="right"/>
              <w:rPr>
                <w:rFonts w:ascii="Arial" w:hAnsi="Arial" w:cs="Arial"/>
                <w:szCs w:val="20"/>
              </w:rPr>
            </w:pPr>
          </w:p>
          <w:p w14:paraId="7261FB18" w14:textId="77777777" w:rsidR="00DE7889" w:rsidRDefault="00DE7889" w:rsidP="00C3710E">
            <w:pPr>
              <w:spacing w:after="0" w:line="240" w:lineRule="auto"/>
              <w:ind w:right="173"/>
              <w:jc w:val="right"/>
              <w:rPr>
                <w:rFonts w:ascii="Arial" w:hAnsi="Arial" w:cs="Arial"/>
                <w:szCs w:val="20"/>
              </w:rPr>
            </w:pPr>
            <w:r>
              <w:rPr>
                <w:rFonts w:ascii="Arial" w:hAnsi="Arial" w:cs="Arial"/>
                <w:szCs w:val="20"/>
              </w:rPr>
              <w:t>5,307</w:t>
            </w:r>
          </w:p>
        </w:tc>
        <w:tc>
          <w:tcPr>
            <w:tcW w:w="1530" w:type="dxa"/>
            <w:tcBorders>
              <w:left w:val="nil"/>
              <w:right w:val="nil"/>
            </w:tcBorders>
          </w:tcPr>
          <w:p w14:paraId="33EAB258" w14:textId="77777777" w:rsidR="00DE7889" w:rsidRDefault="00DE7889" w:rsidP="00C3710E">
            <w:pPr>
              <w:spacing w:after="0" w:line="240" w:lineRule="auto"/>
              <w:ind w:right="173"/>
              <w:jc w:val="right"/>
              <w:rPr>
                <w:rFonts w:ascii="Arial" w:hAnsi="Arial" w:cs="Arial"/>
                <w:szCs w:val="20"/>
              </w:rPr>
            </w:pPr>
          </w:p>
          <w:p w14:paraId="4DC89FBA"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24A48088" w14:textId="77777777" w:rsidR="00DE7889" w:rsidRDefault="00DE7889" w:rsidP="00C3710E">
            <w:pPr>
              <w:spacing w:after="0" w:line="240" w:lineRule="auto"/>
              <w:ind w:right="173"/>
              <w:jc w:val="right"/>
              <w:rPr>
                <w:rFonts w:ascii="Arial" w:hAnsi="Arial" w:cs="Arial"/>
                <w:szCs w:val="20"/>
              </w:rPr>
            </w:pPr>
          </w:p>
          <w:p w14:paraId="55E3B2B4"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1B4B804E" w14:textId="77777777" w:rsidR="00DE7889" w:rsidRDefault="00DE7889" w:rsidP="00C3710E">
            <w:pPr>
              <w:spacing w:after="0" w:line="240" w:lineRule="auto"/>
              <w:ind w:right="173"/>
              <w:jc w:val="right"/>
              <w:rPr>
                <w:rFonts w:ascii="Arial" w:hAnsi="Arial" w:cs="Arial"/>
                <w:szCs w:val="20"/>
              </w:rPr>
            </w:pPr>
          </w:p>
          <w:p w14:paraId="3A85ECCE"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5,307</w:t>
            </w:r>
          </w:p>
        </w:tc>
      </w:tr>
      <w:tr w:rsidR="0018633A" w:rsidRPr="006359BD" w14:paraId="4127E47C" w14:textId="77777777" w:rsidTr="00D15924">
        <w:tc>
          <w:tcPr>
            <w:tcW w:w="2250" w:type="dxa"/>
            <w:tcBorders>
              <w:left w:val="nil"/>
            </w:tcBorders>
            <w:vAlign w:val="bottom"/>
          </w:tcPr>
          <w:p w14:paraId="57999DAB" w14:textId="77777777" w:rsidR="0018633A" w:rsidRDefault="0018633A" w:rsidP="00D15924">
            <w:pPr>
              <w:spacing w:after="0" w:line="240" w:lineRule="auto"/>
              <w:rPr>
                <w:rFonts w:ascii="Arial" w:hAnsi="Arial" w:cs="Arial"/>
                <w:szCs w:val="20"/>
              </w:rPr>
            </w:pPr>
            <w:r>
              <w:rPr>
                <w:rFonts w:ascii="Arial" w:hAnsi="Arial" w:cs="Arial"/>
                <w:szCs w:val="20"/>
              </w:rPr>
              <w:t>Additions</w:t>
            </w:r>
          </w:p>
        </w:tc>
        <w:tc>
          <w:tcPr>
            <w:tcW w:w="1559" w:type="dxa"/>
            <w:tcBorders>
              <w:left w:val="nil"/>
              <w:right w:val="nil"/>
            </w:tcBorders>
            <w:vAlign w:val="bottom"/>
          </w:tcPr>
          <w:p w14:paraId="3B428369"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7,349</w:t>
            </w:r>
          </w:p>
        </w:tc>
        <w:tc>
          <w:tcPr>
            <w:tcW w:w="1411" w:type="dxa"/>
            <w:tcBorders>
              <w:left w:val="nil"/>
              <w:right w:val="nil"/>
            </w:tcBorders>
          </w:tcPr>
          <w:p w14:paraId="01B82844" w14:textId="77777777" w:rsidR="0018633A" w:rsidRDefault="0018633A" w:rsidP="00D15924">
            <w:pPr>
              <w:spacing w:after="0" w:line="240" w:lineRule="auto"/>
              <w:ind w:right="173"/>
              <w:jc w:val="right"/>
              <w:rPr>
                <w:rFonts w:ascii="Arial" w:hAnsi="Arial" w:cs="Arial"/>
                <w:szCs w:val="20"/>
              </w:rPr>
            </w:pPr>
            <w:r>
              <w:rPr>
                <w:rFonts w:ascii="Arial" w:hAnsi="Arial" w:cs="Arial"/>
                <w:szCs w:val="20"/>
              </w:rPr>
              <w:t>65,698</w:t>
            </w:r>
          </w:p>
        </w:tc>
        <w:tc>
          <w:tcPr>
            <w:tcW w:w="1530" w:type="dxa"/>
            <w:tcBorders>
              <w:left w:val="nil"/>
              <w:right w:val="nil"/>
            </w:tcBorders>
          </w:tcPr>
          <w:p w14:paraId="10ED795F" w14:textId="77777777" w:rsidR="0018633A" w:rsidRDefault="0018633A" w:rsidP="00D15924">
            <w:pPr>
              <w:spacing w:after="0" w:line="240" w:lineRule="auto"/>
              <w:ind w:right="173"/>
              <w:jc w:val="right"/>
              <w:rPr>
                <w:rFonts w:ascii="Arial" w:hAnsi="Arial" w:cs="Arial"/>
                <w:szCs w:val="20"/>
              </w:rPr>
            </w:pPr>
            <w:r>
              <w:rPr>
                <w:rFonts w:ascii="Arial" w:hAnsi="Arial" w:cs="Arial"/>
                <w:szCs w:val="20"/>
              </w:rPr>
              <w:t>200,084</w:t>
            </w:r>
          </w:p>
        </w:tc>
        <w:tc>
          <w:tcPr>
            <w:tcW w:w="1440" w:type="dxa"/>
            <w:tcBorders>
              <w:left w:val="nil"/>
              <w:right w:val="nil"/>
            </w:tcBorders>
          </w:tcPr>
          <w:p w14:paraId="0155DBA1" w14:textId="77777777" w:rsidR="0018633A" w:rsidRDefault="0018633A" w:rsidP="00D15924">
            <w:pPr>
              <w:spacing w:after="0" w:line="240" w:lineRule="auto"/>
              <w:ind w:right="173"/>
              <w:jc w:val="right"/>
              <w:rPr>
                <w:rFonts w:ascii="Arial" w:hAnsi="Arial" w:cs="Arial"/>
                <w:szCs w:val="20"/>
              </w:rPr>
            </w:pPr>
            <w:r>
              <w:rPr>
                <w:rFonts w:ascii="Arial" w:hAnsi="Arial" w:cs="Arial"/>
                <w:szCs w:val="20"/>
              </w:rPr>
              <w:t>269,611</w:t>
            </w:r>
          </w:p>
        </w:tc>
        <w:tc>
          <w:tcPr>
            <w:tcW w:w="1530" w:type="dxa"/>
            <w:tcBorders>
              <w:left w:val="nil"/>
              <w:right w:val="nil"/>
            </w:tcBorders>
          </w:tcPr>
          <w:p w14:paraId="55D756C0" w14:textId="77777777" w:rsidR="0018633A" w:rsidRDefault="0018633A" w:rsidP="00D15924">
            <w:pPr>
              <w:spacing w:after="0" w:line="240" w:lineRule="auto"/>
              <w:ind w:right="173"/>
              <w:jc w:val="right"/>
              <w:rPr>
                <w:rFonts w:ascii="Arial" w:hAnsi="Arial" w:cs="Arial"/>
                <w:szCs w:val="20"/>
              </w:rPr>
            </w:pPr>
            <w:r>
              <w:rPr>
                <w:rFonts w:ascii="Arial" w:hAnsi="Arial" w:cs="Arial"/>
                <w:szCs w:val="20"/>
              </w:rPr>
              <w:t>542,742</w:t>
            </w:r>
          </w:p>
        </w:tc>
      </w:tr>
      <w:tr w:rsidR="0018633A" w:rsidRPr="006359BD" w14:paraId="031FF05B" w14:textId="77777777" w:rsidTr="00D15924">
        <w:tc>
          <w:tcPr>
            <w:tcW w:w="2250" w:type="dxa"/>
            <w:tcBorders>
              <w:left w:val="nil"/>
            </w:tcBorders>
            <w:vAlign w:val="bottom"/>
          </w:tcPr>
          <w:p w14:paraId="32753B18" w14:textId="77777777" w:rsidR="0018633A" w:rsidRPr="006359BD" w:rsidRDefault="0018633A" w:rsidP="00D15924">
            <w:pPr>
              <w:spacing w:after="0" w:line="240" w:lineRule="auto"/>
              <w:rPr>
                <w:rFonts w:ascii="Arial" w:hAnsi="Arial" w:cs="Arial"/>
                <w:szCs w:val="20"/>
              </w:rPr>
            </w:pPr>
            <w:r>
              <w:rPr>
                <w:rFonts w:ascii="Arial" w:hAnsi="Arial" w:cs="Arial"/>
                <w:szCs w:val="20"/>
              </w:rPr>
              <w:t>Impairment</w:t>
            </w:r>
          </w:p>
        </w:tc>
        <w:tc>
          <w:tcPr>
            <w:tcW w:w="1559" w:type="dxa"/>
            <w:tcBorders>
              <w:left w:val="nil"/>
              <w:right w:val="nil"/>
            </w:tcBorders>
            <w:vAlign w:val="bottom"/>
          </w:tcPr>
          <w:p w14:paraId="5668DD96" w14:textId="77777777" w:rsidR="0018633A" w:rsidRPr="006359BD"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1009A37B" w14:textId="77777777" w:rsidR="0018633A" w:rsidRPr="00EE4151" w:rsidRDefault="0018633A" w:rsidP="00D15924">
            <w:pPr>
              <w:spacing w:after="0" w:line="240" w:lineRule="auto"/>
              <w:ind w:right="173"/>
              <w:jc w:val="right"/>
              <w:rPr>
                <w:rFonts w:ascii="Arial" w:hAnsi="Arial" w:cs="Arial"/>
                <w:szCs w:val="20"/>
              </w:rPr>
            </w:pPr>
            <w:r w:rsidRPr="00EE4151">
              <w:rPr>
                <w:rFonts w:ascii="Arial" w:hAnsi="Arial" w:cs="Arial"/>
                <w:szCs w:val="20"/>
              </w:rPr>
              <w:t>(5,213)</w:t>
            </w:r>
          </w:p>
        </w:tc>
        <w:tc>
          <w:tcPr>
            <w:tcW w:w="1530" w:type="dxa"/>
            <w:tcBorders>
              <w:left w:val="nil"/>
              <w:right w:val="nil"/>
            </w:tcBorders>
          </w:tcPr>
          <w:p w14:paraId="5CD14CF2" w14:textId="77777777" w:rsidR="0018633A"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6481C0A5" w14:textId="77777777" w:rsidR="0018633A"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60C866E3"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(5,213)</w:t>
            </w:r>
          </w:p>
        </w:tc>
      </w:tr>
      <w:tr w:rsidR="0018633A" w:rsidRPr="006359BD" w14:paraId="11C7CFAD" w14:textId="77777777" w:rsidTr="00D15924">
        <w:tc>
          <w:tcPr>
            <w:tcW w:w="2250" w:type="dxa"/>
            <w:tcBorders>
              <w:left w:val="nil"/>
              <w:bottom w:val="single" w:sz="2" w:space="0" w:color="auto"/>
            </w:tcBorders>
            <w:vAlign w:val="bottom"/>
          </w:tcPr>
          <w:p w14:paraId="7B547705" w14:textId="77777777" w:rsidR="0018633A" w:rsidRPr="006359BD" w:rsidRDefault="0018633A" w:rsidP="00D15924">
            <w:pPr>
              <w:spacing w:after="0" w:line="240" w:lineRule="auto"/>
              <w:rPr>
                <w:rFonts w:ascii="Arial" w:hAnsi="Arial" w:cs="Arial"/>
                <w:szCs w:val="20"/>
              </w:rPr>
            </w:pPr>
            <w:r>
              <w:rPr>
                <w:rFonts w:ascii="Arial" w:hAnsi="Arial" w:cs="Arial"/>
                <w:szCs w:val="20"/>
              </w:rPr>
              <w:t>Effect of foreign exchange rate changes</w:t>
            </w:r>
          </w:p>
        </w:tc>
        <w:tc>
          <w:tcPr>
            <w:tcW w:w="1559" w:type="dxa"/>
            <w:tcBorders>
              <w:left w:val="nil"/>
              <w:bottom w:val="single" w:sz="2" w:space="0" w:color="auto"/>
              <w:right w:val="nil"/>
            </w:tcBorders>
            <w:vAlign w:val="bottom"/>
          </w:tcPr>
          <w:p w14:paraId="72670236" w14:textId="77777777" w:rsidR="0018633A" w:rsidRPr="006359BD"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bottom w:val="single" w:sz="2" w:space="0" w:color="auto"/>
              <w:right w:val="nil"/>
            </w:tcBorders>
          </w:tcPr>
          <w:p w14:paraId="74CCCB13" w14:textId="77777777" w:rsidR="0018633A" w:rsidRPr="00EE4151" w:rsidRDefault="0018633A" w:rsidP="00D15924">
            <w:pPr>
              <w:spacing w:after="0" w:line="240" w:lineRule="auto"/>
              <w:ind w:right="173"/>
              <w:jc w:val="right"/>
              <w:rPr>
                <w:rFonts w:ascii="Arial" w:hAnsi="Arial" w:cs="Arial"/>
                <w:szCs w:val="20"/>
              </w:rPr>
            </w:pPr>
          </w:p>
          <w:p w14:paraId="6F9782AC" w14:textId="77777777" w:rsidR="0018633A" w:rsidRPr="00EE4151" w:rsidRDefault="0018633A" w:rsidP="00D15924">
            <w:pPr>
              <w:spacing w:after="0" w:line="240" w:lineRule="auto"/>
              <w:ind w:right="173"/>
              <w:jc w:val="right"/>
              <w:rPr>
                <w:rFonts w:ascii="Arial" w:hAnsi="Arial" w:cs="Arial"/>
                <w:szCs w:val="20"/>
              </w:rPr>
            </w:pPr>
            <w:r w:rsidRPr="00EE4151">
              <w:rPr>
                <w:rFonts w:ascii="Arial" w:hAnsi="Arial" w:cs="Arial"/>
                <w:szCs w:val="20"/>
              </w:rPr>
              <w:t>(94)</w:t>
            </w:r>
          </w:p>
        </w:tc>
        <w:tc>
          <w:tcPr>
            <w:tcW w:w="1530" w:type="dxa"/>
            <w:tcBorders>
              <w:left w:val="nil"/>
              <w:bottom w:val="single" w:sz="2" w:space="0" w:color="auto"/>
              <w:right w:val="nil"/>
            </w:tcBorders>
          </w:tcPr>
          <w:p w14:paraId="227CFA8B" w14:textId="77777777" w:rsidR="0018633A" w:rsidRDefault="0018633A" w:rsidP="00D15924">
            <w:pPr>
              <w:spacing w:after="0" w:line="240" w:lineRule="auto"/>
              <w:ind w:right="173"/>
              <w:jc w:val="right"/>
              <w:rPr>
                <w:rFonts w:ascii="Arial" w:hAnsi="Arial" w:cs="Arial"/>
                <w:szCs w:val="20"/>
              </w:rPr>
            </w:pPr>
          </w:p>
          <w:p w14:paraId="2FA47C4A" w14:textId="77777777" w:rsidR="0018633A"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bottom w:val="single" w:sz="2" w:space="0" w:color="auto"/>
              <w:right w:val="nil"/>
            </w:tcBorders>
          </w:tcPr>
          <w:p w14:paraId="5440FBE6" w14:textId="77777777" w:rsidR="0018633A" w:rsidRDefault="0018633A" w:rsidP="00D15924">
            <w:pPr>
              <w:spacing w:after="0" w:line="240" w:lineRule="auto"/>
              <w:ind w:right="173"/>
              <w:jc w:val="right"/>
              <w:rPr>
                <w:rFonts w:ascii="Arial" w:hAnsi="Arial" w:cs="Arial"/>
                <w:szCs w:val="20"/>
              </w:rPr>
            </w:pPr>
          </w:p>
          <w:p w14:paraId="5C0C784D" w14:textId="77777777" w:rsidR="0018633A" w:rsidRDefault="0018633A"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bottom w:val="single" w:sz="2" w:space="0" w:color="auto"/>
              <w:right w:val="nil"/>
            </w:tcBorders>
          </w:tcPr>
          <w:p w14:paraId="65700254" w14:textId="77777777" w:rsidR="0018633A" w:rsidRDefault="0018633A" w:rsidP="00D15924">
            <w:pPr>
              <w:spacing w:after="0" w:line="240" w:lineRule="auto"/>
              <w:ind w:right="173"/>
              <w:jc w:val="right"/>
              <w:rPr>
                <w:rFonts w:ascii="Arial" w:hAnsi="Arial" w:cs="Arial"/>
                <w:szCs w:val="20"/>
              </w:rPr>
            </w:pPr>
          </w:p>
          <w:p w14:paraId="151640FC" w14:textId="77777777" w:rsidR="0018633A" w:rsidRDefault="0018633A" w:rsidP="00D15924">
            <w:pPr>
              <w:spacing w:after="0" w:line="240" w:lineRule="auto"/>
              <w:ind w:right="173"/>
              <w:jc w:val="right"/>
              <w:rPr>
                <w:rFonts w:ascii="Arial" w:hAnsi="Arial" w:cs="Arial"/>
                <w:szCs w:val="20"/>
              </w:rPr>
            </w:pPr>
            <w:r>
              <w:rPr>
                <w:rFonts w:ascii="Arial" w:hAnsi="Arial" w:cs="Arial"/>
                <w:szCs w:val="20"/>
              </w:rPr>
              <w:t>(94)</w:t>
            </w:r>
          </w:p>
        </w:tc>
      </w:tr>
      <w:tr w:rsidR="0018633A" w:rsidRPr="006359BD" w14:paraId="37D48C72" w14:textId="77777777" w:rsidTr="00D15924">
        <w:trPr>
          <w:trHeight w:hRule="exact" w:val="86"/>
        </w:trPr>
        <w:tc>
          <w:tcPr>
            <w:tcW w:w="2250" w:type="dxa"/>
            <w:tcBorders>
              <w:top w:val="single" w:sz="2" w:space="0" w:color="auto"/>
              <w:left w:val="nil"/>
            </w:tcBorders>
            <w:vAlign w:val="bottom"/>
          </w:tcPr>
          <w:p w14:paraId="3976E84E" w14:textId="77777777" w:rsidR="0018633A" w:rsidRPr="006359BD" w:rsidRDefault="0018633A" w:rsidP="00D15924">
            <w:pPr>
              <w:spacing w:after="0" w:line="240" w:lineRule="auto"/>
              <w:rPr>
                <w:rFonts w:ascii="Arial" w:hAnsi="Arial" w:cs="Arial"/>
                <w:szCs w:val="20"/>
              </w:rPr>
            </w:pPr>
          </w:p>
        </w:tc>
        <w:tc>
          <w:tcPr>
            <w:tcW w:w="1559" w:type="dxa"/>
            <w:tcBorders>
              <w:top w:val="single" w:sz="2" w:space="0" w:color="auto"/>
              <w:left w:val="nil"/>
              <w:right w:val="nil"/>
            </w:tcBorders>
            <w:vAlign w:val="bottom"/>
          </w:tcPr>
          <w:p w14:paraId="21BAC49D" w14:textId="77777777" w:rsidR="0018633A" w:rsidRDefault="0018633A" w:rsidP="00D15924">
            <w:pPr>
              <w:spacing w:after="0" w:line="240" w:lineRule="auto"/>
              <w:ind w:right="173"/>
              <w:jc w:val="right"/>
              <w:rPr>
                <w:rFonts w:ascii="Arial" w:hAnsi="Arial" w:cs="Arial"/>
                <w:szCs w:val="20"/>
              </w:rPr>
            </w:pPr>
          </w:p>
          <w:p w14:paraId="1515916E" w14:textId="77777777" w:rsidR="0018633A" w:rsidRPr="006359BD" w:rsidRDefault="0018633A" w:rsidP="00D15924">
            <w:pPr>
              <w:spacing w:after="0" w:line="240" w:lineRule="auto"/>
              <w:ind w:right="173"/>
              <w:jc w:val="right"/>
              <w:rPr>
                <w:rFonts w:ascii="Arial" w:hAnsi="Arial" w:cs="Arial"/>
                <w:szCs w:val="20"/>
              </w:rPr>
            </w:pPr>
          </w:p>
        </w:tc>
        <w:tc>
          <w:tcPr>
            <w:tcW w:w="1411" w:type="dxa"/>
            <w:tcBorders>
              <w:top w:val="single" w:sz="2" w:space="0" w:color="auto"/>
              <w:left w:val="nil"/>
              <w:right w:val="nil"/>
            </w:tcBorders>
          </w:tcPr>
          <w:p w14:paraId="7778ECFE" w14:textId="77777777" w:rsidR="0018633A" w:rsidRPr="006359BD" w:rsidRDefault="0018633A" w:rsidP="00D15924">
            <w:pPr>
              <w:spacing w:after="0" w:line="240" w:lineRule="auto"/>
              <w:ind w:right="173"/>
              <w:jc w:val="right"/>
              <w:rPr>
                <w:rFonts w:ascii="Arial" w:hAnsi="Arial" w:cs="Arial"/>
                <w:szCs w:val="20"/>
              </w:rPr>
            </w:pPr>
          </w:p>
        </w:tc>
        <w:tc>
          <w:tcPr>
            <w:tcW w:w="1530" w:type="dxa"/>
            <w:tcBorders>
              <w:top w:val="single" w:sz="2" w:space="0" w:color="auto"/>
              <w:left w:val="nil"/>
              <w:right w:val="nil"/>
            </w:tcBorders>
          </w:tcPr>
          <w:p w14:paraId="7528C9C7" w14:textId="77777777" w:rsidR="0018633A" w:rsidRPr="006359BD" w:rsidRDefault="0018633A" w:rsidP="00D15924">
            <w:pPr>
              <w:spacing w:after="0" w:line="240" w:lineRule="auto"/>
              <w:ind w:right="173"/>
              <w:jc w:val="right"/>
              <w:rPr>
                <w:rFonts w:ascii="Arial" w:hAnsi="Arial" w:cs="Arial"/>
                <w:szCs w:val="20"/>
              </w:rPr>
            </w:pPr>
          </w:p>
        </w:tc>
        <w:tc>
          <w:tcPr>
            <w:tcW w:w="1440" w:type="dxa"/>
            <w:tcBorders>
              <w:top w:val="single" w:sz="2" w:space="0" w:color="auto"/>
              <w:left w:val="nil"/>
              <w:right w:val="nil"/>
            </w:tcBorders>
          </w:tcPr>
          <w:p w14:paraId="38D1BAB9" w14:textId="77777777" w:rsidR="0018633A" w:rsidRPr="006359BD" w:rsidRDefault="0018633A" w:rsidP="00D15924">
            <w:pPr>
              <w:spacing w:after="0" w:line="240" w:lineRule="auto"/>
              <w:ind w:right="173"/>
              <w:jc w:val="right"/>
              <w:rPr>
                <w:rFonts w:ascii="Arial" w:hAnsi="Arial" w:cs="Arial"/>
                <w:szCs w:val="20"/>
              </w:rPr>
            </w:pPr>
          </w:p>
        </w:tc>
        <w:tc>
          <w:tcPr>
            <w:tcW w:w="1530" w:type="dxa"/>
            <w:tcBorders>
              <w:top w:val="single" w:sz="2" w:space="0" w:color="auto"/>
              <w:left w:val="nil"/>
              <w:right w:val="nil"/>
            </w:tcBorders>
          </w:tcPr>
          <w:p w14:paraId="60F5268B" w14:textId="77777777" w:rsidR="0018633A" w:rsidRPr="006359BD" w:rsidRDefault="0018633A" w:rsidP="00D15924">
            <w:pPr>
              <w:spacing w:after="0" w:line="240" w:lineRule="auto"/>
              <w:ind w:right="173"/>
              <w:jc w:val="right"/>
              <w:rPr>
                <w:rFonts w:ascii="Arial" w:hAnsi="Arial" w:cs="Arial"/>
                <w:szCs w:val="20"/>
              </w:rPr>
            </w:pPr>
          </w:p>
        </w:tc>
      </w:tr>
      <w:tr w:rsidR="0018633A" w:rsidRPr="006359BD" w14:paraId="21168CB9" w14:textId="77777777" w:rsidTr="00D15924">
        <w:tc>
          <w:tcPr>
            <w:tcW w:w="2250" w:type="dxa"/>
            <w:tcBorders>
              <w:left w:val="nil"/>
            </w:tcBorders>
            <w:vAlign w:val="bottom"/>
          </w:tcPr>
          <w:p w14:paraId="701CC51B" w14:textId="77777777" w:rsidR="0018633A" w:rsidRPr="006359BD" w:rsidRDefault="0018633A" w:rsidP="00D15924">
            <w:pPr>
              <w:spacing w:after="0" w:line="240" w:lineRule="auto"/>
              <w:rPr>
                <w:rFonts w:ascii="Arial" w:hAnsi="Arial" w:cs="Arial"/>
                <w:szCs w:val="20"/>
              </w:rPr>
            </w:pPr>
            <w:r w:rsidRPr="006359BD">
              <w:rPr>
                <w:rFonts w:ascii="Arial" w:hAnsi="Arial" w:cs="Arial"/>
                <w:szCs w:val="20"/>
              </w:rPr>
              <w:t xml:space="preserve">Balance, </w:t>
            </w:r>
            <w:r>
              <w:rPr>
                <w:rFonts w:ascii="Arial" w:hAnsi="Arial" w:cs="Arial"/>
                <w:szCs w:val="20"/>
              </w:rPr>
              <w:t>January 31, 2020</w:t>
            </w:r>
          </w:p>
        </w:tc>
        <w:tc>
          <w:tcPr>
            <w:tcW w:w="1559" w:type="dxa"/>
            <w:tcBorders>
              <w:left w:val="nil"/>
              <w:right w:val="nil"/>
            </w:tcBorders>
            <w:vAlign w:val="bottom"/>
          </w:tcPr>
          <w:p w14:paraId="1AC298E4"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7,349</w:t>
            </w:r>
          </w:p>
        </w:tc>
        <w:tc>
          <w:tcPr>
            <w:tcW w:w="1411" w:type="dxa"/>
            <w:tcBorders>
              <w:left w:val="nil"/>
              <w:right w:val="nil"/>
            </w:tcBorders>
          </w:tcPr>
          <w:p w14:paraId="367034E0" w14:textId="77777777" w:rsidR="0018633A" w:rsidRDefault="0018633A" w:rsidP="00D15924">
            <w:pPr>
              <w:spacing w:after="0" w:line="240" w:lineRule="auto"/>
              <w:ind w:right="173"/>
              <w:jc w:val="right"/>
              <w:rPr>
                <w:rFonts w:ascii="Arial" w:hAnsi="Arial" w:cs="Arial"/>
                <w:szCs w:val="20"/>
              </w:rPr>
            </w:pPr>
          </w:p>
          <w:p w14:paraId="09A94B3F"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65,698</w:t>
            </w:r>
          </w:p>
        </w:tc>
        <w:tc>
          <w:tcPr>
            <w:tcW w:w="1530" w:type="dxa"/>
            <w:tcBorders>
              <w:left w:val="nil"/>
              <w:right w:val="nil"/>
            </w:tcBorders>
          </w:tcPr>
          <w:p w14:paraId="3EB86982" w14:textId="77777777" w:rsidR="0018633A" w:rsidRDefault="0018633A" w:rsidP="00D15924">
            <w:pPr>
              <w:spacing w:after="0" w:line="240" w:lineRule="auto"/>
              <w:ind w:right="173"/>
              <w:jc w:val="right"/>
              <w:rPr>
                <w:rFonts w:ascii="Arial" w:hAnsi="Arial" w:cs="Arial"/>
                <w:szCs w:val="20"/>
              </w:rPr>
            </w:pPr>
          </w:p>
          <w:p w14:paraId="43B46DDA"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200,084</w:t>
            </w:r>
          </w:p>
        </w:tc>
        <w:tc>
          <w:tcPr>
            <w:tcW w:w="1440" w:type="dxa"/>
            <w:tcBorders>
              <w:left w:val="nil"/>
              <w:right w:val="nil"/>
            </w:tcBorders>
          </w:tcPr>
          <w:p w14:paraId="7BE724ED" w14:textId="77777777" w:rsidR="0018633A" w:rsidRDefault="0018633A" w:rsidP="00D15924">
            <w:pPr>
              <w:spacing w:after="0" w:line="240" w:lineRule="auto"/>
              <w:ind w:right="173"/>
              <w:jc w:val="right"/>
              <w:rPr>
                <w:rFonts w:ascii="Arial" w:hAnsi="Arial" w:cs="Arial"/>
                <w:szCs w:val="20"/>
              </w:rPr>
            </w:pPr>
          </w:p>
          <w:p w14:paraId="6D80850A"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269,611</w:t>
            </w:r>
          </w:p>
        </w:tc>
        <w:tc>
          <w:tcPr>
            <w:tcW w:w="1530" w:type="dxa"/>
            <w:tcBorders>
              <w:left w:val="nil"/>
              <w:right w:val="nil"/>
            </w:tcBorders>
          </w:tcPr>
          <w:p w14:paraId="767CD507" w14:textId="77777777" w:rsidR="0018633A" w:rsidRDefault="0018633A" w:rsidP="00D15924">
            <w:pPr>
              <w:spacing w:after="0" w:line="240" w:lineRule="auto"/>
              <w:ind w:right="173"/>
              <w:jc w:val="right"/>
              <w:rPr>
                <w:rFonts w:ascii="Arial" w:hAnsi="Arial" w:cs="Arial"/>
                <w:szCs w:val="20"/>
              </w:rPr>
            </w:pPr>
          </w:p>
          <w:p w14:paraId="2E056C40" w14:textId="77777777" w:rsidR="0018633A" w:rsidRPr="006359BD" w:rsidRDefault="0018633A" w:rsidP="00D15924">
            <w:pPr>
              <w:spacing w:after="0" w:line="240" w:lineRule="auto"/>
              <w:ind w:right="173"/>
              <w:jc w:val="right"/>
              <w:rPr>
                <w:rFonts w:ascii="Arial" w:hAnsi="Arial" w:cs="Arial"/>
                <w:szCs w:val="20"/>
              </w:rPr>
            </w:pPr>
            <w:r>
              <w:rPr>
                <w:rFonts w:ascii="Arial" w:hAnsi="Arial" w:cs="Arial"/>
                <w:szCs w:val="20"/>
              </w:rPr>
              <w:t>542,742</w:t>
            </w:r>
          </w:p>
        </w:tc>
      </w:tr>
      <w:tr w:rsidR="00DE7889" w:rsidRPr="006359BD" w14:paraId="02EDF31D" w14:textId="77777777" w:rsidTr="00C3710E">
        <w:tc>
          <w:tcPr>
            <w:tcW w:w="2250" w:type="dxa"/>
            <w:tcBorders>
              <w:left w:val="nil"/>
              <w:bottom w:val="single" w:sz="2" w:space="0" w:color="auto"/>
            </w:tcBorders>
            <w:vAlign w:val="bottom"/>
          </w:tcPr>
          <w:p w14:paraId="75215C47" w14:textId="77777777" w:rsidR="00DE7889" w:rsidRPr="006359BD" w:rsidRDefault="00DE7889" w:rsidP="00C3710E">
            <w:pPr>
              <w:spacing w:after="0" w:line="240" w:lineRule="auto"/>
              <w:rPr>
                <w:rFonts w:ascii="Arial" w:hAnsi="Arial" w:cs="Arial"/>
                <w:szCs w:val="20"/>
              </w:rPr>
            </w:pPr>
            <w:r>
              <w:rPr>
                <w:rFonts w:ascii="Arial" w:hAnsi="Arial" w:cs="Arial"/>
                <w:szCs w:val="20"/>
              </w:rPr>
              <w:t>Effect of foreign exchange rate changes</w:t>
            </w:r>
          </w:p>
        </w:tc>
        <w:tc>
          <w:tcPr>
            <w:tcW w:w="1559" w:type="dxa"/>
            <w:tcBorders>
              <w:left w:val="nil"/>
              <w:bottom w:val="single" w:sz="2" w:space="0" w:color="auto"/>
              <w:right w:val="nil"/>
            </w:tcBorders>
            <w:vAlign w:val="bottom"/>
          </w:tcPr>
          <w:p w14:paraId="1BDE03B6" w14:textId="77777777" w:rsidR="00DE7889" w:rsidRPr="006359BD"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bottom w:val="single" w:sz="2" w:space="0" w:color="auto"/>
              <w:right w:val="nil"/>
            </w:tcBorders>
          </w:tcPr>
          <w:p w14:paraId="2F411098" w14:textId="77777777" w:rsidR="00DE7889" w:rsidRPr="00EE4151" w:rsidRDefault="00DE7889" w:rsidP="00C3710E">
            <w:pPr>
              <w:spacing w:after="0" w:line="240" w:lineRule="auto"/>
              <w:ind w:right="173"/>
              <w:jc w:val="right"/>
              <w:rPr>
                <w:rFonts w:ascii="Arial" w:hAnsi="Arial" w:cs="Arial"/>
                <w:szCs w:val="20"/>
              </w:rPr>
            </w:pPr>
          </w:p>
          <w:p w14:paraId="6E2668E3" w14:textId="08A806E8" w:rsidR="00DE7889" w:rsidRPr="00EE4151" w:rsidRDefault="004F7206" w:rsidP="00C3710E">
            <w:pPr>
              <w:spacing w:after="0" w:line="240" w:lineRule="auto"/>
              <w:ind w:right="173"/>
              <w:jc w:val="right"/>
              <w:rPr>
                <w:rFonts w:ascii="Arial" w:hAnsi="Arial" w:cs="Arial"/>
                <w:szCs w:val="20"/>
              </w:rPr>
            </w:pPr>
            <w:r>
              <w:rPr>
                <w:rFonts w:ascii="Arial" w:hAnsi="Arial" w:cs="Arial"/>
                <w:szCs w:val="20"/>
              </w:rPr>
              <w:t>3,36</w:t>
            </w:r>
            <w:r w:rsidR="00A04BF4">
              <w:rPr>
                <w:rFonts w:ascii="Arial" w:hAnsi="Arial" w:cs="Arial"/>
                <w:szCs w:val="20"/>
              </w:rPr>
              <w:t>2</w:t>
            </w:r>
          </w:p>
        </w:tc>
        <w:tc>
          <w:tcPr>
            <w:tcW w:w="1530" w:type="dxa"/>
            <w:tcBorders>
              <w:left w:val="nil"/>
              <w:bottom w:val="single" w:sz="2" w:space="0" w:color="auto"/>
              <w:right w:val="nil"/>
            </w:tcBorders>
          </w:tcPr>
          <w:p w14:paraId="5292CC37" w14:textId="77777777" w:rsidR="00DE7889" w:rsidRDefault="00DE7889" w:rsidP="00C3710E">
            <w:pPr>
              <w:spacing w:after="0" w:line="240" w:lineRule="auto"/>
              <w:ind w:right="173"/>
              <w:jc w:val="right"/>
              <w:rPr>
                <w:rFonts w:ascii="Arial" w:hAnsi="Arial" w:cs="Arial"/>
                <w:szCs w:val="20"/>
              </w:rPr>
            </w:pPr>
          </w:p>
          <w:p w14:paraId="64B14EA4"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bottom w:val="single" w:sz="2" w:space="0" w:color="auto"/>
              <w:right w:val="nil"/>
            </w:tcBorders>
          </w:tcPr>
          <w:p w14:paraId="0122E2AB" w14:textId="77777777" w:rsidR="00DE7889" w:rsidRDefault="00DE7889" w:rsidP="00C3710E">
            <w:pPr>
              <w:spacing w:after="0" w:line="240" w:lineRule="auto"/>
              <w:ind w:right="173"/>
              <w:jc w:val="right"/>
              <w:rPr>
                <w:rFonts w:ascii="Arial" w:hAnsi="Arial" w:cs="Arial"/>
                <w:szCs w:val="20"/>
              </w:rPr>
            </w:pPr>
          </w:p>
          <w:p w14:paraId="325E5B9D"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bottom w:val="single" w:sz="2" w:space="0" w:color="auto"/>
              <w:right w:val="nil"/>
            </w:tcBorders>
          </w:tcPr>
          <w:p w14:paraId="68ED774B" w14:textId="77777777" w:rsidR="00DE7889" w:rsidRDefault="00DE7889" w:rsidP="00C3710E">
            <w:pPr>
              <w:spacing w:after="0" w:line="240" w:lineRule="auto"/>
              <w:ind w:right="173"/>
              <w:jc w:val="right"/>
              <w:rPr>
                <w:rFonts w:ascii="Arial" w:hAnsi="Arial" w:cs="Arial"/>
                <w:szCs w:val="20"/>
              </w:rPr>
            </w:pPr>
          </w:p>
          <w:p w14:paraId="790654BE" w14:textId="5C459AB0" w:rsidR="00DE7889" w:rsidRDefault="004F7206" w:rsidP="00C3710E">
            <w:pPr>
              <w:spacing w:after="0" w:line="240" w:lineRule="auto"/>
              <w:ind w:right="173"/>
              <w:jc w:val="right"/>
              <w:rPr>
                <w:rFonts w:ascii="Arial" w:hAnsi="Arial" w:cs="Arial"/>
                <w:szCs w:val="20"/>
              </w:rPr>
            </w:pPr>
            <w:r>
              <w:rPr>
                <w:rFonts w:ascii="Arial" w:hAnsi="Arial" w:cs="Arial"/>
                <w:szCs w:val="20"/>
              </w:rPr>
              <w:t>3,36</w:t>
            </w:r>
            <w:r w:rsidR="00A04BF4">
              <w:rPr>
                <w:rFonts w:ascii="Arial" w:hAnsi="Arial" w:cs="Arial"/>
                <w:szCs w:val="20"/>
              </w:rPr>
              <w:t>2</w:t>
            </w:r>
          </w:p>
        </w:tc>
      </w:tr>
      <w:tr w:rsidR="00DE7889" w:rsidRPr="006359BD" w14:paraId="52DBB044" w14:textId="77777777" w:rsidTr="0018633A">
        <w:trPr>
          <w:trHeight w:hRule="exact" w:val="86"/>
        </w:trPr>
        <w:tc>
          <w:tcPr>
            <w:tcW w:w="2250" w:type="dxa"/>
            <w:tcBorders>
              <w:top w:val="single" w:sz="2" w:space="0" w:color="auto"/>
              <w:left w:val="nil"/>
            </w:tcBorders>
            <w:vAlign w:val="bottom"/>
          </w:tcPr>
          <w:p w14:paraId="7D945D33" w14:textId="77777777" w:rsidR="00DE7889" w:rsidRPr="006359BD" w:rsidRDefault="00DE7889" w:rsidP="00C3710E">
            <w:pPr>
              <w:spacing w:after="0" w:line="240" w:lineRule="auto"/>
              <w:rPr>
                <w:rFonts w:ascii="Arial" w:hAnsi="Arial" w:cs="Arial"/>
                <w:szCs w:val="20"/>
              </w:rPr>
            </w:pPr>
          </w:p>
        </w:tc>
        <w:tc>
          <w:tcPr>
            <w:tcW w:w="1559" w:type="dxa"/>
            <w:tcBorders>
              <w:top w:val="single" w:sz="2" w:space="0" w:color="auto"/>
              <w:left w:val="nil"/>
              <w:right w:val="nil"/>
            </w:tcBorders>
            <w:vAlign w:val="bottom"/>
          </w:tcPr>
          <w:p w14:paraId="3FC85A2D" w14:textId="77777777" w:rsidR="00DE7889" w:rsidRDefault="00DE7889" w:rsidP="00C3710E">
            <w:pPr>
              <w:spacing w:after="0" w:line="240" w:lineRule="auto"/>
              <w:ind w:right="173"/>
              <w:jc w:val="right"/>
              <w:rPr>
                <w:rFonts w:ascii="Arial" w:hAnsi="Arial" w:cs="Arial"/>
                <w:szCs w:val="20"/>
              </w:rPr>
            </w:pPr>
          </w:p>
          <w:p w14:paraId="04384971" w14:textId="77777777" w:rsidR="00DE7889" w:rsidRPr="006359BD" w:rsidRDefault="00DE7889" w:rsidP="00C3710E">
            <w:pPr>
              <w:spacing w:after="0" w:line="240" w:lineRule="auto"/>
              <w:ind w:right="173"/>
              <w:jc w:val="right"/>
              <w:rPr>
                <w:rFonts w:ascii="Arial" w:hAnsi="Arial" w:cs="Arial"/>
                <w:szCs w:val="20"/>
              </w:rPr>
            </w:pPr>
          </w:p>
        </w:tc>
        <w:tc>
          <w:tcPr>
            <w:tcW w:w="1411" w:type="dxa"/>
            <w:tcBorders>
              <w:top w:val="single" w:sz="2" w:space="0" w:color="auto"/>
              <w:left w:val="nil"/>
              <w:right w:val="nil"/>
            </w:tcBorders>
          </w:tcPr>
          <w:p w14:paraId="7E662666" w14:textId="77777777" w:rsidR="00DE7889" w:rsidRPr="006359BD" w:rsidRDefault="00DE7889" w:rsidP="00C3710E">
            <w:pPr>
              <w:spacing w:after="0" w:line="240" w:lineRule="auto"/>
              <w:ind w:right="173"/>
              <w:jc w:val="right"/>
              <w:rPr>
                <w:rFonts w:ascii="Arial" w:hAnsi="Arial" w:cs="Arial"/>
                <w:szCs w:val="20"/>
              </w:rPr>
            </w:pPr>
          </w:p>
        </w:tc>
        <w:tc>
          <w:tcPr>
            <w:tcW w:w="1530" w:type="dxa"/>
            <w:tcBorders>
              <w:top w:val="single" w:sz="2" w:space="0" w:color="auto"/>
              <w:left w:val="nil"/>
              <w:right w:val="nil"/>
            </w:tcBorders>
          </w:tcPr>
          <w:p w14:paraId="2FDC19A8" w14:textId="77777777" w:rsidR="00DE7889" w:rsidRPr="006359BD" w:rsidRDefault="00DE7889" w:rsidP="00C3710E">
            <w:pPr>
              <w:spacing w:after="0" w:line="240" w:lineRule="auto"/>
              <w:ind w:right="173"/>
              <w:jc w:val="right"/>
              <w:rPr>
                <w:rFonts w:ascii="Arial" w:hAnsi="Arial" w:cs="Arial"/>
                <w:szCs w:val="20"/>
              </w:rPr>
            </w:pPr>
          </w:p>
        </w:tc>
        <w:tc>
          <w:tcPr>
            <w:tcW w:w="1440" w:type="dxa"/>
            <w:tcBorders>
              <w:top w:val="single" w:sz="2" w:space="0" w:color="auto"/>
              <w:left w:val="nil"/>
              <w:right w:val="nil"/>
            </w:tcBorders>
          </w:tcPr>
          <w:p w14:paraId="29D10C96" w14:textId="77777777" w:rsidR="00DE7889" w:rsidRPr="006359BD" w:rsidRDefault="00DE7889" w:rsidP="00C3710E">
            <w:pPr>
              <w:spacing w:after="0" w:line="240" w:lineRule="auto"/>
              <w:ind w:right="173"/>
              <w:jc w:val="right"/>
              <w:rPr>
                <w:rFonts w:ascii="Arial" w:hAnsi="Arial" w:cs="Arial"/>
                <w:szCs w:val="20"/>
              </w:rPr>
            </w:pPr>
          </w:p>
        </w:tc>
        <w:tc>
          <w:tcPr>
            <w:tcW w:w="1530" w:type="dxa"/>
            <w:tcBorders>
              <w:top w:val="single" w:sz="2" w:space="0" w:color="auto"/>
              <w:left w:val="nil"/>
              <w:right w:val="nil"/>
            </w:tcBorders>
          </w:tcPr>
          <w:p w14:paraId="53DCA611" w14:textId="77777777" w:rsidR="00DE7889" w:rsidRPr="006359BD" w:rsidRDefault="00DE7889" w:rsidP="00C3710E">
            <w:pPr>
              <w:spacing w:after="0" w:line="240" w:lineRule="auto"/>
              <w:ind w:right="173"/>
              <w:jc w:val="right"/>
              <w:rPr>
                <w:rFonts w:ascii="Arial" w:hAnsi="Arial" w:cs="Arial"/>
                <w:szCs w:val="20"/>
              </w:rPr>
            </w:pPr>
          </w:p>
        </w:tc>
      </w:tr>
      <w:tr w:rsidR="00DE7889" w:rsidRPr="006359BD" w14:paraId="303F45CE" w14:textId="77777777" w:rsidTr="00C35952">
        <w:trPr>
          <w:trHeight w:val="297"/>
        </w:trPr>
        <w:tc>
          <w:tcPr>
            <w:tcW w:w="2250" w:type="dxa"/>
            <w:tcBorders>
              <w:left w:val="nil"/>
              <w:bottom w:val="single" w:sz="12" w:space="0" w:color="auto"/>
            </w:tcBorders>
            <w:vAlign w:val="bottom"/>
          </w:tcPr>
          <w:p w14:paraId="51061597" w14:textId="255F33AF" w:rsidR="00DE7889" w:rsidRPr="006359BD" w:rsidRDefault="00DE7889" w:rsidP="00C3710E">
            <w:pPr>
              <w:spacing w:after="0" w:line="240" w:lineRule="auto"/>
              <w:rPr>
                <w:rFonts w:ascii="Arial" w:hAnsi="Arial" w:cs="Arial"/>
                <w:szCs w:val="20"/>
              </w:rPr>
            </w:pPr>
            <w:r w:rsidRPr="006359BD">
              <w:rPr>
                <w:rFonts w:ascii="Arial" w:hAnsi="Arial" w:cs="Arial"/>
                <w:szCs w:val="20"/>
              </w:rPr>
              <w:t xml:space="preserve">Balance, </w:t>
            </w:r>
            <w:r w:rsidR="0018633A">
              <w:rPr>
                <w:rFonts w:ascii="Arial" w:hAnsi="Arial" w:cs="Arial"/>
                <w:szCs w:val="20"/>
              </w:rPr>
              <w:t>April 30</w:t>
            </w:r>
            <w:r>
              <w:rPr>
                <w:rFonts w:ascii="Arial" w:hAnsi="Arial" w:cs="Arial"/>
                <w:szCs w:val="20"/>
              </w:rPr>
              <w:t>, 2020</w:t>
            </w:r>
          </w:p>
        </w:tc>
        <w:tc>
          <w:tcPr>
            <w:tcW w:w="1559" w:type="dxa"/>
            <w:tcBorders>
              <w:left w:val="nil"/>
              <w:bottom w:val="single" w:sz="12" w:space="0" w:color="auto"/>
              <w:right w:val="nil"/>
            </w:tcBorders>
            <w:vAlign w:val="bottom"/>
          </w:tcPr>
          <w:p w14:paraId="7177297B"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7,349</w:t>
            </w:r>
          </w:p>
        </w:tc>
        <w:tc>
          <w:tcPr>
            <w:tcW w:w="1411" w:type="dxa"/>
            <w:tcBorders>
              <w:left w:val="nil"/>
              <w:bottom w:val="single" w:sz="12" w:space="0" w:color="auto"/>
              <w:right w:val="nil"/>
            </w:tcBorders>
          </w:tcPr>
          <w:p w14:paraId="4235D1AA" w14:textId="01E51BAC" w:rsidR="00DE7889" w:rsidRPr="006359BD" w:rsidRDefault="004F7206" w:rsidP="00C3710E">
            <w:pPr>
              <w:spacing w:after="0" w:line="240" w:lineRule="auto"/>
              <w:ind w:right="173"/>
              <w:jc w:val="right"/>
              <w:rPr>
                <w:rFonts w:ascii="Arial" w:hAnsi="Arial" w:cs="Arial"/>
                <w:szCs w:val="20"/>
              </w:rPr>
            </w:pPr>
            <w:r>
              <w:rPr>
                <w:rFonts w:ascii="Arial" w:hAnsi="Arial" w:cs="Arial"/>
                <w:szCs w:val="20"/>
              </w:rPr>
              <w:t>69,060</w:t>
            </w:r>
          </w:p>
        </w:tc>
        <w:tc>
          <w:tcPr>
            <w:tcW w:w="1530" w:type="dxa"/>
            <w:tcBorders>
              <w:left w:val="nil"/>
              <w:bottom w:val="single" w:sz="12" w:space="0" w:color="auto"/>
              <w:right w:val="nil"/>
            </w:tcBorders>
          </w:tcPr>
          <w:p w14:paraId="4E1E28B2"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200,084</w:t>
            </w:r>
          </w:p>
        </w:tc>
        <w:tc>
          <w:tcPr>
            <w:tcW w:w="1440" w:type="dxa"/>
            <w:tcBorders>
              <w:left w:val="nil"/>
              <w:bottom w:val="single" w:sz="12" w:space="0" w:color="auto"/>
              <w:right w:val="nil"/>
            </w:tcBorders>
          </w:tcPr>
          <w:p w14:paraId="469B27C9"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269,611</w:t>
            </w:r>
          </w:p>
        </w:tc>
        <w:tc>
          <w:tcPr>
            <w:tcW w:w="1530" w:type="dxa"/>
            <w:tcBorders>
              <w:left w:val="nil"/>
              <w:bottom w:val="single" w:sz="12" w:space="0" w:color="auto"/>
              <w:right w:val="nil"/>
            </w:tcBorders>
          </w:tcPr>
          <w:p w14:paraId="7124EA59" w14:textId="0355CAFB" w:rsidR="00DE7889" w:rsidRPr="006359BD" w:rsidRDefault="004F7206" w:rsidP="00C3710E">
            <w:pPr>
              <w:spacing w:after="0" w:line="240" w:lineRule="auto"/>
              <w:ind w:right="173"/>
              <w:jc w:val="right"/>
              <w:rPr>
                <w:rFonts w:ascii="Arial" w:hAnsi="Arial" w:cs="Arial"/>
                <w:szCs w:val="20"/>
              </w:rPr>
            </w:pPr>
            <w:r>
              <w:rPr>
                <w:rFonts w:ascii="Arial" w:hAnsi="Arial" w:cs="Arial"/>
                <w:szCs w:val="20"/>
              </w:rPr>
              <w:t>546,104</w:t>
            </w:r>
          </w:p>
        </w:tc>
      </w:tr>
    </w:tbl>
    <w:p w14:paraId="0E80ABB5" w14:textId="7CE44708" w:rsidR="004F7206" w:rsidRDefault="004F7206" w:rsidP="00C759CF">
      <w:pPr>
        <w:spacing w:after="0"/>
        <w:rPr>
          <w:rFonts w:ascii="Arial" w:hAnsi="Arial" w:cs="Arial"/>
          <w:b/>
          <w:szCs w:val="20"/>
        </w:rPr>
      </w:pPr>
    </w:p>
    <w:p w14:paraId="1DEB92E1" w14:textId="77777777" w:rsidR="004A4A51" w:rsidRDefault="004A4A51">
      <w:pPr>
        <w:rPr>
          <w:rFonts w:ascii="Arial" w:hAnsi="Arial" w:cs="Arial"/>
          <w:b/>
          <w:szCs w:val="20"/>
        </w:rPr>
      </w:pPr>
      <w:r>
        <w:rPr>
          <w:rFonts w:ascii="Arial" w:hAnsi="Arial" w:cs="Arial"/>
          <w:b/>
          <w:szCs w:val="20"/>
        </w:rPr>
        <w:br w:type="page"/>
      </w:r>
    </w:p>
    <w:p w14:paraId="1A641614" w14:textId="543C0729" w:rsidR="004A4A51" w:rsidRPr="004A4A51" w:rsidRDefault="004A4A51" w:rsidP="004A4A51">
      <w:pPr>
        <w:tabs>
          <w:tab w:val="left" w:pos="450"/>
        </w:tabs>
        <w:spacing w:after="0" w:line="240" w:lineRule="auto"/>
        <w:jc w:val="both"/>
        <w:rPr>
          <w:rFonts w:ascii="Arial" w:hAnsi="Arial" w:cs="Arial"/>
          <w:bCs/>
          <w:szCs w:val="20"/>
        </w:rPr>
      </w:pPr>
      <w:r>
        <w:rPr>
          <w:rFonts w:ascii="Arial" w:hAnsi="Arial" w:cs="Arial"/>
          <w:b/>
          <w:szCs w:val="20"/>
        </w:rPr>
        <w:lastRenderedPageBreak/>
        <w:t>7</w:t>
      </w:r>
      <w:r w:rsidRPr="00BA56F7">
        <w:rPr>
          <w:rFonts w:ascii="Arial" w:hAnsi="Arial" w:cs="Arial"/>
          <w:b/>
          <w:szCs w:val="20"/>
        </w:rPr>
        <w:t xml:space="preserve">.    </w:t>
      </w:r>
      <w:r w:rsidRPr="00BA56F7">
        <w:rPr>
          <w:rFonts w:ascii="Arial" w:hAnsi="Arial" w:cs="Arial"/>
          <w:b/>
          <w:szCs w:val="20"/>
        </w:rPr>
        <w:tab/>
      </w:r>
      <w:r>
        <w:rPr>
          <w:rFonts w:ascii="Arial" w:hAnsi="Arial" w:cs="Arial"/>
          <w:b/>
          <w:szCs w:val="20"/>
        </w:rPr>
        <w:t>Property and Equipment</w:t>
      </w:r>
      <w:r>
        <w:rPr>
          <w:rFonts w:ascii="Arial" w:hAnsi="Arial" w:cs="Arial"/>
          <w:b/>
          <w:szCs w:val="20"/>
        </w:rPr>
        <w:t xml:space="preserve"> </w:t>
      </w:r>
      <w:r>
        <w:rPr>
          <w:rFonts w:ascii="Arial" w:hAnsi="Arial" w:cs="Arial"/>
          <w:bCs/>
          <w:szCs w:val="20"/>
        </w:rPr>
        <w:t>(continued)</w:t>
      </w:r>
    </w:p>
    <w:p w14:paraId="5C85F710" w14:textId="77777777" w:rsidR="004A4A51" w:rsidRDefault="004A4A51" w:rsidP="00C759CF">
      <w:pPr>
        <w:spacing w:after="0"/>
        <w:rPr>
          <w:rFonts w:ascii="Arial" w:hAnsi="Arial" w:cs="Arial"/>
          <w:b/>
          <w:szCs w:val="20"/>
        </w:rPr>
      </w:pPr>
    </w:p>
    <w:tbl>
      <w:tblPr>
        <w:tblW w:w="9720" w:type="dxa"/>
        <w:tblInd w:w="450" w:type="dxa"/>
        <w:tblLayout w:type="fixed"/>
        <w:tblCellMar>
          <w:left w:w="0" w:type="dxa"/>
          <w:right w:w="0" w:type="dxa"/>
        </w:tblCellMar>
        <w:tblLook w:val="0000" w:firstRow="0" w:lastRow="0" w:firstColumn="0" w:lastColumn="0" w:noHBand="0" w:noVBand="0"/>
      </w:tblPr>
      <w:tblGrid>
        <w:gridCol w:w="2250"/>
        <w:gridCol w:w="1559"/>
        <w:gridCol w:w="1411"/>
        <w:gridCol w:w="1530"/>
        <w:gridCol w:w="1440"/>
        <w:gridCol w:w="1530"/>
      </w:tblGrid>
      <w:tr w:rsidR="004A4A51" w:rsidRPr="006359BD" w14:paraId="178D4E0E" w14:textId="77777777" w:rsidTr="00C3710E">
        <w:tc>
          <w:tcPr>
            <w:tcW w:w="2250" w:type="dxa"/>
            <w:tcBorders>
              <w:top w:val="nil"/>
              <w:left w:val="nil"/>
              <w:bottom w:val="single" w:sz="4" w:space="0" w:color="auto"/>
            </w:tcBorders>
            <w:vAlign w:val="bottom"/>
          </w:tcPr>
          <w:p w14:paraId="0664ACA6" w14:textId="77777777" w:rsidR="004A4A51" w:rsidRPr="006359BD" w:rsidRDefault="004A4A51" w:rsidP="004A4A51">
            <w:pPr>
              <w:spacing w:after="0" w:line="240" w:lineRule="auto"/>
              <w:rPr>
                <w:rFonts w:ascii="Arial" w:hAnsi="Arial" w:cs="Arial"/>
                <w:szCs w:val="20"/>
              </w:rPr>
            </w:pPr>
            <w:r w:rsidRPr="006359BD">
              <w:rPr>
                <w:rFonts w:ascii="Arial" w:hAnsi="Arial" w:cs="Arial"/>
                <w:b/>
                <w:bCs/>
                <w:szCs w:val="20"/>
              </w:rPr>
              <w:t xml:space="preserve">Accumulated </w:t>
            </w:r>
            <w:r>
              <w:rPr>
                <w:rFonts w:ascii="Arial" w:hAnsi="Arial" w:cs="Arial"/>
                <w:b/>
                <w:bCs/>
                <w:szCs w:val="20"/>
              </w:rPr>
              <w:t>Depreciation</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75F70FF9" w14:textId="77777777" w:rsidR="004A4A51" w:rsidRDefault="004A4A51" w:rsidP="004A4A51">
            <w:pPr>
              <w:spacing w:after="0" w:line="240" w:lineRule="auto"/>
              <w:jc w:val="center"/>
              <w:rPr>
                <w:rFonts w:ascii="Arial" w:hAnsi="Arial" w:cs="Arial"/>
                <w:szCs w:val="20"/>
              </w:rPr>
            </w:pPr>
            <w:r>
              <w:rPr>
                <w:rFonts w:ascii="Arial" w:hAnsi="Arial" w:cs="Arial"/>
                <w:szCs w:val="20"/>
              </w:rPr>
              <w:t>Computer</w:t>
            </w:r>
          </w:p>
          <w:p w14:paraId="222CBCFE" w14:textId="77777777" w:rsidR="004A4A51" w:rsidRDefault="004A4A51" w:rsidP="004A4A51">
            <w:pPr>
              <w:spacing w:after="0" w:line="240" w:lineRule="auto"/>
              <w:jc w:val="center"/>
              <w:rPr>
                <w:rFonts w:ascii="Arial" w:hAnsi="Arial" w:cs="Arial"/>
                <w:szCs w:val="20"/>
              </w:rPr>
            </w:pPr>
            <w:r>
              <w:rPr>
                <w:rFonts w:ascii="Arial" w:hAnsi="Arial" w:cs="Arial"/>
                <w:szCs w:val="20"/>
              </w:rPr>
              <w:t>Equipment</w:t>
            </w:r>
          </w:p>
          <w:p w14:paraId="5F401579" w14:textId="295B27BA" w:rsidR="004A4A51" w:rsidRPr="006359BD" w:rsidRDefault="004A4A51" w:rsidP="004A4A51">
            <w:pPr>
              <w:spacing w:after="0" w:line="240" w:lineRule="auto"/>
              <w:jc w:val="center"/>
              <w:rPr>
                <w:rFonts w:ascii="Arial" w:hAnsi="Arial" w:cs="Arial"/>
                <w:szCs w:val="20"/>
              </w:rPr>
            </w:pPr>
            <w:r>
              <w:rPr>
                <w:rFonts w:ascii="Arial" w:hAnsi="Arial" w:cs="Arial"/>
                <w:szCs w:val="20"/>
              </w:rPr>
              <w:t>$</w:t>
            </w:r>
          </w:p>
        </w:tc>
        <w:tc>
          <w:tcPr>
            <w:tcW w:w="1411" w:type="dxa"/>
            <w:tcBorders>
              <w:top w:val="nil"/>
              <w:left w:val="nil"/>
              <w:bottom w:val="single" w:sz="4" w:space="0" w:color="auto"/>
              <w:right w:val="nil"/>
            </w:tcBorders>
          </w:tcPr>
          <w:p w14:paraId="290FE10A" w14:textId="77777777" w:rsidR="004A4A51" w:rsidRDefault="004A4A51" w:rsidP="004A4A51">
            <w:pPr>
              <w:spacing w:after="0" w:line="240" w:lineRule="auto"/>
              <w:ind w:left="90"/>
              <w:jc w:val="center"/>
              <w:rPr>
                <w:rFonts w:ascii="Arial" w:hAnsi="Arial" w:cs="Arial"/>
                <w:szCs w:val="20"/>
              </w:rPr>
            </w:pPr>
          </w:p>
          <w:p w14:paraId="613907A2" w14:textId="77777777" w:rsidR="004A4A51" w:rsidRDefault="004A4A51" w:rsidP="004A4A51">
            <w:pPr>
              <w:spacing w:after="0" w:line="240" w:lineRule="auto"/>
              <w:ind w:left="90"/>
              <w:jc w:val="center"/>
              <w:rPr>
                <w:rFonts w:ascii="Arial" w:hAnsi="Arial" w:cs="Arial"/>
                <w:szCs w:val="20"/>
              </w:rPr>
            </w:pPr>
            <w:r>
              <w:rPr>
                <w:rFonts w:ascii="Arial" w:hAnsi="Arial" w:cs="Arial"/>
                <w:szCs w:val="20"/>
              </w:rPr>
              <w:t>Equipment</w:t>
            </w:r>
          </w:p>
          <w:p w14:paraId="3884B380" w14:textId="63E6CB3C" w:rsidR="004A4A51" w:rsidRPr="006359BD" w:rsidRDefault="004A4A51" w:rsidP="004A4A51">
            <w:pPr>
              <w:spacing w:after="0" w:line="240" w:lineRule="auto"/>
              <w:jc w:val="center"/>
              <w:rPr>
                <w:rFonts w:ascii="Arial" w:hAnsi="Arial" w:cs="Arial"/>
                <w:szCs w:val="20"/>
              </w:rPr>
            </w:pPr>
            <w:r>
              <w:rPr>
                <w:rFonts w:ascii="Arial" w:hAnsi="Arial" w:cs="Arial"/>
                <w:szCs w:val="20"/>
              </w:rPr>
              <w:t>$</w:t>
            </w:r>
          </w:p>
        </w:tc>
        <w:tc>
          <w:tcPr>
            <w:tcW w:w="1530" w:type="dxa"/>
            <w:tcBorders>
              <w:top w:val="nil"/>
              <w:left w:val="nil"/>
              <w:bottom w:val="single" w:sz="4" w:space="0" w:color="auto"/>
              <w:right w:val="nil"/>
            </w:tcBorders>
          </w:tcPr>
          <w:p w14:paraId="280FA087" w14:textId="77777777" w:rsidR="004A4A51" w:rsidRDefault="004A4A51" w:rsidP="004A4A51">
            <w:pPr>
              <w:spacing w:after="0" w:line="240" w:lineRule="auto"/>
              <w:ind w:left="90"/>
              <w:jc w:val="center"/>
              <w:rPr>
                <w:rFonts w:ascii="Arial" w:hAnsi="Arial" w:cs="Arial"/>
                <w:szCs w:val="20"/>
              </w:rPr>
            </w:pPr>
            <w:r>
              <w:rPr>
                <w:rFonts w:ascii="Arial" w:hAnsi="Arial" w:cs="Arial"/>
                <w:szCs w:val="20"/>
              </w:rPr>
              <w:t>Leasehold</w:t>
            </w:r>
          </w:p>
          <w:p w14:paraId="7A8E2BD0" w14:textId="77777777" w:rsidR="004A4A51" w:rsidRDefault="004A4A51" w:rsidP="004A4A51">
            <w:pPr>
              <w:spacing w:after="0" w:line="240" w:lineRule="auto"/>
              <w:ind w:left="90"/>
              <w:jc w:val="center"/>
              <w:rPr>
                <w:rFonts w:ascii="Arial" w:hAnsi="Arial" w:cs="Arial"/>
                <w:szCs w:val="20"/>
              </w:rPr>
            </w:pPr>
            <w:r>
              <w:rPr>
                <w:rFonts w:ascii="Arial" w:hAnsi="Arial" w:cs="Arial"/>
                <w:szCs w:val="20"/>
              </w:rPr>
              <w:t>Improvements</w:t>
            </w:r>
          </w:p>
          <w:p w14:paraId="55E70898" w14:textId="3B33C36C" w:rsidR="004A4A51" w:rsidRPr="006359BD" w:rsidRDefault="004A4A51" w:rsidP="004A4A51">
            <w:pPr>
              <w:spacing w:after="0" w:line="240" w:lineRule="auto"/>
              <w:jc w:val="center"/>
              <w:rPr>
                <w:rFonts w:ascii="Arial" w:hAnsi="Arial" w:cs="Arial"/>
                <w:szCs w:val="20"/>
              </w:rPr>
            </w:pPr>
            <w:r>
              <w:rPr>
                <w:rFonts w:ascii="Arial" w:hAnsi="Arial" w:cs="Arial"/>
                <w:szCs w:val="20"/>
              </w:rPr>
              <w:t>$</w:t>
            </w:r>
          </w:p>
        </w:tc>
        <w:tc>
          <w:tcPr>
            <w:tcW w:w="1440" w:type="dxa"/>
            <w:tcBorders>
              <w:top w:val="nil"/>
              <w:left w:val="nil"/>
              <w:bottom w:val="single" w:sz="4" w:space="0" w:color="auto"/>
              <w:right w:val="nil"/>
            </w:tcBorders>
          </w:tcPr>
          <w:p w14:paraId="4BDCDFA0" w14:textId="77777777" w:rsidR="004A4A51" w:rsidRDefault="004A4A51" w:rsidP="004A4A51">
            <w:pPr>
              <w:spacing w:after="0" w:line="240" w:lineRule="auto"/>
              <w:ind w:left="90"/>
              <w:jc w:val="center"/>
              <w:rPr>
                <w:rFonts w:ascii="Arial" w:hAnsi="Arial" w:cs="Arial"/>
                <w:szCs w:val="20"/>
              </w:rPr>
            </w:pPr>
            <w:r>
              <w:rPr>
                <w:rFonts w:ascii="Arial" w:hAnsi="Arial" w:cs="Arial"/>
                <w:szCs w:val="20"/>
              </w:rPr>
              <w:t>Security</w:t>
            </w:r>
          </w:p>
          <w:p w14:paraId="737BCB59" w14:textId="77777777" w:rsidR="004A4A51" w:rsidRDefault="004A4A51" w:rsidP="004A4A51">
            <w:pPr>
              <w:spacing w:after="0" w:line="240" w:lineRule="auto"/>
              <w:ind w:left="90"/>
              <w:jc w:val="center"/>
              <w:rPr>
                <w:rFonts w:ascii="Arial" w:hAnsi="Arial" w:cs="Arial"/>
                <w:szCs w:val="20"/>
              </w:rPr>
            </w:pPr>
            <w:r>
              <w:rPr>
                <w:rFonts w:ascii="Arial" w:hAnsi="Arial" w:cs="Arial"/>
                <w:szCs w:val="20"/>
              </w:rPr>
              <w:t>System</w:t>
            </w:r>
          </w:p>
          <w:p w14:paraId="1B4199EB" w14:textId="6F350772" w:rsidR="004A4A51" w:rsidRPr="006359BD" w:rsidRDefault="004A4A51" w:rsidP="004A4A51">
            <w:pPr>
              <w:spacing w:after="0" w:line="240" w:lineRule="auto"/>
              <w:jc w:val="center"/>
              <w:rPr>
                <w:rFonts w:ascii="Arial" w:hAnsi="Arial" w:cs="Arial"/>
                <w:szCs w:val="20"/>
              </w:rPr>
            </w:pPr>
            <w:r>
              <w:rPr>
                <w:rFonts w:ascii="Arial" w:hAnsi="Arial" w:cs="Arial"/>
                <w:szCs w:val="20"/>
              </w:rPr>
              <w:t>$</w:t>
            </w:r>
          </w:p>
        </w:tc>
        <w:tc>
          <w:tcPr>
            <w:tcW w:w="1530" w:type="dxa"/>
            <w:tcBorders>
              <w:top w:val="nil"/>
              <w:left w:val="nil"/>
              <w:bottom w:val="single" w:sz="4" w:space="0" w:color="auto"/>
              <w:right w:val="nil"/>
            </w:tcBorders>
          </w:tcPr>
          <w:p w14:paraId="606B92D4" w14:textId="77777777" w:rsidR="004A4A51" w:rsidRDefault="004A4A51" w:rsidP="004A4A51">
            <w:pPr>
              <w:spacing w:after="0" w:line="240" w:lineRule="auto"/>
              <w:ind w:left="90"/>
              <w:jc w:val="center"/>
              <w:rPr>
                <w:rFonts w:ascii="Arial" w:hAnsi="Arial" w:cs="Arial"/>
                <w:szCs w:val="20"/>
              </w:rPr>
            </w:pPr>
          </w:p>
          <w:p w14:paraId="19ECB6F2" w14:textId="77777777" w:rsidR="004A4A51" w:rsidRPr="006359BD" w:rsidRDefault="004A4A51" w:rsidP="004A4A51">
            <w:pPr>
              <w:spacing w:after="0" w:line="240" w:lineRule="auto"/>
              <w:ind w:left="90"/>
              <w:jc w:val="center"/>
              <w:rPr>
                <w:rFonts w:ascii="Arial" w:hAnsi="Arial" w:cs="Arial"/>
                <w:szCs w:val="20"/>
              </w:rPr>
            </w:pPr>
            <w:r>
              <w:rPr>
                <w:rFonts w:ascii="Arial" w:hAnsi="Arial" w:cs="Arial"/>
                <w:szCs w:val="20"/>
              </w:rPr>
              <w:t>Total</w:t>
            </w:r>
          </w:p>
          <w:p w14:paraId="3EBA9906" w14:textId="293312EB" w:rsidR="004A4A51" w:rsidRPr="006359BD" w:rsidRDefault="004A4A51" w:rsidP="004A4A51">
            <w:pPr>
              <w:spacing w:after="0" w:line="240" w:lineRule="auto"/>
              <w:jc w:val="center"/>
              <w:rPr>
                <w:rFonts w:ascii="Arial" w:hAnsi="Arial" w:cs="Arial"/>
                <w:szCs w:val="20"/>
              </w:rPr>
            </w:pPr>
            <w:r w:rsidRPr="006359BD">
              <w:rPr>
                <w:rFonts w:ascii="Arial" w:hAnsi="Arial" w:cs="Arial"/>
                <w:szCs w:val="20"/>
              </w:rPr>
              <w:t>$</w:t>
            </w:r>
          </w:p>
        </w:tc>
      </w:tr>
      <w:tr w:rsidR="00DE7889" w:rsidRPr="006359BD" w14:paraId="7092DFF7" w14:textId="77777777" w:rsidTr="00C3710E">
        <w:trPr>
          <w:trHeight w:hRule="exact" w:val="113"/>
        </w:trPr>
        <w:tc>
          <w:tcPr>
            <w:tcW w:w="2250" w:type="dxa"/>
            <w:tcBorders>
              <w:top w:val="single" w:sz="4" w:space="0" w:color="auto"/>
              <w:left w:val="nil"/>
            </w:tcBorders>
            <w:vAlign w:val="bottom"/>
          </w:tcPr>
          <w:p w14:paraId="22F81E85" w14:textId="77777777" w:rsidR="00DE7889" w:rsidRPr="006359BD" w:rsidRDefault="00DE7889" w:rsidP="00C3710E">
            <w:pPr>
              <w:spacing w:after="0" w:line="240" w:lineRule="auto"/>
              <w:rPr>
                <w:rFonts w:ascii="Arial" w:hAnsi="Arial" w:cs="Arial"/>
                <w:szCs w:val="20"/>
              </w:rPr>
            </w:pPr>
          </w:p>
        </w:tc>
        <w:tc>
          <w:tcPr>
            <w:tcW w:w="1559" w:type="dxa"/>
            <w:tcBorders>
              <w:top w:val="single" w:sz="4" w:space="0" w:color="auto"/>
              <w:left w:val="nil"/>
              <w:right w:val="nil"/>
            </w:tcBorders>
            <w:vAlign w:val="bottom"/>
          </w:tcPr>
          <w:p w14:paraId="23B786F8" w14:textId="77777777" w:rsidR="00DE7889" w:rsidRPr="006359BD" w:rsidRDefault="00DE7889" w:rsidP="00C3710E">
            <w:pPr>
              <w:spacing w:after="0" w:line="240" w:lineRule="auto"/>
              <w:ind w:right="369"/>
              <w:jc w:val="right"/>
              <w:rPr>
                <w:rFonts w:ascii="Arial" w:hAnsi="Arial" w:cs="Arial"/>
                <w:szCs w:val="20"/>
              </w:rPr>
            </w:pPr>
          </w:p>
        </w:tc>
        <w:tc>
          <w:tcPr>
            <w:tcW w:w="1411" w:type="dxa"/>
            <w:tcBorders>
              <w:top w:val="single" w:sz="4" w:space="0" w:color="auto"/>
              <w:left w:val="nil"/>
              <w:right w:val="nil"/>
            </w:tcBorders>
          </w:tcPr>
          <w:p w14:paraId="52C1A9D7" w14:textId="77777777" w:rsidR="00DE7889" w:rsidRPr="006359BD" w:rsidRDefault="00DE7889" w:rsidP="00C3710E">
            <w:pPr>
              <w:spacing w:after="0" w:line="240" w:lineRule="auto"/>
              <w:ind w:right="369"/>
              <w:jc w:val="right"/>
              <w:rPr>
                <w:rFonts w:ascii="Arial" w:hAnsi="Arial" w:cs="Arial"/>
                <w:szCs w:val="20"/>
              </w:rPr>
            </w:pPr>
          </w:p>
        </w:tc>
        <w:tc>
          <w:tcPr>
            <w:tcW w:w="1530" w:type="dxa"/>
            <w:tcBorders>
              <w:top w:val="single" w:sz="4" w:space="0" w:color="auto"/>
              <w:left w:val="nil"/>
              <w:right w:val="nil"/>
            </w:tcBorders>
          </w:tcPr>
          <w:p w14:paraId="6A9D7D76" w14:textId="77777777" w:rsidR="00DE7889" w:rsidRPr="006359BD" w:rsidRDefault="00DE7889" w:rsidP="00C3710E">
            <w:pPr>
              <w:spacing w:after="0" w:line="240" w:lineRule="auto"/>
              <w:ind w:right="369"/>
              <w:jc w:val="right"/>
              <w:rPr>
                <w:rFonts w:ascii="Arial" w:hAnsi="Arial" w:cs="Arial"/>
                <w:szCs w:val="20"/>
              </w:rPr>
            </w:pPr>
          </w:p>
        </w:tc>
        <w:tc>
          <w:tcPr>
            <w:tcW w:w="1440" w:type="dxa"/>
            <w:tcBorders>
              <w:top w:val="single" w:sz="4" w:space="0" w:color="auto"/>
              <w:left w:val="nil"/>
              <w:right w:val="nil"/>
            </w:tcBorders>
          </w:tcPr>
          <w:p w14:paraId="36E30856" w14:textId="77777777" w:rsidR="00DE7889" w:rsidRPr="006359BD" w:rsidRDefault="00DE7889" w:rsidP="00C3710E">
            <w:pPr>
              <w:spacing w:after="0" w:line="240" w:lineRule="auto"/>
              <w:ind w:right="369"/>
              <w:jc w:val="right"/>
              <w:rPr>
                <w:rFonts w:ascii="Arial" w:hAnsi="Arial" w:cs="Arial"/>
                <w:szCs w:val="20"/>
              </w:rPr>
            </w:pPr>
          </w:p>
        </w:tc>
        <w:tc>
          <w:tcPr>
            <w:tcW w:w="1530" w:type="dxa"/>
            <w:tcBorders>
              <w:top w:val="single" w:sz="4" w:space="0" w:color="auto"/>
              <w:left w:val="nil"/>
              <w:right w:val="nil"/>
            </w:tcBorders>
          </w:tcPr>
          <w:p w14:paraId="3EC3975F" w14:textId="77777777" w:rsidR="00DE7889" w:rsidRPr="006359BD" w:rsidRDefault="00DE7889" w:rsidP="00C3710E">
            <w:pPr>
              <w:spacing w:after="0" w:line="240" w:lineRule="auto"/>
              <w:ind w:right="369"/>
              <w:jc w:val="right"/>
              <w:rPr>
                <w:rFonts w:ascii="Arial" w:hAnsi="Arial" w:cs="Arial"/>
                <w:szCs w:val="20"/>
              </w:rPr>
            </w:pPr>
          </w:p>
        </w:tc>
      </w:tr>
      <w:tr w:rsidR="00DE7889" w:rsidRPr="006359BD" w14:paraId="16D96C09" w14:textId="77777777" w:rsidTr="00C3710E">
        <w:tc>
          <w:tcPr>
            <w:tcW w:w="2250" w:type="dxa"/>
            <w:tcBorders>
              <w:left w:val="nil"/>
            </w:tcBorders>
            <w:vAlign w:val="bottom"/>
          </w:tcPr>
          <w:p w14:paraId="60A150BB" w14:textId="77777777" w:rsidR="00DE7889" w:rsidRPr="006359BD" w:rsidRDefault="00DE7889" w:rsidP="00C3710E">
            <w:pPr>
              <w:spacing w:after="0" w:line="240" w:lineRule="auto"/>
              <w:rPr>
                <w:rFonts w:ascii="Arial" w:hAnsi="Arial" w:cs="Arial"/>
                <w:szCs w:val="20"/>
              </w:rPr>
            </w:pPr>
            <w:r w:rsidRPr="006359BD">
              <w:rPr>
                <w:rFonts w:ascii="Arial" w:hAnsi="Arial" w:cs="Arial"/>
                <w:szCs w:val="20"/>
              </w:rPr>
              <w:t xml:space="preserve">Balance,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right w:val="nil"/>
            </w:tcBorders>
            <w:vAlign w:val="bottom"/>
          </w:tcPr>
          <w:p w14:paraId="27A2FF22" w14:textId="77777777" w:rsidR="00DE7889" w:rsidRPr="006359BD"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33229617" w14:textId="77777777" w:rsidR="00DE7889" w:rsidRDefault="00DE7889" w:rsidP="00C3710E">
            <w:pPr>
              <w:spacing w:after="0" w:line="240" w:lineRule="auto"/>
              <w:ind w:right="173"/>
              <w:jc w:val="right"/>
              <w:rPr>
                <w:rFonts w:ascii="Arial" w:hAnsi="Arial" w:cs="Arial"/>
                <w:szCs w:val="20"/>
              </w:rPr>
            </w:pPr>
          </w:p>
          <w:p w14:paraId="50E4C8EC" w14:textId="77777777" w:rsidR="00DE7889" w:rsidRDefault="00DE7889" w:rsidP="00C3710E">
            <w:pPr>
              <w:spacing w:after="0" w:line="240" w:lineRule="auto"/>
              <w:ind w:right="173"/>
              <w:jc w:val="right"/>
              <w:rPr>
                <w:rFonts w:ascii="Arial" w:hAnsi="Arial" w:cs="Arial"/>
                <w:szCs w:val="20"/>
              </w:rPr>
            </w:pPr>
            <w:r>
              <w:rPr>
                <w:rFonts w:ascii="Arial" w:hAnsi="Arial" w:cs="Arial"/>
                <w:szCs w:val="20"/>
              </w:rPr>
              <w:t>1,145</w:t>
            </w:r>
          </w:p>
        </w:tc>
        <w:tc>
          <w:tcPr>
            <w:tcW w:w="1530" w:type="dxa"/>
            <w:tcBorders>
              <w:left w:val="nil"/>
              <w:right w:val="nil"/>
            </w:tcBorders>
            <w:vAlign w:val="bottom"/>
          </w:tcPr>
          <w:p w14:paraId="73FCD408"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vAlign w:val="bottom"/>
          </w:tcPr>
          <w:p w14:paraId="455F2FFE"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6FC0EB21" w14:textId="77777777" w:rsidR="00DE7889" w:rsidRDefault="00DE7889" w:rsidP="00C3710E">
            <w:pPr>
              <w:spacing w:after="0" w:line="240" w:lineRule="auto"/>
              <w:ind w:right="173"/>
              <w:jc w:val="right"/>
              <w:rPr>
                <w:rFonts w:ascii="Arial" w:hAnsi="Arial" w:cs="Arial"/>
                <w:szCs w:val="20"/>
              </w:rPr>
            </w:pPr>
          </w:p>
          <w:p w14:paraId="5709323E"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1,145</w:t>
            </w:r>
          </w:p>
        </w:tc>
      </w:tr>
      <w:tr w:rsidR="004F7206" w:rsidRPr="006359BD" w14:paraId="4AD3CF2B" w14:textId="77777777" w:rsidTr="00D15924">
        <w:tc>
          <w:tcPr>
            <w:tcW w:w="2250" w:type="dxa"/>
            <w:tcBorders>
              <w:left w:val="nil"/>
            </w:tcBorders>
            <w:vAlign w:val="bottom"/>
          </w:tcPr>
          <w:p w14:paraId="1DEEC45F" w14:textId="77777777" w:rsidR="004F7206" w:rsidRPr="006359BD" w:rsidRDefault="004F7206" w:rsidP="00D15924">
            <w:pPr>
              <w:spacing w:after="0" w:line="240" w:lineRule="auto"/>
              <w:rPr>
                <w:rFonts w:ascii="Arial" w:hAnsi="Arial" w:cs="Arial"/>
                <w:szCs w:val="20"/>
              </w:rPr>
            </w:pPr>
            <w:r>
              <w:rPr>
                <w:rFonts w:ascii="Arial" w:hAnsi="Arial" w:cs="Arial"/>
                <w:szCs w:val="20"/>
              </w:rPr>
              <w:t>Depreciation</w:t>
            </w:r>
          </w:p>
        </w:tc>
        <w:tc>
          <w:tcPr>
            <w:tcW w:w="1559" w:type="dxa"/>
            <w:tcBorders>
              <w:left w:val="nil"/>
              <w:right w:val="nil"/>
            </w:tcBorders>
            <w:vAlign w:val="bottom"/>
          </w:tcPr>
          <w:p w14:paraId="6BF025B5"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306</w:t>
            </w:r>
          </w:p>
        </w:tc>
        <w:tc>
          <w:tcPr>
            <w:tcW w:w="1411" w:type="dxa"/>
            <w:tcBorders>
              <w:left w:val="nil"/>
              <w:right w:val="nil"/>
            </w:tcBorders>
          </w:tcPr>
          <w:p w14:paraId="76E38F9B" w14:textId="77777777" w:rsidR="004F7206" w:rsidRPr="00661D2E" w:rsidRDefault="004F7206" w:rsidP="00D15924">
            <w:pPr>
              <w:spacing w:after="0" w:line="240" w:lineRule="auto"/>
              <w:ind w:right="173"/>
              <w:jc w:val="right"/>
              <w:rPr>
                <w:rFonts w:ascii="Arial" w:hAnsi="Arial" w:cs="Arial"/>
                <w:szCs w:val="20"/>
              </w:rPr>
            </w:pPr>
            <w:r w:rsidRPr="00661D2E">
              <w:rPr>
                <w:rFonts w:ascii="Arial" w:hAnsi="Arial" w:cs="Arial"/>
                <w:szCs w:val="20"/>
              </w:rPr>
              <w:t>2,615</w:t>
            </w:r>
          </w:p>
        </w:tc>
        <w:tc>
          <w:tcPr>
            <w:tcW w:w="1530" w:type="dxa"/>
            <w:tcBorders>
              <w:left w:val="nil"/>
              <w:right w:val="nil"/>
            </w:tcBorders>
          </w:tcPr>
          <w:p w14:paraId="13091B15"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5F60AC26"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1AB91E80"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2,921</w:t>
            </w:r>
          </w:p>
        </w:tc>
      </w:tr>
      <w:tr w:rsidR="004F7206" w:rsidRPr="006359BD" w14:paraId="04E69389" w14:textId="77777777" w:rsidTr="00D15924">
        <w:tc>
          <w:tcPr>
            <w:tcW w:w="2250" w:type="dxa"/>
            <w:tcBorders>
              <w:left w:val="nil"/>
            </w:tcBorders>
            <w:vAlign w:val="bottom"/>
          </w:tcPr>
          <w:p w14:paraId="3ABF8714" w14:textId="77777777" w:rsidR="004F7206" w:rsidRPr="006359BD" w:rsidRDefault="004F7206" w:rsidP="00D15924">
            <w:pPr>
              <w:spacing w:after="0" w:line="240" w:lineRule="auto"/>
              <w:rPr>
                <w:rFonts w:ascii="Arial" w:hAnsi="Arial" w:cs="Arial"/>
                <w:szCs w:val="20"/>
              </w:rPr>
            </w:pPr>
            <w:r>
              <w:rPr>
                <w:rFonts w:ascii="Arial" w:hAnsi="Arial" w:cs="Arial"/>
                <w:szCs w:val="20"/>
              </w:rPr>
              <w:t>Impairment</w:t>
            </w:r>
          </w:p>
        </w:tc>
        <w:tc>
          <w:tcPr>
            <w:tcW w:w="1559" w:type="dxa"/>
            <w:tcBorders>
              <w:left w:val="nil"/>
              <w:right w:val="nil"/>
            </w:tcBorders>
            <w:vAlign w:val="bottom"/>
          </w:tcPr>
          <w:p w14:paraId="60ADD7AA" w14:textId="77777777"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083786F4" w14:textId="77777777" w:rsidR="004F7206" w:rsidRPr="00EE4151" w:rsidRDefault="004F7206" w:rsidP="00D15924">
            <w:pPr>
              <w:spacing w:after="0" w:line="240" w:lineRule="auto"/>
              <w:ind w:right="173"/>
              <w:jc w:val="right"/>
              <w:rPr>
                <w:rFonts w:ascii="Arial" w:hAnsi="Arial" w:cs="Arial"/>
                <w:szCs w:val="20"/>
              </w:rPr>
            </w:pPr>
            <w:r w:rsidRPr="00EE4151">
              <w:rPr>
                <w:rFonts w:ascii="Arial" w:hAnsi="Arial" w:cs="Arial"/>
                <w:szCs w:val="20"/>
              </w:rPr>
              <w:t>(1,312)</w:t>
            </w:r>
          </w:p>
        </w:tc>
        <w:tc>
          <w:tcPr>
            <w:tcW w:w="1530" w:type="dxa"/>
            <w:tcBorders>
              <w:left w:val="nil"/>
              <w:right w:val="nil"/>
            </w:tcBorders>
          </w:tcPr>
          <w:p w14:paraId="5540EB39"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368CC678"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51A6BE7D"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(1,312)</w:t>
            </w:r>
          </w:p>
        </w:tc>
      </w:tr>
      <w:tr w:rsidR="004F7206" w:rsidRPr="006359BD" w14:paraId="7DFBA2FF" w14:textId="77777777" w:rsidTr="00D15924">
        <w:tc>
          <w:tcPr>
            <w:tcW w:w="2250" w:type="dxa"/>
            <w:tcBorders>
              <w:left w:val="nil"/>
            </w:tcBorders>
            <w:vAlign w:val="bottom"/>
          </w:tcPr>
          <w:p w14:paraId="1CB6A53F" w14:textId="77777777" w:rsidR="004F7206" w:rsidRPr="006359BD" w:rsidRDefault="004F7206" w:rsidP="00D15924">
            <w:pPr>
              <w:spacing w:after="0" w:line="240" w:lineRule="auto"/>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25EE1763" w14:textId="77777777"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3A03FEF7" w14:textId="77777777" w:rsidR="004F7206" w:rsidRPr="00EE4151" w:rsidRDefault="004F7206" w:rsidP="00D15924">
            <w:pPr>
              <w:spacing w:after="0" w:line="240" w:lineRule="auto"/>
              <w:ind w:right="173"/>
              <w:jc w:val="right"/>
              <w:rPr>
                <w:rFonts w:ascii="Arial" w:hAnsi="Arial" w:cs="Arial"/>
                <w:szCs w:val="20"/>
              </w:rPr>
            </w:pPr>
          </w:p>
          <w:p w14:paraId="465926F1" w14:textId="77777777" w:rsidR="004F7206" w:rsidRPr="00EE4151" w:rsidRDefault="004F7206" w:rsidP="00D15924">
            <w:pPr>
              <w:spacing w:after="0" w:line="240" w:lineRule="auto"/>
              <w:ind w:right="173"/>
              <w:jc w:val="right"/>
              <w:rPr>
                <w:rFonts w:ascii="Arial" w:hAnsi="Arial" w:cs="Arial"/>
                <w:szCs w:val="20"/>
              </w:rPr>
            </w:pPr>
            <w:r w:rsidRPr="00EE4151">
              <w:rPr>
                <w:rFonts w:ascii="Arial" w:hAnsi="Arial" w:cs="Arial"/>
                <w:szCs w:val="20"/>
              </w:rPr>
              <w:t>(257)</w:t>
            </w:r>
          </w:p>
        </w:tc>
        <w:tc>
          <w:tcPr>
            <w:tcW w:w="1530" w:type="dxa"/>
            <w:tcBorders>
              <w:left w:val="nil"/>
              <w:right w:val="nil"/>
            </w:tcBorders>
          </w:tcPr>
          <w:p w14:paraId="6537C3E4" w14:textId="77777777" w:rsidR="004F7206" w:rsidRDefault="004F7206" w:rsidP="00D15924">
            <w:pPr>
              <w:spacing w:after="0" w:line="240" w:lineRule="auto"/>
              <w:ind w:right="173"/>
              <w:jc w:val="right"/>
              <w:rPr>
                <w:rFonts w:ascii="Arial" w:hAnsi="Arial" w:cs="Arial"/>
                <w:szCs w:val="20"/>
              </w:rPr>
            </w:pPr>
          </w:p>
          <w:p w14:paraId="2762E197"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17751694" w14:textId="77777777" w:rsidR="004F7206" w:rsidRDefault="004F7206" w:rsidP="00D15924">
            <w:pPr>
              <w:spacing w:after="0" w:line="240" w:lineRule="auto"/>
              <w:ind w:right="173"/>
              <w:jc w:val="right"/>
              <w:rPr>
                <w:rFonts w:ascii="Arial" w:hAnsi="Arial" w:cs="Arial"/>
                <w:szCs w:val="20"/>
              </w:rPr>
            </w:pPr>
          </w:p>
          <w:p w14:paraId="01EFF281" w14:textId="77777777" w:rsidR="004F7206"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6D36DDF5" w14:textId="77777777" w:rsidR="004F7206" w:rsidRDefault="004F7206" w:rsidP="00D15924">
            <w:pPr>
              <w:spacing w:after="0" w:line="240" w:lineRule="auto"/>
              <w:ind w:right="173"/>
              <w:jc w:val="right"/>
              <w:rPr>
                <w:rFonts w:ascii="Arial" w:hAnsi="Arial" w:cs="Arial"/>
                <w:szCs w:val="20"/>
              </w:rPr>
            </w:pPr>
          </w:p>
          <w:p w14:paraId="6CEDE874"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(257)</w:t>
            </w:r>
          </w:p>
        </w:tc>
      </w:tr>
      <w:tr w:rsidR="004F7206" w:rsidRPr="006359BD" w14:paraId="325E509A" w14:textId="77777777" w:rsidTr="004F7206">
        <w:trPr>
          <w:trHeight w:hRule="exact" w:val="86"/>
        </w:trPr>
        <w:tc>
          <w:tcPr>
            <w:tcW w:w="2250" w:type="dxa"/>
            <w:tcBorders>
              <w:top w:val="single" w:sz="4" w:space="0" w:color="auto"/>
              <w:left w:val="nil"/>
            </w:tcBorders>
            <w:vAlign w:val="bottom"/>
          </w:tcPr>
          <w:p w14:paraId="39A91064" w14:textId="77777777" w:rsidR="004F7206" w:rsidRPr="006359BD" w:rsidRDefault="004F7206" w:rsidP="00D15924">
            <w:pPr>
              <w:spacing w:after="0" w:line="240" w:lineRule="auto"/>
              <w:rPr>
                <w:rFonts w:ascii="Arial" w:hAnsi="Arial" w:cs="Arial"/>
                <w:szCs w:val="20"/>
              </w:rPr>
            </w:pPr>
          </w:p>
        </w:tc>
        <w:tc>
          <w:tcPr>
            <w:tcW w:w="1559" w:type="dxa"/>
            <w:tcBorders>
              <w:top w:val="single" w:sz="4" w:space="0" w:color="auto"/>
              <w:left w:val="nil"/>
              <w:right w:val="nil"/>
            </w:tcBorders>
            <w:vAlign w:val="bottom"/>
          </w:tcPr>
          <w:p w14:paraId="25E69AA1" w14:textId="77777777" w:rsidR="004F7206" w:rsidRDefault="004F7206" w:rsidP="00D15924">
            <w:pPr>
              <w:spacing w:after="0" w:line="240" w:lineRule="auto"/>
              <w:ind w:right="173"/>
              <w:jc w:val="right"/>
              <w:rPr>
                <w:rFonts w:ascii="Arial" w:hAnsi="Arial" w:cs="Arial"/>
                <w:szCs w:val="20"/>
              </w:rPr>
            </w:pPr>
          </w:p>
          <w:p w14:paraId="1AC6E536" w14:textId="77777777" w:rsidR="004F7206" w:rsidRPr="006359BD" w:rsidRDefault="004F7206" w:rsidP="00D15924">
            <w:pPr>
              <w:spacing w:after="0" w:line="240" w:lineRule="auto"/>
              <w:ind w:right="173"/>
              <w:jc w:val="right"/>
              <w:rPr>
                <w:rFonts w:ascii="Arial" w:hAnsi="Arial" w:cs="Arial"/>
                <w:szCs w:val="20"/>
              </w:rPr>
            </w:pPr>
          </w:p>
        </w:tc>
        <w:tc>
          <w:tcPr>
            <w:tcW w:w="1411" w:type="dxa"/>
            <w:tcBorders>
              <w:top w:val="single" w:sz="4" w:space="0" w:color="auto"/>
              <w:left w:val="nil"/>
              <w:right w:val="nil"/>
            </w:tcBorders>
          </w:tcPr>
          <w:p w14:paraId="5B541079" w14:textId="77777777" w:rsidR="004F7206" w:rsidRPr="00661D2E" w:rsidRDefault="004F7206" w:rsidP="00D15924">
            <w:pPr>
              <w:spacing w:after="0" w:line="240" w:lineRule="auto"/>
              <w:ind w:right="173"/>
              <w:jc w:val="right"/>
              <w:rPr>
                <w:rFonts w:ascii="Arial" w:hAnsi="Arial" w:cs="Arial"/>
                <w:szCs w:val="20"/>
              </w:rPr>
            </w:pPr>
          </w:p>
        </w:tc>
        <w:tc>
          <w:tcPr>
            <w:tcW w:w="1530" w:type="dxa"/>
            <w:tcBorders>
              <w:top w:val="single" w:sz="4" w:space="0" w:color="auto"/>
              <w:left w:val="nil"/>
              <w:right w:val="nil"/>
            </w:tcBorders>
          </w:tcPr>
          <w:p w14:paraId="4308D337" w14:textId="77777777" w:rsidR="004F7206" w:rsidRDefault="004F7206" w:rsidP="00D15924">
            <w:pPr>
              <w:spacing w:after="0" w:line="240" w:lineRule="auto"/>
              <w:ind w:right="173"/>
              <w:jc w:val="right"/>
              <w:rPr>
                <w:rFonts w:ascii="Arial" w:hAnsi="Arial" w:cs="Arial"/>
                <w:szCs w:val="20"/>
              </w:rPr>
            </w:pPr>
          </w:p>
          <w:p w14:paraId="449BB5FA" w14:textId="77777777" w:rsidR="004F7206" w:rsidRPr="006359BD" w:rsidRDefault="004F7206" w:rsidP="00D15924">
            <w:pPr>
              <w:spacing w:after="0" w:line="240" w:lineRule="auto"/>
              <w:ind w:right="173"/>
              <w:jc w:val="right"/>
              <w:rPr>
                <w:rFonts w:ascii="Arial" w:hAnsi="Arial" w:cs="Arial"/>
                <w:szCs w:val="20"/>
              </w:rPr>
            </w:pPr>
          </w:p>
        </w:tc>
        <w:tc>
          <w:tcPr>
            <w:tcW w:w="1440" w:type="dxa"/>
            <w:tcBorders>
              <w:top w:val="single" w:sz="4" w:space="0" w:color="auto"/>
              <w:left w:val="nil"/>
              <w:right w:val="nil"/>
            </w:tcBorders>
          </w:tcPr>
          <w:p w14:paraId="24A11F39" w14:textId="77777777" w:rsidR="004F7206" w:rsidRDefault="004F7206" w:rsidP="00D15924">
            <w:pPr>
              <w:spacing w:after="0" w:line="240" w:lineRule="auto"/>
              <w:ind w:right="173"/>
              <w:jc w:val="right"/>
              <w:rPr>
                <w:rFonts w:ascii="Arial" w:hAnsi="Arial" w:cs="Arial"/>
                <w:szCs w:val="20"/>
              </w:rPr>
            </w:pPr>
          </w:p>
          <w:p w14:paraId="54379AA8" w14:textId="77777777" w:rsidR="004F7206" w:rsidRPr="006359BD" w:rsidRDefault="004F7206" w:rsidP="00D15924">
            <w:pPr>
              <w:spacing w:after="0" w:line="240" w:lineRule="auto"/>
              <w:ind w:right="173"/>
              <w:jc w:val="right"/>
              <w:rPr>
                <w:rFonts w:ascii="Arial" w:hAnsi="Arial" w:cs="Arial"/>
                <w:szCs w:val="20"/>
              </w:rPr>
            </w:pPr>
          </w:p>
        </w:tc>
        <w:tc>
          <w:tcPr>
            <w:tcW w:w="1530" w:type="dxa"/>
            <w:tcBorders>
              <w:top w:val="single" w:sz="4" w:space="0" w:color="auto"/>
              <w:left w:val="nil"/>
              <w:right w:val="nil"/>
            </w:tcBorders>
          </w:tcPr>
          <w:p w14:paraId="74350DC6" w14:textId="77777777" w:rsidR="004F7206" w:rsidRPr="006359BD" w:rsidRDefault="004F7206" w:rsidP="00D15924">
            <w:pPr>
              <w:spacing w:after="0" w:line="240" w:lineRule="auto"/>
              <w:ind w:right="173"/>
              <w:jc w:val="right"/>
              <w:rPr>
                <w:rFonts w:ascii="Arial" w:hAnsi="Arial" w:cs="Arial"/>
                <w:szCs w:val="20"/>
              </w:rPr>
            </w:pPr>
          </w:p>
        </w:tc>
      </w:tr>
      <w:tr w:rsidR="004F7206" w:rsidRPr="006359BD" w14:paraId="054CF78C" w14:textId="77777777" w:rsidTr="004F7206">
        <w:trPr>
          <w:trHeight w:val="333"/>
        </w:trPr>
        <w:tc>
          <w:tcPr>
            <w:tcW w:w="2250" w:type="dxa"/>
            <w:tcBorders>
              <w:left w:val="nil"/>
            </w:tcBorders>
            <w:vAlign w:val="bottom"/>
          </w:tcPr>
          <w:p w14:paraId="6746FE88" w14:textId="77777777" w:rsidR="004F7206" w:rsidRPr="006359BD" w:rsidRDefault="004F7206" w:rsidP="00D15924">
            <w:pPr>
              <w:spacing w:after="0" w:line="240" w:lineRule="auto"/>
              <w:rPr>
                <w:rFonts w:ascii="Arial" w:hAnsi="Arial" w:cs="Arial"/>
                <w:szCs w:val="20"/>
              </w:rPr>
            </w:pPr>
            <w:r w:rsidRPr="006359BD">
              <w:rPr>
                <w:rFonts w:ascii="Arial" w:hAnsi="Arial" w:cs="Arial"/>
                <w:szCs w:val="20"/>
              </w:rPr>
              <w:t xml:space="preserve">Balance, </w:t>
            </w:r>
            <w:r>
              <w:rPr>
                <w:rFonts w:ascii="Arial" w:hAnsi="Arial" w:cs="Arial"/>
                <w:szCs w:val="20"/>
              </w:rPr>
              <w:t>January 31, 2020</w:t>
            </w:r>
          </w:p>
        </w:tc>
        <w:tc>
          <w:tcPr>
            <w:tcW w:w="1559" w:type="dxa"/>
            <w:tcBorders>
              <w:left w:val="nil"/>
              <w:right w:val="nil"/>
            </w:tcBorders>
            <w:vAlign w:val="bottom"/>
          </w:tcPr>
          <w:p w14:paraId="299F9866"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306</w:t>
            </w:r>
          </w:p>
        </w:tc>
        <w:tc>
          <w:tcPr>
            <w:tcW w:w="1411" w:type="dxa"/>
            <w:tcBorders>
              <w:left w:val="nil"/>
              <w:right w:val="nil"/>
            </w:tcBorders>
          </w:tcPr>
          <w:p w14:paraId="6AA65798" w14:textId="77777777" w:rsidR="004F7206" w:rsidRPr="00661D2E" w:rsidRDefault="004F7206" w:rsidP="00D15924">
            <w:pPr>
              <w:spacing w:after="0" w:line="240" w:lineRule="auto"/>
              <w:ind w:right="173"/>
              <w:jc w:val="right"/>
              <w:rPr>
                <w:rFonts w:ascii="Arial" w:hAnsi="Arial" w:cs="Arial"/>
                <w:szCs w:val="20"/>
              </w:rPr>
            </w:pPr>
          </w:p>
          <w:p w14:paraId="0A7B5A8F" w14:textId="77777777" w:rsidR="004F7206" w:rsidRPr="00661D2E" w:rsidRDefault="004F7206" w:rsidP="00D15924">
            <w:pPr>
              <w:spacing w:after="0" w:line="240" w:lineRule="auto"/>
              <w:ind w:right="173"/>
              <w:jc w:val="right"/>
              <w:rPr>
                <w:rFonts w:ascii="Arial" w:hAnsi="Arial" w:cs="Arial"/>
                <w:szCs w:val="20"/>
              </w:rPr>
            </w:pPr>
            <w:r w:rsidRPr="00661D2E">
              <w:rPr>
                <w:rFonts w:ascii="Arial" w:hAnsi="Arial" w:cs="Arial"/>
                <w:szCs w:val="20"/>
              </w:rPr>
              <w:t>2,191</w:t>
            </w:r>
          </w:p>
        </w:tc>
        <w:tc>
          <w:tcPr>
            <w:tcW w:w="1530" w:type="dxa"/>
            <w:tcBorders>
              <w:left w:val="nil"/>
              <w:right w:val="nil"/>
            </w:tcBorders>
          </w:tcPr>
          <w:p w14:paraId="394DC87C" w14:textId="77777777" w:rsidR="004F7206" w:rsidRDefault="004F7206" w:rsidP="00D15924">
            <w:pPr>
              <w:spacing w:after="0" w:line="240" w:lineRule="auto"/>
              <w:ind w:right="173"/>
              <w:jc w:val="right"/>
              <w:rPr>
                <w:rFonts w:ascii="Arial" w:hAnsi="Arial" w:cs="Arial"/>
                <w:szCs w:val="20"/>
              </w:rPr>
            </w:pPr>
          </w:p>
          <w:p w14:paraId="78112126" w14:textId="77777777"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4431A26B" w14:textId="77777777" w:rsidR="004F7206" w:rsidRDefault="004F7206" w:rsidP="00D15924">
            <w:pPr>
              <w:spacing w:after="0" w:line="240" w:lineRule="auto"/>
              <w:ind w:right="173"/>
              <w:jc w:val="right"/>
              <w:rPr>
                <w:rFonts w:ascii="Arial" w:hAnsi="Arial" w:cs="Arial"/>
                <w:szCs w:val="20"/>
              </w:rPr>
            </w:pPr>
          </w:p>
          <w:p w14:paraId="3F30C733" w14:textId="77777777"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4D56D1AF" w14:textId="77777777" w:rsidR="004F7206" w:rsidRDefault="004F7206" w:rsidP="00D15924">
            <w:pPr>
              <w:spacing w:after="0" w:line="240" w:lineRule="auto"/>
              <w:ind w:right="173"/>
              <w:jc w:val="right"/>
              <w:rPr>
                <w:rFonts w:ascii="Arial" w:hAnsi="Arial" w:cs="Arial"/>
                <w:szCs w:val="20"/>
              </w:rPr>
            </w:pPr>
          </w:p>
          <w:p w14:paraId="16B6FE78"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2,497</w:t>
            </w:r>
          </w:p>
        </w:tc>
      </w:tr>
      <w:tr w:rsidR="00DE7889" w:rsidRPr="006359BD" w14:paraId="78B1CBA8" w14:textId="77777777" w:rsidTr="004F7206">
        <w:tc>
          <w:tcPr>
            <w:tcW w:w="2250" w:type="dxa"/>
            <w:tcBorders>
              <w:left w:val="nil"/>
            </w:tcBorders>
            <w:vAlign w:val="bottom"/>
          </w:tcPr>
          <w:p w14:paraId="2E12643F" w14:textId="77777777" w:rsidR="00DE7889" w:rsidRPr="006359BD" w:rsidRDefault="00DE7889" w:rsidP="00C3710E">
            <w:pPr>
              <w:spacing w:after="0" w:line="240" w:lineRule="auto"/>
              <w:rPr>
                <w:rFonts w:ascii="Arial" w:hAnsi="Arial" w:cs="Arial"/>
                <w:szCs w:val="20"/>
              </w:rPr>
            </w:pPr>
            <w:r>
              <w:rPr>
                <w:rFonts w:ascii="Arial" w:hAnsi="Arial" w:cs="Arial"/>
                <w:szCs w:val="20"/>
              </w:rPr>
              <w:t>Depreciation</w:t>
            </w:r>
          </w:p>
        </w:tc>
        <w:tc>
          <w:tcPr>
            <w:tcW w:w="1559" w:type="dxa"/>
            <w:tcBorders>
              <w:left w:val="nil"/>
              <w:right w:val="nil"/>
            </w:tcBorders>
            <w:vAlign w:val="bottom"/>
          </w:tcPr>
          <w:p w14:paraId="129C8999" w14:textId="5EA57201" w:rsidR="00DE7889" w:rsidRPr="006359BD" w:rsidRDefault="004F7206" w:rsidP="00C3710E">
            <w:pPr>
              <w:spacing w:after="0" w:line="240" w:lineRule="auto"/>
              <w:ind w:right="173"/>
              <w:jc w:val="right"/>
              <w:rPr>
                <w:rFonts w:ascii="Arial" w:hAnsi="Arial" w:cs="Arial"/>
                <w:szCs w:val="20"/>
              </w:rPr>
            </w:pPr>
            <w:r>
              <w:rPr>
                <w:rFonts w:ascii="Arial" w:hAnsi="Arial" w:cs="Arial"/>
                <w:szCs w:val="20"/>
              </w:rPr>
              <w:t>919</w:t>
            </w:r>
          </w:p>
        </w:tc>
        <w:tc>
          <w:tcPr>
            <w:tcW w:w="1411" w:type="dxa"/>
            <w:tcBorders>
              <w:left w:val="nil"/>
              <w:right w:val="nil"/>
            </w:tcBorders>
          </w:tcPr>
          <w:p w14:paraId="1A577BB7" w14:textId="68C4EDCC" w:rsidR="00DE7889" w:rsidRPr="00661D2E" w:rsidRDefault="004F7206" w:rsidP="00C3710E">
            <w:pPr>
              <w:spacing w:after="0" w:line="240" w:lineRule="auto"/>
              <w:ind w:right="173"/>
              <w:jc w:val="right"/>
              <w:rPr>
                <w:rFonts w:ascii="Arial" w:hAnsi="Arial" w:cs="Arial"/>
                <w:szCs w:val="20"/>
              </w:rPr>
            </w:pPr>
            <w:r>
              <w:rPr>
                <w:rFonts w:ascii="Arial" w:hAnsi="Arial" w:cs="Arial"/>
                <w:szCs w:val="20"/>
              </w:rPr>
              <w:t>3,4</w:t>
            </w:r>
            <w:r w:rsidR="00C35952">
              <w:rPr>
                <w:rFonts w:ascii="Arial" w:hAnsi="Arial" w:cs="Arial"/>
                <w:szCs w:val="20"/>
              </w:rPr>
              <w:t>20</w:t>
            </w:r>
          </w:p>
        </w:tc>
        <w:tc>
          <w:tcPr>
            <w:tcW w:w="1530" w:type="dxa"/>
            <w:tcBorders>
              <w:left w:val="nil"/>
              <w:right w:val="nil"/>
            </w:tcBorders>
          </w:tcPr>
          <w:p w14:paraId="2931D9BF"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787B4C0D"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2D217C7E" w14:textId="73E40A5A" w:rsidR="00DE7889" w:rsidRPr="006359BD" w:rsidRDefault="004F7206" w:rsidP="00C3710E">
            <w:pPr>
              <w:spacing w:after="0" w:line="240" w:lineRule="auto"/>
              <w:ind w:right="173"/>
              <w:jc w:val="right"/>
              <w:rPr>
                <w:rFonts w:ascii="Arial" w:hAnsi="Arial" w:cs="Arial"/>
                <w:szCs w:val="20"/>
              </w:rPr>
            </w:pPr>
            <w:r>
              <w:rPr>
                <w:rFonts w:ascii="Arial" w:hAnsi="Arial" w:cs="Arial"/>
                <w:szCs w:val="20"/>
              </w:rPr>
              <w:t>4,33</w:t>
            </w:r>
            <w:r w:rsidR="00C35952">
              <w:rPr>
                <w:rFonts w:ascii="Arial" w:hAnsi="Arial" w:cs="Arial"/>
                <w:szCs w:val="20"/>
              </w:rPr>
              <w:t>9</w:t>
            </w:r>
          </w:p>
        </w:tc>
      </w:tr>
      <w:tr w:rsidR="00DE7889" w:rsidRPr="006359BD" w14:paraId="6C70548C" w14:textId="77777777" w:rsidTr="00C3710E">
        <w:tc>
          <w:tcPr>
            <w:tcW w:w="2250" w:type="dxa"/>
            <w:tcBorders>
              <w:left w:val="nil"/>
            </w:tcBorders>
            <w:vAlign w:val="bottom"/>
          </w:tcPr>
          <w:p w14:paraId="62761F1D" w14:textId="77777777" w:rsidR="00DE7889" w:rsidRPr="006359BD" w:rsidRDefault="00DE7889" w:rsidP="00C3710E">
            <w:pPr>
              <w:spacing w:after="0" w:line="240" w:lineRule="auto"/>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68948FE6" w14:textId="77777777" w:rsidR="00DE7889" w:rsidRPr="006359BD"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11" w:type="dxa"/>
            <w:tcBorders>
              <w:left w:val="nil"/>
              <w:right w:val="nil"/>
            </w:tcBorders>
          </w:tcPr>
          <w:p w14:paraId="72836889" w14:textId="77777777" w:rsidR="004F7206" w:rsidRDefault="004F7206" w:rsidP="00C3710E">
            <w:pPr>
              <w:spacing w:after="0" w:line="240" w:lineRule="auto"/>
              <w:ind w:right="173"/>
              <w:jc w:val="right"/>
              <w:rPr>
                <w:rFonts w:ascii="Arial" w:hAnsi="Arial" w:cs="Arial"/>
                <w:szCs w:val="20"/>
              </w:rPr>
            </w:pPr>
          </w:p>
          <w:p w14:paraId="7D0B028A" w14:textId="66199CCF" w:rsidR="00DE7889" w:rsidRPr="00EE4151" w:rsidRDefault="004F7206" w:rsidP="00C3710E">
            <w:pPr>
              <w:spacing w:after="0" w:line="240" w:lineRule="auto"/>
              <w:ind w:right="173"/>
              <w:jc w:val="right"/>
              <w:rPr>
                <w:rFonts w:ascii="Arial" w:hAnsi="Arial" w:cs="Arial"/>
                <w:szCs w:val="20"/>
              </w:rPr>
            </w:pPr>
            <w:r>
              <w:rPr>
                <w:rFonts w:ascii="Arial" w:hAnsi="Arial" w:cs="Arial"/>
                <w:szCs w:val="20"/>
              </w:rPr>
              <w:t>14</w:t>
            </w:r>
            <w:r w:rsidR="00C35952">
              <w:rPr>
                <w:rFonts w:ascii="Arial" w:hAnsi="Arial" w:cs="Arial"/>
                <w:szCs w:val="20"/>
              </w:rPr>
              <w:t>5</w:t>
            </w:r>
          </w:p>
        </w:tc>
        <w:tc>
          <w:tcPr>
            <w:tcW w:w="1530" w:type="dxa"/>
            <w:tcBorders>
              <w:left w:val="nil"/>
              <w:right w:val="nil"/>
            </w:tcBorders>
          </w:tcPr>
          <w:p w14:paraId="2A6D6E42" w14:textId="77777777" w:rsidR="00DE7889" w:rsidRDefault="00DE7889" w:rsidP="00C3710E">
            <w:pPr>
              <w:spacing w:after="0" w:line="240" w:lineRule="auto"/>
              <w:ind w:right="173"/>
              <w:jc w:val="right"/>
              <w:rPr>
                <w:rFonts w:ascii="Arial" w:hAnsi="Arial" w:cs="Arial"/>
                <w:szCs w:val="20"/>
              </w:rPr>
            </w:pPr>
          </w:p>
          <w:p w14:paraId="432B92D9"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right w:val="nil"/>
            </w:tcBorders>
          </w:tcPr>
          <w:p w14:paraId="79AD637F" w14:textId="77777777" w:rsidR="00DE7889" w:rsidRDefault="00DE7889" w:rsidP="00C3710E">
            <w:pPr>
              <w:spacing w:after="0" w:line="240" w:lineRule="auto"/>
              <w:ind w:right="173"/>
              <w:jc w:val="right"/>
              <w:rPr>
                <w:rFonts w:ascii="Arial" w:hAnsi="Arial" w:cs="Arial"/>
                <w:szCs w:val="20"/>
              </w:rPr>
            </w:pPr>
          </w:p>
          <w:p w14:paraId="0BCF0915" w14:textId="77777777" w:rsidR="00DE7889" w:rsidRDefault="00DE7889" w:rsidP="00C3710E">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right w:val="nil"/>
            </w:tcBorders>
          </w:tcPr>
          <w:p w14:paraId="209C2D8B" w14:textId="77777777" w:rsidR="00DE7889" w:rsidRDefault="00DE7889" w:rsidP="00C3710E">
            <w:pPr>
              <w:spacing w:after="0" w:line="240" w:lineRule="auto"/>
              <w:ind w:right="173"/>
              <w:jc w:val="right"/>
              <w:rPr>
                <w:rFonts w:ascii="Arial" w:hAnsi="Arial" w:cs="Arial"/>
                <w:szCs w:val="20"/>
              </w:rPr>
            </w:pPr>
          </w:p>
          <w:p w14:paraId="228BE8D7" w14:textId="31E92C33" w:rsidR="00DE7889" w:rsidRPr="006359BD" w:rsidRDefault="004F7206" w:rsidP="00C3710E">
            <w:pPr>
              <w:spacing w:after="0" w:line="240" w:lineRule="auto"/>
              <w:ind w:right="173"/>
              <w:jc w:val="right"/>
              <w:rPr>
                <w:rFonts w:ascii="Arial" w:hAnsi="Arial" w:cs="Arial"/>
                <w:szCs w:val="20"/>
              </w:rPr>
            </w:pPr>
            <w:r>
              <w:rPr>
                <w:rFonts w:ascii="Arial" w:hAnsi="Arial" w:cs="Arial"/>
                <w:szCs w:val="20"/>
              </w:rPr>
              <w:t>14</w:t>
            </w:r>
            <w:r w:rsidR="00C35952">
              <w:rPr>
                <w:rFonts w:ascii="Arial" w:hAnsi="Arial" w:cs="Arial"/>
                <w:szCs w:val="20"/>
              </w:rPr>
              <w:t>5</w:t>
            </w:r>
          </w:p>
        </w:tc>
      </w:tr>
      <w:tr w:rsidR="00DE7889" w:rsidRPr="006359BD" w14:paraId="4A82A4AE" w14:textId="77777777" w:rsidTr="00C3710E">
        <w:trPr>
          <w:trHeight w:hRule="exact" w:val="86"/>
        </w:trPr>
        <w:tc>
          <w:tcPr>
            <w:tcW w:w="2250" w:type="dxa"/>
            <w:tcBorders>
              <w:top w:val="single" w:sz="4" w:space="0" w:color="auto"/>
              <w:left w:val="nil"/>
            </w:tcBorders>
            <w:vAlign w:val="bottom"/>
          </w:tcPr>
          <w:p w14:paraId="2C6873E6" w14:textId="77777777" w:rsidR="00DE7889" w:rsidRPr="006359BD" w:rsidRDefault="00DE7889" w:rsidP="00C3710E">
            <w:pPr>
              <w:spacing w:after="0" w:line="240" w:lineRule="auto"/>
              <w:rPr>
                <w:rFonts w:ascii="Arial" w:hAnsi="Arial" w:cs="Arial"/>
                <w:szCs w:val="20"/>
              </w:rPr>
            </w:pPr>
          </w:p>
        </w:tc>
        <w:tc>
          <w:tcPr>
            <w:tcW w:w="1559" w:type="dxa"/>
            <w:tcBorders>
              <w:top w:val="single" w:sz="4" w:space="0" w:color="auto"/>
              <w:left w:val="nil"/>
              <w:right w:val="nil"/>
            </w:tcBorders>
            <w:vAlign w:val="bottom"/>
          </w:tcPr>
          <w:p w14:paraId="3E330DE7" w14:textId="77777777" w:rsidR="00DE7889" w:rsidRDefault="00DE7889" w:rsidP="00C3710E">
            <w:pPr>
              <w:spacing w:after="0" w:line="240" w:lineRule="auto"/>
              <w:ind w:right="173"/>
              <w:jc w:val="right"/>
              <w:rPr>
                <w:rFonts w:ascii="Arial" w:hAnsi="Arial" w:cs="Arial"/>
                <w:szCs w:val="20"/>
              </w:rPr>
            </w:pPr>
          </w:p>
          <w:p w14:paraId="47A93E78" w14:textId="77777777" w:rsidR="00DE7889" w:rsidRPr="006359BD" w:rsidRDefault="00DE7889" w:rsidP="00C3710E">
            <w:pPr>
              <w:spacing w:after="0" w:line="240" w:lineRule="auto"/>
              <w:ind w:right="173"/>
              <w:jc w:val="right"/>
              <w:rPr>
                <w:rFonts w:ascii="Arial" w:hAnsi="Arial" w:cs="Arial"/>
                <w:szCs w:val="20"/>
              </w:rPr>
            </w:pPr>
          </w:p>
        </w:tc>
        <w:tc>
          <w:tcPr>
            <w:tcW w:w="1411" w:type="dxa"/>
            <w:tcBorders>
              <w:top w:val="single" w:sz="4" w:space="0" w:color="auto"/>
              <w:left w:val="nil"/>
              <w:right w:val="nil"/>
            </w:tcBorders>
          </w:tcPr>
          <w:p w14:paraId="42CE5C7B" w14:textId="77777777" w:rsidR="00DE7889" w:rsidRPr="00661D2E" w:rsidRDefault="00DE7889" w:rsidP="00C3710E">
            <w:pPr>
              <w:spacing w:after="0" w:line="240" w:lineRule="auto"/>
              <w:ind w:right="173"/>
              <w:jc w:val="right"/>
              <w:rPr>
                <w:rFonts w:ascii="Arial" w:hAnsi="Arial" w:cs="Arial"/>
                <w:szCs w:val="20"/>
              </w:rPr>
            </w:pPr>
          </w:p>
        </w:tc>
        <w:tc>
          <w:tcPr>
            <w:tcW w:w="1530" w:type="dxa"/>
            <w:tcBorders>
              <w:top w:val="single" w:sz="4" w:space="0" w:color="auto"/>
              <w:left w:val="nil"/>
              <w:right w:val="nil"/>
            </w:tcBorders>
          </w:tcPr>
          <w:p w14:paraId="01BEC131" w14:textId="77777777" w:rsidR="00DE7889" w:rsidRDefault="00DE7889" w:rsidP="00C3710E">
            <w:pPr>
              <w:spacing w:after="0" w:line="240" w:lineRule="auto"/>
              <w:ind w:right="173"/>
              <w:jc w:val="right"/>
              <w:rPr>
                <w:rFonts w:ascii="Arial" w:hAnsi="Arial" w:cs="Arial"/>
                <w:szCs w:val="20"/>
              </w:rPr>
            </w:pPr>
          </w:p>
          <w:p w14:paraId="0E061480" w14:textId="77777777" w:rsidR="00DE7889" w:rsidRPr="006359BD" w:rsidRDefault="00DE7889" w:rsidP="00C3710E">
            <w:pPr>
              <w:spacing w:after="0" w:line="240" w:lineRule="auto"/>
              <w:ind w:right="173"/>
              <w:jc w:val="right"/>
              <w:rPr>
                <w:rFonts w:ascii="Arial" w:hAnsi="Arial" w:cs="Arial"/>
                <w:szCs w:val="20"/>
              </w:rPr>
            </w:pPr>
          </w:p>
        </w:tc>
        <w:tc>
          <w:tcPr>
            <w:tcW w:w="1440" w:type="dxa"/>
            <w:tcBorders>
              <w:top w:val="single" w:sz="4" w:space="0" w:color="auto"/>
              <w:left w:val="nil"/>
              <w:right w:val="nil"/>
            </w:tcBorders>
          </w:tcPr>
          <w:p w14:paraId="1A4D1F9D" w14:textId="77777777" w:rsidR="00DE7889" w:rsidRDefault="00DE7889" w:rsidP="00C3710E">
            <w:pPr>
              <w:spacing w:after="0" w:line="240" w:lineRule="auto"/>
              <w:ind w:right="173"/>
              <w:jc w:val="right"/>
              <w:rPr>
                <w:rFonts w:ascii="Arial" w:hAnsi="Arial" w:cs="Arial"/>
                <w:szCs w:val="20"/>
              </w:rPr>
            </w:pPr>
          </w:p>
          <w:p w14:paraId="1BC27B7E" w14:textId="77777777" w:rsidR="00DE7889" w:rsidRPr="006359BD" w:rsidRDefault="00DE7889" w:rsidP="00C3710E">
            <w:pPr>
              <w:spacing w:after="0" w:line="240" w:lineRule="auto"/>
              <w:ind w:right="173"/>
              <w:jc w:val="right"/>
              <w:rPr>
                <w:rFonts w:ascii="Arial" w:hAnsi="Arial" w:cs="Arial"/>
                <w:szCs w:val="20"/>
              </w:rPr>
            </w:pPr>
          </w:p>
        </w:tc>
        <w:tc>
          <w:tcPr>
            <w:tcW w:w="1530" w:type="dxa"/>
            <w:tcBorders>
              <w:top w:val="single" w:sz="4" w:space="0" w:color="auto"/>
              <w:left w:val="nil"/>
              <w:right w:val="nil"/>
            </w:tcBorders>
          </w:tcPr>
          <w:p w14:paraId="0F083FC2" w14:textId="77777777" w:rsidR="00DE7889" w:rsidRPr="006359BD" w:rsidRDefault="00DE7889" w:rsidP="00C3710E">
            <w:pPr>
              <w:spacing w:after="0" w:line="240" w:lineRule="auto"/>
              <w:ind w:right="173"/>
              <w:jc w:val="right"/>
              <w:rPr>
                <w:rFonts w:ascii="Arial" w:hAnsi="Arial" w:cs="Arial"/>
                <w:szCs w:val="20"/>
              </w:rPr>
            </w:pPr>
          </w:p>
        </w:tc>
      </w:tr>
      <w:tr w:rsidR="004F7206" w:rsidRPr="006359BD" w14:paraId="51659C66" w14:textId="77777777" w:rsidTr="00D15924">
        <w:tc>
          <w:tcPr>
            <w:tcW w:w="2250" w:type="dxa"/>
            <w:tcBorders>
              <w:left w:val="nil"/>
              <w:bottom w:val="single" w:sz="12" w:space="0" w:color="auto"/>
            </w:tcBorders>
            <w:vAlign w:val="bottom"/>
          </w:tcPr>
          <w:p w14:paraId="73872981" w14:textId="77777777" w:rsidR="004F7206" w:rsidRPr="006359BD" w:rsidRDefault="004F7206" w:rsidP="00D15924">
            <w:pPr>
              <w:spacing w:after="0" w:line="240" w:lineRule="auto"/>
              <w:rPr>
                <w:rFonts w:ascii="Arial" w:hAnsi="Arial" w:cs="Arial"/>
                <w:szCs w:val="20"/>
              </w:rPr>
            </w:pPr>
            <w:r w:rsidRPr="006359BD">
              <w:rPr>
                <w:rFonts w:ascii="Arial" w:hAnsi="Arial" w:cs="Arial"/>
                <w:szCs w:val="20"/>
              </w:rPr>
              <w:t xml:space="preserve">Balance, </w:t>
            </w:r>
            <w:r>
              <w:rPr>
                <w:rFonts w:ascii="Arial" w:hAnsi="Arial" w:cs="Arial"/>
                <w:szCs w:val="20"/>
              </w:rPr>
              <w:t>April 30, 2020</w:t>
            </w:r>
          </w:p>
        </w:tc>
        <w:tc>
          <w:tcPr>
            <w:tcW w:w="1559" w:type="dxa"/>
            <w:tcBorders>
              <w:left w:val="nil"/>
              <w:bottom w:val="single" w:sz="12" w:space="0" w:color="auto"/>
              <w:right w:val="nil"/>
            </w:tcBorders>
            <w:vAlign w:val="bottom"/>
          </w:tcPr>
          <w:p w14:paraId="235026BC" w14:textId="6D507D10"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1,225</w:t>
            </w:r>
          </w:p>
        </w:tc>
        <w:tc>
          <w:tcPr>
            <w:tcW w:w="1411" w:type="dxa"/>
            <w:tcBorders>
              <w:left w:val="nil"/>
              <w:bottom w:val="single" w:sz="12" w:space="0" w:color="auto"/>
              <w:right w:val="nil"/>
            </w:tcBorders>
          </w:tcPr>
          <w:p w14:paraId="54EAD14A" w14:textId="3FDB553F"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5,756</w:t>
            </w:r>
          </w:p>
        </w:tc>
        <w:tc>
          <w:tcPr>
            <w:tcW w:w="1530" w:type="dxa"/>
            <w:tcBorders>
              <w:left w:val="nil"/>
              <w:bottom w:val="single" w:sz="12" w:space="0" w:color="auto"/>
              <w:right w:val="nil"/>
            </w:tcBorders>
          </w:tcPr>
          <w:p w14:paraId="4F6BD94D" w14:textId="174888E5"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440" w:type="dxa"/>
            <w:tcBorders>
              <w:left w:val="nil"/>
              <w:bottom w:val="single" w:sz="12" w:space="0" w:color="auto"/>
              <w:right w:val="nil"/>
            </w:tcBorders>
          </w:tcPr>
          <w:p w14:paraId="777C3B82" w14:textId="443E95FF" w:rsidR="004F7206" w:rsidRPr="006359BD" w:rsidRDefault="004F7206" w:rsidP="00D15924">
            <w:pPr>
              <w:spacing w:after="0" w:line="240" w:lineRule="auto"/>
              <w:ind w:right="173"/>
              <w:jc w:val="right"/>
              <w:rPr>
                <w:rFonts w:ascii="Arial" w:hAnsi="Arial" w:cs="Arial"/>
                <w:szCs w:val="20"/>
              </w:rPr>
            </w:pPr>
            <w:r w:rsidRPr="006359BD">
              <w:rPr>
                <w:rFonts w:ascii="Arial" w:hAnsi="Arial" w:cs="Arial"/>
                <w:szCs w:val="20"/>
              </w:rPr>
              <w:t>–</w:t>
            </w:r>
          </w:p>
        </w:tc>
        <w:tc>
          <w:tcPr>
            <w:tcW w:w="1530" w:type="dxa"/>
            <w:tcBorders>
              <w:left w:val="nil"/>
              <w:bottom w:val="single" w:sz="12" w:space="0" w:color="auto"/>
              <w:right w:val="nil"/>
            </w:tcBorders>
          </w:tcPr>
          <w:p w14:paraId="7403D093" w14:textId="625E2648"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6,981</w:t>
            </w:r>
          </w:p>
        </w:tc>
      </w:tr>
    </w:tbl>
    <w:p w14:paraId="48265CE7" w14:textId="77777777" w:rsidR="00DE7889" w:rsidRPr="006359BD" w:rsidRDefault="00DE7889" w:rsidP="00DE7889">
      <w:pPr>
        <w:tabs>
          <w:tab w:val="left" w:pos="450"/>
        </w:tabs>
        <w:spacing w:before="120" w:after="0" w:line="240" w:lineRule="auto"/>
        <w:jc w:val="both"/>
        <w:rPr>
          <w:rFonts w:ascii="Arial" w:hAnsi="Arial" w:cs="Arial"/>
          <w:b/>
          <w:szCs w:val="20"/>
        </w:rPr>
      </w:pPr>
    </w:p>
    <w:tbl>
      <w:tblPr>
        <w:tblW w:w="9720" w:type="dxa"/>
        <w:tblInd w:w="450" w:type="dxa"/>
        <w:tblLayout w:type="fixed"/>
        <w:tblCellMar>
          <w:left w:w="0" w:type="dxa"/>
          <w:right w:w="0" w:type="dxa"/>
        </w:tblCellMar>
        <w:tblLook w:val="0000" w:firstRow="0" w:lastRow="0" w:firstColumn="0" w:lastColumn="0" w:noHBand="0" w:noVBand="0"/>
      </w:tblPr>
      <w:tblGrid>
        <w:gridCol w:w="1980"/>
        <w:gridCol w:w="1800"/>
        <w:gridCol w:w="1440"/>
        <w:gridCol w:w="1530"/>
        <w:gridCol w:w="1440"/>
        <w:gridCol w:w="1530"/>
      </w:tblGrid>
      <w:tr w:rsidR="004F7206" w:rsidRPr="006359BD" w14:paraId="65CF50E6" w14:textId="77777777" w:rsidTr="00D15924">
        <w:tc>
          <w:tcPr>
            <w:tcW w:w="1980" w:type="dxa"/>
            <w:tcBorders>
              <w:left w:val="nil"/>
              <w:bottom w:val="single" w:sz="12" w:space="0" w:color="auto"/>
            </w:tcBorders>
            <w:vAlign w:val="bottom"/>
          </w:tcPr>
          <w:p w14:paraId="5B5BFC95" w14:textId="77777777" w:rsidR="004F7206" w:rsidRDefault="004F7206" w:rsidP="00D15924">
            <w:pPr>
              <w:spacing w:after="0" w:line="240" w:lineRule="auto"/>
              <w:rPr>
                <w:rFonts w:ascii="Arial" w:hAnsi="Arial" w:cs="Arial"/>
                <w:szCs w:val="20"/>
              </w:rPr>
            </w:pPr>
            <w:r w:rsidRPr="006359BD">
              <w:rPr>
                <w:rFonts w:ascii="Arial" w:hAnsi="Arial" w:cs="Arial"/>
                <w:szCs w:val="20"/>
              </w:rPr>
              <w:t>Net book value,</w:t>
            </w:r>
          </w:p>
          <w:p w14:paraId="1D2FA7FD" w14:textId="474FCC43" w:rsidR="004F7206" w:rsidRPr="006359BD" w:rsidRDefault="004F7206" w:rsidP="00D15924">
            <w:pPr>
              <w:spacing w:after="0" w:line="240" w:lineRule="auto"/>
              <w:rPr>
                <w:rFonts w:ascii="Arial" w:hAnsi="Arial" w:cs="Arial"/>
                <w:szCs w:val="20"/>
              </w:rPr>
            </w:pPr>
            <w:r>
              <w:rPr>
                <w:rFonts w:ascii="Arial" w:hAnsi="Arial" w:cs="Arial"/>
                <w:szCs w:val="20"/>
              </w:rPr>
              <w:t>April 30, 2020</w:t>
            </w:r>
          </w:p>
        </w:tc>
        <w:tc>
          <w:tcPr>
            <w:tcW w:w="1800" w:type="dxa"/>
            <w:tcBorders>
              <w:left w:val="nil"/>
              <w:bottom w:val="single" w:sz="12" w:space="0" w:color="auto"/>
              <w:right w:val="nil"/>
            </w:tcBorders>
            <w:vAlign w:val="bottom"/>
          </w:tcPr>
          <w:p w14:paraId="484C5C8B" w14:textId="0742B588"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6,124</w:t>
            </w:r>
          </w:p>
        </w:tc>
        <w:tc>
          <w:tcPr>
            <w:tcW w:w="1440" w:type="dxa"/>
            <w:tcBorders>
              <w:left w:val="nil"/>
              <w:bottom w:val="single" w:sz="12" w:space="0" w:color="auto"/>
              <w:right w:val="nil"/>
            </w:tcBorders>
          </w:tcPr>
          <w:p w14:paraId="7FE7376F" w14:textId="77777777" w:rsidR="004F7206" w:rsidRDefault="004F7206" w:rsidP="00D15924">
            <w:pPr>
              <w:spacing w:after="0" w:line="240" w:lineRule="auto"/>
              <w:ind w:right="173"/>
              <w:jc w:val="right"/>
              <w:rPr>
                <w:rFonts w:ascii="Arial" w:hAnsi="Arial" w:cs="Arial"/>
                <w:szCs w:val="20"/>
              </w:rPr>
            </w:pPr>
          </w:p>
          <w:p w14:paraId="3C04BE31" w14:textId="3ED80291"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63,304</w:t>
            </w:r>
          </w:p>
        </w:tc>
        <w:tc>
          <w:tcPr>
            <w:tcW w:w="1530" w:type="dxa"/>
            <w:tcBorders>
              <w:left w:val="nil"/>
              <w:bottom w:val="single" w:sz="12" w:space="0" w:color="auto"/>
              <w:right w:val="nil"/>
            </w:tcBorders>
          </w:tcPr>
          <w:p w14:paraId="1D014415" w14:textId="77777777" w:rsidR="004F7206" w:rsidRDefault="004F7206" w:rsidP="00D15924">
            <w:pPr>
              <w:spacing w:after="0" w:line="240" w:lineRule="auto"/>
              <w:ind w:right="173"/>
              <w:jc w:val="right"/>
              <w:rPr>
                <w:rFonts w:ascii="Arial" w:hAnsi="Arial" w:cs="Arial"/>
                <w:szCs w:val="20"/>
              </w:rPr>
            </w:pPr>
          </w:p>
          <w:p w14:paraId="549D8AC8"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200,084</w:t>
            </w:r>
          </w:p>
        </w:tc>
        <w:tc>
          <w:tcPr>
            <w:tcW w:w="1440" w:type="dxa"/>
            <w:tcBorders>
              <w:left w:val="nil"/>
              <w:bottom w:val="single" w:sz="12" w:space="0" w:color="auto"/>
              <w:right w:val="nil"/>
            </w:tcBorders>
          </w:tcPr>
          <w:p w14:paraId="3AE1FA7D" w14:textId="77777777" w:rsidR="004F7206" w:rsidRDefault="004F7206" w:rsidP="00D15924">
            <w:pPr>
              <w:spacing w:after="0" w:line="240" w:lineRule="auto"/>
              <w:ind w:right="173"/>
              <w:jc w:val="right"/>
              <w:rPr>
                <w:rFonts w:ascii="Arial" w:hAnsi="Arial" w:cs="Arial"/>
                <w:szCs w:val="20"/>
              </w:rPr>
            </w:pPr>
          </w:p>
          <w:p w14:paraId="0A537377" w14:textId="77777777"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269,611</w:t>
            </w:r>
          </w:p>
        </w:tc>
        <w:tc>
          <w:tcPr>
            <w:tcW w:w="1530" w:type="dxa"/>
            <w:tcBorders>
              <w:left w:val="nil"/>
              <w:bottom w:val="single" w:sz="12" w:space="0" w:color="auto"/>
              <w:right w:val="nil"/>
            </w:tcBorders>
          </w:tcPr>
          <w:p w14:paraId="032D4058" w14:textId="77777777" w:rsidR="004F7206" w:rsidRDefault="004F7206" w:rsidP="00D15924">
            <w:pPr>
              <w:spacing w:after="0" w:line="240" w:lineRule="auto"/>
              <w:ind w:right="173"/>
              <w:jc w:val="right"/>
              <w:rPr>
                <w:rFonts w:ascii="Arial" w:hAnsi="Arial" w:cs="Arial"/>
                <w:szCs w:val="20"/>
              </w:rPr>
            </w:pPr>
          </w:p>
          <w:p w14:paraId="04204A4E" w14:textId="64469775" w:rsidR="004F7206" w:rsidRPr="006359BD" w:rsidRDefault="004F7206" w:rsidP="00D15924">
            <w:pPr>
              <w:spacing w:after="0" w:line="240" w:lineRule="auto"/>
              <w:ind w:right="173"/>
              <w:jc w:val="right"/>
              <w:rPr>
                <w:rFonts w:ascii="Arial" w:hAnsi="Arial" w:cs="Arial"/>
                <w:szCs w:val="20"/>
              </w:rPr>
            </w:pPr>
            <w:r>
              <w:rPr>
                <w:rFonts w:ascii="Arial" w:hAnsi="Arial" w:cs="Arial"/>
                <w:szCs w:val="20"/>
              </w:rPr>
              <w:t>539,123</w:t>
            </w:r>
          </w:p>
        </w:tc>
      </w:tr>
      <w:tr w:rsidR="00DE7889" w:rsidRPr="006359BD" w14:paraId="043A7B32" w14:textId="77777777" w:rsidTr="00C3710E">
        <w:tc>
          <w:tcPr>
            <w:tcW w:w="1980" w:type="dxa"/>
            <w:tcBorders>
              <w:left w:val="nil"/>
              <w:bottom w:val="single" w:sz="12" w:space="0" w:color="auto"/>
            </w:tcBorders>
            <w:vAlign w:val="bottom"/>
          </w:tcPr>
          <w:p w14:paraId="02C6E88E" w14:textId="77777777" w:rsidR="00DE7889" w:rsidRPr="006359BD" w:rsidRDefault="00DE7889" w:rsidP="00C3710E">
            <w:pPr>
              <w:spacing w:after="0" w:line="240" w:lineRule="auto"/>
              <w:rPr>
                <w:rFonts w:ascii="Arial" w:hAnsi="Arial" w:cs="Arial"/>
                <w:szCs w:val="20"/>
              </w:rPr>
            </w:pPr>
            <w:r w:rsidRPr="006359BD">
              <w:rPr>
                <w:rFonts w:ascii="Arial" w:hAnsi="Arial" w:cs="Arial"/>
                <w:szCs w:val="20"/>
              </w:rPr>
              <w:t xml:space="preserve">Net book value, </w:t>
            </w:r>
            <w:r>
              <w:rPr>
                <w:rFonts w:ascii="Arial" w:hAnsi="Arial" w:cs="Arial"/>
                <w:szCs w:val="20"/>
              </w:rPr>
              <w:t>January 31, 2020</w:t>
            </w:r>
          </w:p>
        </w:tc>
        <w:tc>
          <w:tcPr>
            <w:tcW w:w="1800" w:type="dxa"/>
            <w:tcBorders>
              <w:left w:val="nil"/>
              <w:bottom w:val="single" w:sz="12" w:space="0" w:color="auto"/>
              <w:right w:val="nil"/>
            </w:tcBorders>
            <w:vAlign w:val="bottom"/>
          </w:tcPr>
          <w:p w14:paraId="23D452E0"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7,043</w:t>
            </w:r>
          </w:p>
        </w:tc>
        <w:tc>
          <w:tcPr>
            <w:tcW w:w="1440" w:type="dxa"/>
            <w:tcBorders>
              <w:left w:val="nil"/>
              <w:bottom w:val="single" w:sz="12" w:space="0" w:color="auto"/>
              <w:right w:val="nil"/>
            </w:tcBorders>
          </w:tcPr>
          <w:p w14:paraId="237C1333" w14:textId="77777777" w:rsidR="00DE7889" w:rsidRDefault="00DE7889" w:rsidP="00C3710E">
            <w:pPr>
              <w:spacing w:after="0" w:line="240" w:lineRule="auto"/>
              <w:ind w:right="173"/>
              <w:jc w:val="right"/>
              <w:rPr>
                <w:rFonts w:ascii="Arial" w:hAnsi="Arial" w:cs="Arial"/>
                <w:szCs w:val="20"/>
              </w:rPr>
            </w:pPr>
          </w:p>
          <w:p w14:paraId="69F9625E" w14:textId="74ECA0A2"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63,50</w:t>
            </w:r>
            <w:r w:rsidR="00CE2374">
              <w:rPr>
                <w:rFonts w:ascii="Arial" w:hAnsi="Arial" w:cs="Arial"/>
                <w:szCs w:val="20"/>
              </w:rPr>
              <w:t>7</w:t>
            </w:r>
          </w:p>
        </w:tc>
        <w:tc>
          <w:tcPr>
            <w:tcW w:w="1530" w:type="dxa"/>
            <w:tcBorders>
              <w:left w:val="nil"/>
              <w:bottom w:val="single" w:sz="12" w:space="0" w:color="auto"/>
              <w:right w:val="nil"/>
            </w:tcBorders>
          </w:tcPr>
          <w:p w14:paraId="1F3F9DFF" w14:textId="77777777" w:rsidR="00DE7889" w:rsidRDefault="00DE7889" w:rsidP="00C3710E">
            <w:pPr>
              <w:spacing w:after="0" w:line="240" w:lineRule="auto"/>
              <w:ind w:right="173"/>
              <w:jc w:val="right"/>
              <w:rPr>
                <w:rFonts w:ascii="Arial" w:hAnsi="Arial" w:cs="Arial"/>
                <w:szCs w:val="20"/>
              </w:rPr>
            </w:pPr>
          </w:p>
          <w:p w14:paraId="669CFE0D"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200,084</w:t>
            </w:r>
          </w:p>
        </w:tc>
        <w:tc>
          <w:tcPr>
            <w:tcW w:w="1440" w:type="dxa"/>
            <w:tcBorders>
              <w:left w:val="nil"/>
              <w:bottom w:val="single" w:sz="12" w:space="0" w:color="auto"/>
              <w:right w:val="nil"/>
            </w:tcBorders>
          </w:tcPr>
          <w:p w14:paraId="2FCB1E54" w14:textId="77777777" w:rsidR="00DE7889" w:rsidRDefault="00DE7889" w:rsidP="00C3710E">
            <w:pPr>
              <w:spacing w:after="0" w:line="240" w:lineRule="auto"/>
              <w:ind w:right="173"/>
              <w:jc w:val="right"/>
              <w:rPr>
                <w:rFonts w:ascii="Arial" w:hAnsi="Arial" w:cs="Arial"/>
                <w:szCs w:val="20"/>
              </w:rPr>
            </w:pPr>
          </w:p>
          <w:p w14:paraId="1E573BAF"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269,611</w:t>
            </w:r>
          </w:p>
        </w:tc>
        <w:tc>
          <w:tcPr>
            <w:tcW w:w="1530" w:type="dxa"/>
            <w:tcBorders>
              <w:left w:val="nil"/>
              <w:bottom w:val="single" w:sz="12" w:space="0" w:color="auto"/>
              <w:right w:val="nil"/>
            </w:tcBorders>
          </w:tcPr>
          <w:p w14:paraId="139960C6" w14:textId="77777777" w:rsidR="00DE7889" w:rsidRDefault="00DE7889" w:rsidP="00C3710E">
            <w:pPr>
              <w:spacing w:after="0" w:line="240" w:lineRule="auto"/>
              <w:ind w:right="173"/>
              <w:jc w:val="right"/>
              <w:rPr>
                <w:rFonts w:ascii="Arial" w:hAnsi="Arial" w:cs="Arial"/>
                <w:szCs w:val="20"/>
              </w:rPr>
            </w:pPr>
          </w:p>
          <w:p w14:paraId="7E22483E" w14:textId="77777777" w:rsidR="00DE7889" w:rsidRPr="006359BD" w:rsidRDefault="00DE7889" w:rsidP="00C3710E">
            <w:pPr>
              <w:spacing w:after="0" w:line="240" w:lineRule="auto"/>
              <w:ind w:right="173"/>
              <w:jc w:val="right"/>
              <w:rPr>
                <w:rFonts w:ascii="Arial" w:hAnsi="Arial" w:cs="Arial"/>
                <w:szCs w:val="20"/>
              </w:rPr>
            </w:pPr>
            <w:r>
              <w:rPr>
                <w:rFonts w:ascii="Arial" w:hAnsi="Arial" w:cs="Arial"/>
                <w:szCs w:val="20"/>
              </w:rPr>
              <w:t>540,245</w:t>
            </w:r>
          </w:p>
        </w:tc>
      </w:tr>
    </w:tbl>
    <w:p w14:paraId="770A5A9C" w14:textId="77777777" w:rsidR="00DE7889" w:rsidRDefault="00DE7889" w:rsidP="00DE7889">
      <w:pPr>
        <w:tabs>
          <w:tab w:val="left" w:pos="450"/>
        </w:tabs>
        <w:spacing w:after="0" w:line="240" w:lineRule="auto"/>
        <w:jc w:val="both"/>
        <w:rPr>
          <w:rFonts w:ascii="Arial" w:hAnsi="Arial" w:cs="Arial"/>
          <w:b/>
          <w:szCs w:val="20"/>
        </w:rPr>
      </w:pPr>
    </w:p>
    <w:p w14:paraId="63430B01" w14:textId="5F7F1756" w:rsidR="00DE7889" w:rsidRDefault="00DE7889" w:rsidP="005A404B">
      <w:pPr>
        <w:tabs>
          <w:tab w:val="left" w:pos="450"/>
        </w:tabs>
        <w:spacing w:after="0" w:line="240" w:lineRule="auto"/>
        <w:ind w:left="446"/>
        <w:jc w:val="both"/>
        <w:rPr>
          <w:rFonts w:ascii="Arial" w:hAnsi="Arial" w:cs="Arial"/>
          <w:szCs w:val="20"/>
        </w:rPr>
      </w:pPr>
      <w:r w:rsidRPr="008B796F">
        <w:rPr>
          <w:rFonts w:ascii="Arial" w:hAnsi="Arial" w:cs="Arial"/>
          <w:szCs w:val="20"/>
        </w:rPr>
        <w:t xml:space="preserve">During the </w:t>
      </w:r>
      <w:r w:rsidR="008B796F" w:rsidRPr="008B796F">
        <w:rPr>
          <w:rFonts w:ascii="Arial" w:hAnsi="Arial" w:cs="Arial"/>
          <w:szCs w:val="20"/>
        </w:rPr>
        <w:t>three months</w:t>
      </w:r>
      <w:r w:rsidRPr="008B796F">
        <w:rPr>
          <w:rFonts w:ascii="Arial" w:hAnsi="Arial" w:cs="Arial"/>
          <w:szCs w:val="20"/>
        </w:rPr>
        <w:t xml:space="preserve"> ended </w:t>
      </w:r>
      <w:r w:rsidR="008B796F" w:rsidRPr="008B796F">
        <w:rPr>
          <w:rFonts w:ascii="Arial" w:hAnsi="Arial" w:cs="Arial"/>
          <w:szCs w:val="20"/>
        </w:rPr>
        <w:t>April 30, 2019</w:t>
      </w:r>
      <w:r w:rsidRPr="008B796F">
        <w:rPr>
          <w:rFonts w:ascii="Arial" w:hAnsi="Arial" w:cs="Arial"/>
          <w:szCs w:val="20"/>
        </w:rPr>
        <w:t xml:space="preserve">, the Company </w:t>
      </w:r>
      <w:r w:rsidR="00AF6A72" w:rsidRPr="008B796F">
        <w:rPr>
          <w:rFonts w:ascii="Arial" w:hAnsi="Arial" w:cs="Arial"/>
          <w:szCs w:val="20"/>
        </w:rPr>
        <w:t>impaired</w:t>
      </w:r>
      <w:r w:rsidRPr="008B796F">
        <w:rPr>
          <w:rFonts w:ascii="Arial" w:hAnsi="Arial" w:cs="Arial"/>
          <w:szCs w:val="20"/>
        </w:rPr>
        <w:t xml:space="preserve"> equipment and recorded a loss on </w:t>
      </w:r>
      <w:r w:rsidR="00AF6A72" w:rsidRPr="008B796F">
        <w:rPr>
          <w:rFonts w:ascii="Arial" w:hAnsi="Arial" w:cs="Arial"/>
          <w:szCs w:val="20"/>
        </w:rPr>
        <w:t>impairment</w:t>
      </w:r>
      <w:r w:rsidRPr="008B796F">
        <w:rPr>
          <w:rFonts w:ascii="Arial" w:hAnsi="Arial" w:cs="Arial"/>
          <w:szCs w:val="20"/>
        </w:rPr>
        <w:t xml:space="preserve"> of $3,901 </w:t>
      </w:r>
      <w:r w:rsidR="0032772B">
        <w:rPr>
          <w:rFonts w:ascii="Arial" w:hAnsi="Arial" w:cs="Arial"/>
          <w:szCs w:val="20"/>
        </w:rPr>
        <w:t xml:space="preserve">within </w:t>
      </w:r>
      <w:r w:rsidR="00580C5C">
        <w:rPr>
          <w:rFonts w:ascii="Arial" w:hAnsi="Arial" w:cs="Arial"/>
          <w:szCs w:val="20"/>
        </w:rPr>
        <w:t xml:space="preserve">the </w:t>
      </w:r>
      <w:r w:rsidR="00580C5C" w:rsidRPr="008B796F">
        <w:rPr>
          <w:rFonts w:ascii="Arial" w:hAnsi="Arial" w:cs="Arial"/>
          <w:szCs w:val="20"/>
        </w:rPr>
        <w:t xml:space="preserve">condensed consolidated interim statements of comprehensive </w:t>
      </w:r>
      <w:r w:rsidR="00580C5C">
        <w:rPr>
          <w:rFonts w:ascii="Arial" w:hAnsi="Arial" w:cs="Arial"/>
          <w:szCs w:val="20"/>
        </w:rPr>
        <w:t>income (</w:t>
      </w:r>
      <w:r w:rsidR="00580C5C" w:rsidRPr="008B796F">
        <w:rPr>
          <w:rFonts w:ascii="Arial" w:hAnsi="Arial" w:cs="Arial"/>
          <w:szCs w:val="20"/>
        </w:rPr>
        <w:t>loss</w:t>
      </w:r>
      <w:r w:rsidR="00580C5C">
        <w:rPr>
          <w:rFonts w:ascii="Arial" w:hAnsi="Arial" w:cs="Arial"/>
          <w:szCs w:val="20"/>
        </w:rPr>
        <w:t>).</w:t>
      </w:r>
    </w:p>
    <w:p w14:paraId="5AB4A845" w14:textId="77777777" w:rsidR="002578B6" w:rsidRDefault="002578B6" w:rsidP="005A404B">
      <w:pPr>
        <w:tabs>
          <w:tab w:val="left" w:pos="450"/>
        </w:tabs>
        <w:spacing w:after="0" w:line="240" w:lineRule="auto"/>
        <w:ind w:left="446"/>
        <w:jc w:val="both"/>
        <w:rPr>
          <w:rFonts w:ascii="Arial" w:hAnsi="Arial" w:cs="Arial"/>
          <w:szCs w:val="20"/>
        </w:rPr>
      </w:pPr>
    </w:p>
    <w:p w14:paraId="45A30324" w14:textId="22189C8B" w:rsidR="00BA56F7" w:rsidRDefault="0051490C" w:rsidP="00F15B99">
      <w:pPr>
        <w:tabs>
          <w:tab w:val="left" w:pos="450"/>
        </w:tabs>
        <w:spacing w:after="0" w:line="240" w:lineRule="auto"/>
        <w:jc w:val="both"/>
        <w:rPr>
          <w:rFonts w:ascii="Arial" w:hAnsi="Arial" w:cs="Arial"/>
          <w:b/>
          <w:szCs w:val="20"/>
        </w:rPr>
      </w:pPr>
      <w:r>
        <w:rPr>
          <w:rFonts w:ascii="Arial" w:hAnsi="Arial" w:cs="Arial"/>
          <w:b/>
          <w:szCs w:val="20"/>
        </w:rPr>
        <w:t>8</w:t>
      </w:r>
      <w:r w:rsidR="00BA56F7" w:rsidRPr="00BA56F7">
        <w:rPr>
          <w:rFonts w:ascii="Arial" w:hAnsi="Arial" w:cs="Arial"/>
          <w:b/>
          <w:szCs w:val="20"/>
        </w:rPr>
        <w:t xml:space="preserve">.    </w:t>
      </w:r>
      <w:r w:rsidR="00BA56F7" w:rsidRPr="00BA56F7">
        <w:rPr>
          <w:rFonts w:ascii="Arial" w:hAnsi="Arial" w:cs="Arial"/>
          <w:b/>
          <w:szCs w:val="20"/>
        </w:rPr>
        <w:tab/>
        <w:t>Intangible Asset</w:t>
      </w:r>
      <w:r w:rsidR="00B11548">
        <w:rPr>
          <w:rFonts w:ascii="Arial" w:hAnsi="Arial" w:cs="Arial"/>
          <w:b/>
          <w:szCs w:val="20"/>
        </w:rPr>
        <w:t>s</w:t>
      </w:r>
    </w:p>
    <w:tbl>
      <w:tblPr>
        <w:tblW w:w="9389" w:type="dxa"/>
        <w:tblInd w:w="450" w:type="dxa"/>
        <w:tblLayout w:type="fixed"/>
        <w:tblCellMar>
          <w:left w:w="0" w:type="dxa"/>
          <w:right w:w="0" w:type="dxa"/>
        </w:tblCellMar>
        <w:tblLook w:val="0000" w:firstRow="0" w:lastRow="0" w:firstColumn="0" w:lastColumn="0" w:noHBand="0" w:noVBand="0"/>
      </w:tblPr>
      <w:tblGrid>
        <w:gridCol w:w="2520"/>
        <w:gridCol w:w="1260"/>
        <w:gridCol w:w="1350"/>
        <w:gridCol w:w="1350"/>
        <w:gridCol w:w="1350"/>
        <w:gridCol w:w="1559"/>
      </w:tblGrid>
      <w:tr w:rsidR="00E317A1" w:rsidRPr="00BA56F7" w14:paraId="2CF1C546" w14:textId="1E94A4BB" w:rsidTr="00BE28C7">
        <w:tc>
          <w:tcPr>
            <w:tcW w:w="2520" w:type="dxa"/>
            <w:tcBorders>
              <w:top w:val="nil"/>
              <w:left w:val="nil"/>
              <w:bottom w:val="single" w:sz="4" w:space="0" w:color="auto"/>
            </w:tcBorders>
            <w:vAlign w:val="bottom"/>
          </w:tcPr>
          <w:p w14:paraId="19BC6761" w14:textId="77777777" w:rsidR="00E317A1" w:rsidRPr="00BA56F7" w:rsidRDefault="00E317A1" w:rsidP="00E317A1">
            <w:pPr>
              <w:spacing w:after="0" w:line="240" w:lineRule="auto"/>
              <w:rPr>
                <w:rFonts w:ascii="Arial" w:hAnsi="Arial" w:cs="Arial"/>
                <w:szCs w:val="20"/>
              </w:rPr>
            </w:pPr>
            <w:r w:rsidRPr="00BA56F7">
              <w:rPr>
                <w:rFonts w:ascii="Arial" w:hAnsi="Arial" w:cs="Arial"/>
                <w:b/>
                <w:bCs/>
                <w:szCs w:val="20"/>
              </w:rPr>
              <w:t>Cost</w:t>
            </w:r>
            <w:r w:rsidRPr="00BA56F7">
              <w:rPr>
                <w:rFonts w:ascii="Arial" w:hAnsi="Arial" w:cs="Arial"/>
                <w:b/>
                <w:bCs/>
                <w:szCs w:val="20"/>
              </w:rPr>
              <w:tab/>
            </w:r>
          </w:p>
        </w:tc>
        <w:tc>
          <w:tcPr>
            <w:tcW w:w="1260" w:type="dxa"/>
            <w:tcBorders>
              <w:top w:val="nil"/>
              <w:left w:val="nil"/>
              <w:bottom w:val="single" w:sz="4" w:space="0" w:color="auto"/>
            </w:tcBorders>
          </w:tcPr>
          <w:p w14:paraId="56DD435F" w14:textId="77777777" w:rsidR="00E317A1" w:rsidRDefault="00E317A1" w:rsidP="00E317A1">
            <w:pPr>
              <w:spacing w:after="0" w:line="240" w:lineRule="auto"/>
              <w:ind w:left="90"/>
              <w:jc w:val="center"/>
              <w:rPr>
                <w:rFonts w:ascii="Arial" w:hAnsi="Arial" w:cs="Arial"/>
                <w:szCs w:val="20"/>
              </w:rPr>
            </w:pPr>
          </w:p>
          <w:p w14:paraId="5C2E1E2F" w14:textId="77777777" w:rsidR="00E317A1" w:rsidRPr="00BA56F7" w:rsidRDefault="00E317A1" w:rsidP="00E317A1">
            <w:pPr>
              <w:spacing w:after="0" w:line="240" w:lineRule="auto"/>
              <w:ind w:left="90"/>
              <w:jc w:val="center"/>
              <w:rPr>
                <w:rFonts w:ascii="Arial" w:hAnsi="Arial" w:cs="Arial"/>
                <w:szCs w:val="20"/>
              </w:rPr>
            </w:pPr>
            <w:proofErr w:type="spellStart"/>
            <w:r w:rsidRPr="00BA56F7">
              <w:rPr>
                <w:rFonts w:ascii="Arial" w:hAnsi="Arial" w:cs="Arial"/>
                <w:szCs w:val="20"/>
              </w:rPr>
              <w:t>BiPhasix</w:t>
            </w:r>
            <w:proofErr w:type="spellEnd"/>
          </w:p>
          <w:p w14:paraId="7048EA61" w14:textId="77777777" w:rsidR="00E317A1" w:rsidRPr="00BA56F7" w:rsidRDefault="00E317A1" w:rsidP="00E317A1">
            <w:pPr>
              <w:spacing w:after="0" w:line="240" w:lineRule="auto"/>
              <w:jc w:val="center"/>
              <w:rPr>
                <w:rFonts w:ascii="Arial" w:hAnsi="Arial" w:cs="Arial"/>
                <w:szCs w:val="20"/>
              </w:rPr>
            </w:pPr>
            <w:r w:rsidRPr="00BA56F7">
              <w:rPr>
                <w:rFonts w:ascii="Arial" w:hAnsi="Arial" w:cs="Arial"/>
                <w:szCs w:val="20"/>
              </w:rPr>
              <w:t>License</w:t>
            </w:r>
          </w:p>
          <w:p w14:paraId="41CC8C24" w14:textId="38548E5D" w:rsidR="00E317A1" w:rsidRPr="00BA56F7" w:rsidRDefault="00E317A1" w:rsidP="00E317A1">
            <w:pPr>
              <w:spacing w:after="0" w:line="240" w:lineRule="auto"/>
              <w:ind w:left="90"/>
              <w:jc w:val="center"/>
              <w:rPr>
                <w:rFonts w:ascii="Arial" w:hAnsi="Arial" w:cs="Arial"/>
                <w:szCs w:val="20"/>
              </w:rPr>
            </w:pPr>
            <w:r w:rsidRPr="00BA56F7">
              <w:rPr>
                <w:rFonts w:ascii="Arial" w:hAnsi="Arial" w:cs="Arial"/>
                <w:szCs w:val="20"/>
              </w:rPr>
              <w:t>$</w:t>
            </w:r>
          </w:p>
        </w:tc>
        <w:tc>
          <w:tcPr>
            <w:tcW w:w="1350" w:type="dxa"/>
            <w:tcBorders>
              <w:top w:val="nil"/>
              <w:left w:val="nil"/>
              <w:bottom w:val="single" w:sz="4" w:space="0" w:color="auto"/>
              <w:right w:val="nil"/>
            </w:tcBorders>
          </w:tcPr>
          <w:p w14:paraId="7D99C124" w14:textId="77777777" w:rsidR="00E317A1" w:rsidRDefault="00E317A1" w:rsidP="00E317A1">
            <w:pPr>
              <w:spacing w:after="0" w:line="240" w:lineRule="auto"/>
              <w:jc w:val="center"/>
              <w:rPr>
                <w:rFonts w:ascii="Arial" w:hAnsi="Arial" w:cs="Arial"/>
                <w:szCs w:val="20"/>
              </w:rPr>
            </w:pPr>
            <w:proofErr w:type="spellStart"/>
            <w:r>
              <w:rPr>
                <w:rFonts w:ascii="Arial" w:hAnsi="Arial" w:cs="Arial"/>
                <w:szCs w:val="20"/>
              </w:rPr>
              <w:t>Thrudermic</w:t>
            </w:r>
            <w:proofErr w:type="spellEnd"/>
          </w:p>
          <w:p w14:paraId="06375714" w14:textId="0E9388E1" w:rsidR="00E317A1" w:rsidRPr="00BA56F7" w:rsidRDefault="00E317A1" w:rsidP="00E317A1">
            <w:pPr>
              <w:spacing w:after="0" w:line="240" w:lineRule="auto"/>
              <w:jc w:val="center"/>
              <w:rPr>
                <w:rFonts w:ascii="Arial" w:hAnsi="Arial" w:cs="Arial"/>
                <w:szCs w:val="20"/>
              </w:rPr>
            </w:pPr>
            <w:r>
              <w:rPr>
                <w:rFonts w:ascii="Arial" w:hAnsi="Arial" w:cs="Arial"/>
                <w:szCs w:val="20"/>
              </w:rPr>
              <w:t>Non-Patented Technology</w:t>
            </w:r>
          </w:p>
          <w:p w14:paraId="15AC568E" w14:textId="14144880" w:rsidR="00E317A1" w:rsidRPr="00BA56F7" w:rsidRDefault="00E317A1" w:rsidP="00E317A1">
            <w:pPr>
              <w:spacing w:after="0" w:line="240" w:lineRule="auto"/>
              <w:ind w:left="90"/>
              <w:jc w:val="center"/>
              <w:rPr>
                <w:rFonts w:ascii="Arial" w:hAnsi="Arial" w:cs="Arial"/>
                <w:szCs w:val="20"/>
              </w:rPr>
            </w:pPr>
            <w:r w:rsidRPr="00BA56F7">
              <w:rPr>
                <w:rFonts w:ascii="Arial" w:hAnsi="Arial" w:cs="Arial"/>
                <w:szCs w:val="20"/>
              </w:rPr>
              <w:t>$</w:t>
            </w:r>
          </w:p>
        </w:tc>
        <w:tc>
          <w:tcPr>
            <w:tcW w:w="1350" w:type="dxa"/>
            <w:tcBorders>
              <w:top w:val="nil"/>
              <w:left w:val="nil"/>
              <w:bottom w:val="single" w:sz="4" w:space="0" w:color="auto"/>
              <w:right w:val="nil"/>
            </w:tcBorders>
          </w:tcPr>
          <w:p w14:paraId="4D3EDBF0" w14:textId="77777777" w:rsidR="00E317A1" w:rsidRDefault="00E317A1" w:rsidP="00E317A1">
            <w:pPr>
              <w:spacing w:after="0" w:line="240" w:lineRule="auto"/>
              <w:jc w:val="center"/>
              <w:rPr>
                <w:rFonts w:ascii="Arial" w:hAnsi="Arial" w:cs="Arial"/>
                <w:szCs w:val="20"/>
              </w:rPr>
            </w:pPr>
          </w:p>
          <w:p w14:paraId="7F8876F3" w14:textId="0DB46662" w:rsidR="00E317A1" w:rsidRDefault="00E317A1" w:rsidP="00E317A1">
            <w:pPr>
              <w:spacing w:after="0" w:line="240" w:lineRule="auto"/>
              <w:jc w:val="center"/>
              <w:rPr>
                <w:rFonts w:ascii="Arial" w:hAnsi="Arial" w:cs="Arial"/>
                <w:szCs w:val="20"/>
              </w:rPr>
            </w:pPr>
            <w:proofErr w:type="spellStart"/>
            <w:r>
              <w:rPr>
                <w:rFonts w:ascii="Arial" w:hAnsi="Arial" w:cs="Arial"/>
                <w:szCs w:val="20"/>
              </w:rPr>
              <w:t>Solmic</w:t>
            </w:r>
            <w:proofErr w:type="spellEnd"/>
          </w:p>
          <w:p w14:paraId="314856A4" w14:textId="77777777" w:rsidR="00E317A1" w:rsidRPr="00BA56F7" w:rsidRDefault="00E317A1" w:rsidP="00E317A1">
            <w:pPr>
              <w:spacing w:after="0" w:line="240" w:lineRule="auto"/>
              <w:jc w:val="center"/>
              <w:rPr>
                <w:rFonts w:ascii="Arial" w:hAnsi="Arial" w:cs="Arial"/>
                <w:szCs w:val="20"/>
              </w:rPr>
            </w:pPr>
            <w:r>
              <w:rPr>
                <w:rFonts w:ascii="Arial" w:hAnsi="Arial" w:cs="Arial"/>
                <w:szCs w:val="20"/>
              </w:rPr>
              <w:t>Patents</w:t>
            </w:r>
          </w:p>
          <w:p w14:paraId="4679321B" w14:textId="3F30AFEA" w:rsidR="00E317A1" w:rsidRDefault="00E317A1" w:rsidP="00E317A1">
            <w:pPr>
              <w:spacing w:after="0" w:line="240" w:lineRule="auto"/>
              <w:jc w:val="center"/>
              <w:rPr>
                <w:rFonts w:ascii="Arial" w:hAnsi="Arial" w:cs="Arial"/>
                <w:szCs w:val="20"/>
              </w:rPr>
            </w:pPr>
            <w:r w:rsidRPr="00BA56F7">
              <w:rPr>
                <w:rFonts w:ascii="Arial" w:hAnsi="Arial" w:cs="Arial"/>
                <w:szCs w:val="20"/>
              </w:rPr>
              <w:t>$</w:t>
            </w:r>
          </w:p>
        </w:tc>
        <w:tc>
          <w:tcPr>
            <w:tcW w:w="1350" w:type="dxa"/>
            <w:tcBorders>
              <w:top w:val="nil"/>
              <w:left w:val="nil"/>
              <w:bottom w:val="single" w:sz="4" w:space="0" w:color="auto"/>
            </w:tcBorders>
          </w:tcPr>
          <w:p w14:paraId="660E38AB" w14:textId="30DDC271" w:rsidR="00E317A1" w:rsidRDefault="00E317A1" w:rsidP="00E317A1">
            <w:pPr>
              <w:spacing w:after="0" w:line="240" w:lineRule="auto"/>
              <w:jc w:val="center"/>
              <w:rPr>
                <w:rFonts w:ascii="Arial" w:hAnsi="Arial" w:cs="Arial"/>
                <w:szCs w:val="20"/>
              </w:rPr>
            </w:pPr>
          </w:p>
          <w:p w14:paraId="26ABE8B5" w14:textId="49970EDA" w:rsidR="00E317A1" w:rsidRDefault="00E317A1" w:rsidP="00E317A1">
            <w:pPr>
              <w:spacing w:after="0" w:line="240" w:lineRule="auto"/>
              <w:jc w:val="center"/>
              <w:rPr>
                <w:rFonts w:ascii="Arial" w:hAnsi="Arial" w:cs="Arial"/>
                <w:szCs w:val="20"/>
              </w:rPr>
            </w:pPr>
            <w:r>
              <w:rPr>
                <w:rFonts w:ascii="Arial" w:hAnsi="Arial" w:cs="Arial"/>
                <w:szCs w:val="20"/>
              </w:rPr>
              <w:t>RTIC</w:t>
            </w:r>
          </w:p>
          <w:p w14:paraId="4321B077" w14:textId="7E7B94F3" w:rsidR="00E317A1" w:rsidRPr="00BA56F7" w:rsidRDefault="00E317A1" w:rsidP="00E317A1">
            <w:pPr>
              <w:spacing w:after="0" w:line="240" w:lineRule="auto"/>
              <w:jc w:val="center"/>
              <w:rPr>
                <w:rFonts w:ascii="Arial" w:hAnsi="Arial" w:cs="Arial"/>
                <w:szCs w:val="20"/>
              </w:rPr>
            </w:pPr>
            <w:r>
              <w:rPr>
                <w:rFonts w:ascii="Arial" w:hAnsi="Arial" w:cs="Arial"/>
                <w:szCs w:val="20"/>
              </w:rPr>
              <w:t>Patents</w:t>
            </w:r>
          </w:p>
          <w:p w14:paraId="7A2A1AE9" w14:textId="2C0B421E" w:rsidR="00E317A1" w:rsidRPr="00BA56F7" w:rsidRDefault="00E317A1" w:rsidP="00E317A1">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right w:val="nil"/>
            </w:tcBorders>
            <w:vAlign w:val="bottom"/>
          </w:tcPr>
          <w:p w14:paraId="58FA252F" w14:textId="77777777" w:rsidR="00E317A1" w:rsidRPr="00BA56F7" w:rsidRDefault="00E317A1" w:rsidP="00E317A1">
            <w:pPr>
              <w:spacing w:after="0" w:line="240" w:lineRule="auto"/>
              <w:jc w:val="center"/>
              <w:rPr>
                <w:rFonts w:ascii="Arial" w:hAnsi="Arial" w:cs="Arial"/>
                <w:szCs w:val="20"/>
              </w:rPr>
            </w:pPr>
            <w:r>
              <w:rPr>
                <w:rFonts w:ascii="Arial" w:hAnsi="Arial" w:cs="Arial"/>
                <w:szCs w:val="20"/>
              </w:rPr>
              <w:t>Total</w:t>
            </w:r>
          </w:p>
          <w:p w14:paraId="5AAF7DCF" w14:textId="0F7170BE" w:rsidR="00E317A1" w:rsidRDefault="00E317A1" w:rsidP="00E317A1">
            <w:pPr>
              <w:spacing w:after="0" w:line="240" w:lineRule="auto"/>
              <w:jc w:val="center"/>
              <w:rPr>
                <w:rFonts w:ascii="Arial" w:hAnsi="Arial" w:cs="Arial"/>
                <w:szCs w:val="20"/>
              </w:rPr>
            </w:pPr>
            <w:r w:rsidRPr="00BA56F7">
              <w:rPr>
                <w:rFonts w:ascii="Arial" w:hAnsi="Arial" w:cs="Arial"/>
                <w:szCs w:val="20"/>
              </w:rPr>
              <w:t>$</w:t>
            </w:r>
          </w:p>
        </w:tc>
      </w:tr>
      <w:tr w:rsidR="00E317A1" w:rsidRPr="00BA56F7" w14:paraId="0BECD082" w14:textId="233A2362" w:rsidTr="00BE28C7">
        <w:trPr>
          <w:trHeight w:hRule="exact" w:val="113"/>
        </w:trPr>
        <w:tc>
          <w:tcPr>
            <w:tcW w:w="2520" w:type="dxa"/>
            <w:tcBorders>
              <w:top w:val="single" w:sz="4" w:space="0" w:color="auto"/>
              <w:left w:val="nil"/>
            </w:tcBorders>
            <w:vAlign w:val="bottom"/>
          </w:tcPr>
          <w:p w14:paraId="5229CC8B" w14:textId="77777777" w:rsidR="00E317A1" w:rsidRPr="00BA56F7" w:rsidRDefault="00E317A1" w:rsidP="00E317A1">
            <w:pPr>
              <w:spacing w:after="0" w:line="240" w:lineRule="auto"/>
              <w:rPr>
                <w:rFonts w:ascii="Arial" w:hAnsi="Arial" w:cs="Arial"/>
                <w:szCs w:val="20"/>
              </w:rPr>
            </w:pPr>
          </w:p>
        </w:tc>
        <w:tc>
          <w:tcPr>
            <w:tcW w:w="1260" w:type="dxa"/>
            <w:tcBorders>
              <w:top w:val="single" w:sz="4" w:space="0" w:color="auto"/>
              <w:left w:val="nil"/>
            </w:tcBorders>
          </w:tcPr>
          <w:p w14:paraId="4667E1A3" w14:textId="77777777" w:rsidR="00E317A1" w:rsidRPr="00BA56F7" w:rsidRDefault="00E317A1" w:rsidP="00E317A1">
            <w:pPr>
              <w:spacing w:after="0" w:line="240" w:lineRule="auto"/>
              <w:jc w:val="right"/>
              <w:rPr>
                <w:rFonts w:ascii="Arial" w:hAnsi="Arial" w:cs="Arial"/>
                <w:szCs w:val="20"/>
              </w:rPr>
            </w:pPr>
          </w:p>
        </w:tc>
        <w:tc>
          <w:tcPr>
            <w:tcW w:w="1350" w:type="dxa"/>
            <w:tcBorders>
              <w:top w:val="single" w:sz="4" w:space="0" w:color="auto"/>
              <w:left w:val="nil"/>
              <w:right w:val="nil"/>
            </w:tcBorders>
          </w:tcPr>
          <w:p w14:paraId="6B0F7123" w14:textId="5F291718" w:rsidR="00E317A1" w:rsidRPr="00BA56F7" w:rsidRDefault="00E317A1" w:rsidP="00E317A1">
            <w:pPr>
              <w:spacing w:after="0" w:line="240" w:lineRule="auto"/>
              <w:jc w:val="right"/>
              <w:rPr>
                <w:rFonts w:ascii="Arial" w:hAnsi="Arial" w:cs="Arial"/>
                <w:szCs w:val="20"/>
              </w:rPr>
            </w:pPr>
          </w:p>
        </w:tc>
        <w:tc>
          <w:tcPr>
            <w:tcW w:w="1350" w:type="dxa"/>
            <w:tcBorders>
              <w:top w:val="single" w:sz="4" w:space="0" w:color="auto"/>
              <w:left w:val="nil"/>
              <w:right w:val="nil"/>
            </w:tcBorders>
          </w:tcPr>
          <w:p w14:paraId="0FEBBE62" w14:textId="77777777" w:rsidR="00E317A1" w:rsidRPr="00BA56F7" w:rsidRDefault="00E317A1" w:rsidP="00E317A1">
            <w:pPr>
              <w:spacing w:after="0" w:line="240" w:lineRule="auto"/>
              <w:jc w:val="right"/>
              <w:rPr>
                <w:rFonts w:ascii="Arial" w:hAnsi="Arial" w:cs="Arial"/>
                <w:szCs w:val="20"/>
              </w:rPr>
            </w:pPr>
          </w:p>
        </w:tc>
        <w:tc>
          <w:tcPr>
            <w:tcW w:w="1350" w:type="dxa"/>
            <w:tcBorders>
              <w:top w:val="single" w:sz="4" w:space="0" w:color="auto"/>
              <w:left w:val="nil"/>
            </w:tcBorders>
          </w:tcPr>
          <w:p w14:paraId="7B47888B" w14:textId="32841378" w:rsidR="00E317A1" w:rsidRPr="00BA56F7" w:rsidRDefault="00E317A1" w:rsidP="00E317A1">
            <w:pPr>
              <w:spacing w:after="0" w:line="240" w:lineRule="auto"/>
              <w:jc w:val="right"/>
              <w:rPr>
                <w:rFonts w:ascii="Arial" w:hAnsi="Arial" w:cs="Arial"/>
                <w:szCs w:val="20"/>
              </w:rPr>
            </w:pPr>
          </w:p>
        </w:tc>
        <w:tc>
          <w:tcPr>
            <w:tcW w:w="1559" w:type="dxa"/>
            <w:tcBorders>
              <w:top w:val="single" w:sz="4" w:space="0" w:color="auto"/>
              <w:left w:val="nil"/>
              <w:right w:val="nil"/>
            </w:tcBorders>
            <w:vAlign w:val="bottom"/>
          </w:tcPr>
          <w:p w14:paraId="062CD6A6" w14:textId="77777777" w:rsidR="00E317A1" w:rsidRPr="00BA56F7" w:rsidRDefault="00E317A1" w:rsidP="00E317A1">
            <w:pPr>
              <w:spacing w:after="0" w:line="240" w:lineRule="auto"/>
              <w:ind w:right="369"/>
              <w:jc w:val="right"/>
              <w:rPr>
                <w:rFonts w:ascii="Arial" w:hAnsi="Arial" w:cs="Arial"/>
                <w:szCs w:val="20"/>
              </w:rPr>
            </w:pPr>
          </w:p>
        </w:tc>
      </w:tr>
      <w:tr w:rsidR="00E317A1" w:rsidRPr="00BA56F7" w14:paraId="7E511E46" w14:textId="6415C775" w:rsidTr="00BE28C7">
        <w:tc>
          <w:tcPr>
            <w:tcW w:w="2520" w:type="dxa"/>
            <w:tcBorders>
              <w:left w:val="nil"/>
            </w:tcBorders>
            <w:vAlign w:val="bottom"/>
          </w:tcPr>
          <w:p w14:paraId="75145994" w14:textId="77777777" w:rsidR="00E317A1" w:rsidRPr="00BA56F7" w:rsidRDefault="00E317A1" w:rsidP="00E317A1">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260" w:type="dxa"/>
            <w:tcBorders>
              <w:left w:val="nil"/>
            </w:tcBorders>
          </w:tcPr>
          <w:p w14:paraId="28BD7DE0" w14:textId="77777777" w:rsidR="00E317A1" w:rsidRDefault="00E317A1" w:rsidP="00E317A1">
            <w:pPr>
              <w:spacing w:after="0"/>
              <w:jc w:val="right"/>
              <w:rPr>
                <w:rFonts w:ascii="Arial" w:hAnsi="Arial" w:cs="Arial"/>
              </w:rPr>
            </w:pPr>
            <w:r>
              <w:rPr>
                <w:rFonts w:ascii="Arial" w:hAnsi="Arial" w:cs="Arial"/>
              </w:rPr>
              <w:t>319,174</w:t>
            </w:r>
          </w:p>
        </w:tc>
        <w:tc>
          <w:tcPr>
            <w:tcW w:w="1350" w:type="dxa"/>
            <w:tcBorders>
              <w:left w:val="nil"/>
              <w:right w:val="nil"/>
            </w:tcBorders>
          </w:tcPr>
          <w:p w14:paraId="0892BEA3" w14:textId="3324D37A" w:rsidR="00E317A1" w:rsidRDefault="00E317A1" w:rsidP="00E317A1">
            <w:pPr>
              <w:spacing w:after="0"/>
              <w:jc w:val="right"/>
              <w:rPr>
                <w:rFonts w:ascii="Arial" w:hAnsi="Arial" w:cs="Arial"/>
              </w:rPr>
            </w:pPr>
            <w:r>
              <w:rPr>
                <w:rFonts w:ascii="Arial" w:hAnsi="Arial" w:cs="Arial"/>
              </w:rPr>
              <w:t>830,000</w:t>
            </w:r>
          </w:p>
        </w:tc>
        <w:tc>
          <w:tcPr>
            <w:tcW w:w="1350" w:type="dxa"/>
            <w:tcBorders>
              <w:left w:val="nil"/>
              <w:right w:val="nil"/>
            </w:tcBorders>
          </w:tcPr>
          <w:p w14:paraId="5501342F" w14:textId="6CBC36AE"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tcBorders>
          </w:tcPr>
          <w:p w14:paraId="00A838E7" w14:textId="61F37CA2" w:rsidR="00E317A1" w:rsidRDefault="00E317A1" w:rsidP="00E317A1">
            <w:pPr>
              <w:spacing w:after="0"/>
              <w:jc w:val="right"/>
              <w:rPr>
                <w:rFonts w:ascii="Arial" w:hAnsi="Arial" w:cs="Arial"/>
              </w:rPr>
            </w:pPr>
            <w:r>
              <w:rPr>
                <w:rFonts w:ascii="Arial" w:hAnsi="Arial" w:cs="Arial"/>
              </w:rPr>
              <w:t>8,137,277</w:t>
            </w:r>
          </w:p>
        </w:tc>
        <w:tc>
          <w:tcPr>
            <w:tcW w:w="1559" w:type="dxa"/>
            <w:tcBorders>
              <w:left w:val="nil"/>
              <w:right w:val="nil"/>
            </w:tcBorders>
            <w:vAlign w:val="bottom"/>
          </w:tcPr>
          <w:p w14:paraId="4FBF5F36" w14:textId="3C99C6D6" w:rsidR="00E317A1" w:rsidRDefault="00E317A1" w:rsidP="00E317A1">
            <w:pPr>
              <w:spacing w:after="0"/>
              <w:ind w:right="173"/>
              <w:jc w:val="right"/>
              <w:rPr>
                <w:rFonts w:ascii="Arial" w:hAnsi="Arial" w:cs="Arial"/>
              </w:rPr>
            </w:pPr>
            <w:r>
              <w:rPr>
                <w:rFonts w:ascii="Arial" w:hAnsi="Arial" w:cs="Arial"/>
              </w:rPr>
              <w:t>9,286,451</w:t>
            </w:r>
          </w:p>
        </w:tc>
      </w:tr>
      <w:tr w:rsidR="00E317A1" w:rsidRPr="00BA56F7" w14:paraId="4EA67F70" w14:textId="77777777" w:rsidTr="00BE28C7">
        <w:tc>
          <w:tcPr>
            <w:tcW w:w="2520" w:type="dxa"/>
            <w:tcBorders>
              <w:left w:val="nil"/>
            </w:tcBorders>
            <w:vAlign w:val="bottom"/>
          </w:tcPr>
          <w:p w14:paraId="713DFF31" w14:textId="77777777" w:rsidR="00E317A1" w:rsidRPr="00BA56F7" w:rsidRDefault="00E317A1" w:rsidP="00E317A1">
            <w:pPr>
              <w:spacing w:after="0"/>
              <w:rPr>
                <w:rFonts w:ascii="Arial" w:hAnsi="Arial" w:cs="Arial"/>
                <w:szCs w:val="20"/>
              </w:rPr>
            </w:pPr>
            <w:r>
              <w:rPr>
                <w:rFonts w:ascii="Arial" w:hAnsi="Arial" w:cs="Arial"/>
                <w:szCs w:val="20"/>
              </w:rPr>
              <w:t>Impairment</w:t>
            </w:r>
          </w:p>
        </w:tc>
        <w:tc>
          <w:tcPr>
            <w:tcW w:w="1260" w:type="dxa"/>
            <w:tcBorders>
              <w:left w:val="nil"/>
            </w:tcBorders>
          </w:tcPr>
          <w:p w14:paraId="72740138" w14:textId="77777777"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675FBC73" w14:textId="77777777"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524FADE9" w14:textId="6320FD1D"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tcBorders>
          </w:tcPr>
          <w:p w14:paraId="5ECD7266" w14:textId="2A3BC70B" w:rsidR="00E317A1" w:rsidRDefault="00E317A1" w:rsidP="00E317A1">
            <w:pPr>
              <w:spacing w:after="0"/>
              <w:jc w:val="right"/>
              <w:rPr>
                <w:rFonts w:ascii="Arial" w:hAnsi="Arial" w:cs="Arial"/>
              </w:rPr>
            </w:pPr>
            <w:r>
              <w:rPr>
                <w:rFonts w:ascii="Arial" w:hAnsi="Arial" w:cs="Arial"/>
              </w:rPr>
              <w:t>(8,202,900)</w:t>
            </w:r>
          </w:p>
        </w:tc>
        <w:tc>
          <w:tcPr>
            <w:tcW w:w="1559" w:type="dxa"/>
            <w:tcBorders>
              <w:left w:val="nil"/>
              <w:right w:val="nil"/>
            </w:tcBorders>
            <w:vAlign w:val="bottom"/>
          </w:tcPr>
          <w:p w14:paraId="0AAA9F1B" w14:textId="77777777" w:rsidR="00E317A1" w:rsidRDefault="00E317A1" w:rsidP="00E317A1">
            <w:pPr>
              <w:spacing w:after="0"/>
              <w:ind w:right="173"/>
              <w:jc w:val="right"/>
              <w:rPr>
                <w:rFonts w:ascii="Arial" w:hAnsi="Arial" w:cs="Arial"/>
              </w:rPr>
            </w:pPr>
            <w:r>
              <w:rPr>
                <w:rFonts w:ascii="Arial" w:hAnsi="Arial" w:cs="Arial"/>
              </w:rPr>
              <w:t>(8,202,900)</w:t>
            </w:r>
          </w:p>
        </w:tc>
      </w:tr>
      <w:tr w:rsidR="00E317A1" w:rsidRPr="00BA56F7" w14:paraId="3AC98B81" w14:textId="77777777" w:rsidTr="00BE28C7">
        <w:tc>
          <w:tcPr>
            <w:tcW w:w="2520" w:type="dxa"/>
            <w:tcBorders>
              <w:left w:val="nil"/>
            </w:tcBorders>
            <w:vAlign w:val="bottom"/>
          </w:tcPr>
          <w:p w14:paraId="6473C11B" w14:textId="77777777" w:rsidR="00E317A1" w:rsidRPr="00BA56F7" w:rsidRDefault="00E317A1" w:rsidP="00E317A1">
            <w:pPr>
              <w:spacing w:after="0"/>
              <w:rPr>
                <w:rFonts w:ascii="Arial" w:hAnsi="Arial" w:cs="Arial"/>
                <w:szCs w:val="20"/>
              </w:rPr>
            </w:pPr>
            <w:r>
              <w:rPr>
                <w:rFonts w:ascii="Arial" w:hAnsi="Arial" w:cs="Arial"/>
                <w:szCs w:val="20"/>
              </w:rPr>
              <w:t>Effect of foreign exchange rate changes</w:t>
            </w:r>
          </w:p>
        </w:tc>
        <w:tc>
          <w:tcPr>
            <w:tcW w:w="1260" w:type="dxa"/>
            <w:tcBorders>
              <w:left w:val="nil"/>
            </w:tcBorders>
          </w:tcPr>
          <w:p w14:paraId="3275E792" w14:textId="77777777" w:rsidR="00E317A1" w:rsidRDefault="00E317A1" w:rsidP="00E317A1">
            <w:pPr>
              <w:spacing w:after="0"/>
              <w:jc w:val="right"/>
              <w:rPr>
                <w:rFonts w:ascii="Arial" w:hAnsi="Arial" w:cs="Arial"/>
              </w:rPr>
            </w:pPr>
          </w:p>
          <w:p w14:paraId="47C40558" w14:textId="6CBD3A63"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639F2E39" w14:textId="77777777" w:rsidR="00E317A1" w:rsidRDefault="00E317A1" w:rsidP="00E317A1">
            <w:pPr>
              <w:spacing w:after="0"/>
              <w:jc w:val="right"/>
              <w:rPr>
                <w:rFonts w:ascii="Arial" w:hAnsi="Arial" w:cs="Arial"/>
              </w:rPr>
            </w:pPr>
          </w:p>
          <w:p w14:paraId="460DE752" w14:textId="1081EE49"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251ACEF2" w14:textId="77777777" w:rsidR="00E317A1" w:rsidRDefault="00E317A1" w:rsidP="00E317A1">
            <w:pPr>
              <w:spacing w:after="0"/>
              <w:jc w:val="right"/>
              <w:rPr>
                <w:rFonts w:ascii="Arial" w:hAnsi="Arial" w:cs="Arial"/>
              </w:rPr>
            </w:pPr>
          </w:p>
          <w:p w14:paraId="1CB9231B" w14:textId="4B94C372"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tcBorders>
          </w:tcPr>
          <w:p w14:paraId="7A814082" w14:textId="77777777" w:rsidR="00E317A1" w:rsidRDefault="00E317A1" w:rsidP="00E317A1">
            <w:pPr>
              <w:spacing w:after="0"/>
              <w:jc w:val="right"/>
              <w:rPr>
                <w:rFonts w:ascii="Arial" w:hAnsi="Arial" w:cs="Arial"/>
              </w:rPr>
            </w:pPr>
          </w:p>
          <w:p w14:paraId="1E701347" w14:textId="03980840" w:rsidR="00E317A1" w:rsidRDefault="00E317A1" w:rsidP="00E317A1">
            <w:pPr>
              <w:spacing w:after="0"/>
              <w:jc w:val="right"/>
              <w:rPr>
                <w:rFonts w:ascii="Arial" w:hAnsi="Arial" w:cs="Arial"/>
              </w:rPr>
            </w:pPr>
            <w:r>
              <w:rPr>
                <w:rFonts w:ascii="Arial" w:hAnsi="Arial" w:cs="Arial"/>
              </w:rPr>
              <w:t>65,623</w:t>
            </w:r>
          </w:p>
        </w:tc>
        <w:tc>
          <w:tcPr>
            <w:tcW w:w="1559" w:type="dxa"/>
            <w:tcBorders>
              <w:left w:val="nil"/>
              <w:right w:val="nil"/>
            </w:tcBorders>
            <w:vAlign w:val="bottom"/>
          </w:tcPr>
          <w:p w14:paraId="4CA04024" w14:textId="77777777" w:rsidR="00E317A1" w:rsidRDefault="00E317A1" w:rsidP="00E317A1">
            <w:pPr>
              <w:spacing w:after="0"/>
              <w:ind w:right="173"/>
              <w:jc w:val="right"/>
              <w:rPr>
                <w:rFonts w:ascii="Arial" w:hAnsi="Arial" w:cs="Arial"/>
                <w:szCs w:val="20"/>
              </w:rPr>
            </w:pPr>
            <w:r>
              <w:rPr>
                <w:rFonts w:ascii="Arial" w:hAnsi="Arial" w:cs="Arial"/>
              </w:rPr>
              <w:t>65,623</w:t>
            </w:r>
          </w:p>
        </w:tc>
      </w:tr>
      <w:tr w:rsidR="00E317A1" w:rsidRPr="00BA56F7" w14:paraId="1A547725" w14:textId="77777777" w:rsidTr="00BE28C7">
        <w:trPr>
          <w:trHeight w:hRule="exact" w:val="86"/>
        </w:trPr>
        <w:tc>
          <w:tcPr>
            <w:tcW w:w="2520" w:type="dxa"/>
            <w:tcBorders>
              <w:top w:val="single" w:sz="4" w:space="0" w:color="auto"/>
              <w:left w:val="nil"/>
            </w:tcBorders>
            <w:vAlign w:val="bottom"/>
          </w:tcPr>
          <w:p w14:paraId="60F9B951" w14:textId="77777777" w:rsidR="00E317A1" w:rsidRPr="00BA56F7" w:rsidRDefault="00E317A1" w:rsidP="00E317A1">
            <w:pPr>
              <w:spacing w:after="0"/>
              <w:rPr>
                <w:rFonts w:ascii="Arial" w:hAnsi="Arial" w:cs="Arial"/>
                <w:szCs w:val="20"/>
              </w:rPr>
            </w:pPr>
          </w:p>
        </w:tc>
        <w:tc>
          <w:tcPr>
            <w:tcW w:w="1260" w:type="dxa"/>
            <w:tcBorders>
              <w:top w:val="single" w:sz="4" w:space="0" w:color="auto"/>
              <w:left w:val="nil"/>
            </w:tcBorders>
          </w:tcPr>
          <w:p w14:paraId="67473004" w14:textId="77777777" w:rsidR="00E317A1" w:rsidRPr="00BA56F7" w:rsidRDefault="00E317A1" w:rsidP="00E317A1">
            <w:pPr>
              <w:spacing w:after="0"/>
              <w:jc w:val="right"/>
              <w:rPr>
                <w:rFonts w:ascii="Arial" w:hAnsi="Arial" w:cs="Arial"/>
                <w:szCs w:val="20"/>
              </w:rPr>
            </w:pPr>
          </w:p>
        </w:tc>
        <w:tc>
          <w:tcPr>
            <w:tcW w:w="1350" w:type="dxa"/>
            <w:tcBorders>
              <w:top w:val="single" w:sz="4" w:space="0" w:color="auto"/>
              <w:left w:val="nil"/>
              <w:right w:val="nil"/>
            </w:tcBorders>
          </w:tcPr>
          <w:p w14:paraId="3109F042" w14:textId="77777777" w:rsidR="00E317A1" w:rsidRPr="00BA56F7" w:rsidRDefault="00E317A1" w:rsidP="00E317A1">
            <w:pPr>
              <w:spacing w:after="0"/>
              <w:jc w:val="right"/>
              <w:rPr>
                <w:rFonts w:ascii="Arial" w:hAnsi="Arial" w:cs="Arial"/>
                <w:szCs w:val="20"/>
              </w:rPr>
            </w:pPr>
          </w:p>
        </w:tc>
        <w:tc>
          <w:tcPr>
            <w:tcW w:w="1350" w:type="dxa"/>
            <w:tcBorders>
              <w:top w:val="single" w:sz="4" w:space="0" w:color="auto"/>
              <w:left w:val="nil"/>
              <w:right w:val="nil"/>
            </w:tcBorders>
          </w:tcPr>
          <w:p w14:paraId="455044FA" w14:textId="77777777" w:rsidR="00E317A1" w:rsidRPr="00BA56F7" w:rsidRDefault="00E317A1" w:rsidP="00E317A1">
            <w:pPr>
              <w:spacing w:after="0"/>
              <w:jc w:val="right"/>
              <w:rPr>
                <w:rFonts w:ascii="Arial" w:hAnsi="Arial" w:cs="Arial"/>
                <w:szCs w:val="20"/>
              </w:rPr>
            </w:pPr>
          </w:p>
        </w:tc>
        <w:tc>
          <w:tcPr>
            <w:tcW w:w="1350" w:type="dxa"/>
            <w:tcBorders>
              <w:top w:val="single" w:sz="4" w:space="0" w:color="auto"/>
              <w:left w:val="nil"/>
            </w:tcBorders>
          </w:tcPr>
          <w:p w14:paraId="6552CF8B" w14:textId="05847384" w:rsidR="00E317A1" w:rsidRPr="00BA56F7" w:rsidRDefault="00E317A1" w:rsidP="00E317A1">
            <w:pPr>
              <w:spacing w:after="0"/>
              <w:jc w:val="right"/>
              <w:rPr>
                <w:rFonts w:ascii="Arial" w:hAnsi="Arial" w:cs="Arial"/>
                <w:szCs w:val="20"/>
              </w:rPr>
            </w:pPr>
          </w:p>
        </w:tc>
        <w:tc>
          <w:tcPr>
            <w:tcW w:w="1559" w:type="dxa"/>
            <w:tcBorders>
              <w:top w:val="single" w:sz="4" w:space="0" w:color="auto"/>
              <w:left w:val="nil"/>
              <w:right w:val="nil"/>
            </w:tcBorders>
            <w:vAlign w:val="bottom"/>
          </w:tcPr>
          <w:p w14:paraId="34F0F0D9" w14:textId="77777777" w:rsidR="00E317A1" w:rsidRPr="00BA56F7" w:rsidRDefault="00E317A1" w:rsidP="00E317A1">
            <w:pPr>
              <w:spacing w:after="0"/>
              <w:ind w:right="173"/>
              <w:jc w:val="right"/>
              <w:rPr>
                <w:rFonts w:ascii="Arial" w:hAnsi="Arial" w:cs="Arial"/>
                <w:szCs w:val="20"/>
              </w:rPr>
            </w:pPr>
          </w:p>
        </w:tc>
      </w:tr>
      <w:tr w:rsidR="00E317A1" w:rsidRPr="00BA56F7" w14:paraId="0675DA54" w14:textId="77777777" w:rsidTr="00BE28C7">
        <w:tc>
          <w:tcPr>
            <w:tcW w:w="2520" w:type="dxa"/>
            <w:tcBorders>
              <w:left w:val="nil"/>
            </w:tcBorders>
            <w:vAlign w:val="bottom"/>
          </w:tcPr>
          <w:p w14:paraId="356B96C4" w14:textId="77777777" w:rsidR="00E317A1" w:rsidRPr="00BA56F7" w:rsidRDefault="00E317A1" w:rsidP="00E317A1">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2020</w:t>
            </w:r>
          </w:p>
        </w:tc>
        <w:tc>
          <w:tcPr>
            <w:tcW w:w="1260" w:type="dxa"/>
            <w:tcBorders>
              <w:left w:val="nil"/>
            </w:tcBorders>
          </w:tcPr>
          <w:p w14:paraId="7B83AC40" w14:textId="77777777" w:rsidR="00E317A1" w:rsidRDefault="00E317A1" w:rsidP="00E317A1">
            <w:pPr>
              <w:spacing w:after="0"/>
              <w:jc w:val="right"/>
              <w:rPr>
                <w:rFonts w:ascii="Arial" w:hAnsi="Arial" w:cs="Arial"/>
              </w:rPr>
            </w:pPr>
            <w:r>
              <w:rPr>
                <w:rFonts w:ascii="Arial" w:hAnsi="Arial" w:cs="Arial"/>
              </w:rPr>
              <w:t>319,174</w:t>
            </w:r>
          </w:p>
        </w:tc>
        <w:tc>
          <w:tcPr>
            <w:tcW w:w="1350" w:type="dxa"/>
            <w:tcBorders>
              <w:left w:val="nil"/>
              <w:right w:val="nil"/>
            </w:tcBorders>
          </w:tcPr>
          <w:p w14:paraId="0574054B" w14:textId="77777777" w:rsidR="00E317A1" w:rsidRDefault="00E317A1" w:rsidP="00E317A1">
            <w:pPr>
              <w:spacing w:after="0"/>
              <w:jc w:val="right"/>
              <w:rPr>
                <w:rFonts w:ascii="Arial" w:hAnsi="Arial" w:cs="Arial"/>
              </w:rPr>
            </w:pPr>
            <w:r>
              <w:rPr>
                <w:rFonts w:ascii="Arial" w:hAnsi="Arial" w:cs="Arial"/>
              </w:rPr>
              <w:t>830,000</w:t>
            </w:r>
          </w:p>
        </w:tc>
        <w:tc>
          <w:tcPr>
            <w:tcW w:w="1350" w:type="dxa"/>
            <w:tcBorders>
              <w:left w:val="nil"/>
              <w:right w:val="nil"/>
            </w:tcBorders>
          </w:tcPr>
          <w:p w14:paraId="5E4FFB86" w14:textId="049AC832" w:rsidR="00E317A1" w:rsidRPr="00BA56F7" w:rsidRDefault="00E317A1" w:rsidP="00E317A1">
            <w:pPr>
              <w:spacing w:after="0"/>
              <w:jc w:val="right"/>
              <w:rPr>
                <w:rFonts w:ascii="Arial" w:hAnsi="Arial" w:cs="Arial"/>
              </w:rPr>
            </w:pPr>
            <w:r w:rsidRPr="00BA56F7">
              <w:rPr>
                <w:rFonts w:ascii="Arial" w:hAnsi="Arial" w:cs="Arial"/>
              </w:rPr>
              <w:t>–</w:t>
            </w:r>
          </w:p>
        </w:tc>
        <w:tc>
          <w:tcPr>
            <w:tcW w:w="1350" w:type="dxa"/>
            <w:tcBorders>
              <w:left w:val="nil"/>
            </w:tcBorders>
          </w:tcPr>
          <w:p w14:paraId="4EFBD368" w14:textId="3373033D" w:rsidR="00E317A1" w:rsidRDefault="00E317A1" w:rsidP="00E317A1">
            <w:pPr>
              <w:spacing w:after="0"/>
              <w:jc w:val="right"/>
              <w:rPr>
                <w:rFonts w:ascii="Arial" w:hAnsi="Arial" w:cs="Arial"/>
              </w:rPr>
            </w:pPr>
            <w:r w:rsidRPr="00BA56F7">
              <w:rPr>
                <w:rFonts w:ascii="Arial" w:hAnsi="Arial" w:cs="Arial"/>
              </w:rPr>
              <w:t>–</w:t>
            </w:r>
          </w:p>
        </w:tc>
        <w:tc>
          <w:tcPr>
            <w:tcW w:w="1559" w:type="dxa"/>
            <w:tcBorders>
              <w:left w:val="nil"/>
              <w:right w:val="nil"/>
            </w:tcBorders>
            <w:vAlign w:val="bottom"/>
          </w:tcPr>
          <w:p w14:paraId="2DEA095C" w14:textId="77777777" w:rsidR="00E317A1" w:rsidRDefault="00E317A1" w:rsidP="00E317A1">
            <w:pPr>
              <w:spacing w:after="0"/>
              <w:ind w:right="173"/>
              <w:jc w:val="right"/>
              <w:rPr>
                <w:rFonts w:ascii="Arial" w:hAnsi="Arial" w:cs="Arial"/>
                <w:szCs w:val="20"/>
              </w:rPr>
            </w:pPr>
            <w:r>
              <w:rPr>
                <w:rFonts w:ascii="Arial" w:hAnsi="Arial" w:cs="Arial"/>
                <w:szCs w:val="20"/>
              </w:rPr>
              <w:t>1,149,174</w:t>
            </w:r>
          </w:p>
        </w:tc>
      </w:tr>
      <w:tr w:rsidR="00E317A1" w:rsidRPr="00BA56F7" w14:paraId="4E1E9FBE" w14:textId="1B23CA17" w:rsidTr="00BE28C7">
        <w:tc>
          <w:tcPr>
            <w:tcW w:w="2520" w:type="dxa"/>
            <w:tcBorders>
              <w:left w:val="nil"/>
            </w:tcBorders>
            <w:vAlign w:val="bottom"/>
          </w:tcPr>
          <w:p w14:paraId="0C00D6BA" w14:textId="3439A0C9" w:rsidR="00E317A1" w:rsidRPr="00BA56F7" w:rsidRDefault="00E317A1" w:rsidP="00E317A1">
            <w:pPr>
              <w:spacing w:after="0"/>
              <w:rPr>
                <w:rFonts w:ascii="Arial" w:hAnsi="Arial" w:cs="Arial"/>
                <w:szCs w:val="20"/>
              </w:rPr>
            </w:pPr>
            <w:r>
              <w:rPr>
                <w:rFonts w:ascii="Arial" w:hAnsi="Arial" w:cs="Arial"/>
                <w:szCs w:val="20"/>
              </w:rPr>
              <w:t>Addition (Note 4)</w:t>
            </w:r>
          </w:p>
        </w:tc>
        <w:tc>
          <w:tcPr>
            <w:tcW w:w="1260" w:type="dxa"/>
            <w:tcBorders>
              <w:left w:val="nil"/>
            </w:tcBorders>
          </w:tcPr>
          <w:p w14:paraId="173A63C8" w14:textId="289D47AF"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3612AAB3" w14:textId="057DE5A6" w:rsidR="00E317A1" w:rsidRDefault="00E317A1" w:rsidP="00E317A1">
            <w:pPr>
              <w:spacing w:after="0"/>
              <w:jc w:val="right"/>
              <w:rPr>
                <w:rFonts w:ascii="Arial" w:hAnsi="Arial" w:cs="Arial"/>
              </w:rPr>
            </w:pPr>
            <w:r w:rsidRPr="00BA56F7">
              <w:rPr>
                <w:rFonts w:ascii="Arial" w:hAnsi="Arial" w:cs="Arial"/>
              </w:rPr>
              <w:t>–</w:t>
            </w:r>
          </w:p>
        </w:tc>
        <w:tc>
          <w:tcPr>
            <w:tcW w:w="1350" w:type="dxa"/>
            <w:tcBorders>
              <w:left w:val="nil"/>
              <w:right w:val="nil"/>
            </w:tcBorders>
          </w:tcPr>
          <w:p w14:paraId="37B1670D" w14:textId="089A8572" w:rsidR="00E317A1" w:rsidRPr="00BA56F7" w:rsidRDefault="00E317A1" w:rsidP="00E317A1">
            <w:pPr>
              <w:spacing w:after="0"/>
              <w:jc w:val="right"/>
              <w:rPr>
                <w:rFonts w:ascii="Arial" w:hAnsi="Arial" w:cs="Arial"/>
              </w:rPr>
            </w:pPr>
            <w:r>
              <w:rPr>
                <w:rFonts w:ascii="Arial" w:hAnsi="Arial" w:cs="Arial"/>
              </w:rPr>
              <w:t>86,492</w:t>
            </w:r>
          </w:p>
        </w:tc>
        <w:tc>
          <w:tcPr>
            <w:tcW w:w="1350" w:type="dxa"/>
            <w:tcBorders>
              <w:left w:val="nil"/>
            </w:tcBorders>
          </w:tcPr>
          <w:p w14:paraId="052B73F7" w14:textId="3D711EA5" w:rsidR="00E317A1" w:rsidRDefault="00E317A1" w:rsidP="00E317A1">
            <w:pPr>
              <w:spacing w:after="0"/>
              <w:jc w:val="right"/>
              <w:rPr>
                <w:rFonts w:ascii="Arial" w:hAnsi="Arial" w:cs="Arial"/>
              </w:rPr>
            </w:pPr>
            <w:r w:rsidRPr="00BA56F7">
              <w:rPr>
                <w:rFonts w:ascii="Arial" w:hAnsi="Arial" w:cs="Arial"/>
              </w:rPr>
              <w:t>–</w:t>
            </w:r>
          </w:p>
        </w:tc>
        <w:tc>
          <w:tcPr>
            <w:tcW w:w="1559" w:type="dxa"/>
            <w:tcBorders>
              <w:left w:val="nil"/>
              <w:right w:val="nil"/>
            </w:tcBorders>
            <w:vAlign w:val="bottom"/>
          </w:tcPr>
          <w:p w14:paraId="57F53ADE" w14:textId="21A8AAF5" w:rsidR="00E317A1" w:rsidRDefault="00E317A1" w:rsidP="00E317A1">
            <w:pPr>
              <w:spacing w:after="0"/>
              <w:ind w:right="173"/>
              <w:jc w:val="right"/>
              <w:rPr>
                <w:rFonts w:ascii="Arial" w:hAnsi="Arial" w:cs="Arial"/>
              </w:rPr>
            </w:pPr>
            <w:r>
              <w:rPr>
                <w:rFonts w:ascii="Arial" w:hAnsi="Arial" w:cs="Arial"/>
              </w:rPr>
              <w:t>86,492</w:t>
            </w:r>
          </w:p>
        </w:tc>
      </w:tr>
      <w:tr w:rsidR="00E317A1" w:rsidRPr="00BA56F7" w14:paraId="4F73A4FD" w14:textId="06778380" w:rsidTr="00BE28C7">
        <w:trPr>
          <w:trHeight w:hRule="exact" w:val="86"/>
        </w:trPr>
        <w:tc>
          <w:tcPr>
            <w:tcW w:w="2520" w:type="dxa"/>
            <w:tcBorders>
              <w:top w:val="single" w:sz="4" w:space="0" w:color="auto"/>
              <w:left w:val="nil"/>
            </w:tcBorders>
            <w:vAlign w:val="bottom"/>
          </w:tcPr>
          <w:p w14:paraId="15B31C51" w14:textId="77777777" w:rsidR="00E317A1" w:rsidRPr="00BA56F7" w:rsidRDefault="00E317A1" w:rsidP="00E317A1">
            <w:pPr>
              <w:spacing w:after="0"/>
              <w:rPr>
                <w:rFonts w:ascii="Arial" w:hAnsi="Arial" w:cs="Arial"/>
                <w:szCs w:val="20"/>
              </w:rPr>
            </w:pPr>
          </w:p>
        </w:tc>
        <w:tc>
          <w:tcPr>
            <w:tcW w:w="1260" w:type="dxa"/>
            <w:tcBorders>
              <w:top w:val="single" w:sz="4" w:space="0" w:color="auto"/>
              <w:left w:val="nil"/>
            </w:tcBorders>
          </w:tcPr>
          <w:p w14:paraId="57F9147F" w14:textId="77777777" w:rsidR="00E317A1" w:rsidRPr="00BA56F7" w:rsidRDefault="00E317A1" w:rsidP="00E317A1">
            <w:pPr>
              <w:spacing w:after="0"/>
              <w:jc w:val="right"/>
              <w:rPr>
                <w:rFonts w:ascii="Arial" w:hAnsi="Arial" w:cs="Arial"/>
                <w:szCs w:val="20"/>
              </w:rPr>
            </w:pPr>
          </w:p>
        </w:tc>
        <w:tc>
          <w:tcPr>
            <w:tcW w:w="1350" w:type="dxa"/>
            <w:tcBorders>
              <w:top w:val="single" w:sz="4" w:space="0" w:color="auto"/>
              <w:left w:val="nil"/>
              <w:right w:val="nil"/>
            </w:tcBorders>
          </w:tcPr>
          <w:p w14:paraId="1F9F2296" w14:textId="7FED91A3" w:rsidR="00E317A1" w:rsidRPr="00BA56F7" w:rsidRDefault="00E317A1" w:rsidP="00E317A1">
            <w:pPr>
              <w:spacing w:after="0"/>
              <w:jc w:val="right"/>
              <w:rPr>
                <w:rFonts w:ascii="Arial" w:hAnsi="Arial" w:cs="Arial"/>
                <w:szCs w:val="20"/>
              </w:rPr>
            </w:pPr>
          </w:p>
        </w:tc>
        <w:tc>
          <w:tcPr>
            <w:tcW w:w="1350" w:type="dxa"/>
            <w:tcBorders>
              <w:top w:val="single" w:sz="4" w:space="0" w:color="auto"/>
              <w:left w:val="nil"/>
              <w:right w:val="nil"/>
            </w:tcBorders>
          </w:tcPr>
          <w:p w14:paraId="6425E0BA" w14:textId="77777777" w:rsidR="00E317A1" w:rsidRPr="00BA56F7" w:rsidRDefault="00E317A1" w:rsidP="00E317A1">
            <w:pPr>
              <w:spacing w:after="0"/>
              <w:jc w:val="right"/>
              <w:rPr>
                <w:rFonts w:ascii="Arial" w:hAnsi="Arial" w:cs="Arial"/>
                <w:szCs w:val="20"/>
              </w:rPr>
            </w:pPr>
          </w:p>
        </w:tc>
        <w:tc>
          <w:tcPr>
            <w:tcW w:w="1350" w:type="dxa"/>
            <w:tcBorders>
              <w:top w:val="single" w:sz="4" w:space="0" w:color="auto"/>
              <w:left w:val="nil"/>
            </w:tcBorders>
          </w:tcPr>
          <w:p w14:paraId="00F5FB94" w14:textId="1B1A89D1" w:rsidR="00E317A1" w:rsidRPr="00BA56F7" w:rsidRDefault="00E317A1" w:rsidP="00E317A1">
            <w:pPr>
              <w:spacing w:after="0"/>
              <w:jc w:val="right"/>
              <w:rPr>
                <w:rFonts w:ascii="Arial" w:hAnsi="Arial" w:cs="Arial"/>
                <w:szCs w:val="20"/>
              </w:rPr>
            </w:pPr>
          </w:p>
        </w:tc>
        <w:tc>
          <w:tcPr>
            <w:tcW w:w="1559" w:type="dxa"/>
            <w:tcBorders>
              <w:top w:val="single" w:sz="4" w:space="0" w:color="auto"/>
              <w:left w:val="nil"/>
              <w:right w:val="nil"/>
            </w:tcBorders>
            <w:vAlign w:val="bottom"/>
          </w:tcPr>
          <w:p w14:paraId="7DD71AB8" w14:textId="77777777" w:rsidR="00E317A1" w:rsidRPr="00BA56F7" w:rsidRDefault="00E317A1" w:rsidP="00E317A1">
            <w:pPr>
              <w:spacing w:after="0"/>
              <w:ind w:right="173"/>
              <w:jc w:val="right"/>
              <w:rPr>
                <w:rFonts w:ascii="Arial" w:hAnsi="Arial" w:cs="Arial"/>
                <w:szCs w:val="20"/>
              </w:rPr>
            </w:pPr>
          </w:p>
        </w:tc>
      </w:tr>
      <w:tr w:rsidR="00E317A1" w:rsidRPr="00BA56F7" w14:paraId="31A1B3B7" w14:textId="403DC386" w:rsidTr="002578B6">
        <w:trPr>
          <w:trHeight w:val="333"/>
        </w:trPr>
        <w:tc>
          <w:tcPr>
            <w:tcW w:w="2520" w:type="dxa"/>
            <w:tcBorders>
              <w:left w:val="nil"/>
              <w:bottom w:val="single" w:sz="12" w:space="0" w:color="auto"/>
            </w:tcBorders>
            <w:vAlign w:val="bottom"/>
          </w:tcPr>
          <w:p w14:paraId="228D6E4E" w14:textId="5C72E1E1" w:rsidR="00E317A1" w:rsidRPr="00BA56F7" w:rsidRDefault="00E317A1" w:rsidP="00E317A1">
            <w:pPr>
              <w:spacing w:after="0"/>
              <w:rPr>
                <w:rFonts w:ascii="Arial" w:hAnsi="Arial" w:cs="Arial"/>
                <w:szCs w:val="20"/>
              </w:rPr>
            </w:pPr>
            <w:r w:rsidRPr="00BA56F7">
              <w:rPr>
                <w:rFonts w:ascii="Arial" w:hAnsi="Arial" w:cs="Arial"/>
                <w:szCs w:val="20"/>
              </w:rPr>
              <w:t xml:space="preserve">Balance, </w:t>
            </w:r>
            <w:r w:rsidR="0032261B">
              <w:rPr>
                <w:rFonts w:ascii="Arial" w:hAnsi="Arial" w:cs="Arial"/>
                <w:szCs w:val="20"/>
              </w:rPr>
              <w:t>April 30</w:t>
            </w:r>
            <w:r>
              <w:rPr>
                <w:rFonts w:ascii="Arial" w:hAnsi="Arial" w:cs="Arial"/>
                <w:szCs w:val="20"/>
              </w:rPr>
              <w:t>, 2020</w:t>
            </w:r>
          </w:p>
        </w:tc>
        <w:tc>
          <w:tcPr>
            <w:tcW w:w="1260" w:type="dxa"/>
            <w:tcBorders>
              <w:left w:val="nil"/>
              <w:bottom w:val="single" w:sz="12" w:space="0" w:color="auto"/>
            </w:tcBorders>
          </w:tcPr>
          <w:p w14:paraId="16059C87" w14:textId="17659E50" w:rsidR="00E317A1" w:rsidRDefault="00E317A1" w:rsidP="00E317A1">
            <w:pPr>
              <w:spacing w:after="0"/>
              <w:jc w:val="right"/>
              <w:rPr>
                <w:rFonts w:ascii="Arial" w:hAnsi="Arial" w:cs="Arial"/>
              </w:rPr>
            </w:pPr>
            <w:r>
              <w:rPr>
                <w:rFonts w:ascii="Arial" w:hAnsi="Arial" w:cs="Arial"/>
              </w:rPr>
              <w:t>319,174</w:t>
            </w:r>
          </w:p>
        </w:tc>
        <w:tc>
          <w:tcPr>
            <w:tcW w:w="1350" w:type="dxa"/>
            <w:tcBorders>
              <w:left w:val="nil"/>
              <w:bottom w:val="single" w:sz="12" w:space="0" w:color="auto"/>
              <w:right w:val="nil"/>
            </w:tcBorders>
          </w:tcPr>
          <w:p w14:paraId="60454926" w14:textId="38D39DED" w:rsidR="00E317A1" w:rsidRDefault="00E317A1" w:rsidP="00E317A1">
            <w:pPr>
              <w:spacing w:after="0"/>
              <w:jc w:val="right"/>
              <w:rPr>
                <w:rFonts w:ascii="Arial" w:hAnsi="Arial" w:cs="Arial"/>
              </w:rPr>
            </w:pPr>
            <w:r>
              <w:rPr>
                <w:rFonts w:ascii="Arial" w:hAnsi="Arial" w:cs="Arial"/>
              </w:rPr>
              <w:t>830,000</w:t>
            </w:r>
          </w:p>
        </w:tc>
        <w:tc>
          <w:tcPr>
            <w:tcW w:w="1350" w:type="dxa"/>
            <w:tcBorders>
              <w:left w:val="nil"/>
              <w:bottom w:val="single" w:sz="12" w:space="0" w:color="auto"/>
              <w:right w:val="nil"/>
            </w:tcBorders>
          </w:tcPr>
          <w:p w14:paraId="41BEC62A" w14:textId="0B3D291A" w:rsidR="00E317A1" w:rsidRPr="00BA56F7" w:rsidRDefault="00E317A1" w:rsidP="00E317A1">
            <w:pPr>
              <w:spacing w:after="0"/>
              <w:jc w:val="right"/>
              <w:rPr>
                <w:rFonts w:ascii="Arial" w:hAnsi="Arial" w:cs="Arial"/>
              </w:rPr>
            </w:pPr>
            <w:r>
              <w:rPr>
                <w:rFonts w:ascii="Arial" w:hAnsi="Arial" w:cs="Arial"/>
              </w:rPr>
              <w:t>86,492</w:t>
            </w:r>
          </w:p>
        </w:tc>
        <w:tc>
          <w:tcPr>
            <w:tcW w:w="1350" w:type="dxa"/>
            <w:tcBorders>
              <w:left w:val="nil"/>
              <w:bottom w:val="single" w:sz="12" w:space="0" w:color="auto"/>
            </w:tcBorders>
          </w:tcPr>
          <w:p w14:paraId="46DD9213" w14:textId="1C2B3C8E" w:rsidR="00E317A1" w:rsidRDefault="00E317A1" w:rsidP="00E317A1">
            <w:pPr>
              <w:spacing w:after="0"/>
              <w:jc w:val="right"/>
              <w:rPr>
                <w:rFonts w:ascii="Arial" w:hAnsi="Arial" w:cs="Arial"/>
              </w:rPr>
            </w:pPr>
            <w:r w:rsidRPr="00BA56F7">
              <w:rPr>
                <w:rFonts w:ascii="Arial" w:hAnsi="Arial" w:cs="Arial"/>
              </w:rPr>
              <w:t>–</w:t>
            </w:r>
          </w:p>
        </w:tc>
        <w:tc>
          <w:tcPr>
            <w:tcW w:w="1559" w:type="dxa"/>
            <w:tcBorders>
              <w:left w:val="nil"/>
              <w:bottom w:val="single" w:sz="12" w:space="0" w:color="auto"/>
              <w:right w:val="nil"/>
            </w:tcBorders>
            <w:vAlign w:val="bottom"/>
          </w:tcPr>
          <w:p w14:paraId="01E9E125" w14:textId="7728EE1A" w:rsidR="00E317A1" w:rsidRDefault="00E317A1" w:rsidP="00E317A1">
            <w:pPr>
              <w:spacing w:after="0"/>
              <w:ind w:right="173"/>
              <w:jc w:val="right"/>
              <w:rPr>
                <w:rFonts w:ascii="Arial" w:hAnsi="Arial" w:cs="Arial"/>
                <w:szCs w:val="20"/>
              </w:rPr>
            </w:pPr>
            <w:r>
              <w:rPr>
                <w:rFonts w:ascii="Arial" w:hAnsi="Arial" w:cs="Arial"/>
                <w:szCs w:val="20"/>
              </w:rPr>
              <w:t>1,235,666</w:t>
            </w:r>
          </w:p>
        </w:tc>
      </w:tr>
    </w:tbl>
    <w:p w14:paraId="49119A15" w14:textId="5F7A46E7" w:rsidR="002578B6" w:rsidRDefault="002578B6" w:rsidP="00F15B99">
      <w:pPr>
        <w:tabs>
          <w:tab w:val="left" w:pos="450"/>
        </w:tabs>
        <w:spacing w:after="0" w:line="240" w:lineRule="auto"/>
        <w:jc w:val="both"/>
        <w:rPr>
          <w:rFonts w:ascii="Arial" w:hAnsi="Arial" w:cs="Arial"/>
          <w:b/>
          <w:szCs w:val="20"/>
        </w:rPr>
      </w:pPr>
    </w:p>
    <w:p w14:paraId="4AB09658" w14:textId="77777777" w:rsidR="002578B6" w:rsidRDefault="002578B6">
      <w:pPr>
        <w:rPr>
          <w:rFonts w:ascii="Arial" w:hAnsi="Arial" w:cs="Arial"/>
          <w:b/>
          <w:szCs w:val="20"/>
        </w:rPr>
      </w:pPr>
      <w:r>
        <w:rPr>
          <w:rFonts w:ascii="Arial" w:hAnsi="Arial" w:cs="Arial"/>
          <w:b/>
          <w:szCs w:val="20"/>
        </w:rPr>
        <w:br w:type="page"/>
      </w:r>
    </w:p>
    <w:p w14:paraId="00A993A8" w14:textId="2B4D2C7E" w:rsidR="002578B6" w:rsidRPr="002578B6" w:rsidRDefault="002578B6" w:rsidP="002578B6">
      <w:pPr>
        <w:tabs>
          <w:tab w:val="left" w:pos="450"/>
        </w:tabs>
        <w:spacing w:after="0" w:line="240" w:lineRule="auto"/>
        <w:jc w:val="both"/>
        <w:rPr>
          <w:rFonts w:ascii="Arial" w:hAnsi="Arial" w:cs="Arial"/>
          <w:bCs/>
          <w:szCs w:val="20"/>
        </w:rPr>
      </w:pPr>
      <w:r>
        <w:rPr>
          <w:rFonts w:ascii="Arial" w:hAnsi="Arial" w:cs="Arial"/>
          <w:b/>
          <w:szCs w:val="20"/>
        </w:rPr>
        <w:lastRenderedPageBreak/>
        <w:t>8</w:t>
      </w:r>
      <w:r w:rsidRPr="00BA56F7">
        <w:rPr>
          <w:rFonts w:ascii="Arial" w:hAnsi="Arial" w:cs="Arial"/>
          <w:b/>
          <w:szCs w:val="20"/>
        </w:rPr>
        <w:t xml:space="preserve">.    </w:t>
      </w:r>
      <w:r w:rsidRPr="00BA56F7">
        <w:rPr>
          <w:rFonts w:ascii="Arial" w:hAnsi="Arial" w:cs="Arial"/>
          <w:b/>
          <w:szCs w:val="20"/>
        </w:rPr>
        <w:tab/>
        <w:t>Intangible Asset</w:t>
      </w:r>
      <w:r>
        <w:rPr>
          <w:rFonts w:ascii="Arial" w:hAnsi="Arial" w:cs="Arial"/>
          <w:b/>
          <w:szCs w:val="20"/>
        </w:rPr>
        <w:t>s</w:t>
      </w:r>
      <w:r>
        <w:rPr>
          <w:rFonts w:ascii="Arial" w:hAnsi="Arial" w:cs="Arial"/>
          <w:b/>
          <w:szCs w:val="20"/>
        </w:rPr>
        <w:t xml:space="preserve"> </w:t>
      </w:r>
      <w:r>
        <w:rPr>
          <w:rFonts w:ascii="Arial" w:hAnsi="Arial" w:cs="Arial"/>
          <w:bCs/>
          <w:szCs w:val="20"/>
        </w:rPr>
        <w:t>(continued)</w:t>
      </w:r>
    </w:p>
    <w:p w14:paraId="70FEF929" w14:textId="77777777" w:rsidR="002578B6" w:rsidRDefault="002578B6" w:rsidP="00F15B99">
      <w:pPr>
        <w:tabs>
          <w:tab w:val="left" w:pos="450"/>
        </w:tabs>
        <w:spacing w:after="0" w:line="240" w:lineRule="auto"/>
        <w:jc w:val="both"/>
        <w:rPr>
          <w:rFonts w:ascii="Arial" w:hAnsi="Arial" w:cs="Arial"/>
          <w:b/>
          <w:szCs w:val="20"/>
        </w:rPr>
      </w:pPr>
    </w:p>
    <w:tbl>
      <w:tblPr>
        <w:tblW w:w="9380" w:type="dxa"/>
        <w:tblInd w:w="450" w:type="dxa"/>
        <w:tblLayout w:type="fixed"/>
        <w:tblCellMar>
          <w:left w:w="0" w:type="dxa"/>
          <w:right w:w="0" w:type="dxa"/>
        </w:tblCellMar>
        <w:tblLook w:val="0000" w:firstRow="0" w:lastRow="0" w:firstColumn="0" w:lastColumn="0" w:noHBand="0" w:noVBand="0"/>
      </w:tblPr>
      <w:tblGrid>
        <w:gridCol w:w="2462"/>
        <w:gridCol w:w="1276"/>
        <w:gridCol w:w="1367"/>
        <w:gridCol w:w="1367"/>
        <w:gridCol w:w="1358"/>
        <w:gridCol w:w="1550"/>
      </w:tblGrid>
      <w:tr w:rsidR="002578B6" w:rsidRPr="00BA56F7" w14:paraId="10882F77" w14:textId="77777777" w:rsidTr="00C35952">
        <w:trPr>
          <w:trHeight w:hRule="exact" w:val="990"/>
        </w:trPr>
        <w:tc>
          <w:tcPr>
            <w:tcW w:w="2462" w:type="dxa"/>
            <w:tcBorders>
              <w:left w:val="nil"/>
              <w:bottom w:val="single" w:sz="4" w:space="0" w:color="auto"/>
            </w:tcBorders>
            <w:vAlign w:val="bottom"/>
          </w:tcPr>
          <w:p w14:paraId="07084006" w14:textId="77777777" w:rsidR="002578B6" w:rsidRPr="00D24D7D" w:rsidRDefault="002578B6" w:rsidP="002578B6">
            <w:pPr>
              <w:spacing w:after="0"/>
              <w:rPr>
                <w:rFonts w:ascii="Arial" w:hAnsi="Arial" w:cs="Arial"/>
                <w:b/>
                <w:bCs/>
                <w:szCs w:val="20"/>
              </w:rPr>
            </w:pPr>
            <w:r>
              <w:rPr>
                <w:rFonts w:ascii="Arial" w:hAnsi="Arial" w:cs="Arial"/>
                <w:b/>
                <w:bCs/>
                <w:szCs w:val="20"/>
              </w:rPr>
              <w:t>Accumulated Amortization and Impairment Losses</w:t>
            </w:r>
          </w:p>
        </w:tc>
        <w:tc>
          <w:tcPr>
            <w:tcW w:w="1276" w:type="dxa"/>
            <w:tcBorders>
              <w:left w:val="nil"/>
              <w:bottom w:val="single" w:sz="4" w:space="0" w:color="auto"/>
            </w:tcBorders>
          </w:tcPr>
          <w:p w14:paraId="6A738DC9" w14:textId="77777777" w:rsidR="002578B6" w:rsidRDefault="002578B6" w:rsidP="002578B6">
            <w:pPr>
              <w:spacing w:after="0" w:line="240" w:lineRule="auto"/>
              <w:ind w:left="90"/>
              <w:jc w:val="center"/>
              <w:rPr>
                <w:rFonts w:ascii="Arial" w:hAnsi="Arial" w:cs="Arial"/>
                <w:szCs w:val="20"/>
              </w:rPr>
            </w:pPr>
          </w:p>
          <w:p w14:paraId="6E13573F" w14:textId="77777777" w:rsidR="002578B6" w:rsidRPr="00BA56F7" w:rsidRDefault="002578B6" w:rsidP="002578B6">
            <w:pPr>
              <w:spacing w:after="0" w:line="240" w:lineRule="auto"/>
              <w:ind w:left="90"/>
              <w:jc w:val="center"/>
              <w:rPr>
                <w:rFonts w:ascii="Arial" w:hAnsi="Arial" w:cs="Arial"/>
                <w:szCs w:val="20"/>
              </w:rPr>
            </w:pPr>
            <w:proofErr w:type="spellStart"/>
            <w:r w:rsidRPr="00BA56F7">
              <w:rPr>
                <w:rFonts w:ascii="Arial" w:hAnsi="Arial" w:cs="Arial"/>
                <w:szCs w:val="20"/>
              </w:rPr>
              <w:t>BiPhasix</w:t>
            </w:r>
            <w:proofErr w:type="spellEnd"/>
          </w:p>
          <w:p w14:paraId="7706F60F" w14:textId="77777777" w:rsidR="002578B6" w:rsidRPr="00BA56F7" w:rsidRDefault="002578B6" w:rsidP="002578B6">
            <w:pPr>
              <w:spacing w:after="0" w:line="240" w:lineRule="auto"/>
              <w:jc w:val="center"/>
              <w:rPr>
                <w:rFonts w:ascii="Arial" w:hAnsi="Arial" w:cs="Arial"/>
                <w:szCs w:val="20"/>
              </w:rPr>
            </w:pPr>
            <w:r w:rsidRPr="00BA56F7">
              <w:rPr>
                <w:rFonts w:ascii="Arial" w:hAnsi="Arial" w:cs="Arial"/>
                <w:szCs w:val="20"/>
              </w:rPr>
              <w:t>License</w:t>
            </w:r>
          </w:p>
          <w:p w14:paraId="628CE0EC" w14:textId="611A861F" w:rsidR="002578B6" w:rsidRPr="00BA56F7" w:rsidRDefault="002578B6" w:rsidP="002578B6">
            <w:pPr>
              <w:spacing w:after="0"/>
              <w:ind w:right="30"/>
              <w:rPr>
                <w:rFonts w:ascii="Arial" w:hAnsi="Arial" w:cs="Arial"/>
                <w:szCs w:val="20"/>
              </w:rPr>
            </w:pPr>
            <w:r w:rsidRPr="00BA56F7">
              <w:rPr>
                <w:rFonts w:ascii="Arial" w:hAnsi="Arial" w:cs="Arial"/>
                <w:szCs w:val="20"/>
              </w:rPr>
              <w:t>$</w:t>
            </w:r>
          </w:p>
        </w:tc>
        <w:tc>
          <w:tcPr>
            <w:tcW w:w="1367" w:type="dxa"/>
            <w:tcBorders>
              <w:left w:val="nil"/>
              <w:bottom w:val="single" w:sz="4" w:space="0" w:color="auto"/>
              <w:right w:val="nil"/>
            </w:tcBorders>
          </w:tcPr>
          <w:p w14:paraId="51984A06" w14:textId="77777777" w:rsidR="002578B6" w:rsidRDefault="002578B6" w:rsidP="002578B6">
            <w:pPr>
              <w:spacing w:after="0" w:line="240" w:lineRule="auto"/>
              <w:jc w:val="center"/>
              <w:rPr>
                <w:rFonts w:ascii="Arial" w:hAnsi="Arial" w:cs="Arial"/>
                <w:szCs w:val="20"/>
              </w:rPr>
            </w:pPr>
            <w:proofErr w:type="spellStart"/>
            <w:r>
              <w:rPr>
                <w:rFonts w:ascii="Arial" w:hAnsi="Arial" w:cs="Arial"/>
                <w:szCs w:val="20"/>
              </w:rPr>
              <w:t>Thrudermic</w:t>
            </w:r>
            <w:proofErr w:type="spellEnd"/>
          </w:p>
          <w:p w14:paraId="5A5C9E32" w14:textId="77777777" w:rsidR="002578B6" w:rsidRPr="00BA56F7" w:rsidRDefault="002578B6" w:rsidP="002578B6">
            <w:pPr>
              <w:spacing w:after="0" w:line="240" w:lineRule="auto"/>
              <w:jc w:val="center"/>
              <w:rPr>
                <w:rFonts w:ascii="Arial" w:hAnsi="Arial" w:cs="Arial"/>
                <w:szCs w:val="20"/>
              </w:rPr>
            </w:pPr>
            <w:r>
              <w:rPr>
                <w:rFonts w:ascii="Arial" w:hAnsi="Arial" w:cs="Arial"/>
                <w:szCs w:val="20"/>
              </w:rPr>
              <w:t>Non-Patented Technology</w:t>
            </w:r>
          </w:p>
          <w:p w14:paraId="519DA728" w14:textId="2E2DD216" w:rsidR="002578B6" w:rsidRPr="00BA56F7" w:rsidRDefault="002578B6" w:rsidP="002578B6">
            <w:pPr>
              <w:spacing w:after="0"/>
              <w:ind w:right="30"/>
              <w:rPr>
                <w:rFonts w:ascii="Arial" w:hAnsi="Arial" w:cs="Arial"/>
                <w:szCs w:val="20"/>
              </w:rPr>
            </w:pPr>
            <w:r w:rsidRPr="00BA56F7">
              <w:rPr>
                <w:rFonts w:ascii="Arial" w:hAnsi="Arial" w:cs="Arial"/>
                <w:szCs w:val="20"/>
              </w:rPr>
              <w:t>$</w:t>
            </w:r>
          </w:p>
        </w:tc>
        <w:tc>
          <w:tcPr>
            <w:tcW w:w="1367" w:type="dxa"/>
            <w:tcBorders>
              <w:left w:val="nil"/>
              <w:bottom w:val="single" w:sz="4" w:space="0" w:color="auto"/>
              <w:right w:val="nil"/>
            </w:tcBorders>
          </w:tcPr>
          <w:p w14:paraId="2EE15B61" w14:textId="77777777" w:rsidR="002578B6" w:rsidRDefault="002578B6" w:rsidP="002578B6">
            <w:pPr>
              <w:spacing w:after="0" w:line="240" w:lineRule="auto"/>
              <w:jc w:val="center"/>
              <w:rPr>
                <w:rFonts w:ascii="Arial" w:hAnsi="Arial" w:cs="Arial"/>
                <w:szCs w:val="20"/>
              </w:rPr>
            </w:pPr>
          </w:p>
          <w:p w14:paraId="167B535C" w14:textId="77777777" w:rsidR="002578B6" w:rsidRDefault="002578B6" w:rsidP="002578B6">
            <w:pPr>
              <w:spacing w:after="0" w:line="240" w:lineRule="auto"/>
              <w:jc w:val="center"/>
              <w:rPr>
                <w:rFonts w:ascii="Arial" w:hAnsi="Arial" w:cs="Arial"/>
                <w:szCs w:val="20"/>
              </w:rPr>
            </w:pPr>
            <w:proofErr w:type="spellStart"/>
            <w:r>
              <w:rPr>
                <w:rFonts w:ascii="Arial" w:hAnsi="Arial" w:cs="Arial"/>
                <w:szCs w:val="20"/>
              </w:rPr>
              <w:t>Solmic</w:t>
            </w:r>
            <w:proofErr w:type="spellEnd"/>
          </w:p>
          <w:p w14:paraId="1439AFF7" w14:textId="77777777" w:rsidR="002578B6" w:rsidRPr="00BA56F7" w:rsidRDefault="002578B6" w:rsidP="002578B6">
            <w:pPr>
              <w:spacing w:after="0" w:line="240" w:lineRule="auto"/>
              <w:jc w:val="center"/>
              <w:rPr>
                <w:rFonts w:ascii="Arial" w:hAnsi="Arial" w:cs="Arial"/>
                <w:szCs w:val="20"/>
              </w:rPr>
            </w:pPr>
            <w:r>
              <w:rPr>
                <w:rFonts w:ascii="Arial" w:hAnsi="Arial" w:cs="Arial"/>
                <w:szCs w:val="20"/>
              </w:rPr>
              <w:t>Patents</w:t>
            </w:r>
          </w:p>
          <w:p w14:paraId="2822992D" w14:textId="04204B69" w:rsidR="002578B6" w:rsidRDefault="002578B6" w:rsidP="002578B6">
            <w:pPr>
              <w:spacing w:after="0" w:line="240" w:lineRule="auto"/>
              <w:rPr>
                <w:rFonts w:ascii="Arial" w:hAnsi="Arial" w:cs="Arial"/>
                <w:szCs w:val="20"/>
              </w:rPr>
            </w:pPr>
            <w:r w:rsidRPr="00BA56F7">
              <w:rPr>
                <w:rFonts w:ascii="Arial" w:hAnsi="Arial" w:cs="Arial"/>
                <w:szCs w:val="20"/>
              </w:rPr>
              <w:t>$</w:t>
            </w:r>
          </w:p>
        </w:tc>
        <w:tc>
          <w:tcPr>
            <w:tcW w:w="1358" w:type="dxa"/>
            <w:tcBorders>
              <w:left w:val="nil"/>
              <w:bottom w:val="single" w:sz="4" w:space="0" w:color="auto"/>
            </w:tcBorders>
          </w:tcPr>
          <w:p w14:paraId="65F9A2DB" w14:textId="77777777" w:rsidR="002578B6" w:rsidRDefault="002578B6" w:rsidP="002578B6">
            <w:pPr>
              <w:spacing w:after="0" w:line="240" w:lineRule="auto"/>
              <w:jc w:val="center"/>
              <w:rPr>
                <w:rFonts w:ascii="Arial" w:hAnsi="Arial" w:cs="Arial"/>
                <w:szCs w:val="20"/>
              </w:rPr>
            </w:pPr>
          </w:p>
          <w:p w14:paraId="34E98FBD" w14:textId="77777777" w:rsidR="002578B6" w:rsidRDefault="002578B6" w:rsidP="002578B6">
            <w:pPr>
              <w:spacing w:after="0" w:line="240" w:lineRule="auto"/>
              <w:jc w:val="center"/>
              <w:rPr>
                <w:rFonts w:ascii="Arial" w:hAnsi="Arial" w:cs="Arial"/>
                <w:szCs w:val="20"/>
              </w:rPr>
            </w:pPr>
            <w:r>
              <w:rPr>
                <w:rFonts w:ascii="Arial" w:hAnsi="Arial" w:cs="Arial"/>
                <w:szCs w:val="20"/>
              </w:rPr>
              <w:t>RTIC</w:t>
            </w:r>
          </w:p>
          <w:p w14:paraId="7F3C19E0" w14:textId="77777777" w:rsidR="002578B6" w:rsidRPr="00BA56F7" w:rsidRDefault="002578B6" w:rsidP="002578B6">
            <w:pPr>
              <w:spacing w:after="0" w:line="240" w:lineRule="auto"/>
              <w:jc w:val="center"/>
              <w:rPr>
                <w:rFonts w:ascii="Arial" w:hAnsi="Arial" w:cs="Arial"/>
                <w:szCs w:val="20"/>
              </w:rPr>
            </w:pPr>
            <w:r>
              <w:rPr>
                <w:rFonts w:ascii="Arial" w:hAnsi="Arial" w:cs="Arial"/>
                <w:szCs w:val="20"/>
              </w:rPr>
              <w:t>Patents</w:t>
            </w:r>
          </w:p>
          <w:p w14:paraId="525B1F8D" w14:textId="3FB9ACDF" w:rsidR="002578B6" w:rsidRPr="00BA56F7" w:rsidRDefault="002578B6" w:rsidP="002578B6">
            <w:pPr>
              <w:spacing w:after="0"/>
              <w:ind w:right="30"/>
              <w:rPr>
                <w:rFonts w:ascii="Arial" w:hAnsi="Arial" w:cs="Arial"/>
                <w:szCs w:val="20"/>
              </w:rPr>
            </w:pPr>
            <w:r w:rsidRPr="00BA56F7">
              <w:rPr>
                <w:rFonts w:ascii="Arial" w:hAnsi="Arial" w:cs="Arial"/>
                <w:szCs w:val="20"/>
              </w:rPr>
              <w:t>$</w:t>
            </w:r>
          </w:p>
        </w:tc>
        <w:tc>
          <w:tcPr>
            <w:tcW w:w="1550" w:type="dxa"/>
            <w:tcBorders>
              <w:left w:val="nil"/>
              <w:bottom w:val="single" w:sz="4" w:space="0" w:color="auto"/>
              <w:right w:val="nil"/>
            </w:tcBorders>
            <w:vAlign w:val="bottom"/>
          </w:tcPr>
          <w:p w14:paraId="5129C2A6" w14:textId="77777777" w:rsidR="002578B6" w:rsidRPr="00BA56F7" w:rsidRDefault="002578B6" w:rsidP="002578B6">
            <w:pPr>
              <w:spacing w:after="0" w:line="240" w:lineRule="auto"/>
              <w:jc w:val="center"/>
              <w:rPr>
                <w:rFonts w:ascii="Arial" w:hAnsi="Arial" w:cs="Arial"/>
                <w:szCs w:val="20"/>
              </w:rPr>
            </w:pPr>
            <w:r>
              <w:rPr>
                <w:rFonts w:ascii="Arial" w:hAnsi="Arial" w:cs="Arial"/>
                <w:szCs w:val="20"/>
              </w:rPr>
              <w:t>Total</w:t>
            </w:r>
          </w:p>
          <w:p w14:paraId="0CD633A6" w14:textId="4A1D39C3" w:rsidR="002578B6" w:rsidRPr="00BA56F7" w:rsidRDefault="002578B6" w:rsidP="002578B6">
            <w:pPr>
              <w:spacing w:after="0"/>
              <w:ind w:right="173"/>
              <w:rPr>
                <w:rFonts w:ascii="Arial" w:hAnsi="Arial" w:cs="Arial"/>
                <w:szCs w:val="20"/>
              </w:rPr>
            </w:pPr>
            <w:r w:rsidRPr="00BA56F7">
              <w:rPr>
                <w:rFonts w:ascii="Arial" w:hAnsi="Arial" w:cs="Arial"/>
                <w:szCs w:val="20"/>
              </w:rPr>
              <w:t>$</w:t>
            </w:r>
          </w:p>
        </w:tc>
      </w:tr>
      <w:tr w:rsidR="002578B6" w:rsidRPr="00BA56F7" w14:paraId="7C8AF07A" w14:textId="77777777" w:rsidTr="00C35952">
        <w:trPr>
          <w:trHeight w:hRule="exact" w:val="78"/>
        </w:trPr>
        <w:tc>
          <w:tcPr>
            <w:tcW w:w="2462" w:type="dxa"/>
            <w:tcBorders>
              <w:top w:val="single" w:sz="4" w:space="0" w:color="auto"/>
              <w:left w:val="nil"/>
            </w:tcBorders>
            <w:vAlign w:val="bottom"/>
          </w:tcPr>
          <w:p w14:paraId="539198A2" w14:textId="77777777" w:rsidR="002578B6" w:rsidRPr="00BA56F7" w:rsidRDefault="002578B6" w:rsidP="00320460">
            <w:pPr>
              <w:spacing w:after="0"/>
              <w:rPr>
                <w:rFonts w:ascii="Arial" w:hAnsi="Arial" w:cs="Arial"/>
                <w:szCs w:val="20"/>
              </w:rPr>
            </w:pPr>
          </w:p>
        </w:tc>
        <w:tc>
          <w:tcPr>
            <w:tcW w:w="1276" w:type="dxa"/>
            <w:tcBorders>
              <w:top w:val="single" w:sz="4" w:space="0" w:color="auto"/>
              <w:left w:val="nil"/>
            </w:tcBorders>
          </w:tcPr>
          <w:p w14:paraId="139965BB"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7EE07977"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04A0D5D3" w14:textId="77777777" w:rsidR="002578B6" w:rsidRPr="00BA56F7" w:rsidRDefault="002578B6" w:rsidP="00320460">
            <w:pPr>
              <w:spacing w:after="0"/>
              <w:ind w:right="30"/>
              <w:jc w:val="right"/>
              <w:rPr>
                <w:rFonts w:ascii="Arial" w:hAnsi="Arial" w:cs="Arial"/>
                <w:szCs w:val="20"/>
              </w:rPr>
            </w:pPr>
          </w:p>
        </w:tc>
        <w:tc>
          <w:tcPr>
            <w:tcW w:w="1358" w:type="dxa"/>
            <w:tcBorders>
              <w:top w:val="single" w:sz="4" w:space="0" w:color="auto"/>
              <w:left w:val="nil"/>
            </w:tcBorders>
          </w:tcPr>
          <w:p w14:paraId="2937C26A" w14:textId="77777777" w:rsidR="002578B6" w:rsidRPr="00BA56F7" w:rsidRDefault="002578B6" w:rsidP="00320460">
            <w:pPr>
              <w:spacing w:after="0"/>
              <w:ind w:right="30"/>
              <w:jc w:val="right"/>
              <w:rPr>
                <w:rFonts w:ascii="Arial" w:hAnsi="Arial" w:cs="Arial"/>
                <w:szCs w:val="20"/>
              </w:rPr>
            </w:pPr>
          </w:p>
        </w:tc>
        <w:tc>
          <w:tcPr>
            <w:tcW w:w="1550" w:type="dxa"/>
            <w:tcBorders>
              <w:top w:val="single" w:sz="4" w:space="0" w:color="auto"/>
              <w:left w:val="nil"/>
              <w:right w:val="nil"/>
            </w:tcBorders>
            <w:vAlign w:val="bottom"/>
          </w:tcPr>
          <w:p w14:paraId="5B2A3047" w14:textId="77777777" w:rsidR="002578B6" w:rsidRPr="00BA56F7" w:rsidRDefault="002578B6" w:rsidP="00320460">
            <w:pPr>
              <w:spacing w:after="0"/>
              <w:ind w:right="173"/>
              <w:jc w:val="right"/>
              <w:rPr>
                <w:rFonts w:ascii="Arial" w:hAnsi="Arial" w:cs="Arial"/>
                <w:szCs w:val="20"/>
              </w:rPr>
            </w:pPr>
          </w:p>
        </w:tc>
      </w:tr>
      <w:tr w:rsidR="002578B6" w:rsidRPr="00BA56F7" w14:paraId="5E9F2C24" w14:textId="77777777" w:rsidTr="00C35952">
        <w:tc>
          <w:tcPr>
            <w:tcW w:w="2462" w:type="dxa"/>
            <w:tcBorders>
              <w:left w:val="nil"/>
            </w:tcBorders>
            <w:vAlign w:val="bottom"/>
          </w:tcPr>
          <w:p w14:paraId="79386C9B" w14:textId="77777777" w:rsidR="002578B6" w:rsidRPr="00BA56F7" w:rsidRDefault="002578B6" w:rsidP="00320460">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276" w:type="dxa"/>
            <w:tcBorders>
              <w:left w:val="nil"/>
            </w:tcBorders>
          </w:tcPr>
          <w:p w14:paraId="04AB72EB" w14:textId="77777777" w:rsidR="002578B6" w:rsidRDefault="002578B6" w:rsidP="00320460">
            <w:pPr>
              <w:spacing w:after="0"/>
              <w:ind w:right="30"/>
              <w:jc w:val="right"/>
              <w:rPr>
                <w:rFonts w:ascii="Arial" w:hAnsi="Arial" w:cs="Arial"/>
              </w:rPr>
            </w:pPr>
            <w:r>
              <w:rPr>
                <w:rFonts w:ascii="Arial" w:hAnsi="Arial" w:cs="Arial"/>
              </w:rPr>
              <w:t>110,618</w:t>
            </w:r>
          </w:p>
        </w:tc>
        <w:tc>
          <w:tcPr>
            <w:tcW w:w="1367" w:type="dxa"/>
            <w:tcBorders>
              <w:left w:val="nil"/>
              <w:right w:val="nil"/>
            </w:tcBorders>
          </w:tcPr>
          <w:p w14:paraId="4064578B" w14:textId="77777777" w:rsidR="002578B6" w:rsidRDefault="002578B6" w:rsidP="00320460">
            <w:pPr>
              <w:spacing w:after="0"/>
              <w:ind w:right="30"/>
              <w:jc w:val="right"/>
              <w:rPr>
                <w:rFonts w:ascii="Arial" w:hAnsi="Arial" w:cs="Arial"/>
              </w:rPr>
            </w:pPr>
            <w:r>
              <w:rPr>
                <w:rFonts w:ascii="Arial" w:hAnsi="Arial" w:cs="Arial"/>
              </w:rPr>
              <w:t>74,325</w:t>
            </w:r>
          </w:p>
        </w:tc>
        <w:tc>
          <w:tcPr>
            <w:tcW w:w="1367" w:type="dxa"/>
            <w:tcBorders>
              <w:left w:val="nil"/>
              <w:right w:val="nil"/>
            </w:tcBorders>
          </w:tcPr>
          <w:p w14:paraId="647F55D9"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58" w:type="dxa"/>
            <w:tcBorders>
              <w:left w:val="nil"/>
            </w:tcBorders>
          </w:tcPr>
          <w:p w14:paraId="040D4452" w14:textId="77777777" w:rsidR="002578B6" w:rsidRDefault="002578B6" w:rsidP="00320460">
            <w:pPr>
              <w:spacing w:after="0"/>
              <w:ind w:right="30"/>
              <w:jc w:val="right"/>
              <w:rPr>
                <w:rFonts w:ascii="Arial" w:hAnsi="Arial" w:cs="Arial"/>
              </w:rPr>
            </w:pPr>
            <w:r>
              <w:rPr>
                <w:rFonts w:ascii="Arial" w:hAnsi="Arial" w:cs="Arial"/>
              </w:rPr>
              <w:t>751,686</w:t>
            </w:r>
          </w:p>
        </w:tc>
        <w:tc>
          <w:tcPr>
            <w:tcW w:w="1550" w:type="dxa"/>
            <w:tcBorders>
              <w:left w:val="nil"/>
              <w:right w:val="nil"/>
            </w:tcBorders>
            <w:vAlign w:val="bottom"/>
          </w:tcPr>
          <w:p w14:paraId="0C02B324" w14:textId="77777777" w:rsidR="002578B6" w:rsidRPr="00BA56F7" w:rsidRDefault="002578B6" w:rsidP="00320460">
            <w:pPr>
              <w:spacing w:after="0"/>
              <w:ind w:right="173"/>
              <w:jc w:val="right"/>
              <w:rPr>
                <w:rFonts w:ascii="Arial" w:hAnsi="Arial" w:cs="Arial"/>
                <w:szCs w:val="20"/>
              </w:rPr>
            </w:pPr>
            <w:r>
              <w:rPr>
                <w:rFonts w:ascii="Arial" w:hAnsi="Arial" w:cs="Arial"/>
              </w:rPr>
              <w:t>936,629</w:t>
            </w:r>
          </w:p>
        </w:tc>
      </w:tr>
      <w:tr w:rsidR="002578B6" w:rsidRPr="00BA56F7" w14:paraId="7F041122" w14:textId="77777777" w:rsidTr="00C35952">
        <w:tc>
          <w:tcPr>
            <w:tcW w:w="2462" w:type="dxa"/>
            <w:tcBorders>
              <w:left w:val="nil"/>
            </w:tcBorders>
            <w:vAlign w:val="bottom"/>
          </w:tcPr>
          <w:p w14:paraId="1B6D4689" w14:textId="77777777" w:rsidR="002578B6" w:rsidRPr="00BA56F7" w:rsidRDefault="002578B6" w:rsidP="00320460">
            <w:pPr>
              <w:spacing w:after="0"/>
              <w:rPr>
                <w:rFonts w:ascii="Arial" w:hAnsi="Arial" w:cs="Arial"/>
                <w:szCs w:val="20"/>
              </w:rPr>
            </w:pPr>
            <w:r>
              <w:rPr>
                <w:rFonts w:ascii="Arial" w:hAnsi="Arial" w:cs="Arial"/>
                <w:szCs w:val="20"/>
              </w:rPr>
              <w:t>Amortization</w:t>
            </w:r>
          </w:p>
        </w:tc>
        <w:tc>
          <w:tcPr>
            <w:tcW w:w="1276" w:type="dxa"/>
            <w:tcBorders>
              <w:left w:val="nil"/>
            </w:tcBorders>
          </w:tcPr>
          <w:p w14:paraId="4A37A6FF" w14:textId="77777777" w:rsidR="002578B6" w:rsidRPr="00BA56F7" w:rsidRDefault="002578B6" w:rsidP="00320460">
            <w:pPr>
              <w:spacing w:after="0"/>
              <w:ind w:right="30"/>
              <w:jc w:val="right"/>
              <w:rPr>
                <w:rFonts w:ascii="Arial" w:hAnsi="Arial" w:cs="Arial"/>
              </w:rPr>
            </w:pPr>
            <w:r>
              <w:rPr>
                <w:rFonts w:ascii="Arial" w:hAnsi="Arial" w:cs="Arial"/>
              </w:rPr>
              <w:t>80,173</w:t>
            </w:r>
          </w:p>
        </w:tc>
        <w:tc>
          <w:tcPr>
            <w:tcW w:w="1367" w:type="dxa"/>
            <w:tcBorders>
              <w:left w:val="nil"/>
              <w:right w:val="nil"/>
            </w:tcBorders>
          </w:tcPr>
          <w:p w14:paraId="540E6B70" w14:textId="77777777" w:rsidR="002578B6" w:rsidRPr="00BA56F7" w:rsidRDefault="002578B6" w:rsidP="00320460">
            <w:pPr>
              <w:spacing w:after="0"/>
              <w:ind w:right="30"/>
              <w:jc w:val="right"/>
              <w:rPr>
                <w:rFonts w:ascii="Arial" w:hAnsi="Arial" w:cs="Arial"/>
              </w:rPr>
            </w:pPr>
            <w:r>
              <w:rPr>
                <w:rFonts w:ascii="Arial" w:hAnsi="Arial" w:cs="Arial"/>
              </w:rPr>
              <w:t>83,000</w:t>
            </w:r>
          </w:p>
        </w:tc>
        <w:tc>
          <w:tcPr>
            <w:tcW w:w="1367" w:type="dxa"/>
            <w:tcBorders>
              <w:left w:val="nil"/>
              <w:right w:val="nil"/>
            </w:tcBorders>
          </w:tcPr>
          <w:p w14:paraId="483C899E"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58" w:type="dxa"/>
            <w:tcBorders>
              <w:left w:val="nil"/>
            </w:tcBorders>
          </w:tcPr>
          <w:p w14:paraId="55785BBF" w14:textId="77777777" w:rsidR="002578B6" w:rsidRPr="00BA56F7" w:rsidRDefault="002578B6" w:rsidP="00320460">
            <w:pPr>
              <w:spacing w:after="0"/>
              <w:ind w:right="30"/>
              <w:jc w:val="right"/>
              <w:rPr>
                <w:rFonts w:ascii="Arial" w:hAnsi="Arial" w:cs="Arial"/>
              </w:rPr>
            </w:pPr>
            <w:r>
              <w:rPr>
                <w:rFonts w:ascii="Arial" w:hAnsi="Arial" w:cs="Arial"/>
              </w:rPr>
              <w:t>820,290</w:t>
            </w:r>
          </w:p>
        </w:tc>
        <w:tc>
          <w:tcPr>
            <w:tcW w:w="1550" w:type="dxa"/>
            <w:tcBorders>
              <w:left w:val="nil"/>
              <w:right w:val="nil"/>
            </w:tcBorders>
            <w:vAlign w:val="bottom"/>
          </w:tcPr>
          <w:p w14:paraId="05649711" w14:textId="77777777" w:rsidR="002578B6" w:rsidRPr="00BA56F7" w:rsidRDefault="002578B6" w:rsidP="00320460">
            <w:pPr>
              <w:spacing w:after="0"/>
              <w:ind w:right="173"/>
              <w:jc w:val="right"/>
              <w:rPr>
                <w:rFonts w:ascii="Arial" w:hAnsi="Arial" w:cs="Arial"/>
                <w:szCs w:val="20"/>
              </w:rPr>
            </w:pPr>
            <w:r>
              <w:rPr>
                <w:rFonts w:ascii="Arial" w:hAnsi="Arial" w:cs="Arial"/>
              </w:rPr>
              <w:t>983,463</w:t>
            </w:r>
          </w:p>
        </w:tc>
      </w:tr>
      <w:tr w:rsidR="002578B6" w14:paraId="279F5FC7" w14:textId="77777777" w:rsidTr="00C35952">
        <w:tc>
          <w:tcPr>
            <w:tcW w:w="2462" w:type="dxa"/>
            <w:tcBorders>
              <w:left w:val="nil"/>
            </w:tcBorders>
            <w:vAlign w:val="bottom"/>
          </w:tcPr>
          <w:p w14:paraId="5A123AC3" w14:textId="77777777" w:rsidR="002578B6" w:rsidRDefault="002578B6" w:rsidP="00320460">
            <w:pPr>
              <w:spacing w:after="0"/>
              <w:rPr>
                <w:rFonts w:ascii="Arial" w:hAnsi="Arial" w:cs="Arial"/>
                <w:szCs w:val="20"/>
              </w:rPr>
            </w:pPr>
            <w:r>
              <w:rPr>
                <w:rFonts w:ascii="Arial" w:hAnsi="Arial" w:cs="Arial"/>
                <w:szCs w:val="20"/>
              </w:rPr>
              <w:t>Impairment</w:t>
            </w:r>
          </w:p>
        </w:tc>
        <w:tc>
          <w:tcPr>
            <w:tcW w:w="1276" w:type="dxa"/>
            <w:tcBorders>
              <w:left w:val="nil"/>
            </w:tcBorders>
          </w:tcPr>
          <w:p w14:paraId="08653CF6"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67" w:type="dxa"/>
            <w:tcBorders>
              <w:left w:val="nil"/>
              <w:right w:val="nil"/>
            </w:tcBorders>
          </w:tcPr>
          <w:p w14:paraId="2EE04EFC" w14:textId="77777777" w:rsidR="002578B6" w:rsidRDefault="002578B6" w:rsidP="00320460">
            <w:pPr>
              <w:tabs>
                <w:tab w:val="center" w:pos="660"/>
                <w:tab w:val="right" w:pos="1320"/>
              </w:tabs>
              <w:spacing w:after="0"/>
              <w:ind w:right="30"/>
              <w:rPr>
                <w:rFonts w:ascii="Arial" w:hAnsi="Arial" w:cs="Arial"/>
              </w:rPr>
            </w:pPr>
            <w:r>
              <w:rPr>
                <w:rFonts w:ascii="Arial" w:hAnsi="Arial" w:cs="Arial"/>
              </w:rPr>
              <w:tab/>
            </w:r>
            <w:r>
              <w:rPr>
                <w:rFonts w:ascii="Arial" w:hAnsi="Arial" w:cs="Arial"/>
              </w:rPr>
              <w:tab/>
            </w:r>
            <w:r w:rsidRPr="00BA56F7">
              <w:rPr>
                <w:rFonts w:ascii="Arial" w:hAnsi="Arial" w:cs="Arial"/>
              </w:rPr>
              <w:t>–</w:t>
            </w:r>
          </w:p>
        </w:tc>
        <w:tc>
          <w:tcPr>
            <w:tcW w:w="1367" w:type="dxa"/>
            <w:tcBorders>
              <w:left w:val="nil"/>
              <w:right w:val="nil"/>
            </w:tcBorders>
          </w:tcPr>
          <w:p w14:paraId="6E42D410"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58" w:type="dxa"/>
            <w:tcBorders>
              <w:left w:val="nil"/>
            </w:tcBorders>
          </w:tcPr>
          <w:p w14:paraId="14CE64B3" w14:textId="77777777" w:rsidR="002578B6" w:rsidRDefault="002578B6" w:rsidP="00320460">
            <w:pPr>
              <w:spacing w:after="0"/>
              <w:ind w:right="30"/>
              <w:jc w:val="right"/>
              <w:rPr>
                <w:rFonts w:ascii="Arial" w:hAnsi="Arial" w:cs="Arial"/>
              </w:rPr>
            </w:pPr>
            <w:r>
              <w:rPr>
                <w:rFonts w:ascii="Arial" w:hAnsi="Arial" w:cs="Arial"/>
              </w:rPr>
              <w:t>(1,577,654)</w:t>
            </w:r>
          </w:p>
        </w:tc>
        <w:tc>
          <w:tcPr>
            <w:tcW w:w="1550" w:type="dxa"/>
            <w:tcBorders>
              <w:left w:val="nil"/>
              <w:right w:val="nil"/>
            </w:tcBorders>
            <w:vAlign w:val="bottom"/>
          </w:tcPr>
          <w:p w14:paraId="4CF9D64E" w14:textId="77777777" w:rsidR="002578B6" w:rsidRDefault="002578B6" w:rsidP="00320460">
            <w:pPr>
              <w:spacing w:after="0"/>
              <w:ind w:right="173"/>
              <w:jc w:val="right"/>
              <w:rPr>
                <w:rFonts w:ascii="Arial" w:hAnsi="Arial" w:cs="Arial"/>
              </w:rPr>
            </w:pPr>
            <w:r>
              <w:rPr>
                <w:rFonts w:ascii="Arial" w:hAnsi="Arial" w:cs="Arial"/>
              </w:rPr>
              <w:t>(1,577,654)</w:t>
            </w:r>
          </w:p>
        </w:tc>
      </w:tr>
      <w:tr w:rsidR="002578B6" w:rsidRPr="00BA56F7" w14:paraId="329AAE9C" w14:textId="77777777" w:rsidTr="00C35952">
        <w:tc>
          <w:tcPr>
            <w:tcW w:w="2462" w:type="dxa"/>
            <w:tcBorders>
              <w:left w:val="nil"/>
            </w:tcBorders>
            <w:vAlign w:val="bottom"/>
          </w:tcPr>
          <w:p w14:paraId="282A2F49" w14:textId="77777777" w:rsidR="002578B6" w:rsidRPr="00BA56F7" w:rsidRDefault="002578B6" w:rsidP="00320460">
            <w:pPr>
              <w:spacing w:after="0"/>
              <w:rPr>
                <w:rFonts w:ascii="Arial" w:hAnsi="Arial" w:cs="Arial"/>
                <w:szCs w:val="20"/>
              </w:rPr>
            </w:pPr>
            <w:r>
              <w:rPr>
                <w:rFonts w:ascii="Arial" w:hAnsi="Arial" w:cs="Arial"/>
                <w:szCs w:val="20"/>
              </w:rPr>
              <w:t>Effect of foreign exchange rate changes</w:t>
            </w:r>
          </w:p>
        </w:tc>
        <w:tc>
          <w:tcPr>
            <w:tcW w:w="1276" w:type="dxa"/>
            <w:tcBorders>
              <w:left w:val="nil"/>
            </w:tcBorders>
          </w:tcPr>
          <w:p w14:paraId="7564BCC3" w14:textId="77777777" w:rsidR="002578B6" w:rsidRDefault="002578B6" w:rsidP="00320460">
            <w:pPr>
              <w:spacing w:after="0"/>
              <w:ind w:right="30"/>
              <w:jc w:val="right"/>
              <w:rPr>
                <w:rFonts w:ascii="Arial" w:hAnsi="Arial" w:cs="Arial"/>
              </w:rPr>
            </w:pPr>
          </w:p>
          <w:p w14:paraId="34AA7C5A"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67" w:type="dxa"/>
            <w:tcBorders>
              <w:left w:val="nil"/>
              <w:right w:val="nil"/>
            </w:tcBorders>
          </w:tcPr>
          <w:p w14:paraId="0B7157C0" w14:textId="77777777" w:rsidR="002578B6" w:rsidRDefault="002578B6" w:rsidP="00320460">
            <w:pPr>
              <w:spacing w:after="0"/>
              <w:ind w:right="30"/>
              <w:jc w:val="right"/>
              <w:rPr>
                <w:rFonts w:ascii="Arial" w:hAnsi="Arial" w:cs="Arial"/>
              </w:rPr>
            </w:pPr>
          </w:p>
          <w:p w14:paraId="16400611"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67" w:type="dxa"/>
            <w:tcBorders>
              <w:left w:val="nil"/>
              <w:right w:val="nil"/>
            </w:tcBorders>
          </w:tcPr>
          <w:p w14:paraId="31357F30" w14:textId="77777777" w:rsidR="002578B6" w:rsidRDefault="002578B6" w:rsidP="00320460">
            <w:pPr>
              <w:spacing w:after="0"/>
              <w:ind w:right="30"/>
              <w:jc w:val="right"/>
              <w:rPr>
                <w:rFonts w:ascii="Arial" w:hAnsi="Arial" w:cs="Arial"/>
              </w:rPr>
            </w:pPr>
          </w:p>
          <w:p w14:paraId="6C5D1313"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58" w:type="dxa"/>
            <w:tcBorders>
              <w:left w:val="nil"/>
            </w:tcBorders>
          </w:tcPr>
          <w:p w14:paraId="49B1BA69" w14:textId="77777777" w:rsidR="002578B6" w:rsidRDefault="002578B6" w:rsidP="00320460">
            <w:pPr>
              <w:spacing w:after="0"/>
              <w:ind w:right="30"/>
              <w:jc w:val="right"/>
              <w:rPr>
                <w:rFonts w:ascii="Arial" w:hAnsi="Arial" w:cs="Arial"/>
              </w:rPr>
            </w:pPr>
          </w:p>
          <w:p w14:paraId="42492762" w14:textId="77777777" w:rsidR="002578B6" w:rsidRDefault="002578B6" w:rsidP="00320460">
            <w:pPr>
              <w:spacing w:after="0"/>
              <w:ind w:right="30"/>
              <w:jc w:val="right"/>
              <w:rPr>
                <w:rFonts w:ascii="Arial" w:hAnsi="Arial" w:cs="Arial"/>
              </w:rPr>
            </w:pPr>
            <w:r>
              <w:rPr>
                <w:rFonts w:ascii="Arial" w:hAnsi="Arial" w:cs="Arial"/>
              </w:rPr>
              <w:t>5,678</w:t>
            </w:r>
          </w:p>
        </w:tc>
        <w:tc>
          <w:tcPr>
            <w:tcW w:w="1550" w:type="dxa"/>
            <w:tcBorders>
              <w:left w:val="nil"/>
              <w:right w:val="nil"/>
            </w:tcBorders>
            <w:vAlign w:val="bottom"/>
          </w:tcPr>
          <w:p w14:paraId="0B78C142" w14:textId="77777777" w:rsidR="002578B6" w:rsidRPr="00BA56F7" w:rsidRDefault="002578B6" w:rsidP="00320460">
            <w:pPr>
              <w:spacing w:after="0"/>
              <w:ind w:right="173"/>
              <w:jc w:val="right"/>
              <w:rPr>
                <w:rFonts w:ascii="Arial" w:hAnsi="Arial" w:cs="Arial"/>
                <w:szCs w:val="20"/>
              </w:rPr>
            </w:pPr>
            <w:r>
              <w:rPr>
                <w:rFonts w:ascii="Arial" w:hAnsi="Arial" w:cs="Arial"/>
              </w:rPr>
              <w:t>5,678</w:t>
            </w:r>
          </w:p>
        </w:tc>
      </w:tr>
      <w:tr w:rsidR="002578B6" w:rsidRPr="00BA56F7" w14:paraId="342AEE4A" w14:textId="77777777" w:rsidTr="00C35952">
        <w:trPr>
          <w:trHeight w:hRule="exact" w:val="78"/>
        </w:trPr>
        <w:tc>
          <w:tcPr>
            <w:tcW w:w="2462" w:type="dxa"/>
            <w:tcBorders>
              <w:top w:val="single" w:sz="4" w:space="0" w:color="auto"/>
              <w:left w:val="nil"/>
            </w:tcBorders>
            <w:vAlign w:val="bottom"/>
          </w:tcPr>
          <w:p w14:paraId="732961E6" w14:textId="77777777" w:rsidR="002578B6" w:rsidRPr="00BA56F7" w:rsidRDefault="002578B6" w:rsidP="00320460">
            <w:pPr>
              <w:spacing w:after="0"/>
              <w:rPr>
                <w:rFonts w:ascii="Arial" w:hAnsi="Arial" w:cs="Arial"/>
                <w:szCs w:val="20"/>
              </w:rPr>
            </w:pPr>
          </w:p>
        </w:tc>
        <w:tc>
          <w:tcPr>
            <w:tcW w:w="1276" w:type="dxa"/>
            <w:tcBorders>
              <w:top w:val="single" w:sz="4" w:space="0" w:color="auto"/>
              <w:left w:val="nil"/>
            </w:tcBorders>
          </w:tcPr>
          <w:p w14:paraId="159D9C7C"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5A88F220"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52BD8E7D" w14:textId="77777777" w:rsidR="002578B6" w:rsidRPr="00BA56F7" w:rsidRDefault="002578B6" w:rsidP="00320460">
            <w:pPr>
              <w:spacing w:after="0"/>
              <w:ind w:right="30"/>
              <w:jc w:val="right"/>
              <w:rPr>
                <w:rFonts w:ascii="Arial" w:hAnsi="Arial" w:cs="Arial"/>
                <w:szCs w:val="20"/>
              </w:rPr>
            </w:pPr>
          </w:p>
        </w:tc>
        <w:tc>
          <w:tcPr>
            <w:tcW w:w="1358" w:type="dxa"/>
            <w:tcBorders>
              <w:top w:val="single" w:sz="4" w:space="0" w:color="auto"/>
              <w:left w:val="nil"/>
            </w:tcBorders>
          </w:tcPr>
          <w:p w14:paraId="4D103B95" w14:textId="77777777" w:rsidR="002578B6" w:rsidRPr="00BA56F7" w:rsidRDefault="002578B6" w:rsidP="00320460">
            <w:pPr>
              <w:spacing w:after="0"/>
              <w:ind w:right="30"/>
              <w:jc w:val="right"/>
              <w:rPr>
                <w:rFonts w:ascii="Arial" w:hAnsi="Arial" w:cs="Arial"/>
                <w:szCs w:val="20"/>
              </w:rPr>
            </w:pPr>
          </w:p>
        </w:tc>
        <w:tc>
          <w:tcPr>
            <w:tcW w:w="1550" w:type="dxa"/>
            <w:tcBorders>
              <w:top w:val="single" w:sz="4" w:space="0" w:color="auto"/>
              <w:left w:val="nil"/>
              <w:right w:val="nil"/>
            </w:tcBorders>
            <w:vAlign w:val="bottom"/>
          </w:tcPr>
          <w:p w14:paraId="02CAABBC" w14:textId="77777777" w:rsidR="002578B6" w:rsidRPr="00BA56F7" w:rsidRDefault="002578B6" w:rsidP="00320460">
            <w:pPr>
              <w:spacing w:after="0"/>
              <w:ind w:right="173"/>
              <w:jc w:val="right"/>
              <w:rPr>
                <w:rFonts w:ascii="Arial" w:hAnsi="Arial" w:cs="Arial"/>
                <w:szCs w:val="20"/>
              </w:rPr>
            </w:pPr>
          </w:p>
        </w:tc>
      </w:tr>
      <w:tr w:rsidR="002578B6" w:rsidRPr="00BA56F7" w14:paraId="503FCED8" w14:textId="77777777" w:rsidTr="00C35952">
        <w:tc>
          <w:tcPr>
            <w:tcW w:w="2462" w:type="dxa"/>
            <w:tcBorders>
              <w:left w:val="nil"/>
            </w:tcBorders>
            <w:vAlign w:val="bottom"/>
          </w:tcPr>
          <w:p w14:paraId="6E04600E" w14:textId="77777777" w:rsidR="002578B6" w:rsidRPr="00BA56F7" w:rsidRDefault="002578B6" w:rsidP="00320460">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2020</w:t>
            </w:r>
          </w:p>
        </w:tc>
        <w:tc>
          <w:tcPr>
            <w:tcW w:w="1276" w:type="dxa"/>
            <w:tcBorders>
              <w:left w:val="nil"/>
            </w:tcBorders>
          </w:tcPr>
          <w:p w14:paraId="38E5DB65" w14:textId="77777777" w:rsidR="002578B6" w:rsidRDefault="002578B6" w:rsidP="00320460">
            <w:pPr>
              <w:spacing w:after="0"/>
              <w:ind w:right="30"/>
              <w:jc w:val="right"/>
              <w:rPr>
                <w:rFonts w:ascii="Arial" w:hAnsi="Arial" w:cs="Arial"/>
              </w:rPr>
            </w:pPr>
            <w:r>
              <w:rPr>
                <w:rFonts w:ascii="Arial" w:hAnsi="Arial" w:cs="Arial"/>
              </w:rPr>
              <w:t>190,791</w:t>
            </w:r>
          </w:p>
        </w:tc>
        <w:tc>
          <w:tcPr>
            <w:tcW w:w="1367" w:type="dxa"/>
            <w:tcBorders>
              <w:left w:val="nil"/>
              <w:right w:val="nil"/>
            </w:tcBorders>
          </w:tcPr>
          <w:p w14:paraId="651E7127" w14:textId="77777777" w:rsidR="002578B6" w:rsidRDefault="002578B6" w:rsidP="00320460">
            <w:pPr>
              <w:spacing w:after="0"/>
              <w:ind w:right="30"/>
              <w:jc w:val="right"/>
              <w:rPr>
                <w:rFonts w:ascii="Arial" w:hAnsi="Arial" w:cs="Arial"/>
              </w:rPr>
            </w:pPr>
            <w:r>
              <w:rPr>
                <w:rFonts w:ascii="Arial" w:hAnsi="Arial" w:cs="Arial"/>
              </w:rPr>
              <w:t>157,325</w:t>
            </w:r>
          </w:p>
        </w:tc>
        <w:tc>
          <w:tcPr>
            <w:tcW w:w="1367" w:type="dxa"/>
            <w:tcBorders>
              <w:left w:val="nil"/>
              <w:right w:val="nil"/>
            </w:tcBorders>
          </w:tcPr>
          <w:p w14:paraId="5BE7DF99" w14:textId="77777777" w:rsidR="002578B6" w:rsidRPr="00BA56F7" w:rsidRDefault="002578B6" w:rsidP="00320460">
            <w:pPr>
              <w:spacing w:after="0"/>
              <w:ind w:right="30"/>
              <w:jc w:val="right"/>
              <w:rPr>
                <w:rFonts w:ascii="Arial" w:hAnsi="Arial" w:cs="Arial"/>
              </w:rPr>
            </w:pPr>
            <w:r w:rsidRPr="00BA56F7">
              <w:rPr>
                <w:rFonts w:ascii="Arial" w:hAnsi="Arial" w:cs="Arial"/>
              </w:rPr>
              <w:t>–</w:t>
            </w:r>
          </w:p>
        </w:tc>
        <w:tc>
          <w:tcPr>
            <w:tcW w:w="1358" w:type="dxa"/>
            <w:tcBorders>
              <w:left w:val="nil"/>
            </w:tcBorders>
          </w:tcPr>
          <w:p w14:paraId="6979E924"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550" w:type="dxa"/>
            <w:tcBorders>
              <w:left w:val="nil"/>
              <w:right w:val="nil"/>
            </w:tcBorders>
            <w:vAlign w:val="bottom"/>
          </w:tcPr>
          <w:p w14:paraId="04F1EDE3" w14:textId="77777777" w:rsidR="002578B6" w:rsidRPr="00BA56F7" w:rsidRDefault="002578B6" w:rsidP="00320460">
            <w:pPr>
              <w:spacing w:after="0"/>
              <w:ind w:right="173"/>
              <w:jc w:val="right"/>
              <w:rPr>
                <w:rFonts w:ascii="Arial" w:hAnsi="Arial" w:cs="Arial"/>
                <w:szCs w:val="20"/>
              </w:rPr>
            </w:pPr>
            <w:r>
              <w:rPr>
                <w:rFonts w:ascii="Arial" w:hAnsi="Arial" w:cs="Arial"/>
              </w:rPr>
              <w:t>348,116</w:t>
            </w:r>
          </w:p>
        </w:tc>
      </w:tr>
      <w:tr w:rsidR="002578B6" w:rsidRPr="00BA56F7" w14:paraId="7C6FC653" w14:textId="77777777" w:rsidTr="00C35952">
        <w:tc>
          <w:tcPr>
            <w:tcW w:w="2462" w:type="dxa"/>
            <w:tcBorders>
              <w:left w:val="nil"/>
            </w:tcBorders>
            <w:vAlign w:val="bottom"/>
          </w:tcPr>
          <w:p w14:paraId="3AEF02D8" w14:textId="77777777" w:rsidR="002578B6" w:rsidRPr="00BA56F7" w:rsidRDefault="002578B6" w:rsidP="00320460">
            <w:pPr>
              <w:spacing w:after="0"/>
              <w:rPr>
                <w:rFonts w:ascii="Arial" w:hAnsi="Arial" w:cs="Arial"/>
                <w:szCs w:val="20"/>
              </w:rPr>
            </w:pPr>
            <w:r>
              <w:rPr>
                <w:rFonts w:ascii="Arial" w:hAnsi="Arial" w:cs="Arial"/>
                <w:szCs w:val="20"/>
              </w:rPr>
              <w:t>Amortization</w:t>
            </w:r>
          </w:p>
        </w:tc>
        <w:tc>
          <w:tcPr>
            <w:tcW w:w="1276" w:type="dxa"/>
            <w:tcBorders>
              <w:left w:val="nil"/>
            </w:tcBorders>
          </w:tcPr>
          <w:p w14:paraId="7E4CF228" w14:textId="77777777" w:rsidR="002578B6" w:rsidRPr="00BA56F7" w:rsidRDefault="002578B6" w:rsidP="00320460">
            <w:pPr>
              <w:spacing w:after="0"/>
              <w:ind w:right="30"/>
              <w:jc w:val="right"/>
              <w:rPr>
                <w:rFonts w:ascii="Arial" w:hAnsi="Arial" w:cs="Arial"/>
              </w:rPr>
            </w:pPr>
            <w:r>
              <w:rPr>
                <w:rFonts w:ascii="Arial" w:hAnsi="Arial" w:cs="Arial"/>
              </w:rPr>
              <w:t>19,456</w:t>
            </w:r>
          </w:p>
        </w:tc>
        <w:tc>
          <w:tcPr>
            <w:tcW w:w="1367" w:type="dxa"/>
            <w:tcBorders>
              <w:left w:val="nil"/>
              <w:right w:val="nil"/>
            </w:tcBorders>
          </w:tcPr>
          <w:p w14:paraId="68F2D2A1" w14:textId="77777777" w:rsidR="002578B6" w:rsidRPr="00BA56F7" w:rsidRDefault="002578B6" w:rsidP="00320460">
            <w:pPr>
              <w:spacing w:after="0"/>
              <w:ind w:right="30"/>
              <w:jc w:val="right"/>
              <w:rPr>
                <w:rFonts w:ascii="Arial" w:hAnsi="Arial" w:cs="Arial"/>
              </w:rPr>
            </w:pPr>
            <w:r>
              <w:rPr>
                <w:rFonts w:ascii="Arial" w:hAnsi="Arial" w:cs="Arial"/>
              </w:rPr>
              <w:t>20,238</w:t>
            </w:r>
          </w:p>
        </w:tc>
        <w:tc>
          <w:tcPr>
            <w:tcW w:w="1367" w:type="dxa"/>
            <w:tcBorders>
              <w:left w:val="nil"/>
              <w:right w:val="nil"/>
            </w:tcBorders>
          </w:tcPr>
          <w:p w14:paraId="46874C1F" w14:textId="77777777" w:rsidR="002578B6" w:rsidRDefault="002578B6" w:rsidP="00320460">
            <w:pPr>
              <w:spacing w:after="0"/>
              <w:ind w:right="30"/>
              <w:jc w:val="right"/>
              <w:rPr>
                <w:rFonts w:ascii="Arial" w:hAnsi="Arial" w:cs="Arial"/>
              </w:rPr>
            </w:pPr>
            <w:r>
              <w:rPr>
                <w:rFonts w:ascii="Arial" w:hAnsi="Arial" w:cs="Arial"/>
              </w:rPr>
              <w:t>2,112</w:t>
            </w:r>
          </w:p>
        </w:tc>
        <w:tc>
          <w:tcPr>
            <w:tcW w:w="1358" w:type="dxa"/>
            <w:tcBorders>
              <w:left w:val="nil"/>
            </w:tcBorders>
          </w:tcPr>
          <w:p w14:paraId="4F800EBD" w14:textId="77777777" w:rsidR="002578B6" w:rsidRPr="00BA56F7" w:rsidRDefault="002578B6" w:rsidP="00320460">
            <w:pPr>
              <w:spacing w:after="0"/>
              <w:ind w:right="30"/>
              <w:jc w:val="right"/>
              <w:rPr>
                <w:rFonts w:ascii="Arial" w:hAnsi="Arial" w:cs="Arial"/>
              </w:rPr>
            </w:pPr>
            <w:r w:rsidRPr="00BA56F7">
              <w:rPr>
                <w:rFonts w:ascii="Arial" w:hAnsi="Arial" w:cs="Arial"/>
              </w:rPr>
              <w:t>–</w:t>
            </w:r>
          </w:p>
        </w:tc>
        <w:tc>
          <w:tcPr>
            <w:tcW w:w="1550" w:type="dxa"/>
            <w:tcBorders>
              <w:left w:val="nil"/>
              <w:right w:val="nil"/>
            </w:tcBorders>
            <w:vAlign w:val="bottom"/>
          </w:tcPr>
          <w:p w14:paraId="7EC23B74" w14:textId="77777777" w:rsidR="002578B6" w:rsidRPr="00BA56F7" w:rsidRDefault="002578B6" w:rsidP="00320460">
            <w:pPr>
              <w:spacing w:after="0"/>
              <w:ind w:right="173"/>
              <w:jc w:val="right"/>
              <w:rPr>
                <w:rFonts w:ascii="Arial" w:hAnsi="Arial" w:cs="Arial"/>
                <w:szCs w:val="20"/>
              </w:rPr>
            </w:pPr>
            <w:r>
              <w:rPr>
                <w:rFonts w:ascii="Arial" w:hAnsi="Arial" w:cs="Arial"/>
              </w:rPr>
              <w:t>41,806</w:t>
            </w:r>
          </w:p>
        </w:tc>
      </w:tr>
      <w:tr w:rsidR="002578B6" w:rsidRPr="00BA56F7" w14:paraId="3E5ED013" w14:textId="77777777" w:rsidTr="00C35952">
        <w:tc>
          <w:tcPr>
            <w:tcW w:w="2462" w:type="dxa"/>
            <w:tcBorders>
              <w:left w:val="nil"/>
            </w:tcBorders>
            <w:vAlign w:val="bottom"/>
          </w:tcPr>
          <w:p w14:paraId="671861A6" w14:textId="77777777" w:rsidR="002578B6" w:rsidRPr="00BA56F7" w:rsidRDefault="002578B6" w:rsidP="00320460">
            <w:pPr>
              <w:spacing w:after="0"/>
              <w:rPr>
                <w:rFonts w:ascii="Arial" w:hAnsi="Arial" w:cs="Arial"/>
                <w:szCs w:val="20"/>
              </w:rPr>
            </w:pPr>
            <w:r>
              <w:rPr>
                <w:rFonts w:ascii="Arial" w:hAnsi="Arial" w:cs="Arial"/>
                <w:szCs w:val="20"/>
              </w:rPr>
              <w:t>Effect of foreign exchange rate changes</w:t>
            </w:r>
          </w:p>
        </w:tc>
        <w:tc>
          <w:tcPr>
            <w:tcW w:w="1276" w:type="dxa"/>
            <w:tcBorders>
              <w:left w:val="nil"/>
            </w:tcBorders>
          </w:tcPr>
          <w:p w14:paraId="2D67151E" w14:textId="77777777" w:rsidR="002578B6" w:rsidRDefault="002578B6" w:rsidP="00320460">
            <w:pPr>
              <w:spacing w:after="0"/>
              <w:ind w:right="30"/>
              <w:jc w:val="right"/>
              <w:rPr>
                <w:rFonts w:ascii="Arial" w:hAnsi="Arial" w:cs="Arial"/>
              </w:rPr>
            </w:pPr>
          </w:p>
          <w:p w14:paraId="66A1E462"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67" w:type="dxa"/>
            <w:tcBorders>
              <w:left w:val="nil"/>
              <w:right w:val="nil"/>
            </w:tcBorders>
          </w:tcPr>
          <w:p w14:paraId="6BC35E30" w14:textId="77777777" w:rsidR="002578B6" w:rsidRDefault="002578B6" w:rsidP="00320460">
            <w:pPr>
              <w:spacing w:after="0"/>
              <w:ind w:right="30"/>
              <w:jc w:val="right"/>
              <w:rPr>
                <w:rFonts w:ascii="Arial" w:hAnsi="Arial" w:cs="Arial"/>
              </w:rPr>
            </w:pPr>
          </w:p>
          <w:p w14:paraId="4101486E"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367" w:type="dxa"/>
            <w:tcBorders>
              <w:left w:val="nil"/>
              <w:right w:val="nil"/>
            </w:tcBorders>
          </w:tcPr>
          <w:p w14:paraId="69447A80" w14:textId="77777777" w:rsidR="002578B6" w:rsidRDefault="002578B6" w:rsidP="00320460">
            <w:pPr>
              <w:spacing w:after="0"/>
              <w:ind w:right="30"/>
              <w:jc w:val="right"/>
              <w:rPr>
                <w:rFonts w:ascii="Arial" w:hAnsi="Arial" w:cs="Arial"/>
              </w:rPr>
            </w:pPr>
          </w:p>
          <w:p w14:paraId="031C78D7" w14:textId="77777777" w:rsidR="002578B6" w:rsidRDefault="002578B6" w:rsidP="00320460">
            <w:pPr>
              <w:spacing w:after="0"/>
              <w:ind w:right="30"/>
              <w:jc w:val="right"/>
              <w:rPr>
                <w:rFonts w:ascii="Arial" w:hAnsi="Arial" w:cs="Arial"/>
              </w:rPr>
            </w:pPr>
            <w:r>
              <w:rPr>
                <w:rFonts w:ascii="Arial" w:hAnsi="Arial" w:cs="Arial"/>
              </w:rPr>
              <w:t>22</w:t>
            </w:r>
          </w:p>
        </w:tc>
        <w:tc>
          <w:tcPr>
            <w:tcW w:w="1358" w:type="dxa"/>
            <w:tcBorders>
              <w:left w:val="nil"/>
            </w:tcBorders>
          </w:tcPr>
          <w:p w14:paraId="765478A4" w14:textId="77777777" w:rsidR="002578B6" w:rsidRDefault="002578B6" w:rsidP="00320460">
            <w:pPr>
              <w:spacing w:after="0"/>
              <w:ind w:right="30"/>
              <w:jc w:val="right"/>
              <w:rPr>
                <w:rFonts w:ascii="Arial" w:hAnsi="Arial" w:cs="Arial"/>
              </w:rPr>
            </w:pPr>
          </w:p>
          <w:p w14:paraId="21A50FB0"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550" w:type="dxa"/>
            <w:tcBorders>
              <w:left w:val="nil"/>
              <w:right w:val="nil"/>
            </w:tcBorders>
            <w:vAlign w:val="bottom"/>
          </w:tcPr>
          <w:p w14:paraId="545790E7" w14:textId="77777777" w:rsidR="002578B6" w:rsidRPr="00BA56F7" w:rsidRDefault="002578B6" w:rsidP="00320460">
            <w:pPr>
              <w:spacing w:after="0"/>
              <w:ind w:right="173"/>
              <w:jc w:val="right"/>
              <w:rPr>
                <w:rFonts w:ascii="Arial" w:hAnsi="Arial" w:cs="Arial"/>
                <w:szCs w:val="20"/>
              </w:rPr>
            </w:pPr>
            <w:r>
              <w:rPr>
                <w:rFonts w:ascii="Arial" w:hAnsi="Arial" w:cs="Arial"/>
              </w:rPr>
              <w:t>22</w:t>
            </w:r>
          </w:p>
        </w:tc>
      </w:tr>
      <w:tr w:rsidR="002578B6" w:rsidRPr="00BA56F7" w14:paraId="3973B8FD" w14:textId="77777777" w:rsidTr="00C35952">
        <w:trPr>
          <w:trHeight w:hRule="exact" w:val="78"/>
        </w:trPr>
        <w:tc>
          <w:tcPr>
            <w:tcW w:w="2462" w:type="dxa"/>
            <w:tcBorders>
              <w:top w:val="single" w:sz="4" w:space="0" w:color="auto"/>
              <w:left w:val="nil"/>
            </w:tcBorders>
            <w:vAlign w:val="bottom"/>
          </w:tcPr>
          <w:p w14:paraId="566140CB" w14:textId="77777777" w:rsidR="002578B6" w:rsidRPr="00BA56F7" w:rsidRDefault="002578B6" w:rsidP="00320460">
            <w:pPr>
              <w:spacing w:after="0"/>
              <w:rPr>
                <w:rFonts w:ascii="Arial" w:hAnsi="Arial" w:cs="Arial"/>
                <w:szCs w:val="20"/>
              </w:rPr>
            </w:pPr>
          </w:p>
        </w:tc>
        <w:tc>
          <w:tcPr>
            <w:tcW w:w="1276" w:type="dxa"/>
            <w:tcBorders>
              <w:top w:val="single" w:sz="4" w:space="0" w:color="auto"/>
              <w:left w:val="nil"/>
            </w:tcBorders>
          </w:tcPr>
          <w:p w14:paraId="6BFF880E"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451378E5" w14:textId="77777777" w:rsidR="002578B6" w:rsidRPr="00BA56F7" w:rsidRDefault="002578B6" w:rsidP="00320460">
            <w:pPr>
              <w:spacing w:after="0"/>
              <w:ind w:right="30"/>
              <w:jc w:val="right"/>
              <w:rPr>
                <w:rFonts w:ascii="Arial" w:hAnsi="Arial" w:cs="Arial"/>
                <w:szCs w:val="20"/>
              </w:rPr>
            </w:pPr>
          </w:p>
        </w:tc>
        <w:tc>
          <w:tcPr>
            <w:tcW w:w="1367" w:type="dxa"/>
            <w:tcBorders>
              <w:top w:val="single" w:sz="4" w:space="0" w:color="auto"/>
              <w:left w:val="nil"/>
              <w:right w:val="nil"/>
            </w:tcBorders>
          </w:tcPr>
          <w:p w14:paraId="1711D41E" w14:textId="77777777" w:rsidR="002578B6" w:rsidRPr="00BA56F7" w:rsidRDefault="002578B6" w:rsidP="00320460">
            <w:pPr>
              <w:spacing w:after="0"/>
              <w:ind w:right="30"/>
              <w:jc w:val="center"/>
              <w:rPr>
                <w:rFonts w:ascii="Arial" w:hAnsi="Arial" w:cs="Arial"/>
                <w:szCs w:val="20"/>
              </w:rPr>
            </w:pPr>
          </w:p>
        </w:tc>
        <w:tc>
          <w:tcPr>
            <w:tcW w:w="1358" w:type="dxa"/>
            <w:tcBorders>
              <w:top w:val="single" w:sz="4" w:space="0" w:color="auto"/>
              <w:left w:val="nil"/>
            </w:tcBorders>
          </w:tcPr>
          <w:p w14:paraId="22033E18" w14:textId="77777777" w:rsidR="002578B6" w:rsidRPr="00BA56F7" w:rsidRDefault="002578B6" w:rsidP="00320460">
            <w:pPr>
              <w:spacing w:after="0"/>
              <w:ind w:right="30"/>
              <w:jc w:val="right"/>
              <w:rPr>
                <w:rFonts w:ascii="Arial" w:hAnsi="Arial" w:cs="Arial"/>
                <w:szCs w:val="20"/>
              </w:rPr>
            </w:pPr>
          </w:p>
        </w:tc>
        <w:tc>
          <w:tcPr>
            <w:tcW w:w="1550" w:type="dxa"/>
            <w:tcBorders>
              <w:top w:val="single" w:sz="4" w:space="0" w:color="auto"/>
              <w:left w:val="nil"/>
              <w:right w:val="nil"/>
            </w:tcBorders>
            <w:vAlign w:val="bottom"/>
          </w:tcPr>
          <w:p w14:paraId="7171E539" w14:textId="77777777" w:rsidR="002578B6" w:rsidRPr="00BA56F7" w:rsidRDefault="002578B6" w:rsidP="00320460">
            <w:pPr>
              <w:spacing w:after="0"/>
              <w:ind w:right="173"/>
              <w:jc w:val="right"/>
              <w:rPr>
                <w:rFonts w:ascii="Arial" w:hAnsi="Arial" w:cs="Arial"/>
                <w:szCs w:val="20"/>
              </w:rPr>
            </w:pPr>
          </w:p>
        </w:tc>
      </w:tr>
      <w:tr w:rsidR="002578B6" w:rsidRPr="00BA56F7" w14:paraId="1D882685" w14:textId="77777777" w:rsidTr="00C35952">
        <w:tc>
          <w:tcPr>
            <w:tcW w:w="2462" w:type="dxa"/>
            <w:tcBorders>
              <w:left w:val="nil"/>
              <w:bottom w:val="single" w:sz="12" w:space="0" w:color="auto"/>
            </w:tcBorders>
            <w:vAlign w:val="bottom"/>
          </w:tcPr>
          <w:p w14:paraId="278C905D" w14:textId="77777777" w:rsidR="002578B6" w:rsidRPr="00BA56F7" w:rsidRDefault="002578B6" w:rsidP="00320460">
            <w:pPr>
              <w:spacing w:after="0"/>
              <w:rPr>
                <w:rFonts w:ascii="Arial" w:hAnsi="Arial" w:cs="Arial"/>
                <w:szCs w:val="20"/>
              </w:rPr>
            </w:pPr>
            <w:r w:rsidRPr="00BA56F7">
              <w:rPr>
                <w:rFonts w:ascii="Arial" w:hAnsi="Arial" w:cs="Arial"/>
                <w:szCs w:val="20"/>
              </w:rPr>
              <w:t xml:space="preserve">Balance, </w:t>
            </w:r>
            <w:r>
              <w:rPr>
                <w:rFonts w:ascii="Arial" w:hAnsi="Arial" w:cs="Arial"/>
                <w:szCs w:val="20"/>
              </w:rPr>
              <w:t>April 30, 2020</w:t>
            </w:r>
          </w:p>
        </w:tc>
        <w:tc>
          <w:tcPr>
            <w:tcW w:w="1276" w:type="dxa"/>
            <w:tcBorders>
              <w:left w:val="nil"/>
              <w:bottom w:val="single" w:sz="12" w:space="0" w:color="auto"/>
            </w:tcBorders>
          </w:tcPr>
          <w:p w14:paraId="568AFA14" w14:textId="77777777" w:rsidR="002578B6" w:rsidRDefault="002578B6" w:rsidP="00320460">
            <w:pPr>
              <w:spacing w:after="0"/>
              <w:ind w:right="30"/>
              <w:jc w:val="right"/>
              <w:rPr>
                <w:rFonts w:ascii="Arial" w:hAnsi="Arial" w:cs="Arial"/>
              </w:rPr>
            </w:pPr>
            <w:r>
              <w:rPr>
                <w:rFonts w:ascii="Arial" w:hAnsi="Arial" w:cs="Arial"/>
              </w:rPr>
              <w:t>210,247</w:t>
            </w:r>
          </w:p>
        </w:tc>
        <w:tc>
          <w:tcPr>
            <w:tcW w:w="1367" w:type="dxa"/>
            <w:tcBorders>
              <w:left w:val="nil"/>
              <w:bottom w:val="single" w:sz="12" w:space="0" w:color="auto"/>
              <w:right w:val="nil"/>
            </w:tcBorders>
          </w:tcPr>
          <w:p w14:paraId="2CA8B73F" w14:textId="77777777" w:rsidR="002578B6" w:rsidRDefault="002578B6" w:rsidP="00320460">
            <w:pPr>
              <w:spacing w:after="0"/>
              <w:ind w:right="30"/>
              <w:jc w:val="right"/>
              <w:rPr>
                <w:rFonts w:ascii="Arial" w:hAnsi="Arial" w:cs="Arial"/>
              </w:rPr>
            </w:pPr>
            <w:r>
              <w:rPr>
                <w:rFonts w:ascii="Arial" w:hAnsi="Arial" w:cs="Arial"/>
              </w:rPr>
              <w:t>177,563</w:t>
            </w:r>
          </w:p>
        </w:tc>
        <w:tc>
          <w:tcPr>
            <w:tcW w:w="1367" w:type="dxa"/>
            <w:tcBorders>
              <w:left w:val="nil"/>
              <w:bottom w:val="single" w:sz="12" w:space="0" w:color="auto"/>
              <w:right w:val="nil"/>
            </w:tcBorders>
          </w:tcPr>
          <w:p w14:paraId="5F8AA787" w14:textId="77777777" w:rsidR="002578B6" w:rsidRPr="00BA56F7" w:rsidRDefault="002578B6" w:rsidP="00320460">
            <w:pPr>
              <w:spacing w:after="0"/>
              <w:ind w:right="30"/>
              <w:jc w:val="right"/>
              <w:rPr>
                <w:rFonts w:ascii="Arial" w:hAnsi="Arial" w:cs="Arial"/>
              </w:rPr>
            </w:pPr>
            <w:r>
              <w:rPr>
                <w:rFonts w:ascii="Arial" w:hAnsi="Arial" w:cs="Arial"/>
              </w:rPr>
              <w:t>2,134</w:t>
            </w:r>
          </w:p>
        </w:tc>
        <w:tc>
          <w:tcPr>
            <w:tcW w:w="1358" w:type="dxa"/>
            <w:tcBorders>
              <w:left w:val="nil"/>
              <w:bottom w:val="single" w:sz="12" w:space="0" w:color="auto"/>
            </w:tcBorders>
          </w:tcPr>
          <w:p w14:paraId="6549D65C" w14:textId="77777777" w:rsidR="002578B6" w:rsidRDefault="002578B6" w:rsidP="00320460">
            <w:pPr>
              <w:spacing w:after="0"/>
              <w:ind w:right="30"/>
              <w:jc w:val="right"/>
              <w:rPr>
                <w:rFonts w:ascii="Arial" w:hAnsi="Arial" w:cs="Arial"/>
              </w:rPr>
            </w:pPr>
            <w:r w:rsidRPr="00BA56F7">
              <w:rPr>
                <w:rFonts w:ascii="Arial" w:hAnsi="Arial" w:cs="Arial"/>
              </w:rPr>
              <w:t>–</w:t>
            </w:r>
          </w:p>
        </w:tc>
        <w:tc>
          <w:tcPr>
            <w:tcW w:w="1550" w:type="dxa"/>
            <w:tcBorders>
              <w:left w:val="nil"/>
              <w:bottom w:val="single" w:sz="12" w:space="0" w:color="auto"/>
              <w:right w:val="nil"/>
            </w:tcBorders>
            <w:vAlign w:val="bottom"/>
          </w:tcPr>
          <w:p w14:paraId="5CB16BF9" w14:textId="77777777" w:rsidR="002578B6" w:rsidRPr="00BA56F7" w:rsidRDefault="002578B6" w:rsidP="00320460">
            <w:pPr>
              <w:spacing w:after="0"/>
              <w:ind w:right="173"/>
              <w:jc w:val="right"/>
              <w:rPr>
                <w:rFonts w:ascii="Arial" w:hAnsi="Arial" w:cs="Arial"/>
                <w:szCs w:val="20"/>
              </w:rPr>
            </w:pPr>
            <w:r>
              <w:rPr>
                <w:rFonts w:ascii="Arial" w:hAnsi="Arial" w:cs="Arial"/>
              </w:rPr>
              <w:t>389,944</w:t>
            </w:r>
          </w:p>
        </w:tc>
      </w:tr>
    </w:tbl>
    <w:p w14:paraId="62FC6053" w14:textId="77777777" w:rsidR="002578B6" w:rsidRPr="00BA56F7" w:rsidRDefault="002578B6" w:rsidP="00F15B99">
      <w:pPr>
        <w:tabs>
          <w:tab w:val="left" w:pos="450"/>
        </w:tabs>
        <w:spacing w:after="0" w:line="240" w:lineRule="auto"/>
        <w:jc w:val="both"/>
        <w:rPr>
          <w:rFonts w:ascii="Arial" w:hAnsi="Arial" w:cs="Arial"/>
          <w:b/>
          <w:szCs w:val="20"/>
        </w:rPr>
      </w:pPr>
    </w:p>
    <w:tbl>
      <w:tblPr>
        <w:tblW w:w="9360" w:type="dxa"/>
        <w:tblInd w:w="450" w:type="dxa"/>
        <w:tblLayout w:type="fixed"/>
        <w:tblCellMar>
          <w:left w:w="0" w:type="dxa"/>
          <w:right w:w="0" w:type="dxa"/>
        </w:tblCellMar>
        <w:tblLook w:val="0000" w:firstRow="0" w:lastRow="0" w:firstColumn="0" w:lastColumn="0" w:noHBand="0" w:noVBand="0"/>
      </w:tblPr>
      <w:tblGrid>
        <w:gridCol w:w="2430"/>
        <w:gridCol w:w="1260"/>
        <w:gridCol w:w="1350"/>
        <w:gridCol w:w="1350"/>
        <w:gridCol w:w="1440"/>
        <w:gridCol w:w="1530"/>
      </w:tblGrid>
      <w:tr w:rsidR="00E317A1" w:rsidRPr="00BA56F7" w14:paraId="786C570F" w14:textId="77777777" w:rsidTr="00C35952">
        <w:tc>
          <w:tcPr>
            <w:tcW w:w="2430" w:type="dxa"/>
            <w:tcBorders>
              <w:left w:val="nil"/>
              <w:bottom w:val="single" w:sz="12" w:space="0" w:color="auto"/>
            </w:tcBorders>
            <w:vAlign w:val="bottom"/>
          </w:tcPr>
          <w:p w14:paraId="46FE6FB2" w14:textId="77777777" w:rsidR="00E317A1" w:rsidRDefault="00E317A1" w:rsidP="00E317A1">
            <w:pPr>
              <w:spacing w:after="0" w:line="240" w:lineRule="auto"/>
              <w:rPr>
                <w:rFonts w:ascii="Arial" w:hAnsi="Arial" w:cs="Arial"/>
                <w:szCs w:val="20"/>
              </w:rPr>
            </w:pPr>
            <w:r w:rsidRPr="00BA56F7">
              <w:rPr>
                <w:rFonts w:ascii="Arial" w:hAnsi="Arial" w:cs="Arial"/>
                <w:szCs w:val="20"/>
              </w:rPr>
              <w:t>Net book value,</w:t>
            </w:r>
          </w:p>
          <w:p w14:paraId="4BE6B040" w14:textId="7579A419" w:rsidR="00E317A1" w:rsidRPr="00BA56F7" w:rsidRDefault="00E317A1" w:rsidP="00E317A1">
            <w:pPr>
              <w:spacing w:after="0" w:line="240" w:lineRule="auto"/>
              <w:rPr>
                <w:rFonts w:ascii="Arial" w:hAnsi="Arial" w:cs="Arial"/>
                <w:szCs w:val="20"/>
              </w:rPr>
            </w:pPr>
            <w:r>
              <w:rPr>
                <w:rFonts w:ascii="Arial" w:hAnsi="Arial" w:cs="Arial"/>
                <w:szCs w:val="20"/>
              </w:rPr>
              <w:t>April 30, 2020</w:t>
            </w:r>
          </w:p>
        </w:tc>
        <w:tc>
          <w:tcPr>
            <w:tcW w:w="1260" w:type="dxa"/>
            <w:tcBorders>
              <w:left w:val="nil"/>
              <w:bottom w:val="single" w:sz="12" w:space="0" w:color="auto"/>
            </w:tcBorders>
          </w:tcPr>
          <w:p w14:paraId="0CB6CA41" w14:textId="77777777" w:rsidR="00E317A1" w:rsidRDefault="00E317A1" w:rsidP="00E317A1">
            <w:pPr>
              <w:spacing w:after="0" w:line="240" w:lineRule="auto"/>
              <w:jc w:val="right"/>
              <w:rPr>
                <w:rFonts w:ascii="Arial" w:hAnsi="Arial" w:cs="Arial"/>
              </w:rPr>
            </w:pPr>
          </w:p>
          <w:p w14:paraId="7F977AD1" w14:textId="00A7F670" w:rsidR="00E317A1" w:rsidRDefault="0032261B" w:rsidP="00E317A1">
            <w:pPr>
              <w:spacing w:after="0" w:line="240" w:lineRule="auto"/>
              <w:jc w:val="right"/>
              <w:rPr>
                <w:rFonts w:ascii="Arial" w:hAnsi="Arial" w:cs="Arial"/>
              </w:rPr>
            </w:pPr>
            <w:r>
              <w:rPr>
                <w:rFonts w:ascii="Arial" w:hAnsi="Arial" w:cs="Arial"/>
              </w:rPr>
              <w:t>108,92</w:t>
            </w:r>
            <w:r w:rsidR="00A04BF4">
              <w:rPr>
                <w:rFonts w:ascii="Arial" w:hAnsi="Arial" w:cs="Arial"/>
              </w:rPr>
              <w:t>7</w:t>
            </w:r>
          </w:p>
        </w:tc>
        <w:tc>
          <w:tcPr>
            <w:tcW w:w="1350" w:type="dxa"/>
            <w:tcBorders>
              <w:left w:val="nil"/>
              <w:bottom w:val="single" w:sz="12" w:space="0" w:color="auto"/>
              <w:right w:val="nil"/>
            </w:tcBorders>
          </w:tcPr>
          <w:p w14:paraId="255BFB89" w14:textId="77777777" w:rsidR="0032261B" w:rsidRDefault="0032261B" w:rsidP="00E317A1">
            <w:pPr>
              <w:spacing w:after="0" w:line="240" w:lineRule="auto"/>
              <w:ind w:right="60"/>
              <w:jc w:val="right"/>
              <w:rPr>
                <w:rFonts w:ascii="Arial" w:hAnsi="Arial" w:cs="Arial"/>
              </w:rPr>
            </w:pPr>
          </w:p>
          <w:p w14:paraId="1666E29A" w14:textId="19387137" w:rsidR="00E317A1" w:rsidRDefault="0032261B" w:rsidP="00E317A1">
            <w:pPr>
              <w:spacing w:after="0" w:line="240" w:lineRule="auto"/>
              <w:ind w:right="60"/>
              <w:jc w:val="right"/>
              <w:rPr>
                <w:rFonts w:ascii="Arial" w:hAnsi="Arial" w:cs="Arial"/>
              </w:rPr>
            </w:pPr>
            <w:r>
              <w:rPr>
                <w:rFonts w:ascii="Arial" w:hAnsi="Arial" w:cs="Arial"/>
              </w:rPr>
              <w:t>652,437</w:t>
            </w:r>
          </w:p>
        </w:tc>
        <w:tc>
          <w:tcPr>
            <w:tcW w:w="1350" w:type="dxa"/>
            <w:tcBorders>
              <w:left w:val="nil"/>
              <w:bottom w:val="single" w:sz="12" w:space="0" w:color="auto"/>
              <w:right w:val="nil"/>
            </w:tcBorders>
          </w:tcPr>
          <w:p w14:paraId="6B7C9600" w14:textId="77777777" w:rsidR="0032261B" w:rsidRDefault="0032261B" w:rsidP="00E317A1">
            <w:pPr>
              <w:spacing w:after="0" w:line="240" w:lineRule="auto"/>
              <w:jc w:val="right"/>
              <w:rPr>
                <w:rFonts w:ascii="Arial" w:hAnsi="Arial" w:cs="Arial"/>
              </w:rPr>
            </w:pPr>
          </w:p>
          <w:p w14:paraId="1F370A62" w14:textId="28579D2F" w:rsidR="00E317A1" w:rsidRDefault="0032261B" w:rsidP="00E317A1">
            <w:pPr>
              <w:spacing w:after="0" w:line="240" w:lineRule="auto"/>
              <w:jc w:val="right"/>
              <w:rPr>
                <w:rFonts w:ascii="Arial" w:hAnsi="Arial" w:cs="Arial"/>
              </w:rPr>
            </w:pPr>
            <w:r>
              <w:rPr>
                <w:rFonts w:ascii="Arial" w:hAnsi="Arial" w:cs="Arial"/>
              </w:rPr>
              <w:t>84,35</w:t>
            </w:r>
            <w:r w:rsidR="00A04BF4">
              <w:rPr>
                <w:rFonts w:ascii="Arial" w:hAnsi="Arial" w:cs="Arial"/>
              </w:rPr>
              <w:t>8</w:t>
            </w:r>
          </w:p>
        </w:tc>
        <w:tc>
          <w:tcPr>
            <w:tcW w:w="1440" w:type="dxa"/>
            <w:tcBorders>
              <w:left w:val="nil"/>
              <w:bottom w:val="single" w:sz="12" w:space="0" w:color="auto"/>
            </w:tcBorders>
          </w:tcPr>
          <w:p w14:paraId="1FDE5C45" w14:textId="1E077598" w:rsidR="00E317A1" w:rsidRDefault="00E317A1" w:rsidP="00E317A1">
            <w:pPr>
              <w:spacing w:after="0" w:line="240" w:lineRule="auto"/>
              <w:jc w:val="right"/>
              <w:rPr>
                <w:rFonts w:ascii="Arial" w:hAnsi="Arial" w:cs="Arial"/>
              </w:rPr>
            </w:pPr>
          </w:p>
          <w:p w14:paraId="716730F9" w14:textId="43CD91ED" w:rsidR="00E317A1" w:rsidRDefault="00E317A1" w:rsidP="00E317A1">
            <w:pPr>
              <w:spacing w:after="0" w:line="240" w:lineRule="auto"/>
              <w:jc w:val="right"/>
              <w:rPr>
                <w:rFonts w:ascii="Arial" w:hAnsi="Arial" w:cs="Arial"/>
              </w:rPr>
            </w:pPr>
            <w:r w:rsidRPr="00BA56F7">
              <w:rPr>
                <w:rFonts w:ascii="Arial" w:hAnsi="Arial" w:cs="Arial"/>
              </w:rPr>
              <w:t>–</w:t>
            </w:r>
          </w:p>
        </w:tc>
        <w:tc>
          <w:tcPr>
            <w:tcW w:w="1530" w:type="dxa"/>
            <w:tcBorders>
              <w:left w:val="nil"/>
              <w:bottom w:val="single" w:sz="12" w:space="0" w:color="auto"/>
              <w:right w:val="nil"/>
            </w:tcBorders>
            <w:vAlign w:val="bottom"/>
          </w:tcPr>
          <w:p w14:paraId="1ECEA3BD" w14:textId="565BC243" w:rsidR="00E317A1" w:rsidRPr="00BA56F7" w:rsidRDefault="0032261B" w:rsidP="00E317A1">
            <w:pPr>
              <w:spacing w:after="0" w:line="240" w:lineRule="auto"/>
              <w:ind w:right="173"/>
              <w:jc w:val="right"/>
              <w:rPr>
                <w:rFonts w:ascii="Arial" w:hAnsi="Arial" w:cs="Arial"/>
                <w:szCs w:val="20"/>
              </w:rPr>
            </w:pPr>
            <w:r>
              <w:rPr>
                <w:rFonts w:ascii="Arial" w:hAnsi="Arial" w:cs="Arial"/>
              </w:rPr>
              <w:t>845,722</w:t>
            </w:r>
          </w:p>
        </w:tc>
      </w:tr>
      <w:tr w:rsidR="00E317A1" w:rsidRPr="00BA56F7" w14:paraId="2965B7D4" w14:textId="77777777" w:rsidTr="00C35952">
        <w:tc>
          <w:tcPr>
            <w:tcW w:w="2430" w:type="dxa"/>
            <w:tcBorders>
              <w:left w:val="nil"/>
              <w:bottom w:val="single" w:sz="12" w:space="0" w:color="auto"/>
            </w:tcBorders>
            <w:vAlign w:val="bottom"/>
          </w:tcPr>
          <w:p w14:paraId="3AC40039" w14:textId="77777777" w:rsidR="00E317A1" w:rsidRDefault="00E317A1" w:rsidP="00E317A1">
            <w:pPr>
              <w:spacing w:after="0" w:line="240" w:lineRule="auto"/>
              <w:rPr>
                <w:rFonts w:ascii="Arial" w:hAnsi="Arial" w:cs="Arial"/>
                <w:szCs w:val="20"/>
              </w:rPr>
            </w:pPr>
            <w:r w:rsidRPr="00BA56F7">
              <w:rPr>
                <w:rFonts w:ascii="Arial" w:hAnsi="Arial" w:cs="Arial"/>
                <w:szCs w:val="20"/>
              </w:rPr>
              <w:t>Net book value,</w:t>
            </w:r>
          </w:p>
          <w:p w14:paraId="56453609" w14:textId="7DF85439" w:rsidR="00E317A1" w:rsidRPr="00BA56F7" w:rsidRDefault="00E317A1" w:rsidP="00E317A1">
            <w:pPr>
              <w:spacing w:after="0" w:line="240" w:lineRule="auto"/>
              <w:rPr>
                <w:rFonts w:ascii="Arial" w:hAnsi="Arial" w:cs="Arial"/>
                <w:szCs w:val="20"/>
              </w:rPr>
            </w:pPr>
            <w:r>
              <w:rPr>
                <w:rFonts w:ascii="Arial" w:hAnsi="Arial" w:cs="Arial"/>
                <w:szCs w:val="20"/>
              </w:rPr>
              <w:t>January 31, 2019</w:t>
            </w:r>
          </w:p>
        </w:tc>
        <w:tc>
          <w:tcPr>
            <w:tcW w:w="1260" w:type="dxa"/>
            <w:tcBorders>
              <w:left w:val="nil"/>
              <w:bottom w:val="single" w:sz="12" w:space="0" w:color="auto"/>
            </w:tcBorders>
          </w:tcPr>
          <w:p w14:paraId="21E035D0" w14:textId="77777777" w:rsidR="00E317A1" w:rsidRDefault="00E317A1" w:rsidP="00E317A1">
            <w:pPr>
              <w:spacing w:after="0" w:line="240" w:lineRule="auto"/>
              <w:jc w:val="right"/>
              <w:rPr>
                <w:rFonts w:ascii="Arial" w:hAnsi="Arial" w:cs="Arial"/>
              </w:rPr>
            </w:pPr>
          </w:p>
          <w:p w14:paraId="28A84E74" w14:textId="317D32B2" w:rsidR="00E317A1" w:rsidRDefault="00E317A1" w:rsidP="00E317A1">
            <w:pPr>
              <w:spacing w:after="0" w:line="240" w:lineRule="auto"/>
              <w:jc w:val="right"/>
              <w:rPr>
                <w:rFonts w:ascii="Arial" w:hAnsi="Arial" w:cs="Arial"/>
              </w:rPr>
            </w:pPr>
            <w:r>
              <w:rPr>
                <w:rFonts w:ascii="Arial" w:hAnsi="Arial" w:cs="Arial"/>
              </w:rPr>
              <w:t>128,383</w:t>
            </w:r>
          </w:p>
        </w:tc>
        <w:tc>
          <w:tcPr>
            <w:tcW w:w="1350" w:type="dxa"/>
            <w:tcBorders>
              <w:left w:val="nil"/>
              <w:bottom w:val="single" w:sz="12" w:space="0" w:color="auto"/>
              <w:right w:val="nil"/>
            </w:tcBorders>
          </w:tcPr>
          <w:p w14:paraId="6DAD1580" w14:textId="77777777" w:rsidR="00E317A1" w:rsidRDefault="00E317A1" w:rsidP="00E317A1">
            <w:pPr>
              <w:spacing w:after="0" w:line="240" w:lineRule="auto"/>
              <w:ind w:right="60"/>
              <w:jc w:val="right"/>
              <w:rPr>
                <w:rFonts w:ascii="Arial" w:hAnsi="Arial" w:cs="Arial"/>
              </w:rPr>
            </w:pPr>
          </w:p>
          <w:p w14:paraId="1ABF19E5" w14:textId="241EAE49" w:rsidR="00E317A1" w:rsidRDefault="00E317A1" w:rsidP="00E317A1">
            <w:pPr>
              <w:spacing w:after="0" w:line="240" w:lineRule="auto"/>
              <w:ind w:right="60"/>
              <w:jc w:val="right"/>
              <w:rPr>
                <w:rFonts w:ascii="Arial" w:hAnsi="Arial" w:cs="Arial"/>
              </w:rPr>
            </w:pPr>
            <w:r>
              <w:rPr>
                <w:rFonts w:ascii="Arial" w:hAnsi="Arial" w:cs="Arial"/>
              </w:rPr>
              <w:t>672,675</w:t>
            </w:r>
          </w:p>
        </w:tc>
        <w:tc>
          <w:tcPr>
            <w:tcW w:w="1350" w:type="dxa"/>
            <w:tcBorders>
              <w:left w:val="nil"/>
              <w:bottom w:val="single" w:sz="12" w:space="0" w:color="auto"/>
              <w:right w:val="nil"/>
            </w:tcBorders>
          </w:tcPr>
          <w:p w14:paraId="4DFFE9D6" w14:textId="77777777" w:rsidR="00E317A1" w:rsidRDefault="00E317A1" w:rsidP="00E317A1">
            <w:pPr>
              <w:spacing w:after="0" w:line="240" w:lineRule="auto"/>
              <w:jc w:val="right"/>
              <w:rPr>
                <w:rFonts w:ascii="Arial" w:hAnsi="Arial" w:cs="Arial"/>
              </w:rPr>
            </w:pPr>
          </w:p>
          <w:p w14:paraId="2189A834" w14:textId="6DBA9992" w:rsidR="00E317A1" w:rsidRDefault="00E317A1" w:rsidP="00E317A1">
            <w:pPr>
              <w:spacing w:after="0" w:line="240" w:lineRule="auto"/>
              <w:jc w:val="right"/>
              <w:rPr>
                <w:rFonts w:ascii="Arial" w:hAnsi="Arial" w:cs="Arial"/>
              </w:rPr>
            </w:pPr>
            <w:r w:rsidRPr="00BA56F7">
              <w:rPr>
                <w:rFonts w:ascii="Arial" w:hAnsi="Arial" w:cs="Arial"/>
              </w:rPr>
              <w:t>–</w:t>
            </w:r>
          </w:p>
        </w:tc>
        <w:tc>
          <w:tcPr>
            <w:tcW w:w="1440" w:type="dxa"/>
            <w:tcBorders>
              <w:left w:val="nil"/>
              <w:bottom w:val="single" w:sz="12" w:space="0" w:color="auto"/>
            </w:tcBorders>
          </w:tcPr>
          <w:p w14:paraId="333AB5E5" w14:textId="77777777" w:rsidR="00E317A1" w:rsidRDefault="00E317A1" w:rsidP="00E317A1">
            <w:pPr>
              <w:spacing w:after="0" w:line="240" w:lineRule="auto"/>
              <w:jc w:val="right"/>
              <w:rPr>
                <w:rFonts w:ascii="Arial" w:hAnsi="Arial" w:cs="Arial"/>
              </w:rPr>
            </w:pPr>
          </w:p>
          <w:p w14:paraId="1B60A5A4" w14:textId="6E60CE95" w:rsidR="00E317A1" w:rsidRDefault="00E317A1" w:rsidP="00E317A1">
            <w:pPr>
              <w:spacing w:after="0" w:line="240" w:lineRule="auto"/>
              <w:jc w:val="right"/>
              <w:rPr>
                <w:rFonts w:ascii="Arial" w:hAnsi="Arial" w:cs="Arial"/>
              </w:rPr>
            </w:pPr>
            <w:r w:rsidRPr="00BA56F7">
              <w:rPr>
                <w:rFonts w:ascii="Arial" w:hAnsi="Arial" w:cs="Arial"/>
              </w:rPr>
              <w:t>–</w:t>
            </w:r>
          </w:p>
        </w:tc>
        <w:tc>
          <w:tcPr>
            <w:tcW w:w="1530" w:type="dxa"/>
            <w:tcBorders>
              <w:left w:val="nil"/>
              <w:bottom w:val="single" w:sz="12" w:space="0" w:color="auto"/>
              <w:right w:val="nil"/>
            </w:tcBorders>
            <w:vAlign w:val="bottom"/>
          </w:tcPr>
          <w:p w14:paraId="3836CD10" w14:textId="060F3834" w:rsidR="00E317A1" w:rsidRPr="00BA56F7" w:rsidRDefault="00E317A1" w:rsidP="00E317A1">
            <w:pPr>
              <w:spacing w:after="0" w:line="240" w:lineRule="auto"/>
              <w:ind w:right="173"/>
              <w:jc w:val="right"/>
              <w:rPr>
                <w:rFonts w:ascii="Arial" w:hAnsi="Arial" w:cs="Arial"/>
                <w:szCs w:val="20"/>
              </w:rPr>
            </w:pPr>
            <w:r>
              <w:rPr>
                <w:rFonts w:ascii="Arial" w:hAnsi="Arial" w:cs="Arial"/>
              </w:rPr>
              <w:t>801,058</w:t>
            </w:r>
          </w:p>
        </w:tc>
      </w:tr>
    </w:tbl>
    <w:p w14:paraId="7CE760BC" w14:textId="77777777" w:rsidR="009F3FA7" w:rsidRDefault="009F3FA7" w:rsidP="006A342C">
      <w:pPr>
        <w:tabs>
          <w:tab w:val="left" w:pos="450"/>
        </w:tabs>
        <w:spacing w:after="0" w:line="240" w:lineRule="auto"/>
        <w:jc w:val="both"/>
        <w:rPr>
          <w:rFonts w:ascii="Arial" w:hAnsi="Arial" w:cs="Arial"/>
          <w:b/>
          <w:szCs w:val="20"/>
        </w:rPr>
      </w:pPr>
    </w:p>
    <w:p w14:paraId="12D3165E" w14:textId="2AA76214" w:rsidR="00F259B3" w:rsidRDefault="00D15924" w:rsidP="00907587">
      <w:pPr>
        <w:spacing w:after="0" w:line="240" w:lineRule="auto"/>
        <w:ind w:left="450"/>
        <w:jc w:val="both"/>
        <w:rPr>
          <w:rFonts w:ascii="Arial" w:hAnsi="Arial" w:cs="Arial"/>
          <w:bCs/>
          <w:szCs w:val="20"/>
        </w:rPr>
      </w:pPr>
      <w:r>
        <w:rPr>
          <w:rFonts w:ascii="Arial" w:hAnsi="Arial" w:cs="Arial"/>
          <w:bCs/>
          <w:szCs w:val="20"/>
        </w:rPr>
        <w:t>During t</w:t>
      </w:r>
      <w:r w:rsidR="00B11548">
        <w:rPr>
          <w:rFonts w:ascii="Arial" w:hAnsi="Arial" w:cs="Arial"/>
          <w:bCs/>
          <w:szCs w:val="20"/>
        </w:rPr>
        <w:t>h</w:t>
      </w:r>
      <w:r w:rsidR="00F259B3">
        <w:rPr>
          <w:rFonts w:ascii="Arial" w:hAnsi="Arial" w:cs="Arial"/>
          <w:bCs/>
          <w:szCs w:val="20"/>
        </w:rPr>
        <w:t>e Company</w:t>
      </w:r>
      <w:r>
        <w:rPr>
          <w:rFonts w:ascii="Arial" w:hAnsi="Arial" w:cs="Arial"/>
          <w:bCs/>
          <w:szCs w:val="20"/>
        </w:rPr>
        <w:t xml:space="preserve">’s </w:t>
      </w:r>
      <w:r w:rsidR="0032772B">
        <w:rPr>
          <w:rFonts w:ascii="Arial" w:hAnsi="Arial" w:cs="Arial"/>
          <w:bCs/>
          <w:szCs w:val="20"/>
        </w:rPr>
        <w:t xml:space="preserve">fiscal </w:t>
      </w:r>
      <w:r>
        <w:rPr>
          <w:rFonts w:ascii="Arial" w:hAnsi="Arial" w:cs="Arial"/>
          <w:bCs/>
          <w:szCs w:val="20"/>
        </w:rPr>
        <w:t>year ended January 31, 2020, the Company</w:t>
      </w:r>
      <w:r w:rsidR="00B11548">
        <w:rPr>
          <w:rFonts w:ascii="Arial" w:hAnsi="Arial" w:cs="Arial"/>
          <w:bCs/>
          <w:szCs w:val="20"/>
        </w:rPr>
        <w:t xml:space="preserve"> performed an assessment to determine if there were any indications of impairment of its intangible assets</w:t>
      </w:r>
      <w:r w:rsidR="00A763F2">
        <w:rPr>
          <w:rFonts w:ascii="Arial" w:hAnsi="Arial" w:cs="Arial"/>
          <w:bCs/>
          <w:szCs w:val="20"/>
        </w:rPr>
        <w:t xml:space="preserve"> and concluded that factors indicated impairment within its RTIC Patents.</w:t>
      </w:r>
      <w:r w:rsidR="00B11548">
        <w:rPr>
          <w:rFonts w:ascii="Arial" w:hAnsi="Arial" w:cs="Arial"/>
          <w:bCs/>
          <w:szCs w:val="20"/>
        </w:rPr>
        <w:t xml:space="preserve">  With the assignment of Pivot Naturals (Note </w:t>
      </w:r>
      <w:r w:rsidR="0032772B">
        <w:rPr>
          <w:rFonts w:ascii="Arial" w:hAnsi="Arial" w:cs="Arial"/>
          <w:bCs/>
          <w:szCs w:val="20"/>
        </w:rPr>
        <w:t>4</w:t>
      </w:r>
      <w:r w:rsidR="0032261B">
        <w:rPr>
          <w:rFonts w:ascii="Arial" w:hAnsi="Arial" w:cs="Arial"/>
          <w:bCs/>
          <w:szCs w:val="20"/>
        </w:rPr>
        <w:t>)</w:t>
      </w:r>
      <w:r w:rsidR="00B11548">
        <w:rPr>
          <w:rFonts w:ascii="Arial" w:hAnsi="Arial" w:cs="Arial"/>
          <w:bCs/>
          <w:szCs w:val="20"/>
        </w:rPr>
        <w:t>, the Company exited the cannabis industry in California</w:t>
      </w:r>
      <w:r w:rsidR="009F6503">
        <w:rPr>
          <w:rFonts w:ascii="Arial" w:hAnsi="Arial" w:cs="Arial"/>
          <w:bCs/>
          <w:szCs w:val="20"/>
        </w:rPr>
        <w:t>.</w:t>
      </w:r>
      <w:r w:rsidR="00B11548">
        <w:rPr>
          <w:rFonts w:ascii="Arial" w:hAnsi="Arial" w:cs="Arial"/>
          <w:bCs/>
          <w:szCs w:val="20"/>
        </w:rPr>
        <w:t xml:space="preserve">  As a resu</w:t>
      </w:r>
      <w:r w:rsidR="00A763F2">
        <w:rPr>
          <w:rFonts w:ascii="Arial" w:hAnsi="Arial" w:cs="Arial"/>
          <w:bCs/>
          <w:szCs w:val="20"/>
        </w:rPr>
        <w:t xml:space="preserve">lt of the exit, the Company has </w:t>
      </w:r>
      <w:r w:rsidR="00555DEA">
        <w:rPr>
          <w:rFonts w:ascii="Arial" w:hAnsi="Arial" w:cs="Arial"/>
          <w:bCs/>
          <w:szCs w:val="20"/>
        </w:rPr>
        <w:t>reduced</w:t>
      </w:r>
      <w:r w:rsidR="00A763F2">
        <w:rPr>
          <w:rFonts w:ascii="Arial" w:hAnsi="Arial" w:cs="Arial"/>
          <w:bCs/>
          <w:szCs w:val="20"/>
        </w:rPr>
        <w:t xml:space="preserve"> its expectations of cash flows from the use of the RTIC Patents.</w:t>
      </w:r>
      <w:r w:rsidR="00B11548">
        <w:rPr>
          <w:rFonts w:ascii="Arial" w:hAnsi="Arial" w:cs="Arial"/>
          <w:bCs/>
          <w:szCs w:val="20"/>
        </w:rPr>
        <w:t xml:space="preserve">  The Company </w:t>
      </w:r>
      <w:r w:rsidR="00F259B3">
        <w:rPr>
          <w:rFonts w:ascii="Arial" w:hAnsi="Arial" w:cs="Arial"/>
          <w:bCs/>
          <w:szCs w:val="20"/>
        </w:rPr>
        <w:t xml:space="preserve">recorded an impairment loss on its </w:t>
      </w:r>
      <w:r w:rsidR="00907587">
        <w:rPr>
          <w:rFonts w:ascii="Arial" w:hAnsi="Arial" w:cs="Arial"/>
          <w:bCs/>
          <w:szCs w:val="20"/>
        </w:rPr>
        <w:t xml:space="preserve">RTIC Patents </w:t>
      </w:r>
      <w:r w:rsidR="00907587" w:rsidRPr="00B62F67">
        <w:rPr>
          <w:rFonts w:ascii="Arial" w:hAnsi="Arial" w:cs="Arial"/>
          <w:bCs/>
          <w:szCs w:val="20"/>
        </w:rPr>
        <w:t>of $</w:t>
      </w:r>
      <w:r w:rsidR="00907587" w:rsidRPr="00F9075E">
        <w:rPr>
          <w:rFonts w:ascii="Arial" w:hAnsi="Arial" w:cs="Arial"/>
          <w:bCs/>
          <w:szCs w:val="20"/>
        </w:rPr>
        <w:t>6,625,246</w:t>
      </w:r>
      <w:r w:rsidR="0032772B">
        <w:rPr>
          <w:rFonts w:ascii="Arial" w:hAnsi="Arial" w:cs="Arial"/>
          <w:bCs/>
          <w:szCs w:val="20"/>
        </w:rPr>
        <w:t xml:space="preserve"> during its year ended January 31, 2020</w:t>
      </w:r>
      <w:r w:rsidR="00907587" w:rsidRPr="00B62F67">
        <w:rPr>
          <w:rFonts w:ascii="Arial" w:hAnsi="Arial" w:cs="Arial"/>
          <w:bCs/>
          <w:szCs w:val="20"/>
        </w:rPr>
        <w:t>.</w:t>
      </w:r>
    </w:p>
    <w:p w14:paraId="726A6BFC" w14:textId="77BD90C3" w:rsidR="00580C5C" w:rsidRDefault="00580C5C" w:rsidP="00907587">
      <w:pPr>
        <w:spacing w:after="0" w:line="240" w:lineRule="auto"/>
        <w:ind w:left="450"/>
        <w:jc w:val="both"/>
        <w:rPr>
          <w:rFonts w:ascii="Arial" w:hAnsi="Arial" w:cs="Arial"/>
          <w:bCs/>
          <w:szCs w:val="20"/>
        </w:rPr>
      </w:pPr>
    </w:p>
    <w:p w14:paraId="1D931C29" w14:textId="7D61729B" w:rsidR="002A7FF5" w:rsidRDefault="00190BAA" w:rsidP="0097118B">
      <w:pPr>
        <w:spacing w:after="0" w:line="240" w:lineRule="auto"/>
        <w:ind w:left="450"/>
        <w:jc w:val="both"/>
        <w:rPr>
          <w:rFonts w:ascii="Arial" w:hAnsi="Arial" w:cs="Arial"/>
          <w:bCs/>
          <w:szCs w:val="20"/>
        </w:rPr>
      </w:pPr>
      <w:r w:rsidRPr="00190BAA">
        <w:rPr>
          <w:rFonts w:ascii="Arial" w:hAnsi="Arial" w:cs="Arial"/>
          <w:bCs/>
          <w:szCs w:val="20"/>
        </w:rPr>
        <w:t xml:space="preserve">Weighted </w:t>
      </w:r>
      <w:r w:rsidR="006C69B1">
        <w:rPr>
          <w:rFonts w:ascii="Arial" w:hAnsi="Arial" w:cs="Arial"/>
          <w:bCs/>
          <w:szCs w:val="20"/>
        </w:rPr>
        <w:t>average life remaining on intangible asset</w:t>
      </w:r>
      <w:r w:rsidR="005B2329">
        <w:rPr>
          <w:rFonts w:ascii="Arial" w:hAnsi="Arial" w:cs="Arial"/>
          <w:bCs/>
          <w:szCs w:val="20"/>
        </w:rPr>
        <w:t>s</w:t>
      </w:r>
      <w:r w:rsidR="006C69B1">
        <w:rPr>
          <w:rFonts w:ascii="Arial" w:hAnsi="Arial" w:cs="Arial"/>
          <w:bCs/>
          <w:szCs w:val="20"/>
        </w:rPr>
        <w:t xml:space="preserve"> is </w:t>
      </w:r>
      <w:r w:rsidR="00D15924">
        <w:rPr>
          <w:rFonts w:ascii="Arial" w:hAnsi="Arial" w:cs="Arial"/>
          <w:bCs/>
          <w:szCs w:val="20"/>
        </w:rPr>
        <w:t>6.7</w:t>
      </w:r>
      <w:r w:rsidR="006C69B1">
        <w:rPr>
          <w:rFonts w:ascii="Arial" w:hAnsi="Arial" w:cs="Arial"/>
          <w:bCs/>
          <w:szCs w:val="20"/>
        </w:rPr>
        <w:t xml:space="preserve"> years.</w:t>
      </w:r>
    </w:p>
    <w:p w14:paraId="1E769E72" w14:textId="77777777" w:rsidR="00D15924" w:rsidRDefault="00D15924" w:rsidP="0097118B">
      <w:pPr>
        <w:spacing w:after="0" w:line="240" w:lineRule="auto"/>
        <w:ind w:left="450"/>
        <w:jc w:val="both"/>
        <w:rPr>
          <w:rFonts w:ascii="Arial" w:hAnsi="Arial" w:cs="Arial"/>
          <w:bCs/>
          <w:szCs w:val="20"/>
        </w:rPr>
      </w:pPr>
    </w:p>
    <w:p w14:paraId="344F8DC0" w14:textId="3D11EF44" w:rsidR="00D15924" w:rsidRPr="009727AD" w:rsidRDefault="00D15924" w:rsidP="00D15924">
      <w:pPr>
        <w:spacing w:after="0" w:line="240" w:lineRule="auto"/>
        <w:ind w:left="450"/>
        <w:jc w:val="both"/>
        <w:rPr>
          <w:rFonts w:ascii="Arial" w:eastAsia="Times New Roman" w:hAnsi="Arial" w:cs="Arial"/>
          <w:bCs/>
          <w:szCs w:val="20"/>
          <w:u w:val="single"/>
        </w:rPr>
      </w:pPr>
      <w:proofErr w:type="spellStart"/>
      <w:r w:rsidRPr="009727AD">
        <w:rPr>
          <w:rFonts w:ascii="Arial" w:eastAsia="Times New Roman" w:hAnsi="Arial" w:cs="Arial"/>
          <w:bCs/>
          <w:szCs w:val="20"/>
          <w:u w:val="single"/>
        </w:rPr>
        <w:t>BiPhasix</w:t>
      </w:r>
      <w:proofErr w:type="spellEnd"/>
      <w:r w:rsidRPr="009727AD">
        <w:rPr>
          <w:rFonts w:ascii="Arial" w:eastAsia="Times New Roman" w:hAnsi="Arial" w:cs="Arial"/>
          <w:bCs/>
          <w:szCs w:val="20"/>
          <w:u w:val="single"/>
        </w:rPr>
        <w:t xml:space="preserve"> License</w:t>
      </w:r>
    </w:p>
    <w:p w14:paraId="6AFDC0AF" w14:textId="77777777" w:rsidR="00D15924" w:rsidRDefault="00D15924" w:rsidP="00D15924">
      <w:pPr>
        <w:spacing w:after="0" w:line="240" w:lineRule="auto"/>
        <w:ind w:left="720"/>
        <w:jc w:val="both"/>
        <w:rPr>
          <w:rFonts w:ascii="Arial" w:eastAsia="Times New Roman" w:hAnsi="Arial" w:cs="Arial"/>
          <w:bCs/>
          <w:szCs w:val="20"/>
        </w:rPr>
      </w:pPr>
    </w:p>
    <w:p w14:paraId="23D5F3C9" w14:textId="350B46F3" w:rsidR="00D15924" w:rsidRDefault="00D15924" w:rsidP="00D15924">
      <w:pPr>
        <w:spacing w:after="0" w:line="240" w:lineRule="auto"/>
        <w:ind w:left="450"/>
        <w:jc w:val="both"/>
        <w:rPr>
          <w:rFonts w:ascii="Arial" w:eastAsia="Times New Roman" w:hAnsi="Arial" w:cs="Arial"/>
          <w:bCs/>
          <w:szCs w:val="20"/>
        </w:rPr>
      </w:pPr>
      <w:r w:rsidRPr="00BA56F7">
        <w:rPr>
          <w:rFonts w:ascii="Arial" w:eastAsia="Times New Roman" w:hAnsi="Arial" w:cs="Arial"/>
          <w:bCs/>
          <w:szCs w:val="20"/>
        </w:rPr>
        <w:t xml:space="preserve">On September 12, 2017, the Company entered into a licensing agreement with </w:t>
      </w:r>
      <w:proofErr w:type="spellStart"/>
      <w:r w:rsidRPr="00BA56F7">
        <w:rPr>
          <w:rFonts w:ascii="Arial" w:eastAsia="Times New Roman" w:hAnsi="Arial" w:cs="Arial"/>
          <w:bCs/>
          <w:szCs w:val="20"/>
        </w:rPr>
        <w:t>Altum</w:t>
      </w:r>
      <w:proofErr w:type="spellEnd"/>
      <w:r w:rsidRPr="00BA56F7">
        <w:rPr>
          <w:rFonts w:ascii="Arial" w:eastAsia="Times New Roman" w:hAnsi="Arial" w:cs="Arial"/>
          <w:bCs/>
          <w:szCs w:val="20"/>
        </w:rPr>
        <w:t xml:space="preserve"> Pharmaceuticals Inc. (“</w:t>
      </w:r>
      <w:proofErr w:type="spellStart"/>
      <w:r w:rsidRPr="00BA56F7">
        <w:rPr>
          <w:rFonts w:ascii="Arial" w:eastAsia="Times New Roman" w:hAnsi="Arial" w:cs="Arial"/>
          <w:bCs/>
          <w:szCs w:val="20"/>
        </w:rPr>
        <w:t>Altum</w:t>
      </w:r>
      <w:proofErr w:type="spellEnd"/>
      <w:r w:rsidRPr="00BA56F7">
        <w:rPr>
          <w:rFonts w:ascii="Arial" w:eastAsia="Times New Roman" w:hAnsi="Arial" w:cs="Arial"/>
          <w:bCs/>
          <w:szCs w:val="20"/>
        </w:rPr>
        <w:t>”)</w:t>
      </w:r>
      <w:r>
        <w:rPr>
          <w:rFonts w:ascii="Arial" w:eastAsia="Times New Roman" w:hAnsi="Arial" w:cs="Arial"/>
          <w:bCs/>
          <w:szCs w:val="20"/>
        </w:rPr>
        <w:t xml:space="preserve">, a party related, at that date, by way of common officers, </w:t>
      </w:r>
      <w:r w:rsidRPr="00BA56F7">
        <w:rPr>
          <w:rFonts w:ascii="Arial" w:eastAsia="Times New Roman" w:hAnsi="Arial" w:cs="Arial"/>
          <w:bCs/>
          <w:szCs w:val="20"/>
        </w:rPr>
        <w:t xml:space="preserve">whereby the Company acquired worldwide rights to the </w:t>
      </w:r>
      <w:proofErr w:type="spellStart"/>
      <w:r w:rsidRPr="00BA56F7">
        <w:rPr>
          <w:rFonts w:ascii="Arial" w:eastAsia="Times New Roman" w:hAnsi="Arial" w:cs="Arial"/>
          <w:bCs/>
          <w:szCs w:val="20"/>
        </w:rPr>
        <w:t>BiPhasix</w:t>
      </w:r>
      <w:proofErr w:type="spellEnd"/>
      <w:r w:rsidRPr="00BA56F7">
        <w:rPr>
          <w:rFonts w:ascii="Arial" w:eastAsia="Times New Roman" w:hAnsi="Arial" w:cs="Arial"/>
          <w:bCs/>
          <w:szCs w:val="20"/>
        </w:rPr>
        <w:t xml:space="preserve">™ transdermal drug delivery technology for the development and commercialization of </w:t>
      </w:r>
      <w:r>
        <w:rPr>
          <w:rFonts w:ascii="Arial" w:eastAsia="Times New Roman" w:hAnsi="Arial" w:cs="Arial"/>
          <w:bCs/>
          <w:szCs w:val="20"/>
        </w:rPr>
        <w:t>c</w:t>
      </w:r>
      <w:r w:rsidRPr="00BA56F7">
        <w:rPr>
          <w:rFonts w:ascii="Arial" w:eastAsia="Times New Roman" w:hAnsi="Arial" w:cs="Arial"/>
          <w:bCs/>
          <w:szCs w:val="20"/>
        </w:rPr>
        <w:t xml:space="preserve">annabinoids, </w:t>
      </w:r>
      <w:r>
        <w:rPr>
          <w:rFonts w:ascii="Arial" w:eastAsia="Times New Roman" w:hAnsi="Arial" w:cs="Arial"/>
          <w:bCs/>
          <w:szCs w:val="20"/>
        </w:rPr>
        <w:t>c</w:t>
      </w:r>
      <w:r w:rsidRPr="00BA56F7">
        <w:rPr>
          <w:rFonts w:ascii="Arial" w:eastAsia="Times New Roman" w:hAnsi="Arial" w:cs="Arial"/>
          <w:bCs/>
          <w:szCs w:val="20"/>
        </w:rPr>
        <w:t xml:space="preserve">annabidiol and </w:t>
      </w:r>
      <w:r>
        <w:rPr>
          <w:rFonts w:ascii="Arial" w:eastAsia="Times New Roman" w:hAnsi="Arial" w:cs="Arial"/>
          <w:bCs/>
          <w:szCs w:val="20"/>
        </w:rPr>
        <w:t>t</w:t>
      </w:r>
      <w:r w:rsidRPr="00BA56F7">
        <w:rPr>
          <w:rFonts w:ascii="Arial" w:eastAsia="Times New Roman" w:hAnsi="Arial" w:cs="Arial"/>
          <w:bCs/>
          <w:szCs w:val="20"/>
        </w:rPr>
        <w:t>etrahydrocannabinol products.  Consideration included:</w:t>
      </w:r>
    </w:p>
    <w:p w14:paraId="61F62362" w14:textId="77777777" w:rsidR="00D15924" w:rsidRDefault="00D15924" w:rsidP="00D15924">
      <w:pPr>
        <w:spacing w:after="0" w:line="240" w:lineRule="auto"/>
        <w:ind w:left="450"/>
        <w:rPr>
          <w:rFonts w:ascii="Arial" w:hAnsi="Arial" w:cs="Arial"/>
          <w:bCs/>
          <w:szCs w:val="20"/>
        </w:rPr>
      </w:pPr>
    </w:p>
    <w:p w14:paraId="3AB85DBD" w14:textId="34DCCCF6" w:rsidR="00D15924" w:rsidRDefault="00D15924" w:rsidP="00D15924">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 </w:t>
      </w:r>
      <w:r>
        <w:rPr>
          <w:rFonts w:ascii="Arial" w:eastAsia="Times New Roman" w:hAnsi="Arial" w:cs="Arial"/>
          <w:bCs/>
          <w:szCs w:val="20"/>
        </w:rPr>
        <w:t>common shares</w:t>
      </w:r>
      <w:r w:rsidRPr="00E54C87">
        <w:rPr>
          <w:rFonts w:ascii="Arial" w:eastAsia="Times New Roman" w:hAnsi="Arial" w:cs="Arial"/>
          <w:bCs/>
          <w:szCs w:val="20"/>
        </w:rPr>
        <w:t xml:space="preserve"> on September 12, 2017 valued at $</w:t>
      </w:r>
      <w:r>
        <w:rPr>
          <w:rFonts w:ascii="Arial" w:eastAsia="Times New Roman" w:hAnsi="Arial" w:cs="Arial"/>
          <w:bCs/>
          <w:szCs w:val="20"/>
        </w:rPr>
        <w:t xml:space="preserve">319,174, which was recorded as an intangible asset with a corresponding credit to common </w:t>
      </w:r>
      <w:proofErr w:type="gramStart"/>
      <w:r>
        <w:rPr>
          <w:rFonts w:ascii="Arial" w:eastAsia="Times New Roman" w:hAnsi="Arial" w:cs="Arial"/>
          <w:bCs/>
          <w:szCs w:val="20"/>
        </w:rPr>
        <w:t>shares</w:t>
      </w:r>
      <w:r w:rsidRPr="00E54C87">
        <w:rPr>
          <w:rFonts w:ascii="Arial" w:eastAsia="Times New Roman" w:hAnsi="Arial" w:cs="Arial"/>
          <w:bCs/>
          <w:szCs w:val="20"/>
        </w:rPr>
        <w:t>;</w:t>
      </w:r>
      <w:proofErr w:type="gramEnd"/>
    </w:p>
    <w:p w14:paraId="2EED4DD9" w14:textId="13F6190F" w:rsidR="00D15924" w:rsidRPr="00E54C87" w:rsidRDefault="00D15924" w:rsidP="00D15924">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 </w:t>
      </w:r>
      <w:r>
        <w:rPr>
          <w:rFonts w:ascii="Arial" w:eastAsia="Times New Roman" w:hAnsi="Arial" w:cs="Arial"/>
          <w:bCs/>
          <w:szCs w:val="20"/>
        </w:rPr>
        <w:t>common shares</w:t>
      </w:r>
      <w:r w:rsidRPr="00E54C87">
        <w:rPr>
          <w:rFonts w:ascii="Arial" w:eastAsia="Times New Roman" w:hAnsi="Arial" w:cs="Arial"/>
          <w:bCs/>
          <w:szCs w:val="20"/>
        </w:rPr>
        <w:t xml:space="preserve"> of </w:t>
      </w:r>
      <w:r>
        <w:rPr>
          <w:rFonts w:ascii="Arial" w:eastAsia="Times New Roman" w:hAnsi="Arial" w:cs="Arial"/>
          <w:bCs/>
          <w:szCs w:val="20"/>
        </w:rPr>
        <w:t>the Company</w:t>
      </w:r>
      <w:r w:rsidRPr="00E54C87">
        <w:rPr>
          <w:rFonts w:ascii="Arial" w:eastAsia="Times New Roman" w:hAnsi="Arial" w:cs="Arial"/>
          <w:bCs/>
          <w:szCs w:val="20"/>
        </w:rPr>
        <w:t xml:space="preserve"> upon Health Canada Natural Product Number approval (not yet issued as of the date of this report</w:t>
      </w:r>
      <w:proofErr w:type="gramStart"/>
      <w:r w:rsidRPr="00E54C87">
        <w:rPr>
          <w:rFonts w:ascii="Arial" w:eastAsia="Times New Roman" w:hAnsi="Arial" w:cs="Arial"/>
          <w:bCs/>
          <w:szCs w:val="20"/>
        </w:rPr>
        <w:t>);</w:t>
      </w:r>
      <w:proofErr w:type="gramEnd"/>
      <w:r w:rsidRPr="00E54C87">
        <w:rPr>
          <w:rFonts w:ascii="Arial" w:eastAsia="Times New Roman" w:hAnsi="Arial" w:cs="Arial"/>
          <w:bCs/>
          <w:szCs w:val="20"/>
        </w:rPr>
        <w:t xml:space="preserve"> </w:t>
      </w:r>
    </w:p>
    <w:p w14:paraId="1B40CA0A" w14:textId="5C6E80CE" w:rsidR="00D15924" w:rsidRDefault="00D15924" w:rsidP="00D15924">
      <w:pPr>
        <w:pStyle w:val="ListParagraph"/>
        <w:numPr>
          <w:ilvl w:val="0"/>
          <w:numId w:val="31"/>
        </w:numPr>
        <w:spacing w:after="0" w:line="240" w:lineRule="auto"/>
        <w:jc w:val="both"/>
        <w:rPr>
          <w:rFonts w:ascii="Arial" w:eastAsia="Times New Roman" w:hAnsi="Arial" w:cs="Arial"/>
          <w:bCs/>
          <w:szCs w:val="20"/>
        </w:rPr>
      </w:pPr>
      <w:r w:rsidRPr="00D15924">
        <w:rPr>
          <w:rFonts w:ascii="Arial" w:eastAsia="Times New Roman" w:hAnsi="Arial" w:cs="Arial"/>
          <w:bCs/>
          <w:szCs w:val="20"/>
        </w:rPr>
        <w:t>Royalties on annual gross sales; and</w:t>
      </w:r>
    </w:p>
    <w:p w14:paraId="6D986E68" w14:textId="0BD085D8" w:rsidR="009E6977" w:rsidRPr="009E6977" w:rsidRDefault="00D15924" w:rsidP="003961A5">
      <w:pPr>
        <w:pStyle w:val="ListParagraph"/>
        <w:numPr>
          <w:ilvl w:val="0"/>
          <w:numId w:val="31"/>
        </w:numPr>
        <w:tabs>
          <w:tab w:val="left" w:pos="1080"/>
        </w:tabs>
        <w:jc w:val="both"/>
        <w:rPr>
          <w:rFonts w:ascii="Arial" w:eastAsia="Times New Roman" w:hAnsi="Arial" w:cs="Arial"/>
          <w:bCs/>
          <w:szCs w:val="20"/>
        </w:rPr>
      </w:pPr>
      <w:r w:rsidRPr="009E6977">
        <w:rPr>
          <w:rFonts w:ascii="Arial" w:eastAsia="Times New Roman" w:hAnsi="Arial" w:cs="Arial"/>
          <w:bCs/>
          <w:szCs w:val="20"/>
        </w:rPr>
        <w:t>For pharmaceutical products, milestone payments payable upon first Investigative New Drug Approval, upon positive outcome of Phase II trial in first indication, and upon New Drug Application approval.  As of April 30, 2020, no milestones have been achieved.</w:t>
      </w:r>
    </w:p>
    <w:p w14:paraId="62DD3D3F" w14:textId="77777777" w:rsidR="002578B6" w:rsidRDefault="002578B6">
      <w:pPr>
        <w:rPr>
          <w:rFonts w:ascii="Arial" w:hAnsi="Arial" w:cs="Arial"/>
          <w:b/>
          <w:szCs w:val="20"/>
        </w:rPr>
      </w:pPr>
      <w:r>
        <w:rPr>
          <w:rFonts w:ascii="Arial" w:hAnsi="Arial" w:cs="Arial"/>
          <w:b/>
          <w:szCs w:val="20"/>
        </w:rPr>
        <w:br w:type="page"/>
      </w:r>
    </w:p>
    <w:p w14:paraId="78CC013D" w14:textId="134F4380" w:rsidR="002578B6" w:rsidRPr="002578B6" w:rsidRDefault="002578B6" w:rsidP="002578B6">
      <w:pPr>
        <w:tabs>
          <w:tab w:val="left" w:pos="450"/>
        </w:tabs>
        <w:spacing w:after="0" w:line="240" w:lineRule="auto"/>
        <w:jc w:val="both"/>
        <w:rPr>
          <w:rFonts w:ascii="Arial" w:hAnsi="Arial" w:cs="Arial"/>
          <w:bCs/>
          <w:szCs w:val="20"/>
        </w:rPr>
      </w:pPr>
      <w:r w:rsidRPr="002578B6">
        <w:rPr>
          <w:rFonts w:ascii="Arial" w:hAnsi="Arial" w:cs="Arial"/>
          <w:b/>
          <w:szCs w:val="20"/>
        </w:rPr>
        <w:lastRenderedPageBreak/>
        <w:t xml:space="preserve">8.    </w:t>
      </w:r>
      <w:r w:rsidRPr="002578B6">
        <w:rPr>
          <w:rFonts w:ascii="Arial" w:hAnsi="Arial" w:cs="Arial"/>
          <w:b/>
          <w:szCs w:val="20"/>
        </w:rPr>
        <w:tab/>
        <w:t xml:space="preserve">Intangible Assets </w:t>
      </w:r>
      <w:r w:rsidRPr="002578B6">
        <w:rPr>
          <w:rFonts w:ascii="Arial" w:hAnsi="Arial" w:cs="Arial"/>
          <w:bCs/>
          <w:szCs w:val="20"/>
        </w:rPr>
        <w:t>(continued)</w:t>
      </w:r>
    </w:p>
    <w:p w14:paraId="6265DC94" w14:textId="77777777" w:rsidR="002578B6" w:rsidRDefault="002578B6" w:rsidP="00370DC7">
      <w:pPr>
        <w:spacing w:after="0" w:line="240" w:lineRule="auto"/>
        <w:ind w:left="450"/>
        <w:jc w:val="both"/>
        <w:rPr>
          <w:rFonts w:ascii="Arial" w:eastAsia="Times New Roman" w:hAnsi="Arial" w:cs="Arial"/>
          <w:bCs/>
          <w:szCs w:val="20"/>
          <w:u w:val="single"/>
        </w:rPr>
      </w:pPr>
    </w:p>
    <w:p w14:paraId="42BA8B38" w14:textId="4756A788" w:rsidR="009E6977" w:rsidRDefault="009E6977" w:rsidP="00370DC7">
      <w:pPr>
        <w:spacing w:after="0" w:line="240" w:lineRule="auto"/>
        <w:ind w:left="450"/>
        <w:jc w:val="both"/>
        <w:rPr>
          <w:rFonts w:ascii="Arial" w:eastAsia="Times New Roman" w:hAnsi="Arial" w:cs="Arial"/>
          <w:bCs/>
          <w:szCs w:val="20"/>
          <w:u w:val="single"/>
        </w:rPr>
      </w:pPr>
      <w:proofErr w:type="spellStart"/>
      <w:r>
        <w:rPr>
          <w:rFonts w:ascii="Arial" w:eastAsia="Times New Roman" w:hAnsi="Arial" w:cs="Arial"/>
          <w:bCs/>
          <w:szCs w:val="20"/>
          <w:u w:val="single"/>
        </w:rPr>
        <w:t>Solmic</w:t>
      </w:r>
      <w:proofErr w:type="spellEnd"/>
      <w:r>
        <w:rPr>
          <w:rFonts w:ascii="Arial" w:eastAsia="Times New Roman" w:hAnsi="Arial" w:cs="Arial"/>
          <w:bCs/>
          <w:szCs w:val="20"/>
          <w:u w:val="single"/>
        </w:rPr>
        <w:t xml:space="preserve"> Patents</w:t>
      </w:r>
    </w:p>
    <w:p w14:paraId="646FB256" w14:textId="77777777" w:rsidR="009E6977" w:rsidRPr="009E6977" w:rsidRDefault="009E6977" w:rsidP="00370DC7">
      <w:pPr>
        <w:spacing w:after="0" w:line="240" w:lineRule="auto"/>
        <w:ind w:left="450"/>
        <w:jc w:val="both"/>
        <w:rPr>
          <w:rFonts w:ascii="Arial" w:eastAsia="Times New Roman" w:hAnsi="Arial" w:cs="Arial"/>
          <w:bCs/>
          <w:szCs w:val="20"/>
          <w:u w:val="single"/>
        </w:rPr>
      </w:pPr>
    </w:p>
    <w:p w14:paraId="15B51F06" w14:textId="4B753F55" w:rsidR="009E6977" w:rsidRPr="009E6977" w:rsidRDefault="009E6977" w:rsidP="004417BD">
      <w:pPr>
        <w:spacing w:after="0" w:line="240" w:lineRule="auto"/>
        <w:ind w:left="450"/>
        <w:jc w:val="both"/>
        <w:rPr>
          <w:rFonts w:ascii="Arial" w:eastAsia="Times New Roman" w:hAnsi="Arial" w:cs="Arial"/>
          <w:bCs/>
          <w:szCs w:val="20"/>
        </w:rPr>
      </w:pPr>
      <w:r w:rsidRPr="009E6977">
        <w:rPr>
          <w:rFonts w:ascii="Arial" w:eastAsia="Times New Roman" w:hAnsi="Arial" w:cs="Arial"/>
          <w:bCs/>
          <w:szCs w:val="20"/>
        </w:rPr>
        <w:t xml:space="preserve">On October 22, 2019, the Company </w:t>
      </w:r>
      <w:proofErr w:type="gramStart"/>
      <w:r w:rsidRPr="009E6977">
        <w:rPr>
          <w:rFonts w:ascii="Arial" w:eastAsia="Times New Roman" w:hAnsi="Arial" w:cs="Arial"/>
          <w:bCs/>
          <w:szCs w:val="20"/>
        </w:rPr>
        <w:t>entered into</w:t>
      </w:r>
      <w:proofErr w:type="gramEnd"/>
      <w:r w:rsidRPr="009E6977">
        <w:rPr>
          <w:rFonts w:ascii="Arial" w:eastAsia="Times New Roman" w:hAnsi="Arial" w:cs="Arial"/>
          <w:bCs/>
          <w:szCs w:val="20"/>
        </w:rPr>
        <w:t xml:space="preserve"> a contract to acquire </w:t>
      </w:r>
      <w:proofErr w:type="spellStart"/>
      <w:r w:rsidRPr="009E6977">
        <w:rPr>
          <w:rFonts w:ascii="Arial" w:eastAsia="Times New Roman" w:hAnsi="Arial" w:cs="Arial"/>
          <w:bCs/>
          <w:szCs w:val="20"/>
        </w:rPr>
        <w:t>SolMic</w:t>
      </w:r>
      <w:proofErr w:type="spellEnd"/>
      <w:r w:rsidRPr="009E6977">
        <w:rPr>
          <w:rFonts w:ascii="Arial" w:eastAsia="Times New Roman" w:hAnsi="Arial" w:cs="Arial"/>
          <w:bCs/>
          <w:szCs w:val="20"/>
        </w:rPr>
        <w:t xml:space="preserve"> AG (“</w:t>
      </w:r>
      <w:proofErr w:type="spellStart"/>
      <w:r w:rsidRPr="009E6977">
        <w:rPr>
          <w:rFonts w:ascii="Arial" w:eastAsia="Times New Roman" w:hAnsi="Arial" w:cs="Arial"/>
          <w:bCs/>
          <w:szCs w:val="20"/>
        </w:rPr>
        <w:t>Solmic</w:t>
      </w:r>
      <w:proofErr w:type="spellEnd"/>
      <w:r w:rsidRPr="009E6977">
        <w:rPr>
          <w:rFonts w:ascii="Arial" w:eastAsia="Times New Roman" w:hAnsi="Arial" w:cs="Arial"/>
          <w:bCs/>
          <w:szCs w:val="20"/>
        </w:rPr>
        <w:t xml:space="preserve"> AG”). Consideration for the acquisition included CHF 10,000 to be paid in cash (paid in March 2020).  In connection with the acquisition, the Company entered into an assignment agreement to assign a patented technology called “</w:t>
      </w:r>
      <w:proofErr w:type="spellStart"/>
      <w:r w:rsidRPr="009E6977">
        <w:rPr>
          <w:rFonts w:ascii="Arial" w:eastAsia="Times New Roman" w:hAnsi="Arial" w:cs="Arial"/>
          <w:bCs/>
          <w:szCs w:val="20"/>
        </w:rPr>
        <w:t>Solmic</w:t>
      </w:r>
      <w:proofErr w:type="spellEnd"/>
      <w:r w:rsidRPr="009E6977">
        <w:rPr>
          <w:rFonts w:ascii="Arial" w:eastAsia="Times New Roman" w:hAnsi="Arial" w:cs="Arial"/>
          <w:bCs/>
          <w:szCs w:val="20"/>
        </w:rPr>
        <w:t>” (“</w:t>
      </w:r>
      <w:proofErr w:type="spellStart"/>
      <w:r w:rsidRPr="009E6977">
        <w:rPr>
          <w:rFonts w:ascii="Arial" w:eastAsia="Times New Roman" w:hAnsi="Arial" w:cs="Arial"/>
          <w:bCs/>
          <w:szCs w:val="20"/>
        </w:rPr>
        <w:t>Solmic</w:t>
      </w:r>
      <w:proofErr w:type="spellEnd"/>
      <w:r w:rsidRPr="009E6977">
        <w:rPr>
          <w:rFonts w:ascii="Arial" w:eastAsia="Times New Roman" w:hAnsi="Arial" w:cs="Arial"/>
          <w:bCs/>
          <w:szCs w:val="20"/>
        </w:rPr>
        <w:t xml:space="preserve"> Patents”) for payments </w:t>
      </w:r>
      <w:proofErr w:type="spellStart"/>
      <w:r w:rsidRPr="009E6977">
        <w:rPr>
          <w:rFonts w:ascii="Arial" w:eastAsia="Times New Roman" w:hAnsi="Arial" w:cs="Arial"/>
          <w:bCs/>
          <w:szCs w:val="20"/>
        </w:rPr>
        <w:t>totalling</w:t>
      </w:r>
      <w:proofErr w:type="spellEnd"/>
      <w:r w:rsidRPr="009E6977">
        <w:rPr>
          <w:rFonts w:ascii="Arial" w:eastAsia="Times New Roman" w:hAnsi="Arial" w:cs="Arial"/>
          <w:bCs/>
          <w:szCs w:val="20"/>
        </w:rPr>
        <w:t xml:space="preserve"> EUR 50,000</w:t>
      </w:r>
      <w:r w:rsidR="003961A5">
        <w:rPr>
          <w:rFonts w:ascii="Arial" w:eastAsia="Times New Roman" w:hAnsi="Arial" w:cs="Arial"/>
          <w:bCs/>
          <w:szCs w:val="20"/>
        </w:rPr>
        <w:t xml:space="preserve"> (completed in March 2020)</w:t>
      </w:r>
      <w:r w:rsidRPr="009E6977">
        <w:rPr>
          <w:rFonts w:ascii="Arial" w:eastAsia="Times New Roman" w:hAnsi="Arial" w:cs="Arial"/>
          <w:bCs/>
          <w:szCs w:val="20"/>
        </w:rPr>
        <w:t xml:space="preserve">. </w:t>
      </w:r>
    </w:p>
    <w:p w14:paraId="6073DC0E" w14:textId="77777777" w:rsidR="009E6977" w:rsidRPr="009E6977" w:rsidRDefault="009E6977" w:rsidP="004417BD">
      <w:pPr>
        <w:pStyle w:val="ListParagraph"/>
        <w:spacing w:after="0" w:line="240" w:lineRule="auto"/>
        <w:ind w:left="450"/>
        <w:jc w:val="both"/>
        <w:rPr>
          <w:rFonts w:ascii="Arial" w:eastAsia="Times New Roman" w:hAnsi="Arial" w:cs="Arial"/>
          <w:bCs/>
          <w:szCs w:val="20"/>
        </w:rPr>
      </w:pPr>
    </w:p>
    <w:p w14:paraId="21443712" w14:textId="77777777" w:rsidR="00370DC7" w:rsidRDefault="009E6977" w:rsidP="004417BD">
      <w:pPr>
        <w:spacing w:after="0" w:line="240" w:lineRule="auto"/>
        <w:ind w:left="450"/>
        <w:jc w:val="both"/>
        <w:rPr>
          <w:rFonts w:ascii="Arial" w:eastAsia="Times New Roman" w:hAnsi="Arial" w:cs="Arial"/>
          <w:bCs/>
          <w:szCs w:val="20"/>
        </w:rPr>
      </w:pPr>
      <w:r w:rsidRPr="009E6977">
        <w:rPr>
          <w:rFonts w:ascii="Arial" w:eastAsia="Times New Roman" w:hAnsi="Arial" w:cs="Arial"/>
          <w:bCs/>
          <w:szCs w:val="20"/>
        </w:rPr>
        <w:t xml:space="preserve">The Company evaluated this acquisition in accordance with IFRS 3, Business Combinations to discern whether the assets and operations of </w:t>
      </w:r>
      <w:proofErr w:type="spellStart"/>
      <w:r w:rsidRPr="009E6977">
        <w:rPr>
          <w:rFonts w:ascii="Arial" w:eastAsia="Times New Roman" w:hAnsi="Arial" w:cs="Arial"/>
          <w:bCs/>
          <w:szCs w:val="20"/>
        </w:rPr>
        <w:t>Solmic</w:t>
      </w:r>
      <w:proofErr w:type="spellEnd"/>
      <w:r w:rsidRPr="009E6977">
        <w:rPr>
          <w:rFonts w:ascii="Arial" w:eastAsia="Times New Roman" w:hAnsi="Arial" w:cs="Arial"/>
          <w:bCs/>
          <w:szCs w:val="20"/>
        </w:rPr>
        <w:t xml:space="preserve"> AG met the definition of a business. The Company concluded there were not </w:t>
      </w:r>
      <w:proofErr w:type="gramStart"/>
      <w:r w:rsidRPr="009E6977">
        <w:rPr>
          <w:rFonts w:ascii="Arial" w:eastAsia="Times New Roman" w:hAnsi="Arial" w:cs="Arial"/>
          <w:bCs/>
          <w:szCs w:val="20"/>
        </w:rPr>
        <w:t>a sufficient number of</w:t>
      </w:r>
      <w:proofErr w:type="gramEnd"/>
      <w:r w:rsidRPr="009E6977">
        <w:rPr>
          <w:rFonts w:ascii="Arial" w:eastAsia="Times New Roman" w:hAnsi="Arial" w:cs="Arial"/>
          <w:bCs/>
          <w:szCs w:val="20"/>
        </w:rPr>
        <w:t xml:space="preserve"> key processes obtained to develop the inputs into outputs, nor could such processes be easily obtained by the Company. Accordingly, the Company will account for this transaction as an asset acquisition</w:t>
      </w:r>
      <w:r w:rsidR="00370DC7">
        <w:rPr>
          <w:rFonts w:ascii="Arial" w:eastAsia="Times New Roman" w:hAnsi="Arial" w:cs="Arial"/>
          <w:bCs/>
          <w:szCs w:val="20"/>
        </w:rPr>
        <w:t>.</w:t>
      </w:r>
    </w:p>
    <w:p w14:paraId="04783386" w14:textId="51016FA0" w:rsidR="000C1791" w:rsidRPr="009E6977" w:rsidRDefault="000C1791" w:rsidP="00370DC7">
      <w:pPr>
        <w:spacing w:after="0" w:line="240" w:lineRule="auto"/>
        <w:ind w:left="450"/>
        <w:rPr>
          <w:rFonts w:ascii="Arial" w:hAnsi="Arial" w:cs="Arial"/>
          <w:b/>
          <w:szCs w:val="20"/>
        </w:rPr>
      </w:pPr>
    </w:p>
    <w:p w14:paraId="7F835882" w14:textId="2CF97071" w:rsidR="00E504AC" w:rsidRDefault="0051490C" w:rsidP="00EE4151">
      <w:pPr>
        <w:tabs>
          <w:tab w:val="left" w:pos="360"/>
        </w:tabs>
        <w:spacing w:after="0"/>
        <w:rPr>
          <w:rFonts w:ascii="Arial" w:hAnsi="Arial" w:cs="Arial"/>
          <w:b/>
          <w:bCs/>
          <w:szCs w:val="20"/>
        </w:rPr>
      </w:pPr>
      <w:r>
        <w:rPr>
          <w:rFonts w:ascii="Arial" w:hAnsi="Arial" w:cs="Arial"/>
          <w:b/>
          <w:bCs/>
          <w:szCs w:val="20"/>
        </w:rPr>
        <w:t>9</w:t>
      </w:r>
      <w:r w:rsidR="00E504AC" w:rsidRPr="009B7F95">
        <w:rPr>
          <w:rFonts w:ascii="Arial" w:hAnsi="Arial" w:cs="Arial"/>
          <w:b/>
          <w:bCs/>
          <w:szCs w:val="20"/>
        </w:rPr>
        <w:t>.</w:t>
      </w:r>
      <w:r w:rsidR="00E504AC" w:rsidRPr="009B7F95">
        <w:rPr>
          <w:rFonts w:ascii="Arial" w:hAnsi="Arial" w:cs="Arial"/>
          <w:b/>
          <w:bCs/>
          <w:szCs w:val="20"/>
        </w:rPr>
        <w:tab/>
        <w:t>Operating Leases</w:t>
      </w:r>
    </w:p>
    <w:p w14:paraId="046AE1A0" w14:textId="281B2865" w:rsidR="002F1A86" w:rsidRDefault="002F1A86" w:rsidP="00E504AC">
      <w:pPr>
        <w:tabs>
          <w:tab w:val="left" w:pos="450"/>
        </w:tabs>
        <w:spacing w:after="0" w:line="240" w:lineRule="auto"/>
        <w:jc w:val="both"/>
        <w:rPr>
          <w:rFonts w:ascii="Arial" w:hAnsi="Arial" w:cs="Arial"/>
          <w:b/>
          <w:bCs/>
          <w:szCs w:val="20"/>
        </w:rPr>
      </w:pPr>
      <w:r>
        <w:rPr>
          <w:rFonts w:ascii="Arial" w:hAnsi="Arial" w:cs="Arial"/>
          <w:b/>
          <w:bCs/>
          <w:szCs w:val="20"/>
        </w:rPr>
        <w:tab/>
      </w:r>
    </w:p>
    <w:p w14:paraId="34E97672" w14:textId="2FCEFE14" w:rsidR="002F1A86" w:rsidRPr="002E7911" w:rsidRDefault="002F1A86" w:rsidP="00E504AC">
      <w:pPr>
        <w:tabs>
          <w:tab w:val="left" w:pos="450"/>
        </w:tabs>
        <w:spacing w:after="0" w:line="240" w:lineRule="auto"/>
        <w:jc w:val="both"/>
        <w:rPr>
          <w:rFonts w:ascii="Arial" w:hAnsi="Arial" w:cs="Arial"/>
          <w:bCs/>
          <w:szCs w:val="20"/>
        </w:rPr>
      </w:pPr>
      <w:r>
        <w:rPr>
          <w:rFonts w:ascii="Arial" w:hAnsi="Arial" w:cs="Arial"/>
          <w:b/>
          <w:bCs/>
          <w:szCs w:val="20"/>
        </w:rPr>
        <w:tab/>
      </w:r>
      <w:r w:rsidRPr="002E7911">
        <w:rPr>
          <w:rFonts w:ascii="Arial" w:hAnsi="Arial" w:cs="Arial"/>
          <w:bCs/>
          <w:szCs w:val="20"/>
        </w:rPr>
        <w:t>All the operating leases of the Company relate to building leases.</w:t>
      </w:r>
    </w:p>
    <w:p w14:paraId="75E41B8D" w14:textId="4B01E7F5" w:rsidR="001307BF" w:rsidRDefault="001307BF" w:rsidP="00E504AC">
      <w:pPr>
        <w:tabs>
          <w:tab w:val="left" w:pos="450"/>
        </w:tabs>
        <w:spacing w:after="0" w:line="240" w:lineRule="auto"/>
        <w:jc w:val="both"/>
        <w:rPr>
          <w:rFonts w:ascii="Arial" w:hAnsi="Arial" w:cs="Arial"/>
          <w:b/>
          <w:bCs/>
          <w:szCs w:val="20"/>
        </w:rPr>
      </w:pPr>
    </w:p>
    <w:p w14:paraId="3A5F0279" w14:textId="52683622" w:rsidR="001307BF" w:rsidRDefault="001307BF" w:rsidP="001307BF">
      <w:pPr>
        <w:tabs>
          <w:tab w:val="left" w:pos="450"/>
        </w:tabs>
        <w:spacing w:after="0" w:line="240" w:lineRule="auto"/>
        <w:ind w:left="446"/>
        <w:jc w:val="both"/>
        <w:rPr>
          <w:rFonts w:ascii="Arial" w:hAnsi="Arial" w:cs="Arial"/>
          <w:szCs w:val="20"/>
        </w:rPr>
      </w:pPr>
      <w:r>
        <w:rPr>
          <w:rFonts w:ascii="Arial" w:hAnsi="Arial" w:cs="Arial"/>
          <w:szCs w:val="20"/>
        </w:rPr>
        <w:t xml:space="preserve">On October 31, 2019, the Company entered into a lease agreement, effective November 1, 2019 and expiring on April 30, 2025, for 285-295 </w:t>
      </w:r>
      <w:proofErr w:type="spellStart"/>
      <w:r>
        <w:rPr>
          <w:rFonts w:ascii="Arial" w:hAnsi="Arial" w:cs="Arial"/>
          <w:szCs w:val="20"/>
        </w:rPr>
        <w:t>Kesmark</w:t>
      </w:r>
      <w:proofErr w:type="spellEnd"/>
      <w:r>
        <w:rPr>
          <w:rFonts w:ascii="Arial" w:hAnsi="Arial" w:cs="Arial"/>
          <w:szCs w:val="20"/>
        </w:rPr>
        <w:t xml:space="preserve"> Street in Quebec, Canada and a sub-lease agreement, effective November 1, 2019, as sub-lessor of 285 </w:t>
      </w:r>
      <w:proofErr w:type="spellStart"/>
      <w:r>
        <w:rPr>
          <w:rFonts w:ascii="Arial" w:hAnsi="Arial" w:cs="Arial"/>
          <w:szCs w:val="20"/>
        </w:rPr>
        <w:t>Kesmark</w:t>
      </w:r>
      <w:proofErr w:type="spellEnd"/>
      <w:r>
        <w:rPr>
          <w:rFonts w:ascii="Arial" w:hAnsi="Arial" w:cs="Arial"/>
          <w:szCs w:val="20"/>
        </w:rPr>
        <w:t xml:space="preserve"> Street.  </w:t>
      </w:r>
      <w:r w:rsidR="002A7FF5">
        <w:rPr>
          <w:rFonts w:ascii="Arial" w:hAnsi="Arial" w:cs="Arial"/>
          <w:szCs w:val="20"/>
        </w:rPr>
        <w:t xml:space="preserve"> </w:t>
      </w:r>
      <w:r w:rsidRPr="002956D7">
        <w:rPr>
          <w:rFonts w:ascii="Arial" w:hAnsi="Arial" w:cs="Arial"/>
          <w:szCs w:val="20"/>
        </w:rPr>
        <w:t xml:space="preserve"> </w:t>
      </w:r>
    </w:p>
    <w:p w14:paraId="232C8609" w14:textId="496D849D" w:rsidR="001307BF" w:rsidRDefault="001307BF" w:rsidP="00E504AC">
      <w:pPr>
        <w:tabs>
          <w:tab w:val="left" w:pos="450"/>
        </w:tabs>
        <w:spacing w:after="0" w:line="240" w:lineRule="auto"/>
        <w:jc w:val="both"/>
        <w:rPr>
          <w:rFonts w:ascii="Arial" w:hAnsi="Arial" w:cs="Arial"/>
          <w:b/>
          <w:bCs/>
          <w:szCs w:val="20"/>
        </w:rPr>
      </w:pPr>
    </w:p>
    <w:p w14:paraId="0820FB16" w14:textId="3DE02D1E" w:rsidR="00C87F23" w:rsidRDefault="00D15924" w:rsidP="00C87F23">
      <w:pPr>
        <w:tabs>
          <w:tab w:val="left" w:pos="450"/>
        </w:tabs>
        <w:spacing w:after="0" w:line="240" w:lineRule="auto"/>
        <w:ind w:left="446"/>
        <w:jc w:val="both"/>
        <w:rPr>
          <w:rFonts w:ascii="Arial" w:hAnsi="Arial" w:cs="Arial"/>
          <w:szCs w:val="20"/>
        </w:rPr>
      </w:pPr>
      <w:r>
        <w:rPr>
          <w:rFonts w:ascii="Arial" w:hAnsi="Arial" w:cs="Arial"/>
          <w:szCs w:val="20"/>
        </w:rPr>
        <w:t>During the three months ended April 30, 2020, the Company’s</w:t>
      </w:r>
      <w:r w:rsidR="00C87F23">
        <w:rPr>
          <w:rFonts w:ascii="Arial" w:hAnsi="Arial" w:cs="Arial"/>
          <w:szCs w:val="20"/>
        </w:rPr>
        <w:t xml:space="preserve"> lease at 3595 Cadillac Avenue in California, U.S.A</w:t>
      </w:r>
      <w:r>
        <w:rPr>
          <w:rFonts w:ascii="Arial" w:hAnsi="Arial" w:cs="Arial"/>
          <w:szCs w:val="20"/>
        </w:rPr>
        <w:t xml:space="preserve"> was </w:t>
      </w:r>
      <w:r w:rsidR="00C87F23">
        <w:rPr>
          <w:rFonts w:ascii="Arial" w:hAnsi="Arial" w:cs="Arial"/>
          <w:szCs w:val="20"/>
        </w:rPr>
        <w:t>assigned together with the assignment of Pivot Naturals</w:t>
      </w:r>
      <w:r>
        <w:rPr>
          <w:rFonts w:ascii="Arial" w:hAnsi="Arial" w:cs="Arial"/>
          <w:szCs w:val="20"/>
        </w:rPr>
        <w:t xml:space="preserve"> (Note </w:t>
      </w:r>
      <w:r w:rsidR="00370DC7">
        <w:rPr>
          <w:rFonts w:ascii="Arial" w:hAnsi="Arial" w:cs="Arial"/>
          <w:szCs w:val="20"/>
        </w:rPr>
        <w:t>4</w:t>
      </w:r>
      <w:r>
        <w:rPr>
          <w:rFonts w:ascii="Arial" w:hAnsi="Arial" w:cs="Arial"/>
          <w:szCs w:val="20"/>
        </w:rPr>
        <w:t>)</w:t>
      </w:r>
      <w:r w:rsidR="00C87F23">
        <w:rPr>
          <w:rFonts w:ascii="Arial" w:hAnsi="Arial" w:cs="Arial"/>
          <w:szCs w:val="20"/>
        </w:rPr>
        <w:t xml:space="preserve">. The related </w:t>
      </w:r>
      <w:r w:rsidR="001127AD">
        <w:rPr>
          <w:rFonts w:ascii="Arial" w:hAnsi="Arial" w:cs="Arial"/>
          <w:szCs w:val="20"/>
        </w:rPr>
        <w:t>ROU</w:t>
      </w:r>
      <w:r w:rsidR="00C87F23">
        <w:rPr>
          <w:rFonts w:ascii="Arial" w:hAnsi="Arial" w:cs="Arial"/>
          <w:szCs w:val="20"/>
        </w:rPr>
        <w:t xml:space="preserve"> asset was impaired at </w:t>
      </w:r>
      <w:r w:rsidR="001127AD">
        <w:rPr>
          <w:rFonts w:ascii="Arial" w:hAnsi="Arial" w:cs="Arial"/>
          <w:szCs w:val="20"/>
        </w:rPr>
        <w:t>January 31, 2020</w:t>
      </w:r>
      <w:r w:rsidR="00C87F23">
        <w:rPr>
          <w:rFonts w:ascii="Arial" w:hAnsi="Arial" w:cs="Arial"/>
          <w:szCs w:val="20"/>
        </w:rPr>
        <w:t xml:space="preserve"> upon management’s decision to exit the US cannabis market</w:t>
      </w:r>
      <w:r w:rsidR="0032772B">
        <w:rPr>
          <w:rFonts w:ascii="Arial" w:hAnsi="Arial" w:cs="Arial"/>
          <w:szCs w:val="20"/>
        </w:rPr>
        <w:t xml:space="preserve"> </w:t>
      </w:r>
      <w:r w:rsidR="003961A5">
        <w:rPr>
          <w:rFonts w:ascii="Arial" w:hAnsi="Arial" w:cs="Arial"/>
          <w:szCs w:val="20"/>
        </w:rPr>
        <w:t xml:space="preserve">(Note 8) </w:t>
      </w:r>
      <w:r w:rsidR="0032772B">
        <w:rPr>
          <w:rFonts w:ascii="Arial" w:hAnsi="Arial" w:cs="Arial"/>
          <w:szCs w:val="20"/>
        </w:rPr>
        <w:t>and the related lease liability was extinguished during the three months ended April 30, 2020.</w:t>
      </w:r>
      <w:r w:rsidR="00C87F23">
        <w:rPr>
          <w:rFonts w:ascii="Arial" w:hAnsi="Arial" w:cs="Arial"/>
          <w:szCs w:val="20"/>
        </w:rPr>
        <w:t xml:space="preserve"> </w:t>
      </w:r>
      <w:r w:rsidR="00C87F23" w:rsidRPr="00E504AC">
        <w:rPr>
          <w:rFonts w:ascii="Arial" w:hAnsi="Arial" w:cs="Arial"/>
          <w:szCs w:val="20"/>
        </w:rPr>
        <w:t xml:space="preserve">  </w:t>
      </w:r>
    </w:p>
    <w:p w14:paraId="797EAC76" w14:textId="030E840B" w:rsidR="00370DC7" w:rsidRDefault="00370DC7" w:rsidP="00E504AC">
      <w:pPr>
        <w:tabs>
          <w:tab w:val="left" w:pos="450"/>
        </w:tabs>
        <w:spacing w:after="0" w:line="240" w:lineRule="auto"/>
        <w:jc w:val="both"/>
        <w:rPr>
          <w:rFonts w:ascii="Arial" w:hAnsi="Arial" w:cs="Arial"/>
          <w:b/>
          <w:bCs/>
          <w:szCs w:val="20"/>
        </w:rPr>
      </w:pPr>
    </w:p>
    <w:tbl>
      <w:tblPr>
        <w:tblW w:w="8791" w:type="dxa"/>
        <w:tblInd w:w="450" w:type="dxa"/>
        <w:tblLayout w:type="fixed"/>
        <w:tblCellMar>
          <w:left w:w="0" w:type="dxa"/>
          <w:right w:w="0" w:type="dxa"/>
        </w:tblCellMar>
        <w:tblLook w:val="0000" w:firstRow="0" w:lastRow="0" w:firstColumn="0" w:lastColumn="0" w:noHBand="0" w:noVBand="0"/>
      </w:tblPr>
      <w:tblGrid>
        <w:gridCol w:w="5850"/>
        <w:gridCol w:w="1559"/>
        <w:gridCol w:w="1382"/>
      </w:tblGrid>
      <w:tr w:rsidR="00E504AC" w:rsidRPr="00E504AC" w14:paraId="4B96DE07" w14:textId="77777777" w:rsidTr="00C74354">
        <w:tc>
          <w:tcPr>
            <w:tcW w:w="5850" w:type="dxa"/>
            <w:tcBorders>
              <w:top w:val="nil"/>
              <w:left w:val="nil"/>
              <w:bottom w:val="single" w:sz="4" w:space="0" w:color="auto"/>
            </w:tcBorders>
            <w:vAlign w:val="bottom"/>
          </w:tcPr>
          <w:p w14:paraId="551CD4D4" w14:textId="6E011813" w:rsidR="00E504AC" w:rsidRPr="00CF1F57" w:rsidRDefault="00E504AC" w:rsidP="00C74354">
            <w:pPr>
              <w:spacing w:after="0"/>
              <w:rPr>
                <w:rFonts w:ascii="Arial" w:hAnsi="Arial" w:cs="Arial"/>
                <w:b/>
                <w:szCs w:val="20"/>
              </w:rPr>
            </w:pPr>
            <w:r w:rsidRPr="00CF1F57">
              <w:rPr>
                <w:rFonts w:ascii="Arial" w:hAnsi="Arial" w:cs="Arial"/>
                <w:b/>
                <w:bCs/>
                <w:szCs w:val="20"/>
              </w:rPr>
              <w:tab/>
            </w:r>
          </w:p>
        </w:tc>
        <w:tc>
          <w:tcPr>
            <w:tcW w:w="1559" w:type="dxa"/>
            <w:tcBorders>
              <w:top w:val="nil"/>
              <w:left w:val="nil"/>
              <w:bottom w:val="single" w:sz="4" w:space="0" w:color="auto"/>
              <w:right w:val="nil"/>
            </w:tcBorders>
          </w:tcPr>
          <w:p w14:paraId="4E1DA2EE" w14:textId="77777777" w:rsidR="00E504AC" w:rsidRPr="00E504AC" w:rsidRDefault="00E504AC" w:rsidP="00C74354">
            <w:pPr>
              <w:spacing w:after="0"/>
              <w:ind w:left="90"/>
              <w:jc w:val="center"/>
              <w:rPr>
                <w:rFonts w:ascii="Arial" w:hAnsi="Arial" w:cs="Arial"/>
                <w:szCs w:val="20"/>
              </w:rPr>
            </w:pPr>
          </w:p>
          <w:p w14:paraId="05C9D216" w14:textId="4A1F49BD" w:rsidR="00E504AC" w:rsidRPr="00E504AC" w:rsidRDefault="00E504AC" w:rsidP="00C74354">
            <w:pPr>
              <w:spacing w:after="0"/>
              <w:ind w:left="90"/>
              <w:jc w:val="center"/>
              <w:rPr>
                <w:rFonts w:ascii="Arial" w:hAnsi="Arial" w:cs="Arial"/>
                <w:szCs w:val="20"/>
              </w:rPr>
            </w:pPr>
          </w:p>
        </w:tc>
        <w:tc>
          <w:tcPr>
            <w:tcW w:w="1382" w:type="dxa"/>
            <w:tcBorders>
              <w:top w:val="nil"/>
              <w:left w:val="nil"/>
              <w:bottom w:val="single" w:sz="4" w:space="0" w:color="auto"/>
              <w:right w:val="nil"/>
            </w:tcBorders>
          </w:tcPr>
          <w:p w14:paraId="0CBB19D4" w14:textId="77777777" w:rsidR="00CF1F57" w:rsidRPr="00E504AC" w:rsidRDefault="00CF1F57" w:rsidP="00CF1F57">
            <w:pPr>
              <w:spacing w:after="0"/>
              <w:ind w:left="90"/>
              <w:jc w:val="center"/>
              <w:rPr>
                <w:rFonts w:ascii="Arial" w:hAnsi="Arial" w:cs="Arial"/>
                <w:szCs w:val="20"/>
              </w:rPr>
            </w:pPr>
            <w:r w:rsidRPr="00E504AC">
              <w:rPr>
                <w:rFonts w:ascii="Arial" w:hAnsi="Arial" w:cs="Arial"/>
                <w:szCs w:val="20"/>
              </w:rPr>
              <w:t>Right-of-use</w:t>
            </w:r>
          </w:p>
          <w:p w14:paraId="266F1AEF" w14:textId="350A26F6" w:rsidR="00CF1F57" w:rsidRDefault="00CF1F57" w:rsidP="00CF1F57">
            <w:pPr>
              <w:spacing w:after="0"/>
              <w:ind w:left="90"/>
              <w:jc w:val="center"/>
              <w:rPr>
                <w:rFonts w:ascii="Arial" w:hAnsi="Arial" w:cs="Arial"/>
                <w:szCs w:val="20"/>
              </w:rPr>
            </w:pPr>
            <w:r w:rsidRPr="00E504AC">
              <w:rPr>
                <w:rFonts w:ascii="Arial" w:hAnsi="Arial" w:cs="Arial"/>
                <w:szCs w:val="20"/>
              </w:rPr>
              <w:t>Asset</w:t>
            </w:r>
            <w:r w:rsidR="002F1A86">
              <w:rPr>
                <w:rFonts w:ascii="Arial" w:hAnsi="Arial" w:cs="Arial"/>
                <w:szCs w:val="20"/>
              </w:rPr>
              <w:t xml:space="preserve">s </w:t>
            </w:r>
          </w:p>
          <w:p w14:paraId="332FCB4B" w14:textId="0F68FF85" w:rsidR="00E504AC" w:rsidRPr="00E504AC" w:rsidRDefault="00E504AC" w:rsidP="00CF1F57">
            <w:pPr>
              <w:spacing w:after="0"/>
              <w:ind w:left="90"/>
              <w:jc w:val="center"/>
              <w:rPr>
                <w:rFonts w:ascii="Arial" w:hAnsi="Arial" w:cs="Arial"/>
                <w:szCs w:val="20"/>
              </w:rPr>
            </w:pPr>
            <w:r w:rsidRPr="00E504AC">
              <w:rPr>
                <w:rFonts w:ascii="Arial" w:hAnsi="Arial" w:cs="Arial"/>
                <w:szCs w:val="20"/>
              </w:rPr>
              <w:t>$</w:t>
            </w:r>
          </w:p>
        </w:tc>
      </w:tr>
      <w:tr w:rsidR="00E504AC" w:rsidRPr="00E504AC" w14:paraId="22F7FDA5" w14:textId="77777777" w:rsidTr="00C74354">
        <w:trPr>
          <w:trHeight w:hRule="exact" w:val="113"/>
        </w:trPr>
        <w:tc>
          <w:tcPr>
            <w:tcW w:w="5850" w:type="dxa"/>
            <w:tcBorders>
              <w:left w:val="nil"/>
            </w:tcBorders>
            <w:vAlign w:val="bottom"/>
          </w:tcPr>
          <w:p w14:paraId="75D08DF4" w14:textId="77777777" w:rsidR="00E504AC" w:rsidRPr="00E504AC" w:rsidRDefault="00E504AC" w:rsidP="00C74354">
            <w:pPr>
              <w:spacing w:after="0"/>
              <w:rPr>
                <w:rFonts w:ascii="Arial" w:hAnsi="Arial" w:cs="Arial"/>
                <w:szCs w:val="20"/>
              </w:rPr>
            </w:pPr>
          </w:p>
        </w:tc>
        <w:tc>
          <w:tcPr>
            <w:tcW w:w="1559" w:type="dxa"/>
            <w:tcBorders>
              <w:left w:val="nil"/>
              <w:right w:val="nil"/>
            </w:tcBorders>
          </w:tcPr>
          <w:p w14:paraId="5CE2BA8E" w14:textId="77777777" w:rsidR="00E504AC" w:rsidRPr="00E504AC" w:rsidRDefault="00E504AC" w:rsidP="00C74354">
            <w:pPr>
              <w:spacing w:after="0"/>
              <w:ind w:right="369"/>
              <w:jc w:val="right"/>
              <w:rPr>
                <w:rFonts w:ascii="Arial" w:hAnsi="Arial" w:cs="Arial"/>
                <w:szCs w:val="20"/>
              </w:rPr>
            </w:pPr>
          </w:p>
        </w:tc>
        <w:tc>
          <w:tcPr>
            <w:tcW w:w="1382" w:type="dxa"/>
            <w:tcBorders>
              <w:left w:val="nil"/>
              <w:right w:val="nil"/>
            </w:tcBorders>
          </w:tcPr>
          <w:p w14:paraId="011BCF9A" w14:textId="77777777" w:rsidR="00E504AC" w:rsidRPr="00E504AC" w:rsidRDefault="00E504AC" w:rsidP="00C74354">
            <w:pPr>
              <w:spacing w:after="0"/>
              <w:ind w:right="369"/>
              <w:jc w:val="right"/>
              <w:rPr>
                <w:rFonts w:ascii="Arial" w:hAnsi="Arial" w:cs="Arial"/>
                <w:szCs w:val="20"/>
              </w:rPr>
            </w:pPr>
          </w:p>
        </w:tc>
      </w:tr>
      <w:tr w:rsidR="00E504AC" w:rsidRPr="00E504AC" w14:paraId="2CC455A4" w14:textId="77777777" w:rsidTr="00C74354">
        <w:tc>
          <w:tcPr>
            <w:tcW w:w="5850" w:type="dxa"/>
            <w:tcBorders>
              <w:left w:val="nil"/>
            </w:tcBorders>
            <w:vAlign w:val="bottom"/>
          </w:tcPr>
          <w:p w14:paraId="4C5C841A" w14:textId="1E6E9AD8" w:rsidR="00E504AC" w:rsidRPr="00E504AC" w:rsidRDefault="00CF1F57" w:rsidP="00C74354">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444AA12" w14:textId="6A2AF8C3"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293D391A" w14:textId="4D28B804" w:rsidR="00E504AC" w:rsidRPr="00E504AC" w:rsidRDefault="00E504AC" w:rsidP="00CF1F57">
            <w:pPr>
              <w:spacing w:after="0"/>
              <w:ind w:right="173"/>
              <w:jc w:val="right"/>
              <w:rPr>
                <w:rFonts w:ascii="Arial" w:hAnsi="Arial" w:cs="Arial"/>
                <w:szCs w:val="20"/>
              </w:rPr>
            </w:pPr>
            <w:r w:rsidRPr="00E504AC">
              <w:rPr>
                <w:rFonts w:ascii="Arial" w:hAnsi="Arial" w:cs="Arial"/>
                <w:szCs w:val="20"/>
              </w:rPr>
              <w:t>1,</w:t>
            </w:r>
            <w:r w:rsidR="009D0506">
              <w:rPr>
                <w:rFonts w:ascii="Arial" w:hAnsi="Arial" w:cs="Arial"/>
                <w:szCs w:val="20"/>
              </w:rPr>
              <w:t>735,346</w:t>
            </w:r>
          </w:p>
        </w:tc>
      </w:tr>
      <w:tr w:rsidR="00D15924" w:rsidRPr="00E504AC" w14:paraId="24519904" w14:textId="77777777" w:rsidTr="00D15924">
        <w:tc>
          <w:tcPr>
            <w:tcW w:w="5850" w:type="dxa"/>
            <w:tcBorders>
              <w:left w:val="nil"/>
            </w:tcBorders>
            <w:vAlign w:val="bottom"/>
          </w:tcPr>
          <w:p w14:paraId="1B81E326" w14:textId="77777777" w:rsidR="00D15924" w:rsidRPr="00E504AC" w:rsidRDefault="00D15924" w:rsidP="00D15924">
            <w:pPr>
              <w:spacing w:after="0"/>
              <w:rPr>
                <w:rFonts w:ascii="Arial" w:hAnsi="Arial" w:cs="Arial"/>
                <w:szCs w:val="20"/>
              </w:rPr>
            </w:pPr>
            <w:r>
              <w:rPr>
                <w:rFonts w:ascii="Arial" w:hAnsi="Arial" w:cs="Arial"/>
                <w:szCs w:val="20"/>
              </w:rPr>
              <w:t>Additions</w:t>
            </w:r>
          </w:p>
        </w:tc>
        <w:tc>
          <w:tcPr>
            <w:tcW w:w="1559" w:type="dxa"/>
            <w:tcBorders>
              <w:left w:val="nil"/>
              <w:right w:val="nil"/>
            </w:tcBorders>
          </w:tcPr>
          <w:p w14:paraId="60F3FAB3"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0AE59353" w14:textId="77777777" w:rsidR="00D15924" w:rsidRDefault="00D15924" w:rsidP="00D15924">
            <w:pPr>
              <w:spacing w:after="0"/>
              <w:ind w:right="173"/>
              <w:jc w:val="right"/>
              <w:rPr>
                <w:rFonts w:ascii="Arial" w:hAnsi="Arial" w:cs="Arial"/>
                <w:szCs w:val="20"/>
              </w:rPr>
            </w:pPr>
            <w:r>
              <w:rPr>
                <w:rFonts w:ascii="Arial" w:hAnsi="Arial" w:cs="Arial"/>
                <w:szCs w:val="20"/>
              </w:rPr>
              <w:t>3,330,947</w:t>
            </w:r>
          </w:p>
        </w:tc>
      </w:tr>
      <w:tr w:rsidR="00D15924" w:rsidRPr="00E504AC" w14:paraId="4AEEC9FC" w14:textId="77777777" w:rsidTr="00D15924">
        <w:tc>
          <w:tcPr>
            <w:tcW w:w="5850" w:type="dxa"/>
            <w:tcBorders>
              <w:left w:val="nil"/>
            </w:tcBorders>
            <w:vAlign w:val="bottom"/>
          </w:tcPr>
          <w:p w14:paraId="6967FB54" w14:textId="77777777" w:rsidR="00D15924" w:rsidRDefault="00D15924" w:rsidP="00D15924">
            <w:pPr>
              <w:spacing w:after="0"/>
              <w:rPr>
                <w:rFonts w:ascii="Arial" w:hAnsi="Arial" w:cs="Arial"/>
                <w:szCs w:val="20"/>
              </w:rPr>
            </w:pPr>
            <w:r>
              <w:rPr>
                <w:rFonts w:ascii="Arial" w:hAnsi="Arial" w:cs="Arial"/>
                <w:szCs w:val="20"/>
              </w:rPr>
              <w:t>Disposal – ROU asset</w:t>
            </w:r>
          </w:p>
        </w:tc>
        <w:tc>
          <w:tcPr>
            <w:tcW w:w="1559" w:type="dxa"/>
            <w:tcBorders>
              <w:left w:val="nil"/>
              <w:right w:val="nil"/>
            </w:tcBorders>
          </w:tcPr>
          <w:p w14:paraId="5521AD4A"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0801DFAE" w14:textId="77777777" w:rsidR="00D15924" w:rsidRDefault="00D15924" w:rsidP="00D15924">
            <w:pPr>
              <w:spacing w:after="0"/>
              <w:ind w:right="173"/>
              <w:jc w:val="right"/>
              <w:rPr>
                <w:rFonts w:ascii="Arial" w:hAnsi="Arial" w:cs="Arial"/>
                <w:szCs w:val="20"/>
              </w:rPr>
            </w:pPr>
            <w:r>
              <w:rPr>
                <w:rFonts w:ascii="Arial" w:hAnsi="Arial" w:cs="Arial"/>
                <w:szCs w:val="20"/>
              </w:rPr>
              <w:t>(466,839)</w:t>
            </w:r>
          </w:p>
        </w:tc>
      </w:tr>
      <w:tr w:rsidR="00D15924" w:rsidRPr="00E504AC" w14:paraId="08F024DD" w14:textId="77777777" w:rsidTr="00D15924">
        <w:tc>
          <w:tcPr>
            <w:tcW w:w="5850" w:type="dxa"/>
            <w:tcBorders>
              <w:left w:val="nil"/>
            </w:tcBorders>
            <w:vAlign w:val="bottom"/>
          </w:tcPr>
          <w:p w14:paraId="45C7B618" w14:textId="77777777" w:rsidR="00D15924" w:rsidRDefault="00D15924" w:rsidP="00D15924">
            <w:pPr>
              <w:spacing w:after="0"/>
              <w:rPr>
                <w:rFonts w:ascii="Arial" w:hAnsi="Arial" w:cs="Arial"/>
                <w:szCs w:val="20"/>
              </w:rPr>
            </w:pPr>
            <w:r>
              <w:rPr>
                <w:rFonts w:ascii="Arial" w:hAnsi="Arial" w:cs="Arial"/>
                <w:szCs w:val="20"/>
              </w:rPr>
              <w:t>Disposal – Accumulated amortization on ROU asset</w:t>
            </w:r>
          </w:p>
        </w:tc>
        <w:tc>
          <w:tcPr>
            <w:tcW w:w="1559" w:type="dxa"/>
            <w:tcBorders>
              <w:left w:val="nil"/>
              <w:right w:val="nil"/>
            </w:tcBorders>
          </w:tcPr>
          <w:p w14:paraId="19A17FA0"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63A9ECD9" w14:textId="77777777" w:rsidR="00D15924" w:rsidRDefault="00D15924" w:rsidP="00D15924">
            <w:pPr>
              <w:spacing w:after="0"/>
              <w:ind w:right="173"/>
              <w:jc w:val="right"/>
              <w:rPr>
                <w:rFonts w:ascii="Arial" w:hAnsi="Arial" w:cs="Arial"/>
                <w:szCs w:val="20"/>
              </w:rPr>
            </w:pPr>
            <w:r>
              <w:rPr>
                <w:rFonts w:ascii="Arial" w:hAnsi="Arial" w:cs="Arial"/>
                <w:szCs w:val="20"/>
              </w:rPr>
              <w:t>339,519</w:t>
            </w:r>
          </w:p>
        </w:tc>
      </w:tr>
      <w:tr w:rsidR="00D15924" w:rsidRPr="00E504AC" w14:paraId="580A933F" w14:textId="77777777" w:rsidTr="00D15924">
        <w:tc>
          <w:tcPr>
            <w:tcW w:w="5850" w:type="dxa"/>
            <w:tcBorders>
              <w:left w:val="nil"/>
            </w:tcBorders>
            <w:vAlign w:val="bottom"/>
          </w:tcPr>
          <w:p w14:paraId="7FC2F890" w14:textId="77777777" w:rsidR="00D15924" w:rsidRDefault="00D15924" w:rsidP="00D15924">
            <w:pPr>
              <w:spacing w:after="0"/>
              <w:rPr>
                <w:rFonts w:ascii="Arial" w:hAnsi="Arial" w:cs="Arial"/>
                <w:szCs w:val="20"/>
              </w:rPr>
            </w:pPr>
            <w:r>
              <w:rPr>
                <w:rFonts w:ascii="Arial" w:hAnsi="Arial" w:cs="Arial"/>
                <w:szCs w:val="20"/>
              </w:rPr>
              <w:t>Impairment of ROU asset</w:t>
            </w:r>
          </w:p>
        </w:tc>
        <w:tc>
          <w:tcPr>
            <w:tcW w:w="1559" w:type="dxa"/>
            <w:tcBorders>
              <w:left w:val="nil"/>
              <w:right w:val="nil"/>
            </w:tcBorders>
          </w:tcPr>
          <w:p w14:paraId="75C6BB0C"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6402BC9C" w14:textId="77777777" w:rsidR="00D15924" w:rsidRDefault="00D15924" w:rsidP="00D15924">
            <w:pPr>
              <w:spacing w:after="0"/>
              <w:ind w:right="173"/>
              <w:jc w:val="right"/>
              <w:rPr>
                <w:rFonts w:ascii="Arial" w:hAnsi="Arial" w:cs="Arial"/>
                <w:szCs w:val="20"/>
              </w:rPr>
            </w:pPr>
            <w:r>
              <w:rPr>
                <w:rFonts w:ascii="Arial" w:hAnsi="Arial" w:cs="Arial"/>
                <w:szCs w:val="20"/>
              </w:rPr>
              <w:t>(1,276,779)</w:t>
            </w:r>
          </w:p>
        </w:tc>
      </w:tr>
      <w:tr w:rsidR="00D15924" w:rsidRPr="00E504AC" w14:paraId="7DB9D95F" w14:textId="77777777" w:rsidTr="00D15924">
        <w:tc>
          <w:tcPr>
            <w:tcW w:w="5850" w:type="dxa"/>
            <w:tcBorders>
              <w:left w:val="nil"/>
            </w:tcBorders>
            <w:vAlign w:val="bottom"/>
          </w:tcPr>
          <w:p w14:paraId="28BFCB47" w14:textId="77777777" w:rsidR="00D15924" w:rsidRPr="00E504AC" w:rsidRDefault="00D15924" w:rsidP="00D15924">
            <w:pPr>
              <w:spacing w:after="0"/>
              <w:rPr>
                <w:rFonts w:ascii="Arial" w:hAnsi="Arial" w:cs="Arial"/>
                <w:szCs w:val="20"/>
              </w:rPr>
            </w:pPr>
            <w:r>
              <w:rPr>
                <w:rFonts w:ascii="Arial" w:hAnsi="Arial" w:cs="Arial"/>
                <w:szCs w:val="20"/>
              </w:rPr>
              <w:t>Amortization on ROU asset</w:t>
            </w:r>
          </w:p>
        </w:tc>
        <w:tc>
          <w:tcPr>
            <w:tcW w:w="1559" w:type="dxa"/>
            <w:tcBorders>
              <w:left w:val="nil"/>
              <w:right w:val="nil"/>
            </w:tcBorders>
          </w:tcPr>
          <w:p w14:paraId="60E63224"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7A1E76A0" w14:textId="77777777" w:rsidR="00D15924" w:rsidRPr="00E504AC" w:rsidRDefault="00D15924" w:rsidP="00D15924">
            <w:pPr>
              <w:spacing w:after="0"/>
              <w:ind w:right="173"/>
              <w:jc w:val="right"/>
              <w:rPr>
                <w:rFonts w:ascii="Arial" w:hAnsi="Arial" w:cs="Arial"/>
                <w:szCs w:val="20"/>
              </w:rPr>
            </w:pPr>
            <w:r>
              <w:rPr>
                <w:rFonts w:ascii="Arial" w:hAnsi="Arial" w:cs="Arial"/>
                <w:szCs w:val="20"/>
              </w:rPr>
              <w:t>(421,984)</w:t>
            </w:r>
          </w:p>
        </w:tc>
      </w:tr>
      <w:tr w:rsidR="00D15924" w:rsidRPr="00E504AC" w14:paraId="6DF63888" w14:textId="77777777" w:rsidTr="00D15924">
        <w:tc>
          <w:tcPr>
            <w:tcW w:w="5850" w:type="dxa"/>
            <w:tcBorders>
              <w:left w:val="nil"/>
            </w:tcBorders>
            <w:vAlign w:val="bottom"/>
          </w:tcPr>
          <w:p w14:paraId="5DD51E73" w14:textId="77777777" w:rsidR="00D15924" w:rsidRPr="00E504AC" w:rsidRDefault="00D15924" w:rsidP="00D15924">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53FE153E"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5581C1D7" w14:textId="77777777" w:rsidR="00D15924" w:rsidRPr="00E504AC" w:rsidRDefault="00D15924" w:rsidP="00D15924">
            <w:pPr>
              <w:spacing w:after="0"/>
              <w:ind w:right="173"/>
              <w:jc w:val="right"/>
              <w:rPr>
                <w:rFonts w:ascii="Arial" w:hAnsi="Arial" w:cs="Arial"/>
                <w:szCs w:val="20"/>
              </w:rPr>
            </w:pPr>
            <w:r>
              <w:rPr>
                <w:rFonts w:ascii="Arial" w:hAnsi="Arial" w:cs="Arial"/>
                <w:szCs w:val="20"/>
              </w:rPr>
              <w:t>11,428</w:t>
            </w:r>
          </w:p>
        </w:tc>
      </w:tr>
      <w:tr w:rsidR="00D15924" w:rsidRPr="00E504AC" w14:paraId="276C8348" w14:textId="77777777" w:rsidTr="00D15924">
        <w:trPr>
          <w:trHeight w:hRule="exact" w:val="86"/>
        </w:trPr>
        <w:tc>
          <w:tcPr>
            <w:tcW w:w="5850" w:type="dxa"/>
            <w:tcBorders>
              <w:top w:val="single" w:sz="4" w:space="0" w:color="auto"/>
              <w:left w:val="nil"/>
            </w:tcBorders>
            <w:vAlign w:val="bottom"/>
          </w:tcPr>
          <w:p w14:paraId="19E3BB09" w14:textId="77777777" w:rsidR="00D15924" w:rsidRPr="00E504AC" w:rsidRDefault="00D15924" w:rsidP="00D15924">
            <w:pPr>
              <w:spacing w:after="0"/>
              <w:rPr>
                <w:rFonts w:ascii="Arial" w:hAnsi="Arial" w:cs="Arial"/>
                <w:szCs w:val="20"/>
              </w:rPr>
            </w:pPr>
          </w:p>
        </w:tc>
        <w:tc>
          <w:tcPr>
            <w:tcW w:w="1559" w:type="dxa"/>
            <w:tcBorders>
              <w:top w:val="single" w:sz="4" w:space="0" w:color="auto"/>
              <w:left w:val="nil"/>
              <w:right w:val="nil"/>
            </w:tcBorders>
          </w:tcPr>
          <w:p w14:paraId="508B0509" w14:textId="77777777" w:rsidR="00D15924" w:rsidRPr="00E504AC" w:rsidRDefault="00D15924" w:rsidP="00D15924">
            <w:pPr>
              <w:spacing w:after="0"/>
              <w:ind w:right="173"/>
              <w:jc w:val="right"/>
              <w:rPr>
                <w:rFonts w:ascii="Arial" w:hAnsi="Arial" w:cs="Arial"/>
                <w:szCs w:val="20"/>
              </w:rPr>
            </w:pPr>
          </w:p>
        </w:tc>
        <w:tc>
          <w:tcPr>
            <w:tcW w:w="1382" w:type="dxa"/>
            <w:tcBorders>
              <w:top w:val="single" w:sz="4" w:space="0" w:color="auto"/>
              <w:left w:val="nil"/>
              <w:right w:val="nil"/>
            </w:tcBorders>
          </w:tcPr>
          <w:p w14:paraId="004D1007" w14:textId="77777777" w:rsidR="00D15924" w:rsidRPr="00E504AC" w:rsidRDefault="00D15924" w:rsidP="00D15924">
            <w:pPr>
              <w:spacing w:after="0"/>
              <w:ind w:right="173"/>
              <w:jc w:val="right"/>
              <w:rPr>
                <w:rFonts w:ascii="Arial" w:hAnsi="Arial" w:cs="Arial"/>
                <w:szCs w:val="20"/>
              </w:rPr>
            </w:pPr>
          </w:p>
        </w:tc>
      </w:tr>
      <w:tr w:rsidR="00D15924" w:rsidRPr="00E504AC" w14:paraId="47084C0F" w14:textId="77777777" w:rsidTr="00D15924">
        <w:tc>
          <w:tcPr>
            <w:tcW w:w="5850" w:type="dxa"/>
            <w:tcBorders>
              <w:left w:val="nil"/>
            </w:tcBorders>
            <w:vAlign w:val="bottom"/>
          </w:tcPr>
          <w:p w14:paraId="08F5377B" w14:textId="77777777" w:rsidR="00D15924" w:rsidRPr="00E504AC" w:rsidRDefault="00D15924" w:rsidP="00D15924">
            <w:pPr>
              <w:spacing w:after="0"/>
              <w:rPr>
                <w:rFonts w:ascii="Arial" w:hAnsi="Arial" w:cs="Arial"/>
                <w:szCs w:val="20"/>
              </w:rPr>
            </w:pPr>
            <w:r>
              <w:rPr>
                <w:rFonts w:ascii="Arial" w:hAnsi="Arial" w:cs="Arial"/>
                <w:szCs w:val="20"/>
              </w:rPr>
              <w:t>Balance, January 31, 2020</w:t>
            </w:r>
          </w:p>
        </w:tc>
        <w:tc>
          <w:tcPr>
            <w:tcW w:w="1559" w:type="dxa"/>
            <w:tcBorders>
              <w:left w:val="nil"/>
              <w:right w:val="nil"/>
            </w:tcBorders>
          </w:tcPr>
          <w:p w14:paraId="425E0EC6" w14:textId="77777777" w:rsidR="00D15924" w:rsidRPr="00E504AC" w:rsidRDefault="00D15924" w:rsidP="00D15924">
            <w:pPr>
              <w:spacing w:after="0"/>
              <w:ind w:right="173"/>
              <w:jc w:val="right"/>
              <w:rPr>
                <w:rFonts w:ascii="Arial" w:hAnsi="Arial" w:cs="Arial"/>
                <w:szCs w:val="20"/>
              </w:rPr>
            </w:pPr>
          </w:p>
        </w:tc>
        <w:tc>
          <w:tcPr>
            <w:tcW w:w="1382" w:type="dxa"/>
            <w:tcBorders>
              <w:left w:val="nil"/>
              <w:right w:val="nil"/>
            </w:tcBorders>
          </w:tcPr>
          <w:p w14:paraId="2D699866" w14:textId="77777777" w:rsidR="00D15924" w:rsidRPr="00E504AC" w:rsidRDefault="00D15924" w:rsidP="00D15924">
            <w:pPr>
              <w:spacing w:after="0"/>
              <w:ind w:right="173"/>
              <w:jc w:val="right"/>
              <w:rPr>
                <w:rFonts w:ascii="Arial" w:hAnsi="Arial" w:cs="Arial"/>
                <w:szCs w:val="20"/>
              </w:rPr>
            </w:pPr>
            <w:r>
              <w:rPr>
                <w:rFonts w:ascii="Arial" w:hAnsi="Arial" w:cs="Arial"/>
                <w:szCs w:val="20"/>
              </w:rPr>
              <w:t>3,251,638</w:t>
            </w:r>
          </w:p>
        </w:tc>
      </w:tr>
      <w:tr w:rsidR="000D048F" w:rsidRPr="00E504AC" w14:paraId="62832433" w14:textId="77777777" w:rsidTr="00D15924">
        <w:tc>
          <w:tcPr>
            <w:tcW w:w="5850" w:type="dxa"/>
            <w:tcBorders>
              <w:left w:val="nil"/>
            </w:tcBorders>
            <w:vAlign w:val="bottom"/>
          </w:tcPr>
          <w:p w14:paraId="26298E5F" w14:textId="0669FD5A" w:rsidR="000D048F" w:rsidRPr="00E504AC" w:rsidRDefault="00D15924" w:rsidP="00DB7415">
            <w:pPr>
              <w:spacing w:after="0"/>
              <w:rPr>
                <w:rFonts w:ascii="Arial" w:hAnsi="Arial" w:cs="Arial"/>
                <w:szCs w:val="20"/>
              </w:rPr>
            </w:pPr>
            <w:r>
              <w:rPr>
                <w:rFonts w:ascii="Arial" w:hAnsi="Arial" w:cs="Arial"/>
                <w:szCs w:val="20"/>
              </w:rPr>
              <w:t>Amortization on ROU asset</w:t>
            </w:r>
          </w:p>
        </w:tc>
        <w:tc>
          <w:tcPr>
            <w:tcW w:w="1559" w:type="dxa"/>
            <w:tcBorders>
              <w:left w:val="nil"/>
              <w:right w:val="nil"/>
            </w:tcBorders>
          </w:tcPr>
          <w:p w14:paraId="23479E31" w14:textId="77777777" w:rsidR="000D048F" w:rsidRPr="00E504AC" w:rsidRDefault="000D048F" w:rsidP="00DB7415">
            <w:pPr>
              <w:spacing w:after="0"/>
              <w:ind w:right="173"/>
              <w:jc w:val="right"/>
              <w:rPr>
                <w:rFonts w:ascii="Arial" w:hAnsi="Arial" w:cs="Arial"/>
                <w:szCs w:val="20"/>
              </w:rPr>
            </w:pPr>
          </w:p>
        </w:tc>
        <w:tc>
          <w:tcPr>
            <w:tcW w:w="1382" w:type="dxa"/>
            <w:tcBorders>
              <w:left w:val="nil"/>
              <w:right w:val="nil"/>
            </w:tcBorders>
          </w:tcPr>
          <w:p w14:paraId="0D8C82D0" w14:textId="7EE6E00F" w:rsidR="000D048F" w:rsidRDefault="00D15924" w:rsidP="00DB7415">
            <w:pPr>
              <w:spacing w:after="0"/>
              <w:ind w:right="173"/>
              <w:jc w:val="right"/>
              <w:rPr>
                <w:rFonts w:ascii="Arial" w:hAnsi="Arial" w:cs="Arial"/>
                <w:szCs w:val="20"/>
              </w:rPr>
            </w:pPr>
            <w:r>
              <w:rPr>
                <w:rFonts w:ascii="Arial" w:hAnsi="Arial" w:cs="Arial"/>
                <w:szCs w:val="20"/>
              </w:rPr>
              <w:t>(79,308)</w:t>
            </w:r>
          </w:p>
        </w:tc>
      </w:tr>
      <w:tr w:rsidR="00CF1F57" w:rsidRPr="00E504AC" w14:paraId="54EAD7D0" w14:textId="77777777" w:rsidTr="00CF1F57">
        <w:trPr>
          <w:trHeight w:hRule="exact" w:val="86"/>
        </w:trPr>
        <w:tc>
          <w:tcPr>
            <w:tcW w:w="5850" w:type="dxa"/>
            <w:tcBorders>
              <w:top w:val="single" w:sz="4" w:space="0" w:color="auto"/>
              <w:left w:val="nil"/>
            </w:tcBorders>
            <w:vAlign w:val="bottom"/>
          </w:tcPr>
          <w:p w14:paraId="452AC1A7"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1453EE86"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72F24FC3" w14:textId="77777777" w:rsidR="00CF1F57" w:rsidRPr="00E504AC" w:rsidRDefault="00CF1F57" w:rsidP="00DB7415">
            <w:pPr>
              <w:spacing w:after="0"/>
              <w:ind w:right="173"/>
              <w:jc w:val="right"/>
              <w:rPr>
                <w:rFonts w:ascii="Arial" w:hAnsi="Arial" w:cs="Arial"/>
                <w:szCs w:val="20"/>
              </w:rPr>
            </w:pPr>
          </w:p>
        </w:tc>
      </w:tr>
      <w:tr w:rsidR="00E504AC" w:rsidRPr="00E504AC" w14:paraId="12248059" w14:textId="77777777" w:rsidTr="00CF1F57">
        <w:tc>
          <w:tcPr>
            <w:tcW w:w="5850" w:type="dxa"/>
            <w:tcBorders>
              <w:left w:val="nil"/>
              <w:bottom w:val="single" w:sz="12" w:space="0" w:color="auto"/>
            </w:tcBorders>
            <w:vAlign w:val="bottom"/>
          </w:tcPr>
          <w:p w14:paraId="7F50702C" w14:textId="0BDFD5F7" w:rsidR="00E504AC" w:rsidRPr="00E504AC" w:rsidRDefault="00CF1F57" w:rsidP="00CF1F57">
            <w:pPr>
              <w:spacing w:after="0"/>
              <w:rPr>
                <w:rFonts w:ascii="Arial" w:hAnsi="Arial" w:cs="Arial"/>
                <w:szCs w:val="20"/>
              </w:rPr>
            </w:pPr>
            <w:r>
              <w:rPr>
                <w:rFonts w:ascii="Arial" w:hAnsi="Arial" w:cs="Arial"/>
                <w:szCs w:val="20"/>
              </w:rPr>
              <w:t xml:space="preserve">Balance, </w:t>
            </w:r>
            <w:r w:rsidR="00D15924">
              <w:rPr>
                <w:rFonts w:ascii="Arial" w:hAnsi="Arial" w:cs="Arial"/>
                <w:szCs w:val="20"/>
              </w:rPr>
              <w:t>April 30</w:t>
            </w:r>
            <w:r w:rsidR="0083128A">
              <w:rPr>
                <w:rFonts w:ascii="Arial" w:hAnsi="Arial" w:cs="Arial"/>
                <w:szCs w:val="20"/>
              </w:rPr>
              <w:t>, 2020</w:t>
            </w:r>
          </w:p>
        </w:tc>
        <w:tc>
          <w:tcPr>
            <w:tcW w:w="1559" w:type="dxa"/>
            <w:tcBorders>
              <w:left w:val="nil"/>
              <w:bottom w:val="single" w:sz="12" w:space="0" w:color="auto"/>
              <w:right w:val="nil"/>
            </w:tcBorders>
          </w:tcPr>
          <w:p w14:paraId="4BEC3F62" w14:textId="35468EC0" w:rsidR="00E504AC" w:rsidRPr="00E504AC" w:rsidRDefault="00E504AC" w:rsidP="00CF1F57">
            <w:pPr>
              <w:spacing w:after="0"/>
              <w:ind w:right="173"/>
              <w:jc w:val="right"/>
              <w:rPr>
                <w:rFonts w:ascii="Arial" w:hAnsi="Arial" w:cs="Arial"/>
                <w:szCs w:val="20"/>
              </w:rPr>
            </w:pPr>
          </w:p>
        </w:tc>
        <w:tc>
          <w:tcPr>
            <w:tcW w:w="1382" w:type="dxa"/>
            <w:tcBorders>
              <w:left w:val="nil"/>
              <w:bottom w:val="single" w:sz="12" w:space="0" w:color="auto"/>
              <w:right w:val="nil"/>
            </w:tcBorders>
          </w:tcPr>
          <w:p w14:paraId="41486A58" w14:textId="1DA5253F" w:rsidR="00E504AC" w:rsidRPr="00E504AC" w:rsidRDefault="00D15924" w:rsidP="00CF1F57">
            <w:pPr>
              <w:spacing w:after="0"/>
              <w:ind w:right="173"/>
              <w:jc w:val="right"/>
              <w:rPr>
                <w:rFonts w:ascii="Arial" w:hAnsi="Arial" w:cs="Arial"/>
                <w:szCs w:val="20"/>
              </w:rPr>
            </w:pPr>
            <w:r>
              <w:rPr>
                <w:rFonts w:ascii="Arial" w:hAnsi="Arial" w:cs="Arial"/>
                <w:szCs w:val="20"/>
              </w:rPr>
              <w:t>3,172,330</w:t>
            </w:r>
          </w:p>
        </w:tc>
      </w:tr>
    </w:tbl>
    <w:p w14:paraId="25559634" w14:textId="05549EED" w:rsidR="00E504AC" w:rsidRDefault="00E504AC" w:rsidP="00E504AC">
      <w:pPr>
        <w:tabs>
          <w:tab w:val="left" w:pos="450"/>
        </w:tabs>
        <w:spacing w:after="0"/>
        <w:ind w:left="446"/>
        <w:jc w:val="both"/>
        <w:rPr>
          <w:rFonts w:ascii="Arial" w:hAnsi="Arial" w:cs="Arial"/>
          <w:szCs w:val="20"/>
        </w:rPr>
      </w:pPr>
    </w:p>
    <w:p w14:paraId="1AC063EB" w14:textId="796D4106" w:rsidR="000C56E8" w:rsidRDefault="00022108" w:rsidP="001307BF">
      <w:pPr>
        <w:tabs>
          <w:tab w:val="left" w:pos="450"/>
        </w:tabs>
        <w:spacing w:after="0" w:line="240" w:lineRule="auto"/>
        <w:ind w:left="446"/>
        <w:jc w:val="both"/>
        <w:rPr>
          <w:rFonts w:ascii="Arial" w:hAnsi="Arial" w:cs="Arial"/>
          <w:szCs w:val="20"/>
        </w:rPr>
      </w:pPr>
      <w:r>
        <w:rPr>
          <w:rFonts w:ascii="Arial" w:hAnsi="Arial" w:cs="Arial"/>
          <w:szCs w:val="20"/>
        </w:rPr>
        <w:t xml:space="preserve">The Company </w:t>
      </w:r>
      <w:r w:rsidR="00C5228A">
        <w:rPr>
          <w:rFonts w:ascii="Arial" w:hAnsi="Arial" w:cs="Arial"/>
          <w:szCs w:val="20"/>
        </w:rPr>
        <w:t xml:space="preserve">disposed of ROU asset net of accumulated amortization of $127,320 related to termination of its sub-lease on 295 </w:t>
      </w:r>
      <w:proofErr w:type="spellStart"/>
      <w:r w:rsidR="00C5228A">
        <w:rPr>
          <w:rFonts w:ascii="Arial" w:hAnsi="Arial" w:cs="Arial"/>
          <w:szCs w:val="20"/>
        </w:rPr>
        <w:t>Kesmark</w:t>
      </w:r>
      <w:proofErr w:type="spellEnd"/>
      <w:r w:rsidR="00C5228A">
        <w:rPr>
          <w:rFonts w:ascii="Arial" w:hAnsi="Arial" w:cs="Arial"/>
          <w:szCs w:val="20"/>
        </w:rPr>
        <w:t xml:space="preserve"> Street on October 31, 2019.  </w:t>
      </w:r>
      <w:r>
        <w:rPr>
          <w:rFonts w:ascii="Arial" w:hAnsi="Arial" w:cs="Arial"/>
          <w:szCs w:val="20"/>
        </w:rPr>
        <w:t xml:space="preserve"> </w:t>
      </w:r>
      <w:r w:rsidR="000C56E8">
        <w:rPr>
          <w:rFonts w:ascii="Arial" w:hAnsi="Arial" w:cs="Arial"/>
          <w:szCs w:val="20"/>
        </w:rPr>
        <w:t xml:space="preserve">During the </w:t>
      </w:r>
      <w:r w:rsidR="00EF4049">
        <w:rPr>
          <w:rFonts w:ascii="Arial" w:hAnsi="Arial" w:cs="Arial"/>
          <w:szCs w:val="20"/>
        </w:rPr>
        <w:t>three months</w:t>
      </w:r>
      <w:r w:rsidR="000C56E8">
        <w:rPr>
          <w:rFonts w:ascii="Arial" w:hAnsi="Arial" w:cs="Arial"/>
          <w:szCs w:val="20"/>
        </w:rPr>
        <w:t xml:space="preserve"> ended </w:t>
      </w:r>
      <w:r w:rsidR="00EF4049">
        <w:rPr>
          <w:rFonts w:ascii="Arial" w:hAnsi="Arial" w:cs="Arial"/>
          <w:szCs w:val="20"/>
        </w:rPr>
        <w:t>April 30</w:t>
      </w:r>
      <w:r w:rsidR="000C56E8">
        <w:rPr>
          <w:rFonts w:ascii="Arial" w:hAnsi="Arial" w:cs="Arial"/>
          <w:szCs w:val="20"/>
        </w:rPr>
        <w:t>, 2020, the Company recorded $</w:t>
      </w:r>
      <w:r w:rsidR="00C5228A">
        <w:rPr>
          <w:rFonts w:ascii="Arial" w:hAnsi="Arial" w:cs="Arial"/>
          <w:szCs w:val="20"/>
        </w:rPr>
        <w:t>60,48</w:t>
      </w:r>
      <w:r w:rsidR="006429EF">
        <w:rPr>
          <w:rFonts w:ascii="Arial" w:hAnsi="Arial" w:cs="Arial"/>
          <w:szCs w:val="20"/>
        </w:rPr>
        <w:t>1</w:t>
      </w:r>
      <w:r w:rsidR="000C56E8">
        <w:rPr>
          <w:rFonts w:ascii="Arial" w:hAnsi="Arial" w:cs="Arial"/>
          <w:szCs w:val="20"/>
        </w:rPr>
        <w:t xml:space="preserve"> (2019 - $nil) </w:t>
      </w:r>
      <w:r w:rsidR="009D0506">
        <w:rPr>
          <w:rFonts w:ascii="Arial" w:hAnsi="Arial" w:cs="Arial"/>
          <w:szCs w:val="20"/>
        </w:rPr>
        <w:t xml:space="preserve">of sub-lease income </w:t>
      </w:r>
      <w:r w:rsidR="000C56E8">
        <w:rPr>
          <w:rFonts w:ascii="Arial" w:hAnsi="Arial" w:cs="Arial"/>
          <w:szCs w:val="20"/>
        </w:rPr>
        <w:t xml:space="preserve">related to the sub-lease of 285 </w:t>
      </w:r>
      <w:proofErr w:type="spellStart"/>
      <w:r w:rsidR="000C56E8">
        <w:rPr>
          <w:rFonts w:ascii="Arial" w:hAnsi="Arial" w:cs="Arial"/>
          <w:szCs w:val="20"/>
        </w:rPr>
        <w:t>Kesmark</w:t>
      </w:r>
      <w:proofErr w:type="spellEnd"/>
      <w:r w:rsidR="000C56E8">
        <w:rPr>
          <w:rFonts w:ascii="Arial" w:hAnsi="Arial" w:cs="Arial"/>
          <w:szCs w:val="20"/>
        </w:rPr>
        <w:t xml:space="preserve"> Street, which has been </w:t>
      </w:r>
      <w:r w:rsidR="009D0506">
        <w:rPr>
          <w:rFonts w:ascii="Arial" w:hAnsi="Arial" w:cs="Arial"/>
          <w:szCs w:val="20"/>
        </w:rPr>
        <w:t>offset against</w:t>
      </w:r>
      <w:r w:rsidR="000C56E8">
        <w:rPr>
          <w:rFonts w:ascii="Arial" w:hAnsi="Arial" w:cs="Arial"/>
          <w:szCs w:val="20"/>
        </w:rPr>
        <w:t xml:space="preserve"> </w:t>
      </w:r>
      <w:r w:rsidR="00C5228A">
        <w:rPr>
          <w:rFonts w:ascii="Arial" w:hAnsi="Arial" w:cs="Arial"/>
          <w:szCs w:val="20"/>
        </w:rPr>
        <w:t>amortization on ROU asset</w:t>
      </w:r>
      <w:r w:rsidR="000C56E8">
        <w:rPr>
          <w:rFonts w:ascii="Arial" w:hAnsi="Arial" w:cs="Arial"/>
          <w:szCs w:val="20"/>
        </w:rPr>
        <w:t xml:space="preserve"> in the </w:t>
      </w:r>
      <w:r w:rsidR="00EF4049">
        <w:rPr>
          <w:rFonts w:ascii="Arial" w:hAnsi="Arial" w:cs="Arial"/>
          <w:szCs w:val="20"/>
        </w:rPr>
        <w:t xml:space="preserve">condensed </w:t>
      </w:r>
      <w:r w:rsidR="000C56E8">
        <w:rPr>
          <w:rFonts w:ascii="Arial" w:hAnsi="Arial" w:cs="Arial"/>
          <w:szCs w:val="20"/>
        </w:rPr>
        <w:t>consolidat</w:t>
      </w:r>
      <w:r w:rsidR="009D0506">
        <w:rPr>
          <w:rFonts w:ascii="Arial" w:hAnsi="Arial" w:cs="Arial"/>
          <w:szCs w:val="20"/>
        </w:rPr>
        <w:t>ed</w:t>
      </w:r>
      <w:r w:rsidR="000C56E8">
        <w:rPr>
          <w:rFonts w:ascii="Arial" w:hAnsi="Arial" w:cs="Arial"/>
          <w:szCs w:val="20"/>
        </w:rPr>
        <w:t xml:space="preserve"> </w:t>
      </w:r>
      <w:r w:rsidR="00EF4049">
        <w:rPr>
          <w:rFonts w:ascii="Arial" w:hAnsi="Arial" w:cs="Arial"/>
          <w:szCs w:val="20"/>
        </w:rPr>
        <w:t xml:space="preserve">interim </w:t>
      </w:r>
      <w:r w:rsidR="000C56E8">
        <w:rPr>
          <w:rFonts w:ascii="Arial" w:hAnsi="Arial" w:cs="Arial"/>
          <w:szCs w:val="20"/>
        </w:rPr>
        <w:t xml:space="preserve">statements of comprehensive </w:t>
      </w:r>
      <w:r w:rsidR="00BE28C7">
        <w:rPr>
          <w:rFonts w:ascii="Arial" w:hAnsi="Arial" w:cs="Arial"/>
          <w:szCs w:val="20"/>
        </w:rPr>
        <w:t>income (</w:t>
      </w:r>
      <w:r w:rsidR="000C56E8">
        <w:rPr>
          <w:rFonts w:ascii="Arial" w:hAnsi="Arial" w:cs="Arial"/>
          <w:szCs w:val="20"/>
        </w:rPr>
        <w:t>loss</w:t>
      </w:r>
      <w:r w:rsidR="00BE28C7">
        <w:rPr>
          <w:rFonts w:ascii="Arial" w:hAnsi="Arial" w:cs="Arial"/>
          <w:szCs w:val="20"/>
        </w:rPr>
        <w:t>)</w:t>
      </w:r>
      <w:r w:rsidR="000C56E8">
        <w:rPr>
          <w:rFonts w:ascii="Arial" w:hAnsi="Arial" w:cs="Arial"/>
          <w:szCs w:val="20"/>
        </w:rPr>
        <w:t>.</w:t>
      </w:r>
    </w:p>
    <w:p w14:paraId="61DD0AD8" w14:textId="5EEC5CD5" w:rsidR="001307BF" w:rsidRDefault="002578B6" w:rsidP="002578B6">
      <w:pPr>
        <w:tabs>
          <w:tab w:val="left" w:pos="450"/>
        </w:tabs>
        <w:spacing w:after="0" w:line="240" w:lineRule="auto"/>
        <w:jc w:val="both"/>
        <w:rPr>
          <w:rFonts w:ascii="Arial" w:hAnsi="Arial" w:cs="Arial"/>
          <w:szCs w:val="20"/>
        </w:rPr>
      </w:pPr>
      <w:r>
        <w:rPr>
          <w:rFonts w:ascii="Arial" w:hAnsi="Arial" w:cs="Arial"/>
          <w:b/>
          <w:bCs/>
          <w:szCs w:val="20"/>
        </w:rPr>
        <w:lastRenderedPageBreak/>
        <w:t>9</w:t>
      </w:r>
      <w:r w:rsidRPr="0082773C">
        <w:rPr>
          <w:rFonts w:ascii="Arial" w:hAnsi="Arial" w:cs="Arial"/>
          <w:b/>
          <w:bCs/>
          <w:szCs w:val="20"/>
        </w:rPr>
        <w:t>.</w:t>
      </w:r>
      <w:r w:rsidRPr="0082773C">
        <w:rPr>
          <w:rFonts w:ascii="Arial" w:hAnsi="Arial" w:cs="Arial"/>
          <w:b/>
          <w:bCs/>
          <w:szCs w:val="20"/>
        </w:rPr>
        <w:tab/>
        <w:t xml:space="preserve">Operating Leases </w:t>
      </w:r>
      <w:r w:rsidRPr="0082773C">
        <w:rPr>
          <w:rFonts w:ascii="Arial" w:hAnsi="Arial" w:cs="Arial"/>
          <w:bCs/>
          <w:szCs w:val="20"/>
        </w:rPr>
        <w:t>(continued)</w:t>
      </w:r>
    </w:p>
    <w:tbl>
      <w:tblPr>
        <w:tblW w:w="8823" w:type="dxa"/>
        <w:tblInd w:w="450" w:type="dxa"/>
        <w:tblLayout w:type="fixed"/>
        <w:tblCellMar>
          <w:left w:w="0" w:type="dxa"/>
          <w:right w:w="0" w:type="dxa"/>
        </w:tblCellMar>
        <w:tblLook w:val="0000" w:firstRow="0" w:lastRow="0" w:firstColumn="0" w:lastColumn="0" w:noHBand="0" w:noVBand="0"/>
      </w:tblPr>
      <w:tblGrid>
        <w:gridCol w:w="4500"/>
        <w:gridCol w:w="1559"/>
        <w:gridCol w:w="1382"/>
        <w:gridCol w:w="1382"/>
      </w:tblGrid>
      <w:tr w:rsidR="00CF1F57" w:rsidRPr="00E504AC" w14:paraId="57A03A05" w14:textId="3FE7C462" w:rsidTr="00CF1F57">
        <w:tc>
          <w:tcPr>
            <w:tcW w:w="4500" w:type="dxa"/>
            <w:tcBorders>
              <w:top w:val="nil"/>
              <w:left w:val="nil"/>
              <w:bottom w:val="single" w:sz="4" w:space="0" w:color="auto"/>
            </w:tcBorders>
            <w:vAlign w:val="bottom"/>
          </w:tcPr>
          <w:p w14:paraId="3EC5A556" w14:textId="77777777" w:rsidR="00CF1F57" w:rsidRPr="00E504AC" w:rsidRDefault="00CF1F57" w:rsidP="00DB7415">
            <w:pPr>
              <w:spacing w:after="0"/>
              <w:rPr>
                <w:rFonts w:ascii="Arial" w:hAnsi="Arial" w:cs="Arial"/>
                <w:szCs w:val="20"/>
              </w:rPr>
            </w:pPr>
            <w:r w:rsidRPr="00E504AC">
              <w:rPr>
                <w:rFonts w:ascii="Arial" w:hAnsi="Arial" w:cs="Arial"/>
                <w:b/>
                <w:bCs/>
                <w:szCs w:val="20"/>
              </w:rPr>
              <w:tab/>
            </w:r>
          </w:p>
        </w:tc>
        <w:tc>
          <w:tcPr>
            <w:tcW w:w="1559" w:type="dxa"/>
            <w:tcBorders>
              <w:top w:val="nil"/>
              <w:left w:val="nil"/>
              <w:bottom w:val="single" w:sz="4" w:space="0" w:color="auto"/>
              <w:right w:val="nil"/>
            </w:tcBorders>
          </w:tcPr>
          <w:p w14:paraId="58D03C63" w14:textId="07F3B636" w:rsidR="00CF1F57" w:rsidRDefault="00CF1F57" w:rsidP="00DB7415">
            <w:pPr>
              <w:spacing w:after="0"/>
              <w:ind w:left="90"/>
              <w:jc w:val="center"/>
              <w:rPr>
                <w:rFonts w:ascii="Arial" w:hAnsi="Arial" w:cs="Arial"/>
                <w:szCs w:val="20"/>
              </w:rPr>
            </w:pPr>
            <w:r>
              <w:rPr>
                <w:rFonts w:ascii="Arial" w:hAnsi="Arial" w:cs="Arial"/>
                <w:szCs w:val="20"/>
              </w:rPr>
              <w:t>Lease</w:t>
            </w:r>
          </w:p>
          <w:p w14:paraId="2BA1DB75" w14:textId="14F8843E" w:rsidR="00CF1F57" w:rsidRPr="00E504AC" w:rsidRDefault="00CF1F57" w:rsidP="00DB7415">
            <w:pPr>
              <w:spacing w:after="0"/>
              <w:ind w:left="90"/>
              <w:jc w:val="center"/>
              <w:rPr>
                <w:rFonts w:ascii="Arial" w:hAnsi="Arial" w:cs="Arial"/>
                <w:szCs w:val="20"/>
              </w:rPr>
            </w:pPr>
            <w:r>
              <w:rPr>
                <w:rFonts w:ascii="Arial" w:hAnsi="Arial" w:cs="Arial"/>
                <w:szCs w:val="20"/>
              </w:rPr>
              <w:t>Liability</w:t>
            </w:r>
          </w:p>
          <w:p w14:paraId="47A993B5"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A6442ED" w14:textId="77777777" w:rsidR="00CF1F57" w:rsidRDefault="00CF1F57" w:rsidP="00CF1F57">
            <w:pPr>
              <w:spacing w:after="0"/>
              <w:ind w:left="90"/>
              <w:jc w:val="center"/>
              <w:rPr>
                <w:rFonts w:ascii="Arial" w:hAnsi="Arial" w:cs="Arial"/>
                <w:szCs w:val="20"/>
              </w:rPr>
            </w:pPr>
          </w:p>
          <w:p w14:paraId="3809FFAF" w14:textId="45B135A8" w:rsidR="00CF1F57" w:rsidRPr="00E504AC" w:rsidRDefault="00CF1F57" w:rsidP="00CF1F57">
            <w:pPr>
              <w:spacing w:after="0"/>
              <w:ind w:left="90"/>
              <w:jc w:val="center"/>
              <w:rPr>
                <w:rFonts w:ascii="Arial" w:hAnsi="Arial" w:cs="Arial"/>
                <w:szCs w:val="20"/>
              </w:rPr>
            </w:pPr>
            <w:r>
              <w:rPr>
                <w:rFonts w:ascii="Arial" w:hAnsi="Arial" w:cs="Arial"/>
                <w:szCs w:val="20"/>
              </w:rPr>
              <w:t>Current</w:t>
            </w:r>
          </w:p>
          <w:p w14:paraId="45AEA296"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3685038" w14:textId="77777777" w:rsidR="00CF1F57" w:rsidRDefault="00CF1F57" w:rsidP="00DB7415">
            <w:pPr>
              <w:spacing w:after="0"/>
              <w:ind w:left="90"/>
              <w:jc w:val="center"/>
              <w:rPr>
                <w:rFonts w:ascii="Arial" w:hAnsi="Arial" w:cs="Arial"/>
                <w:szCs w:val="20"/>
              </w:rPr>
            </w:pPr>
          </w:p>
          <w:p w14:paraId="5F2F02A1" w14:textId="77777777" w:rsidR="00CF1F57" w:rsidRDefault="00CF1F57" w:rsidP="00DB7415">
            <w:pPr>
              <w:spacing w:after="0"/>
              <w:ind w:left="90"/>
              <w:jc w:val="center"/>
              <w:rPr>
                <w:rFonts w:ascii="Arial" w:hAnsi="Arial" w:cs="Arial"/>
                <w:szCs w:val="20"/>
              </w:rPr>
            </w:pPr>
            <w:r>
              <w:rPr>
                <w:rFonts w:ascii="Arial" w:hAnsi="Arial" w:cs="Arial"/>
                <w:szCs w:val="20"/>
              </w:rPr>
              <w:t>Long-term</w:t>
            </w:r>
          </w:p>
          <w:p w14:paraId="3965B367" w14:textId="62CD4EC6" w:rsidR="00CF1F57" w:rsidRPr="00E504AC" w:rsidRDefault="00CF1F57" w:rsidP="00DB7415">
            <w:pPr>
              <w:spacing w:after="0"/>
              <w:ind w:left="90"/>
              <w:jc w:val="center"/>
              <w:rPr>
                <w:rFonts w:ascii="Arial" w:hAnsi="Arial" w:cs="Arial"/>
                <w:szCs w:val="20"/>
              </w:rPr>
            </w:pPr>
            <w:r>
              <w:rPr>
                <w:rFonts w:ascii="Arial" w:hAnsi="Arial" w:cs="Arial"/>
                <w:szCs w:val="20"/>
              </w:rPr>
              <w:t>$</w:t>
            </w:r>
          </w:p>
        </w:tc>
      </w:tr>
      <w:tr w:rsidR="00CF1F57" w:rsidRPr="00E504AC" w14:paraId="13E192A9" w14:textId="0DA03B0E" w:rsidTr="00CF1F57">
        <w:trPr>
          <w:trHeight w:hRule="exact" w:val="113"/>
        </w:trPr>
        <w:tc>
          <w:tcPr>
            <w:tcW w:w="4500" w:type="dxa"/>
            <w:tcBorders>
              <w:left w:val="nil"/>
            </w:tcBorders>
            <w:vAlign w:val="bottom"/>
          </w:tcPr>
          <w:p w14:paraId="38DEB060" w14:textId="2984B2D5" w:rsidR="00CF1F57" w:rsidRPr="00E504AC" w:rsidRDefault="00CF1F57" w:rsidP="00DB7415">
            <w:pPr>
              <w:spacing w:after="0"/>
              <w:rPr>
                <w:rFonts w:ascii="Arial" w:hAnsi="Arial" w:cs="Arial"/>
                <w:szCs w:val="20"/>
              </w:rPr>
            </w:pPr>
          </w:p>
        </w:tc>
        <w:tc>
          <w:tcPr>
            <w:tcW w:w="1559" w:type="dxa"/>
            <w:tcBorders>
              <w:left w:val="nil"/>
              <w:right w:val="nil"/>
            </w:tcBorders>
          </w:tcPr>
          <w:p w14:paraId="5221358E"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F106AE4"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7064A3F" w14:textId="77777777" w:rsidR="00CF1F57" w:rsidRPr="00E504AC" w:rsidRDefault="00CF1F57" w:rsidP="00DB7415">
            <w:pPr>
              <w:spacing w:after="0"/>
              <w:ind w:right="369"/>
              <w:jc w:val="right"/>
              <w:rPr>
                <w:rFonts w:ascii="Arial" w:hAnsi="Arial" w:cs="Arial"/>
                <w:szCs w:val="20"/>
              </w:rPr>
            </w:pPr>
          </w:p>
        </w:tc>
      </w:tr>
      <w:tr w:rsidR="00CF1F57" w:rsidRPr="00E504AC" w14:paraId="3651B48E" w14:textId="7D4D3F73" w:rsidTr="00CF1F57">
        <w:tc>
          <w:tcPr>
            <w:tcW w:w="4500" w:type="dxa"/>
            <w:tcBorders>
              <w:left w:val="nil"/>
            </w:tcBorders>
            <w:vAlign w:val="bottom"/>
          </w:tcPr>
          <w:p w14:paraId="0ACDD63E" w14:textId="2CE2CF68" w:rsidR="00CF1F57" w:rsidRPr="00E504AC" w:rsidRDefault="00CF1F57" w:rsidP="00DB7415">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5A0AE84" w14:textId="17D5CFD3" w:rsidR="00CF1F57" w:rsidRPr="00E504AC" w:rsidRDefault="00CF1F57" w:rsidP="00DB7415">
            <w:pPr>
              <w:spacing w:after="0"/>
              <w:ind w:right="173"/>
              <w:jc w:val="right"/>
              <w:rPr>
                <w:rFonts w:ascii="Arial" w:hAnsi="Arial" w:cs="Arial"/>
                <w:szCs w:val="20"/>
              </w:rPr>
            </w:pPr>
            <w:r>
              <w:rPr>
                <w:rFonts w:ascii="Arial" w:hAnsi="Arial" w:cs="Arial"/>
                <w:szCs w:val="20"/>
              </w:rPr>
              <w:t>1,</w:t>
            </w:r>
            <w:r w:rsidR="0036046A">
              <w:rPr>
                <w:rFonts w:ascii="Arial" w:hAnsi="Arial" w:cs="Arial"/>
                <w:szCs w:val="20"/>
              </w:rPr>
              <w:t>776,</w:t>
            </w:r>
            <w:r w:rsidR="001127AD">
              <w:rPr>
                <w:rFonts w:ascii="Arial" w:hAnsi="Arial" w:cs="Arial"/>
                <w:szCs w:val="20"/>
              </w:rPr>
              <w:t>115</w:t>
            </w:r>
          </w:p>
        </w:tc>
        <w:tc>
          <w:tcPr>
            <w:tcW w:w="1382" w:type="dxa"/>
            <w:tcBorders>
              <w:left w:val="nil"/>
              <w:right w:val="nil"/>
            </w:tcBorders>
          </w:tcPr>
          <w:p w14:paraId="5053B4F3" w14:textId="398E67D2" w:rsidR="00CF1F57" w:rsidRPr="00E504AC" w:rsidRDefault="00CF1F57" w:rsidP="00DB7415">
            <w:pPr>
              <w:spacing w:after="0"/>
              <w:ind w:right="173"/>
              <w:jc w:val="right"/>
              <w:rPr>
                <w:rFonts w:ascii="Arial" w:hAnsi="Arial" w:cs="Arial"/>
                <w:szCs w:val="20"/>
              </w:rPr>
            </w:pPr>
            <w:r>
              <w:rPr>
                <w:rFonts w:ascii="Arial" w:hAnsi="Arial" w:cs="Arial"/>
                <w:szCs w:val="20"/>
              </w:rPr>
              <w:t>(</w:t>
            </w:r>
            <w:r w:rsidR="00C5228A">
              <w:rPr>
                <w:rFonts w:ascii="Arial" w:hAnsi="Arial" w:cs="Arial"/>
                <w:szCs w:val="20"/>
              </w:rPr>
              <w:t>367,629</w:t>
            </w:r>
            <w:r>
              <w:rPr>
                <w:rFonts w:ascii="Arial" w:hAnsi="Arial" w:cs="Arial"/>
                <w:szCs w:val="20"/>
              </w:rPr>
              <w:t>)</w:t>
            </w:r>
          </w:p>
        </w:tc>
        <w:tc>
          <w:tcPr>
            <w:tcW w:w="1382" w:type="dxa"/>
            <w:tcBorders>
              <w:left w:val="nil"/>
              <w:right w:val="nil"/>
            </w:tcBorders>
          </w:tcPr>
          <w:p w14:paraId="17881804" w14:textId="2C7784D9" w:rsidR="00CF1F57" w:rsidRPr="00E504AC" w:rsidRDefault="009D0506" w:rsidP="00DB7415">
            <w:pPr>
              <w:spacing w:after="0"/>
              <w:ind w:right="173"/>
              <w:jc w:val="right"/>
              <w:rPr>
                <w:rFonts w:ascii="Arial" w:hAnsi="Arial" w:cs="Arial"/>
                <w:szCs w:val="20"/>
              </w:rPr>
            </w:pPr>
            <w:r>
              <w:rPr>
                <w:rFonts w:ascii="Arial" w:hAnsi="Arial" w:cs="Arial"/>
                <w:szCs w:val="20"/>
              </w:rPr>
              <w:t>1,</w:t>
            </w:r>
            <w:r w:rsidR="00C5228A">
              <w:rPr>
                <w:rFonts w:ascii="Arial" w:hAnsi="Arial" w:cs="Arial"/>
                <w:szCs w:val="20"/>
              </w:rPr>
              <w:t>408,48</w:t>
            </w:r>
            <w:r w:rsidR="00580C5C">
              <w:rPr>
                <w:rFonts w:ascii="Arial" w:hAnsi="Arial" w:cs="Arial"/>
                <w:szCs w:val="20"/>
              </w:rPr>
              <w:t>6</w:t>
            </w:r>
          </w:p>
        </w:tc>
      </w:tr>
      <w:tr w:rsidR="00EF4049" w:rsidRPr="00E504AC" w14:paraId="48EE2DDD" w14:textId="77777777" w:rsidTr="009E6977">
        <w:tc>
          <w:tcPr>
            <w:tcW w:w="4500" w:type="dxa"/>
            <w:tcBorders>
              <w:left w:val="nil"/>
            </w:tcBorders>
            <w:vAlign w:val="bottom"/>
          </w:tcPr>
          <w:p w14:paraId="110381D5" w14:textId="77777777" w:rsidR="00EF4049" w:rsidRDefault="00EF4049" w:rsidP="009E6977">
            <w:pPr>
              <w:spacing w:after="0"/>
              <w:rPr>
                <w:rFonts w:ascii="Arial" w:hAnsi="Arial" w:cs="Arial"/>
                <w:szCs w:val="20"/>
              </w:rPr>
            </w:pPr>
            <w:r>
              <w:rPr>
                <w:rFonts w:ascii="Arial" w:hAnsi="Arial" w:cs="Arial"/>
                <w:szCs w:val="20"/>
              </w:rPr>
              <w:t>Additions</w:t>
            </w:r>
          </w:p>
        </w:tc>
        <w:tc>
          <w:tcPr>
            <w:tcW w:w="1559" w:type="dxa"/>
            <w:tcBorders>
              <w:left w:val="nil"/>
              <w:right w:val="nil"/>
            </w:tcBorders>
          </w:tcPr>
          <w:p w14:paraId="4E987B7B" w14:textId="77777777" w:rsidR="00EF4049" w:rsidRDefault="00EF4049" w:rsidP="009E6977">
            <w:pPr>
              <w:spacing w:after="0"/>
              <w:ind w:right="173"/>
              <w:jc w:val="right"/>
              <w:rPr>
                <w:rFonts w:ascii="Arial" w:hAnsi="Arial" w:cs="Arial"/>
                <w:szCs w:val="20"/>
              </w:rPr>
            </w:pPr>
            <w:r>
              <w:rPr>
                <w:rFonts w:ascii="Arial" w:hAnsi="Arial" w:cs="Arial"/>
                <w:szCs w:val="20"/>
              </w:rPr>
              <w:t>3,246,553</w:t>
            </w:r>
          </w:p>
        </w:tc>
        <w:tc>
          <w:tcPr>
            <w:tcW w:w="1382" w:type="dxa"/>
            <w:tcBorders>
              <w:left w:val="nil"/>
              <w:right w:val="nil"/>
            </w:tcBorders>
          </w:tcPr>
          <w:p w14:paraId="4AC5F2E0" w14:textId="77777777" w:rsidR="00EF4049" w:rsidRDefault="00EF4049" w:rsidP="009E6977">
            <w:pPr>
              <w:spacing w:after="0"/>
              <w:ind w:right="173"/>
              <w:jc w:val="right"/>
              <w:rPr>
                <w:rFonts w:ascii="Arial" w:hAnsi="Arial" w:cs="Arial"/>
                <w:szCs w:val="20"/>
              </w:rPr>
            </w:pPr>
          </w:p>
        </w:tc>
        <w:tc>
          <w:tcPr>
            <w:tcW w:w="1382" w:type="dxa"/>
            <w:tcBorders>
              <w:left w:val="nil"/>
              <w:right w:val="nil"/>
            </w:tcBorders>
          </w:tcPr>
          <w:p w14:paraId="2703695F" w14:textId="77777777" w:rsidR="00EF4049" w:rsidRDefault="00EF4049" w:rsidP="009E6977">
            <w:pPr>
              <w:spacing w:after="0"/>
              <w:ind w:right="173"/>
              <w:jc w:val="right"/>
              <w:rPr>
                <w:rFonts w:ascii="Arial" w:hAnsi="Arial" w:cs="Arial"/>
                <w:szCs w:val="20"/>
              </w:rPr>
            </w:pPr>
          </w:p>
        </w:tc>
      </w:tr>
      <w:tr w:rsidR="00EF4049" w:rsidRPr="00E504AC" w14:paraId="0D0D3DEE" w14:textId="77777777" w:rsidTr="009E6977">
        <w:tc>
          <w:tcPr>
            <w:tcW w:w="4500" w:type="dxa"/>
            <w:tcBorders>
              <w:left w:val="nil"/>
            </w:tcBorders>
            <w:vAlign w:val="bottom"/>
          </w:tcPr>
          <w:p w14:paraId="746254A5" w14:textId="77777777" w:rsidR="00EF4049" w:rsidRDefault="00EF4049" w:rsidP="009E6977">
            <w:pPr>
              <w:spacing w:after="0"/>
              <w:rPr>
                <w:rFonts w:ascii="Arial" w:hAnsi="Arial" w:cs="Arial"/>
                <w:szCs w:val="20"/>
              </w:rPr>
            </w:pPr>
            <w:r>
              <w:rPr>
                <w:rFonts w:ascii="Arial" w:hAnsi="Arial" w:cs="Arial"/>
                <w:szCs w:val="20"/>
              </w:rPr>
              <w:t>Disposal</w:t>
            </w:r>
          </w:p>
        </w:tc>
        <w:tc>
          <w:tcPr>
            <w:tcW w:w="1559" w:type="dxa"/>
            <w:tcBorders>
              <w:left w:val="nil"/>
              <w:right w:val="nil"/>
            </w:tcBorders>
          </w:tcPr>
          <w:p w14:paraId="7B562437" w14:textId="77777777" w:rsidR="00EF4049" w:rsidRDefault="00EF4049" w:rsidP="009E6977">
            <w:pPr>
              <w:spacing w:after="0"/>
              <w:ind w:right="173"/>
              <w:jc w:val="right"/>
              <w:rPr>
                <w:rFonts w:ascii="Arial" w:hAnsi="Arial" w:cs="Arial"/>
                <w:szCs w:val="20"/>
              </w:rPr>
            </w:pPr>
            <w:r>
              <w:rPr>
                <w:rFonts w:ascii="Arial" w:hAnsi="Arial" w:cs="Arial"/>
                <w:szCs w:val="20"/>
              </w:rPr>
              <w:t>(118,200)</w:t>
            </w:r>
          </w:p>
        </w:tc>
        <w:tc>
          <w:tcPr>
            <w:tcW w:w="1382" w:type="dxa"/>
            <w:tcBorders>
              <w:left w:val="nil"/>
              <w:right w:val="nil"/>
            </w:tcBorders>
          </w:tcPr>
          <w:p w14:paraId="32B84FF0" w14:textId="77777777" w:rsidR="00EF4049" w:rsidRDefault="00EF4049" w:rsidP="009E6977">
            <w:pPr>
              <w:spacing w:after="0"/>
              <w:ind w:right="173"/>
              <w:jc w:val="right"/>
              <w:rPr>
                <w:rFonts w:ascii="Arial" w:hAnsi="Arial" w:cs="Arial"/>
                <w:szCs w:val="20"/>
              </w:rPr>
            </w:pPr>
          </w:p>
        </w:tc>
        <w:tc>
          <w:tcPr>
            <w:tcW w:w="1382" w:type="dxa"/>
            <w:tcBorders>
              <w:left w:val="nil"/>
              <w:right w:val="nil"/>
            </w:tcBorders>
          </w:tcPr>
          <w:p w14:paraId="63DF6AB3" w14:textId="77777777" w:rsidR="00EF4049" w:rsidRDefault="00EF4049" w:rsidP="009E6977">
            <w:pPr>
              <w:spacing w:after="0"/>
              <w:ind w:right="173"/>
              <w:jc w:val="right"/>
              <w:rPr>
                <w:rFonts w:ascii="Arial" w:hAnsi="Arial" w:cs="Arial"/>
                <w:szCs w:val="20"/>
              </w:rPr>
            </w:pPr>
          </w:p>
        </w:tc>
      </w:tr>
      <w:tr w:rsidR="00EF4049" w:rsidRPr="00E504AC" w14:paraId="3229E8B9" w14:textId="77777777" w:rsidTr="009E6977">
        <w:tc>
          <w:tcPr>
            <w:tcW w:w="4500" w:type="dxa"/>
            <w:tcBorders>
              <w:left w:val="nil"/>
            </w:tcBorders>
            <w:vAlign w:val="bottom"/>
          </w:tcPr>
          <w:p w14:paraId="500D9253" w14:textId="77777777" w:rsidR="00EF4049" w:rsidRPr="00E504AC" w:rsidRDefault="00EF4049" w:rsidP="009E6977">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33B36334" w14:textId="77777777" w:rsidR="00EF4049" w:rsidRPr="00E504AC" w:rsidRDefault="00EF4049" w:rsidP="009E6977">
            <w:pPr>
              <w:spacing w:after="0"/>
              <w:ind w:right="173"/>
              <w:jc w:val="right"/>
              <w:rPr>
                <w:rFonts w:ascii="Arial" w:hAnsi="Arial" w:cs="Arial"/>
                <w:szCs w:val="20"/>
              </w:rPr>
            </w:pPr>
            <w:r>
              <w:rPr>
                <w:rFonts w:ascii="Arial" w:hAnsi="Arial" w:cs="Arial"/>
                <w:szCs w:val="20"/>
              </w:rPr>
              <w:t>347,446</w:t>
            </w:r>
          </w:p>
        </w:tc>
        <w:tc>
          <w:tcPr>
            <w:tcW w:w="1382" w:type="dxa"/>
            <w:tcBorders>
              <w:left w:val="nil"/>
              <w:right w:val="nil"/>
            </w:tcBorders>
          </w:tcPr>
          <w:p w14:paraId="03F18EB2" w14:textId="77777777" w:rsidR="00EF4049" w:rsidRPr="00E504AC" w:rsidRDefault="00EF4049" w:rsidP="009E6977">
            <w:pPr>
              <w:spacing w:after="0"/>
              <w:ind w:right="173"/>
              <w:jc w:val="right"/>
              <w:rPr>
                <w:rFonts w:ascii="Arial" w:hAnsi="Arial" w:cs="Arial"/>
                <w:szCs w:val="20"/>
              </w:rPr>
            </w:pPr>
          </w:p>
        </w:tc>
        <w:tc>
          <w:tcPr>
            <w:tcW w:w="1382" w:type="dxa"/>
            <w:tcBorders>
              <w:left w:val="nil"/>
              <w:right w:val="nil"/>
            </w:tcBorders>
          </w:tcPr>
          <w:p w14:paraId="64FBFD1B" w14:textId="77777777" w:rsidR="00EF4049" w:rsidRDefault="00EF4049" w:rsidP="009E6977">
            <w:pPr>
              <w:spacing w:after="0"/>
              <w:ind w:right="173"/>
              <w:jc w:val="right"/>
              <w:rPr>
                <w:rFonts w:ascii="Arial" w:hAnsi="Arial" w:cs="Arial"/>
                <w:szCs w:val="20"/>
              </w:rPr>
            </w:pPr>
          </w:p>
        </w:tc>
      </w:tr>
      <w:tr w:rsidR="00EF4049" w:rsidRPr="00E504AC" w14:paraId="07A92021" w14:textId="77777777" w:rsidTr="009E6977">
        <w:tc>
          <w:tcPr>
            <w:tcW w:w="4500" w:type="dxa"/>
            <w:tcBorders>
              <w:left w:val="nil"/>
            </w:tcBorders>
            <w:vAlign w:val="bottom"/>
          </w:tcPr>
          <w:p w14:paraId="0CD1DAF9" w14:textId="77777777" w:rsidR="00EF4049" w:rsidRPr="00E504AC" w:rsidRDefault="00EF4049" w:rsidP="009E6977">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69CA4D29" w14:textId="77777777" w:rsidR="00EF4049" w:rsidRPr="00E504AC" w:rsidRDefault="00EF4049" w:rsidP="009E6977">
            <w:pPr>
              <w:spacing w:after="0"/>
              <w:ind w:right="173"/>
              <w:jc w:val="right"/>
              <w:rPr>
                <w:rFonts w:ascii="Arial" w:hAnsi="Arial" w:cs="Arial"/>
                <w:szCs w:val="20"/>
              </w:rPr>
            </w:pPr>
            <w:r>
              <w:rPr>
                <w:rFonts w:ascii="Arial" w:hAnsi="Arial" w:cs="Arial"/>
                <w:szCs w:val="20"/>
              </w:rPr>
              <w:t>(559,580)</w:t>
            </w:r>
          </w:p>
        </w:tc>
        <w:tc>
          <w:tcPr>
            <w:tcW w:w="1382" w:type="dxa"/>
            <w:tcBorders>
              <w:left w:val="nil"/>
              <w:right w:val="nil"/>
            </w:tcBorders>
          </w:tcPr>
          <w:p w14:paraId="10FEFB69" w14:textId="77777777" w:rsidR="00EF4049" w:rsidRPr="00E504AC" w:rsidRDefault="00EF4049" w:rsidP="009E6977">
            <w:pPr>
              <w:spacing w:after="0"/>
              <w:ind w:right="173"/>
              <w:jc w:val="right"/>
              <w:rPr>
                <w:rFonts w:ascii="Arial" w:hAnsi="Arial" w:cs="Arial"/>
                <w:szCs w:val="20"/>
              </w:rPr>
            </w:pPr>
          </w:p>
        </w:tc>
        <w:tc>
          <w:tcPr>
            <w:tcW w:w="1382" w:type="dxa"/>
            <w:tcBorders>
              <w:left w:val="nil"/>
              <w:right w:val="nil"/>
            </w:tcBorders>
          </w:tcPr>
          <w:p w14:paraId="20FF92A2" w14:textId="77777777" w:rsidR="00EF4049" w:rsidRPr="00E504AC" w:rsidRDefault="00EF4049" w:rsidP="009E6977">
            <w:pPr>
              <w:spacing w:after="0"/>
              <w:ind w:right="173"/>
              <w:jc w:val="right"/>
              <w:rPr>
                <w:rFonts w:ascii="Arial" w:hAnsi="Arial" w:cs="Arial"/>
                <w:szCs w:val="20"/>
              </w:rPr>
            </w:pPr>
          </w:p>
        </w:tc>
      </w:tr>
      <w:tr w:rsidR="00EF4049" w:rsidRPr="00E504AC" w14:paraId="454D9D0F" w14:textId="77777777" w:rsidTr="009E6977">
        <w:tc>
          <w:tcPr>
            <w:tcW w:w="4500" w:type="dxa"/>
            <w:tcBorders>
              <w:left w:val="nil"/>
            </w:tcBorders>
            <w:vAlign w:val="bottom"/>
          </w:tcPr>
          <w:p w14:paraId="7E424C34" w14:textId="77777777" w:rsidR="00EF4049" w:rsidRPr="00E504AC" w:rsidRDefault="00EF4049" w:rsidP="009E6977">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50726C43" w14:textId="77777777" w:rsidR="00EF4049" w:rsidRPr="00E504AC" w:rsidRDefault="00EF4049" w:rsidP="009E6977">
            <w:pPr>
              <w:spacing w:after="0"/>
              <w:ind w:right="173"/>
              <w:jc w:val="right"/>
              <w:rPr>
                <w:rFonts w:ascii="Arial" w:hAnsi="Arial" w:cs="Arial"/>
                <w:szCs w:val="20"/>
              </w:rPr>
            </w:pPr>
            <w:r>
              <w:rPr>
                <w:rFonts w:ascii="Arial" w:hAnsi="Arial" w:cs="Arial"/>
                <w:szCs w:val="20"/>
              </w:rPr>
              <w:t>9,958</w:t>
            </w:r>
          </w:p>
        </w:tc>
        <w:tc>
          <w:tcPr>
            <w:tcW w:w="1382" w:type="dxa"/>
            <w:tcBorders>
              <w:left w:val="nil"/>
              <w:right w:val="nil"/>
            </w:tcBorders>
          </w:tcPr>
          <w:p w14:paraId="50B02C77" w14:textId="77777777" w:rsidR="00EF4049" w:rsidRPr="00E504AC" w:rsidRDefault="00EF4049" w:rsidP="009E6977">
            <w:pPr>
              <w:spacing w:after="0"/>
              <w:ind w:right="173"/>
              <w:jc w:val="right"/>
              <w:rPr>
                <w:rFonts w:ascii="Arial" w:hAnsi="Arial" w:cs="Arial"/>
                <w:szCs w:val="20"/>
              </w:rPr>
            </w:pPr>
          </w:p>
        </w:tc>
        <w:tc>
          <w:tcPr>
            <w:tcW w:w="1382" w:type="dxa"/>
            <w:tcBorders>
              <w:left w:val="nil"/>
              <w:right w:val="nil"/>
            </w:tcBorders>
          </w:tcPr>
          <w:p w14:paraId="11A6C12D" w14:textId="77777777" w:rsidR="00EF4049" w:rsidRDefault="00EF4049" w:rsidP="009E6977">
            <w:pPr>
              <w:spacing w:after="0"/>
              <w:ind w:right="173"/>
              <w:jc w:val="right"/>
              <w:rPr>
                <w:rFonts w:ascii="Arial" w:hAnsi="Arial" w:cs="Arial"/>
                <w:szCs w:val="20"/>
              </w:rPr>
            </w:pPr>
          </w:p>
        </w:tc>
      </w:tr>
      <w:tr w:rsidR="00EF4049" w:rsidRPr="00E504AC" w14:paraId="5D5BCA91" w14:textId="77777777" w:rsidTr="00EF4049">
        <w:trPr>
          <w:trHeight w:hRule="exact" w:val="86"/>
        </w:trPr>
        <w:tc>
          <w:tcPr>
            <w:tcW w:w="4500" w:type="dxa"/>
            <w:tcBorders>
              <w:top w:val="single" w:sz="4" w:space="0" w:color="auto"/>
              <w:left w:val="nil"/>
            </w:tcBorders>
            <w:vAlign w:val="bottom"/>
          </w:tcPr>
          <w:p w14:paraId="4D8F2DC0" w14:textId="77777777" w:rsidR="00EF4049" w:rsidRPr="00E504AC" w:rsidRDefault="00EF4049" w:rsidP="009E6977">
            <w:pPr>
              <w:spacing w:after="0"/>
              <w:rPr>
                <w:rFonts w:ascii="Arial" w:hAnsi="Arial" w:cs="Arial"/>
                <w:szCs w:val="20"/>
              </w:rPr>
            </w:pPr>
          </w:p>
        </w:tc>
        <w:tc>
          <w:tcPr>
            <w:tcW w:w="1559" w:type="dxa"/>
            <w:tcBorders>
              <w:top w:val="single" w:sz="4" w:space="0" w:color="auto"/>
              <w:left w:val="nil"/>
              <w:right w:val="nil"/>
            </w:tcBorders>
          </w:tcPr>
          <w:p w14:paraId="08DB0EC6" w14:textId="77777777" w:rsidR="00EF4049" w:rsidRPr="00E504AC" w:rsidRDefault="00EF4049" w:rsidP="009E6977">
            <w:pPr>
              <w:spacing w:after="0"/>
              <w:ind w:right="173"/>
              <w:jc w:val="right"/>
              <w:rPr>
                <w:rFonts w:ascii="Arial" w:hAnsi="Arial" w:cs="Arial"/>
                <w:szCs w:val="20"/>
              </w:rPr>
            </w:pPr>
          </w:p>
        </w:tc>
        <w:tc>
          <w:tcPr>
            <w:tcW w:w="1382" w:type="dxa"/>
            <w:tcBorders>
              <w:top w:val="single" w:sz="4" w:space="0" w:color="auto"/>
              <w:left w:val="nil"/>
              <w:right w:val="nil"/>
            </w:tcBorders>
          </w:tcPr>
          <w:p w14:paraId="56D2643F" w14:textId="77777777" w:rsidR="00EF4049" w:rsidRPr="00E504AC" w:rsidRDefault="00EF4049" w:rsidP="009E6977">
            <w:pPr>
              <w:spacing w:after="0"/>
              <w:ind w:right="173"/>
              <w:jc w:val="right"/>
              <w:rPr>
                <w:rFonts w:ascii="Arial" w:hAnsi="Arial" w:cs="Arial"/>
                <w:szCs w:val="20"/>
              </w:rPr>
            </w:pPr>
          </w:p>
        </w:tc>
        <w:tc>
          <w:tcPr>
            <w:tcW w:w="1382" w:type="dxa"/>
            <w:tcBorders>
              <w:top w:val="single" w:sz="4" w:space="0" w:color="auto"/>
              <w:left w:val="nil"/>
              <w:right w:val="nil"/>
            </w:tcBorders>
          </w:tcPr>
          <w:p w14:paraId="605CA611" w14:textId="77777777" w:rsidR="00EF4049" w:rsidRPr="00E504AC" w:rsidRDefault="00EF4049" w:rsidP="009E6977">
            <w:pPr>
              <w:spacing w:after="0"/>
              <w:ind w:right="173"/>
              <w:jc w:val="right"/>
              <w:rPr>
                <w:rFonts w:ascii="Arial" w:hAnsi="Arial" w:cs="Arial"/>
                <w:szCs w:val="20"/>
              </w:rPr>
            </w:pPr>
          </w:p>
        </w:tc>
      </w:tr>
      <w:tr w:rsidR="00EF4049" w:rsidRPr="00E504AC" w14:paraId="2269378C" w14:textId="77777777" w:rsidTr="00EF4049">
        <w:tc>
          <w:tcPr>
            <w:tcW w:w="4500" w:type="dxa"/>
            <w:tcBorders>
              <w:left w:val="nil"/>
            </w:tcBorders>
            <w:vAlign w:val="bottom"/>
          </w:tcPr>
          <w:p w14:paraId="25770833" w14:textId="77777777" w:rsidR="00EF4049" w:rsidRPr="00E504AC" w:rsidRDefault="00EF4049" w:rsidP="009E6977">
            <w:pPr>
              <w:spacing w:after="0"/>
              <w:rPr>
                <w:rFonts w:ascii="Arial" w:hAnsi="Arial" w:cs="Arial"/>
                <w:szCs w:val="20"/>
              </w:rPr>
            </w:pPr>
            <w:r>
              <w:rPr>
                <w:rFonts w:ascii="Arial" w:hAnsi="Arial" w:cs="Arial"/>
                <w:szCs w:val="20"/>
              </w:rPr>
              <w:t>Balance, January 31, 2020</w:t>
            </w:r>
          </w:p>
        </w:tc>
        <w:tc>
          <w:tcPr>
            <w:tcW w:w="1559" w:type="dxa"/>
            <w:tcBorders>
              <w:left w:val="nil"/>
              <w:right w:val="nil"/>
            </w:tcBorders>
          </w:tcPr>
          <w:p w14:paraId="6282591A" w14:textId="77777777" w:rsidR="00EF4049" w:rsidRPr="00E504AC" w:rsidRDefault="00EF4049" w:rsidP="009E6977">
            <w:pPr>
              <w:spacing w:after="0"/>
              <w:ind w:right="173"/>
              <w:jc w:val="right"/>
              <w:rPr>
                <w:rFonts w:ascii="Arial" w:hAnsi="Arial" w:cs="Arial"/>
                <w:szCs w:val="20"/>
              </w:rPr>
            </w:pPr>
            <w:r>
              <w:rPr>
                <w:rFonts w:ascii="Arial" w:hAnsi="Arial" w:cs="Arial"/>
                <w:szCs w:val="20"/>
              </w:rPr>
              <w:t>4,702,292</w:t>
            </w:r>
          </w:p>
        </w:tc>
        <w:tc>
          <w:tcPr>
            <w:tcW w:w="1382" w:type="dxa"/>
            <w:tcBorders>
              <w:left w:val="nil"/>
              <w:right w:val="nil"/>
            </w:tcBorders>
          </w:tcPr>
          <w:p w14:paraId="3DA12CB6" w14:textId="77777777" w:rsidR="00EF4049" w:rsidRPr="00E504AC" w:rsidRDefault="00EF4049" w:rsidP="009E6977">
            <w:pPr>
              <w:spacing w:after="0"/>
              <w:ind w:right="173"/>
              <w:jc w:val="right"/>
              <w:rPr>
                <w:rFonts w:ascii="Arial" w:hAnsi="Arial" w:cs="Arial"/>
                <w:szCs w:val="20"/>
              </w:rPr>
            </w:pPr>
            <w:r>
              <w:rPr>
                <w:rFonts w:ascii="Arial" w:hAnsi="Arial" w:cs="Arial"/>
                <w:szCs w:val="20"/>
              </w:rPr>
              <w:t>(68,138)</w:t>
            </w:r>
          </w:p>
        </w:tc>
        <w:tc>
          <w:tcPr>
            <w:tcW w:w="1382" w:type="dxa"/>
            <w:tcBorders>
              <w:left w:val="nil"/>
              <w:right w:val="nil"/>
            </w:tcBorders>
          </w:tcPr>
          <w:p w14:paraId="6B3D1C07" w14:textId="77777777" w:rsidR="00EF4049" w:rsidRDefault="00EF4049" w:rsidP="009E6977">
            <w:pPr>
              <w:spacing w:after="0"/>
              <w:ind w:right="173"/>
              <w:jc w:val="right"/>
              <w:rPr>
                <w:rFonts w:ascii="Arial" w:hAnsi="Arial" w:cs="Arial"/>
                <w:szCs w:val="20"/>
              </w:rPr>
            </w:pPr>
            <w:r>
              <w:rPr>
                <w:rFonts w:ascii="Arial" w:hAnsi="Arial" w:cs="Arial"/>
                <w:szCs w:val="20"/>
              </w:rPr>
              <w:t>4,634,154</w:t>
            </w:r>
          </w:p>
        </w:tc>
      </w:tr>
      <w:tr w:rsidR="00D14270" w:rsidRPr="00E504AC" w14:paraId="6599B2CA" w14:textId="77777777" w:rsidTr="00CF1F57">
        <w:tc>
          <w:tcPr>
            <w:tcW w:w="4500" w:type="dxa"/>
            <w:tcBorders>
              <w:left w:val="nil"/>
            </w:tcBorders>
            <w:vAlign w:val="bottom"/>
          </w:tcPr>
          <w:p w14:paraId="6E7EEEAB" w14:textId="1EA820C5" w:rsidR="00D14270" w:rsidRDefault="00D14270" w:rsidP="00DB7415">
            <w:pPr>
              <w:spacing w:after="0"/>
              <w:rPr>
                <w:rFonts w:ascii="Arial" w:hAnsi="Arial" w:cs="Arial"/>
                <w:szCs w:val="20"/>
              </w:rPr>
            </w:pPr>
            <w:r>
              <w:rPr>
                <w:rFonts w:ascii="Arial" w:hAnsi="Arial" w:cs="Arial"/>
                <w:szCs w:val="20"/>
              </w:rPr>
              <w:t>Disposal</w:t>
            </w:r>
          </w:p>
        </w:tc>
        <w:tc>
          <w:tcPr>
            <w:tcW w:w="1559" w:type="dxa"/>
            <w:tcBorders>
              <w:left w:val="nil"/>
              <w:right w:val="nil"/>
            </w:tcBorders>
          </w:tcPr>
          <w:p w14:paraId="1697186D" w14:textId="0AF249EA" w:rsidR="00D14270" w:rsidRDefault="00D14270" w:rsidP="00DB7415">
            <w:pPr>
              <w:spacing w:after="0"/>
              <w:ind w:right="173"/>
              <w:jc w:val="right"/>
              <w:rPr>
                <w:rFonts w:ascii="Arial" w:hAnsi="Arial" w:cs="Arial"/>
                <w:szCs w:val="20"/>
              </w:rPr>
            </w:pPr>
            <w:r>
              <w:rPr>
                <w:rFonts w:ascii="Arial" w:hAnsi="Arial" w:cs="Arial"/>
                <w:szCs w:val="20"/>
              </w:rPr>
              <w:t>(</w:t>
            </w:r>
            <w:r w:rsidR="00EF4049">
              <w:rPr>
                <w:rFonts w:ascii="Arial" w:hAnsi="Arial" w:cs="Arial"/>
                <w:szCs w:val="20"/>
              </w:rPr>
              <w:t>1,474,092</w:t>
            </w:r>
            <w:r>
              <w:rPr>
                <w:rFonts w:ascii="Arial" w:hAnsi="Arial" w:cs="Arial"/>
                <w:szCs w:val="20"/>
              </w:rPr>
              <w:t>)</w:t>
            </w:r>
          </w:p>
        </w:tc>
        <w:tc>
          <w:tcPr>
            <w:tcW w:w="1382" w:type="dxa"/>
            <w:tcBorders>
              <w:left w:val="nil"/>
              <w:right w:val="nil"/>
            </w:tcBorders>
          </w:tcPr>
          <w:p w14:paraId="3D90BC47" w14:textId="77777777" w:rsidR="00D14270" w:rsidRDefault="00D14270" w:rsidP="00DB7415">
            <w:pPr>
              <w:spacing w:after="0"/>
              <w:ind w:right="173"/>
              <w:jc w:val="right"/>
              <w:rPr>
                <w:rFonts w:ascii="Arial" w:hAnsi="Arial" w:cs="Arial"/>
                <w:szCs w:val="20"/>
              </w:rPr>
            </w:pPr>
          </w:p>
        </w:tc>
        <w:tc>
          <w:tcPr>
            <w:tcW w:w="1382" w:type="dxa"/>
            <w:tcBorders>
              <w:left w:val="nil"/>
              <w:right w:val="nil"/>
            </w:tcBorders>
          </w:tcPr>
          <w:p w14:paraId="7493CFD9" w14:textId="77777777" w:rsidR="00D14270" w:rsidRDefault="00D14270" w:rsidP="00DB7415">
            <w:pPr>
              <w:spacing w:after="0"/>
              <w:ind w:right="173"/>
              <w:jc w:val="right"/>
              <w:rPr>
                <w:rFonts w:ascii="Arial" w:hAnsi="Arial" w:cs="Arial"/>
                <w:szCs w:val="20"/>
              </w:rPr>
            </w:pPr>
          </w:p>
        </w:tc>
      </w:tr>
      <w:tr w:rsidR="00CF1F57" w:rsidRPr="00E504AC" w14:paraId="48A4BDBD" w14:textId="77777777" w:rsidTr="00DB7415">
        <w:tc>
          <w:tcPr>
            <w:tcW w:w="4500" w:type="dxa"/>
            <w:tcBorders>
              <w:left w:val="nil"/>
            </w:tcBorders>
            <w:vAlign w:val="bottom"/>
          </w:tcPr>
          <w:p w14:paraId="3CA58E89" w14:textId="77777777" w:rsidR="00CF1F57" w:rsidRPr="00E504AC" w:rsidRDefault="00CF1F57" w:rsidP="00DB7415">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3659E46E" w14:textId="2ED77CEB" w:rsidR="00CF1F57" w:rsidRPr="00E504AC" w:rsidRDefault="00EF4049" w:rsidP="00E26400">
            <w:pPr>
              <w:spacing w:after="0"/>
              <w:ind w:right="173"/>
              <w:jc w:val="right"/>
              <w:rPr>
                <w:rFonts w:ascii="Arial" w:hAnsi="Arial" w:cs="Arial"/>
                <w:szCs w:val="20"/>
              </w:rPr>
            </w:pPr>
            <w:r>
              <w:rPr>
                <w:rFonts w:ascii="Arial" w:hAnsi="Arial" w:cs="Arial"/>
                <w:szCs w:val="20"/>
              </w:rPr>
              <w:t>167,358</w:t>
            </w:r>
          </w:p>
        </w:tc>
        <w:tc>
          <w:tcPr>
            <w:tcW w:w="1382" w:type="dxa"/>
            <w:tcBorders>
              <w:left w:val="nil"/>
              <w:right w:val="nil"/>
            </w:tcBorders>
          </w:tcPr>
          <w:p w14:paraId="319D0E74"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1403E59" w14:textId="77777777" w:rsidR="00CF1F57" w:rsidRDefault="00CF1F57" w:rsidP="00DB7415">
            <w:pPr>
              <w:spacing w:after="0"/>
              <w:ind w:right="173"/>
              <w:jc w:val="right"/>
              <w:rPr>
                <w:rFonts w:ascii="Arial" w:hAnsi="Arial" w:cs="Arial"/>
                <w:szCs w:val="20"/>
              </w:rPr>
            </w:pPr>
          </w:p>
        </w:tc>
      </w:tr>
      <w:tr w:rsidR="00CF1F57" w:rsidRPr="00E504AC" w14:paraId="7E6E2538" w14:textId="77777777" w:rsidTr="00DB7415">
        <w:tc>
          <w:tcPr>
            <w:tcW w:w="4500" w:type="dxa"/>
            <w:tcBorders>
              <w:left w:val="nil"/>
            </w:tcBorders>
            <w:vAlign w:val="bottom"/>
          </w:tcPr>
          <w:p w14:paraId="730FDA97" w14:textId="77777777" w:rsidR="00CF1F57" w:rsidRPr="00E504AC" w:rsidRDefault="00CF1F57" w:rsidP="00DB7415">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4241D861" w14:textId="39EC7F48" w:rsidR="00CF1F57" w:rsidRPr="00E504AC" w:rsidRDefault="0082773C" w:rsidP="00DB7415">
            <w:pPr>
              <w:spacing w:after="0"/>
              <w:ind w:right="173"/>
              <w:jc w:val="right"/>
              <w:rPr>
                <w:rFonts w:ascii="Arial" w:hAnsi="Arial" w:cs="Arial"/>
                <w:szCs w:val="20"/>
              </w:rPr>
            </w:pPr>
            <w:r>
              <w:rPr>
                <w:rFonts w:ascii="Arial" w:hAnsi="Arial" w:cs="Arial"/>
                <w:szCs w:val="20"/>
              </w:rPr>
              <w:t>(</w:t>
            </w:r>
            <w:r w:rsidR="00EF4049">
              <w:rPr>
                <w:rFonts w:ascii="Arial" w:hAnsi="Arial" w:cs="Arial"/>
                <w:szCs w:val="20"/>
              </w:rPr>
              <w:t>186,710</w:t>
            </w:r>
            <w:r>
              <w:rPr>
                <w:rFonts w:ascii="Arial" w:hAnsi="Arial" w:cs="Arial"/>
                <w:szCs w:val="20"/>
              </w:rPr>
              <w:t>)</w:t>
            </w:r>
          </w:p>
        </w:tc>
        <w:tc>
          <w:tcPr>
            <w:tcW w:w="1382" w:type="dxa"/>
            <w:tcBorders>
              <w:left w:val="nil"/>
              <w:right w:val="nil"/>
            </w:tcBorders>
          </w:tcPr>
          <w:p w14:paraId="7316CF16"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4D1374A1" w14:textId="77777777" w:rsidR="00CF1F57" w:rsidRPr="00E504AC" w:rsidRDefault="00CF1F57" w:rsidP="00DB7415">
            <w:pPr>
              <w:spacing w:after="0"/>
              <w:ind w:right="173"/>
              <w:jc w:val="right"/>
              <w:rPr>
                <w:rFonts w:ascii="Arial" w:hAnsi="Arial" w:cs="Arial"/>
                <w:szCs w:val="20"/>
              </w:rPr>
            </w:pPr>
          </w:p>
        </w:tc>
      </w:tr>
      <w:tr w:rsidR="00CF1F57" w:rsidRPr="00E504AC" w14:paraId="440464A5" w14:textId="77777777" w:rsidTr="00DB7415">
        <w:tc>
          <w:tcPr>
            <w:tcW w:w="4500" w:type="dxa"/>
            <w:tcBorders>
              <w:left w:val="nil"/>
            </w:tcBorders>
            <w:vAlign w:val="bottom"/>
          </w:tcPr>
          <w:p w14:paraId="6296C24A"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4CA86EEB" w14:textId="3559BF29" w:rsidR="00CF1F57" w:rsidRPr="00E504AC" w:rsidRDefault="00EF4049" w:rsidP="00E26400">
            <w:pPr>
              <w:spacing w:after="0"/>
              <w:ind w:right="173"/>
              <w:jc w:val="right"/>
              <w:rPr>
                <w:rFonts w:ascii="Arial" w:hAnsi="Arial" w:cs="Arial"/>
                <w:szCs w:val="20"/>
              </w:rPr>
            </w:pPr>
            <w:r>
              <w:rPr>
                <w:rFonts w:ascii="Arial" w:hAnsi="Arial" w:cs="Arial"/>
                <w:szCs w:val="20"/>
              </w:rPr>
              <w:t>72,38</w:t>
            </w:r>
            <w:r w:rsidR="00580C5C">
              <w:rPr>
                <w:rFonts w:ascii="Arial" w:hAnsi="Arial" w:cs="Arial"/>
                <w:szCs w:val="20"/>
              </w:rPr>
              <w:t>7</w:t>
            </w:r>
          </w:p>
        </w:tc>
        <w:tc>
          <w:tcPr>
            <w:tcW w:w="1382" w:type="dxa"/>
            <w:tcBorders>
              <w:left w:val="nil"/>
              <w:right w:val="nil"/>
            </w:tcBorders>
          </w:tcPr>
          <w:p w14:paraId="74B405A2"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39491701" w14:textId="77777777" w:rsidR="00CF1F57" w:rsidRDefault="00CF1F57" w:rsidP="00DB7415">
            <w:pPr>
              <w:spacing w:after="0"/>
              <w:ind w:right="173"/>
              <w:jc w:val="right"/>
              <w:rPr>
                <w:rFonts w:ascii="Arial" w:hAnsi="Arial" w:cs="Arial"/>
                <w:szCs w:val="20"/>
              </w:rPr>
            </w:pPr>
          </w:p>
        </w:tc>
      </w:tr>
      <w:tr w:rsidR="00CF1F57" w:rsidRPr="00E504AC" w14:paraId="3349D2DE" w14:textId="77777777" w:rsidTr="00CF1F57">
        <w:trPr>
          <w:trHeight w:hRule="exact" w:val="86"/>
        </w:trPr>
        <w:tc>
          <w:tcPr>
            <w:tcW w:w="4500" w:type="dxa"/>
            <w:tcBorders>
              <w:top w:val="single" w:sz="4" w:space="0" w:color="auto"/>
              <w:left w:val="nil"/>
            </w:tcBorders>
            <w:vAlign w:val="bottom"/>
          </w:tcPr>
          <w:p w14:paraId="75A187AB"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50DEAA20"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093162F9"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46AE99A9" w14:textId="77777777" w:rsidR="00CF1F57" w:rsidRPr="00E504AC" w:rsidRDefault="00CF1F57" w:rsidP="00DB7415">
            <w:pPr>
              <w:spacing w:after="0"/>
              <w:ind w:right="173"/>
              <w:jc w:val="right"/>
              <w:rPr>
                <w:rFonts w:ascii="Arial" w:hAnsi="Arial" w:cs="Arial"/>
                <w:szCs w:val="20"/>
              </w:rPr>
            </w:pPr>
          </w:p>
        </w:tc>
      </w:tr>
      <w:tr w:rsidR="00CF1F57" w:rsidRPr="00E504AC" w14:paraId="29C28CF0" w14:textId="1ABE9F6E" w:rsidTr="00CF1F57">
        <w:tc>
          <w:tcPr>
            <w:tcW w:w="4500" w:type="dxa"/>
            <w:tcBorders>
              <w:left w:val="nil"/>
              <w:bottom w:val="single" w:sz="12" w:space="0" w:color="auto"/>
            </w:tcBorders>
            <w:vAlign w:val="bottom"/>
          </w:tcPr>
          <w:p w14:paraId="61646D23" w14:textId="648F52E6" w:rsidR="00CF1F57" w:rsidRPr="00E504AC" w:rsidRDefault="00CF1F57" w:rsidP="00DB7415">
            <w:pPr>
              <w:spacing w:after="0"/>
              <w:rPr>
                <w:rFonts w:ascii="Arial" w:hAnsi="Arial" w:cs="Arial"/>
                <w:szCs w:val="20"/>
              </w:rPr>
            </w:pPr>
            <w:r>
              <w:rPr>
                <w:rFonts w:ascii="Arial" w:hAnsi="Arial" w:cs="Arial"/>
                <w:szCs w:val="20"/>
              </w:rPr>
              <w:t xml:space="preserve">Balance, </w:t>
            </w:r>
            <w:r w:rsidR="00EF4049">
              <w:rPr>
                <w:rFonts w:ascii="Arial" w:hAnsi="Arial" w:cs="Arial"/>
                <w:szCs w:val="20"/>
              </w:rPr>
              <w:t>April 30, 2020</w:t>
            </w:r>
          </w:p>
        </w:tc>
        <w:tc>
          <w:tcPr>
            <w:tcW w:w="1559" w:type="dxa"/>
            <w:tcBorders>
              <w:left w:val="nil"/>
              <w:bottom w:val="single" w:sz="12" w:space="0" w:color="auto"/>
              <w:right w:val="nil"/>
            </w:tcBorders>
          </w:tcPr>
          <w:p w14:paraId="64BBBD05" w14:textId="54E11032" w:rsidR="00CF1F57" w:rsidRPr="00E504AC" w:rsidRDefault="00EF4049" w:rsidP="0082773C">
            <w:pPr>
              <w:spacing w:after="0"/>
              <w:ind w:right="173"/>
              <w:jc w:val="right"/>
              <w:rPr>
                <w:rFonts w:ascii="Arial" w:hAnsi="Arial" w:cs="Arial"/>
                <w:szCs w:val="20"/>
              </w:rPr>
            </w:pPr>
            <w:r>
              <w:rPr>
                <w:rFonts w:ascii="Arial" w:hAnsi="Arial" w:cs="Arial"/>
                <w:szCs w:val="20"/>
              </w:rPr>
              <w:t>3,281,23</w:t>
            </w:r>
            <w:r w:rsidR="00580C5C">
              <w:rPr>
                <w:rFonts w:ascii="Arial" w:hAnsi="Arial" w:cs="Arial"/>
                <w:szCs w:val="20"/>
              </w:rPr>
              <w:t>5</w:t>
            </w:r>
          </w:p>
        </w:tc>
        <w:tc>
          <w:tcPr>
            <w:tcW w:w="1382" w:type="dxa"/>
            <w:tcBorders>
              <w:left w:val="nil"/>
              <w:bottom w:val="single" w:sz="12" w:space="0" w:color="auto"/>
              <w:right w:val="nil"/>
            </w:tcBorders>
          </w:tcPr>
          <w:p w14:paraId="114F497A" w14:textId="1656D9B7" w:rsidR="00CF1F57" w:rsidRPr="00E504AC" w:rsidRDefault="00C5228A" w:rsidP="00DB7415">
            <w:pPr>
              <w:spacing w:after="0"/>
              <w:ind w:right="173"/>
              <w:jc w:val="right"/>
              <w:rPr>
                <w:rFonts w:ascii="Arial" w:hAnsi="Arial" w:cs="Arial"/>
                <w:szCs w:val="20"/>
              </w:rPr>
            </w:pPr>
            <w:r>
              <w:rPr>
                <w:rFonts w:ascii="Arial" w:hAnsi="Arial" w:cs="Arial"/>
                <w:szCs w:val="20"/>
              </w:rPr>
              <w:t>(</w:t>
            </w:r>
            <w:r w:rsidR="00EF4049">
              <w:rPr>
                <w:rFonts w:ascii="Arial" w:hAnsi="Arial" w:cs="Arial"/>
                <w:szCs w:val="20"/>
              </w:rPr>
              <w:t>6,150</w:t>
            </w:r>
            <w:r>
              <w:rPr>
                <w:rFonts w:ascii="Arial" w:hAnsi="Arial" w:cs="Arial"/>
                <w:szCs w:val="20"/>
              </w:rPr>
              <w:t>)</w:t>
            </w:r>
          </w:p>
        </w:tc>
        <w:tc>
          <w:tcPr>
            <w:tcW w:w="1382" w:type="dxa"/>
            <w:tcBorders>
              <w:left w:val="nil"/>
              <w:bottom w:val="single" w:sz="12" w:space="0" w:color="auto"/>
              <w:right w:val="nil"/>
            </w:tcBorders>
          </w:tcPr>
          <w:p w14:paraId="1DF6F9B5" w14:textId="47C0AEDB" w:rsidR="00CF1F57" w:rsidRDefault="00EF4049" w:rsidP="00DB7415">
            <w:pPr>
              <w:spacing w:after="0"/>
              <w:ind w:right="173"/>
              <w:jc w:val="right"/>
              <w:rPr>
                <w:rFonts w:ascii="Arial" w:hAnsi="Arial" w:cs="Arial"/>
                <w:szCs w:val="20"/>
              </w:rPr>
            </w:pPr>
            <w:r>
              <w:rPr>
                <w:rFonts w:ascii="Arial" w:hAnsi="Arial" w:cs="Arial"/>
                <w:szCs w:val="20"/>
              </w:rPr>
              <w:t>3,275,08</w:t>
            </w:r>
            <w:r w:rsidR="00580C5C">
              <w:rPr>
                <w:rFonts w:ascii="Arial" w:hAnsi="Arial" w:cs="Arial"/>
                <w:szCs w:val="20"/>
              </w:rPr>
              <w:t>5</w:t>
            </w:r>
          </w:p>
        </w:tc>
      </w:tr>
    </w:tbl>
    <w:p w14:paraId="27A58ED5" w14:textId="77777777" w:rsidR="00CF1F57" w:rsidRDefault="00CF1F57" w:rsidP="00CF1F57">
      <w:pPr>
        <w:tabs>
          <w:tab w:val="left" w:pos="450"/>
        </w:tabs>
        <w:spacing w:after="0"/>
        <w:ind w:left="446"/>
        <w:jc w:val="both"/>
        <w:rPr>
          <w:rFonts w:ascii="Arial" w:hAnsi="Arial" w:cs="Arial"/>
          <w:szCs w:val="20"/>
        </w:rPr>
      </w:pPr>
    </w:p>
    <w:p w14:paraId="38F05FD7" w14:textId="6C841182" w:rsidR="00C5228A" w:rsidRDefault="00EF4049" w:rsidP="00EF4049">
      <w:pPr>
        <w:tabs>
          <w:tab w:val="left" w:pos="450"/>
        </w:tabs>
        <w:spacing w:after="0" w:line="240" w:lineRule="auto"/>
        <w:ind w:left="446"/>
        <w:jc w:val="both"/>
        <w:rPr>
          <w:rFonts w:ascii="Arial" w:hAnsi="Arial" w:cs="Arial"/>
          <w:b/>
          <w:bCs/>
          <w:szCs w:val="20"/>
        </w:rPr>
      </w:pPr>
      <w:r>
        <w:rPr>
          <w:rFonts w:ascii="Arial" w:hAnsi="Arial" w:cs="Arial"/>
          <w:szCs w:val="20"/>
        </w:rPr>
        <w:t xml:space="preserve">Pursuant to the assignment of Pivot Naturals (Note </w:t>
      </w:r>
      <w:r w:rsidR="0032772B">
        <w:rPr>
          <w:rFonts w:ascii="Arial" w:hAnsi="Arial" w:cs="Arial"/>
          <w:szCs w:val="20"/>
        </w:rPr>
        <w:t>4</w:t>
      </w:r>
      <w:r>
        <w:rPr>
          <w:rFonts w:ascii="Arial" w:hAnsi="Arial" w:cs="Arial"/>
          <w:szCs w:val="20"/>
        </w:rPr>
        <w:t xml:space="preserve">), the Company </w:t>
      </w:r>
      <w:r w:rsidR="00253061">
        <w:rPr>
          <w:rFonts w:ascii="Arial" w:hAnsi="Arial" w:cs="Arial"/>
          <w:szCs w:val="20"/>
        </w:rPr>
        <w:t xml:space="preserve">extinguished its obligations related to </w:t>
      </w:r>
      <w:r>
        <w:rPr>
          <w:rFonts w:ascii="Arial" w:hAnsi="Arial" w:cs="Arial"/>
          <w:szCs w:val="20"/>
        </w:rPr>
        <w:t>its lease at 3595 Cadillac Avenue in California, U.S.A</w:t>
      </w:r>
      <w:r w:rsidR="00605477">
        <w:rPr>
          <w:rFonts w:ascii="Arial" w:hAnsi="Arial" w:cs="Arial"/>
          <w:szCs w:val="20"/>
        </w:rPr>
        <w:t xml:space="preserve">.  </w:t>
      </w:r>
      <w:bookmarkStart w:id="3" w:name="_Hlk43996640"/>
      <w:r w:rsidR="00605477">
        <w:rPr>
          <w:rFonts w:ascii="Arial" w:hAnsi="Arial" w:cs="Arial"/>
          <w:szCs w:val="20"/>
        </w:rPr>
        <w:t xml:space="preserve">A gain on extinguishment of the lease </w:t>
      </w:r>
      <w:r w:rsidR="0032772B">
        <w:rPr>
          <w:rFonts w:ascii="Arial" w:hAnsi="Arial" w:cs="Arial"/>
          <w:szCs w:val="20"/>
        </w:rPr>
        <w:t>liability totaling $1,474,092</w:t>
      </w:r>
      <w:r w:rsidR="00605477">
        <w:rPr>
          <w:rFonts w:ascii="Arial" w:hAnsi="Arial" w:cs="Arial"/>
          <w:szCs w:val="20"/>
        </w:rPr>
        <w:t xml:space="preserve"> is included in</w:t>
      </w:r>
      <w:r w:rsidR="002578B6">
        <w:rPr>
          <w:rFonts w:ascii="Arial" w:hAnsi="Arial" w:cs="Arial"/>
          <w:szCs w:val="20"/>
        </w:rPr>
        <w:t xml:space="preserve"> gain on abandonment of assets </w:t>
      </w:r>
      <w:bookmarkEnd w:id="3"/>
      <w:r w:rsidR="00605477">
        <w:rPr>
          <w:rFonts w:ascii="Arial" w:hAnsi="Arial" w:cs="Arial"/>
          <w:szCs w:val="20"/>
        </w:rPr>
        <w:t>on the condensed consolidated interim statements of comprehensive income (loss).</w:t>
      </w:r>
    </w:p>
    <w:p w14:paraId="3BB8743D" w14:textId="77777777" w:rsidR="00555DEA" w:rsidRDefault="00555DEA" w:rsidP="00E504AC">
      <w:pPr>
        <w:tabs>
          <w:tab w:val="left" w:pos="450"/>
        </w:tabs>
        <w:spacing w:after="0"/>
        <w:ind w:left="446"/>
        <w:jc w:val="both"/>
        <w:rPr>
          <w:rFonts w:ascii="Arial" w:hAnsi="Arial" w:cs="Arial"/>
          <w:szCs w:val="20"/>
        </w:rPr>
      </w:pPr>
    </w:p>
    <w:p w14:paraId="1D5C89A9" w14:textId="60C39CBE" w:rsidR="00E504AC" w:rsidRDefault="00E504AC" w:rsidP="00E504AC">
      <w:pPr>
        <w:tabs>
          <w:tab w:val="left" w:pos="450"/>
        </w:tabs>
        <w:spacing w:after="0"/>
        <w:ind w:left="446"/>
        <w:jc w:val="both"/>
        <w:rPr>
          <w:rFonts w:ascii="Arial" w:hAnsi="Arial" w:cs="Arial"/>
          <w:szCs w:val="20"/>
        </w:rPr>
      </w:pPr>
      <w:r w:rsidRPr="00E504AC">
        <w:rPr>
          <w:rFonts w:ascii="Arial" w:hAnsi="Arial" w:cs="Arial"/>
          <w:szCs w:val="20"/>
        </w:rPr>
        <w:t xml:space="preserve">The table below summarizes the remaining expected lease payments under </w:t>
      </w:r>
      <w:r w:rsidR="00BE28C7">
        <w:rPr>
          <w:rFonts w:ascii="Arial" w:hAnsi="Arial" w:cs="Arial"/>
          <w:szCs w:val="20"/>
        </w:rPr>
        <w:t xml:space="preserve">the Company’s </w:t>
      </w:r>
      <w:r w:rsidRPr="00E504AC">
        <w:rPr>
          <w:rFonts w:ascii="Arial" w:hAnsi="Arial" w:cs="Arial"/>
          <w:szCs w:val="20"/>
        </w:rPr>
        <w:t xml:space="preserve">operating lease as of </w:t>
      </w:r>
      <w:r w:rsidR="00EF4049">
        <w:rPr>
          <w:rFonts w:ascii="Arial" w:hAnsi="Arial" w:cs="Arial"/>
          <w:szCs w:val="20"/>
        </w:rPr>
        <w:t>April 30</w:t>
      </w:r>
      <w:r w:rsidR="00A16517">
        <w:rPr>
          <w:rFonts w:ascii="Arial" w:hAnsi="Arial" w:cs="Arial"/>
          <w:szCs w:val="20"/>
        </w:rPr>
        <w:t>, 2020</w:t>
      </w:r>
      <w:r w:rsidR="005B01B3">
        <w:rPr>
          <w:rFonts w:ascii="Arial" w:hAnsi="Arial" w:cs="Arial"/>
          <w:szCs w:val="20"/>
        </w:rPr>
        <w:t>:</w:t>
      </w:r>
    </w:p>
    <w:p w14:paraId="394CD87A" w14:textId="5419A0E7" w:rsidR="00E32477" w:rsidRDefault="00E32477" w:rsidP="00E504AC">
      <w:pPr>
        <w:tabs>
          <w:tab w:val="left" w:pos="450"/>
        </w:tabs>
        <w:spacing w:after="0"/>
        <w:ind w:left="446"/>
        <w:jc w:val="both"/>
        <w:rPr>
          <w:rFonts w:ascii="Arial" w:hAnsi="Arial" w:cs="Arial"/>
          <w:szCs w:val="20"/>
        </w:rPr>
      </w:pPr>
    </w:p>
    <w:tbl>
      <w:tblPr>
        <w:tblW w:w="6220" w:type="dxa"/>
        <w:tblInd w:w="1098" w:type="dxa"/>
        <w:tblLook w:val="04A0" w:firstRow="1" w:lastRow="0" w:firstColumn="1" w:lastColumn="0" w:noHBand="0" w:noVBand="1"/>
      </w:tblPr>
      <w:tblGrid>
        <w:gridCol w:w="4500"/>
        <w:gridCol w:w="1720"/>
      </w:tblGrid>
      <w:tr w:rsidR="00E32477" w:rsidRPr="006B167C" w14:paraId="4D486931" w14:textId="77777777" w:rsidTr="00B14849">
        <w:trPr>
          <w:trHeight w:val="260"/>
        </w:trPr>
        <w:tc>
          <w:tcPr>
            <w:tcW w:w="4500" w:type="dxa"/>
            <w:tcBorders>
              <w:top w:val="nil"/>
              <w:left w:val="nil"/>
              <w:bottom w:val="single" w:sz="8" w:space="0" w:color="auto"/>
              <w:right w:val="nil"/>
            </w:tcBorders>
            <w:shd w:val="clear" w:color="auto" w:fill="auto"/>
            <w:vAlign w:val="center"/>
            <w:hideMark/>
          </w:tcPr>
          <w:p w14:paraId="65ECE177" w14:textId="77777777" w:rsidR="00E32477" w:rsidRPr="00B14849" w:rsidRDefault="00E32477" w:rsidP="00E32477">
            <w:pPr>
              <w:spacing w:after="0" w:line="240" w:lineRule="auto"/>
              <w:rPr>
                <w:rFonts w:ascii="Arial" w:eastAsia="Times New Roman" w:hAnsi="Arial" w:cs="Arial"/>
                <w:b/>
                <w:bCs/>
                <w:color w:val="000000"/>
                <w:szCs w:val="20"/>
                <w:lang w:val="en-CA" w:eastAsia="en-CA"/>
              </w:rPr>
            </w:pPr>
            <w:r w:rsidRPr="00B14849">
              <w:rPr>
                <w:rFonts w:ascii="Arial" w:eastAsia="Times New Roman" w:hAnsi="Arial" w:cs="Arial"/>
                <w:b/>
                <w:bCs/>
                <w:color w:val="000000"/>
                <w:szCs w:val="20"/>
                <w:lang w:val="en-CA" w:eastAsia="en-CA"/>
              </w:rPr>
              <w:t>Fiscal Years</w:t>
            </w:r>
          </w:p>
        </w:tc>
        <w:tc>
          <w:tcPr>
            <w:tcW w:w="1720" w:type="dxa"/>
            <w:tcBorders>
              <w:top w:val="nil"/>
              <w:left w:val="nil"/>
              <w:bottom w:val="single" w:sz="8" w:space="0" w:color="auto"/>
              <w:right w:val="nil"/>
            </w:tcBorders>
            <w:shd w:val="clear" w:color="auto" w:fill="auto"/>
            <w:vAlign w:val="center"/>
            <w:hideMark/>
          </w:tcPr>
          <w:p w14:paraId="4B927968" w14:textId="77777777" w:rsidR="00E32477" w:rsidRPr="00B14849" w:rsidRDefault="00E32477" w:rsidP="00B14849">
            <w:pPr>
              <w:spacing w:after="0" w:line="240" w:lineRule="auto"/>
              <w:jc w:val="center"/>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w:t>
            </w:r>
          </w:p>
        </w:tc>
      </w:tr>
      <w:tr w:rsidR="00E32477" w:rsidRPr="006B167C" w14:paraId="5ECB7599" w14:textId="77777777" w:rsidTr="00B14849">
        <w:trPr>
          <w:trHeight w:val="260"/>
        </w:trPr>
        <w:tc>
          <w:tcPr>
            <w:tcW w:w="4500" w:type="dxa"/>
            <w:tcBorders>
              <w:top w:val="nil"/>
              <w:left w:val="nil"/>
              <w:bottom w:val="nil"/>
              <w:right w:val="nil"/>
            </w:tcBorders>
            <w:shd w:val="clear" w:color="auto" w:fill="auto"/>
            <w:vAlign w:val="center"/>
            <w:hideMark/>
          </w:tcPr>
          <w:p w14:paraId="38A37EC2"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2021</w:t>
            </w:r>
          </w:p>
        </w:tc>
        <w:tc>
          <w:tcPr>
            <w:tcW w:w="1720" w:type="dxa"/>
            <w:tcBorders>
              <w:top w:val="nil"/>
              <w:left w:val="nil"/>
              <w:bottom w:val="nil"/>
              <w:right w:val="nil"/>
            </w:tcBorders>
            <w:shd w:val="clear" w:color="auto" w:fill="auto"/>
            <w:vAlign w:val="center"/>
            <w:hideMark/>
          </w:tcPr>
          <w:p w14:paraId="7342A546" w14:textId="24C2EF9C"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354,544</w:t>
            </w:r>
          </w:p>
        </w:tc>
      </w:tr>
      <w:tr w:rsidR="00E32477" w:rsidRPr="006B167C" w14:paraId="18D417A0" w14:textId="77777777" w:rsidTr="00B14849">
        <w:trPr>
          <w:trHeight w:val="260"/>
        </w:trPr>
        <w:tc>
          <w:tcPr>
            <w:tcW w:w="4500" w:type="dxa"/>
            <w:tcBorders>
              <w:top w:val="nil"/>
              <w:left w:val="nil"/>
              <w:bottom w:val="nil"/>
              <w:right w:val="nil"/>
            </w:tcBorders>
            <w:shd w:val="clear" w:color="auto" w:fill="auto"/>
            <w:vAlign w:val="center"/>
            <w:hideMark/>
          </w:tcPr>
          <w:p w14:paraId="3E6B627F"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2022</w:t>
            </w:r>
          </w:p>
        </w:tc>
        <w:tc>
          <w:tcPr>
            <w:tcW w:w="1720" w:type="dxa"/>
            <w:tcBorders>
              <w:top w:val="nil"/>
              <w:left w:val="nil"/>
              <w:bottom w:val="nil"/>
              <w:right w:val="nil"/>
            </w:tcBorders>
            <w:shd w:val="clear" w:color="auto" w:fill="auto"/>
            <w:vAlign w:val="center"/>
            <w:hideMark/>
          </w:tcPr>
          <w:p w14:paraId="38AE7BE7" w14:textId="76DFBFF9"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504,956</w:t>
            </w:r>
          </w:p>
        </w:tc>
      </w:tr>
      <w:tr w:rsidR="00E32477" w:rsidRPr="006B167C" w14:paraId="0048446F" w14:textId="77777777" w:rsidTr="00B14849">
        <w:trPr>
          <w:trHeight w:val="260"/>
        </w:trPr>
        <w:tc>
          <w:tcPr>
            <w:tcW w:w="4500" w:type="dxa"/>
            <w:tcBorders>
              <w:top w:val="nil"/>
              <w:left w:val="nil"/>
              <w:bottom w:val="nil"/>
              <w:right w:val="nil"/>
            </w:tcBorders>
            <w:shd w:val="clear" w:color="auto" w:fill="auto"/>
            <w:vAlign w:val="center"/>
            <w:hideMark/>
          </w:tcPr>
          <w:p w14:paraId="1B9B0C46"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2023</w:t>
            </w:r>
          </w:p>
        </w:tc>
        <w:tc>
          <w:tcPr>
            <w:tcW w:w="1720" w:type="dxa"/>
            <w:tcBorders>
              <w:top w:val="nil"/>
              <w:left w:val="nil"/>
              <w:bottom w:val="nil"/>
              <w:right w:val="nil"/>
            </w:tcBorders>
            <w:shd w:val="clear" w:color="auto" w:fill="auto"/>
            <w:vAlign w:val="center"/>
            <w:hideMark/>
          </w:tcPr>
          <w:p w14:paraId="2632A748" w14:textId="7019E4B3"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547,931</w:t>
            </w:r>
          </w:p>
        </w:tc>
      </w:tr>
      <w:tr w:rsidR="00E32477" w:rsidRPr="006B167C" w14:paraId="1472E061" w14:textId="77777777" w:rsidTr="00B14849">
        <w:trPr>
          <w:trHeight w:val="260"/>
        </w:trPr>
        <w:tc>
          <w:tcPr>
            <w:tcW w:w="4500" w:type="dxa"/>
            <w:tcBorders>
              <w:top w:val="nil"/>
              <w:left w:val="nil"/>
              <w:bottom w:val="nil"/>
              <w:right w:val="nil"/>
            </w:tcBorders>
            <w:shd w:val="clear" w:color="auto" w:fill="auto"/>
            <w:vAlign w:val="center"/>
            <w:hideMark/>
          </w:tcPr>
          <w:p w14:paraId="6F76108A"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2024</w:t>
            </w:r>
          </w:p>
        </w:tc>
        <w:tc>
          <w:tcPr>
            <w:tcW w:w="1720" w:type="dxa"/>
            <w:tcBorders>
              <w:top w:val="nil"/>
              <w:left w:val="nil"/>
              <w:bottom w:val="nil"/>
              <w:right w:val="nil"/>
            </w:tcBorders>
            <w:shd w:val="clear" w:color="auto" w:fill="auto"/>
            <w:vAlign w:val="center"/>
            <w:hideMark/>
          </w:tcPr>
          <w:p w14:paraId="1F658382" w14:textId="34814E3E"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590,906</w:t>
            </w:r>
          </w:p>
        </w:tc>
      </w:tr>
      <w:tr w:rsidR="00E32477" w:rsidRPr="006B167C" w14:paraId="605B404D" w14:textId="77777777" w:rsidTr="00B14849">
        <w:trPr>
          <w:trHeight w:val="260"/>
        </w:trPr>
        <w:tc>
          <w:tcPr>
            <w:tcW w:w="4500" w:type="dxa"/>
            <w:tcBorders>
              <w:top w:val="nil"/>
              <w:left w:val="nil"/>
              <w:bottom w:val="nil"/>
              <w:right w:val="nil"/>
            </w:tcBorders>
            <w:shd w:val="clear" w:color="auto" w:fill="auto"/>
            <w:vAlign w:val="center"/>
            <w:hideMark/>
          </w:tcPr>
          <w:p w14:paraId="1616AE06"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2025</w:t>
            </w:r>
          </w:p>
        </w:tc>
        <w:tc>
          <w:tcPr>
            <w:tcW w:w="1720" w:type="dxa"/>
            <w:tcBorders>
              <w:top w:val="nil"/>
              <w:left w:val="nil"/>
              <w:bottom w:val="nil"/>
              <w:right w:val="nil"/>
            </w:tcBorders>
            <w:shd w:val="clear" w:color="auto" w:fill="auto"/>
            <w:vAlign w:val="center"/>
            <w:hideMark/>
          </w:tcPr>
          <w:p w14:paraId="7F1EEC46" w14:textId="1537FAA5"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633,881</w:t>
            </w:r>
          </w:p>
        </w:tc>
      </w:tr>
      <w:tr w:rsidR="00E32477" w:rsidRPr="006B167C" w14:paraId="3B09CDD0" w14:textId="77777777" w:rsidTr="00B14849">
        <w:trPr>
          <w:trHeight w:val="260"/>
        </w:trPr>
        <w:tc>
          <w:tcPr>
            <w:tcW w:w="4500" w:type="dxa"/>
            <w:tcBorders>
              <w:top w:val="nil"/>
              <w:left w:val="nil"/>
              <w:bottom w:val="nil"/>
              <w:right w:val="nil"/>
            </w:tcBorders>
            <w:shd w:val="clear" w:color="auto" w:fill="auto"/>
            <w:vAlign w:val="center"/>
            <w:hideMark/>
          </w:tcPr>
          <w:p w14:paraId="27BEA204"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Thereafter</w:t>
            </w:r>
          </w:p>
        </w:tc>
        <w:tc>
          <w:tcPr>
            <w:tcW w:w="1720" w:type="dxa"/>
            <w:tcBorders>
              <w:top w:val="nil"/>
              <w:left w:val="nil"/>
              <w:bottom w:val="nil"/>
              <w:right w:val="nil"/>
            </w:tcBorders>
            <w:shd w:val="clear" w:color="auto" w:fill="auto"/>
            <w:vAlign w:val="center"/>
            <w:hideMark/>
          </w:tcPr>
          <w:p w14:paraId="575A3756" w14:textId="449A832F" w:rsidR="00E32477" w:rsidRPr="00B14849" w:rsidRDefault="008B796F" w:rsidP="00E32477">
            <w:pPr>
              <w:spacing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3,957,281</w:t>
            </w:r>
          </w:p>
        </w:tc>
      </w:tr>
      <w:tr w:rsidR="00E32477" w:rsidRPr="006B167C" w14:paraId="06F016D2" w14:textId="77777777" w:rsidTr="005A404B">
        <w:trPr>
          <w:trHeight w:val="260"/>
        </w:trPr>
        <w:tc>
          <w:tcPr>
            <w:tcW w:w="4500" w:type="dxa"/>
            <w:tcBorders>
              <w:top w:val="nil"/>
              <w:left w:val="nil"/>
              <w:bottom w:val="single" w:sz="4" w:space="0" w:color="auto"/>
              <w:right w:val="nil"/>
            </w:tcBorders>
            <w:shd w:val="clear" w:color="auto" w:fill="auto"/>
            <w:vAlign w:val="center"/>
            <w:hideMark/>
          </w:tcPr>
          <w:p w14:paraId="022969CD" w14:textId="77777777" w:rsidR="00E32477" w:rsidRPr="00B14849" w:rsidRDefault="00E32477" w:rsidP="00E32477">
            <w:pPr>
              <w:spacing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 xml:space="preserve">Less: imputed interest </w:t>
            </w:r>
          </w:p>
        </w:tc>
        <w:tc>
          <w:tcPr>
            <w:tcW w:w="1720" w:type="dxa"/>
            <w:tcBorders>
              <w:top w:val="nil"/>
              <w:left w:val="nil"/>
              <w:bottom w:val="single" w:sz="4" w:space="0" w:color="auto"/>
              <w:right w:val="nil"/>
            </w:tcBorders>
            <w:shd w:val="clear" w:color="auto" w:fill="auto"/>
            <w:vAlign w:val="center"/>
            <w:hideMark/>
          </w:tcPr>
          <w:p w14:paraId="09CC8AA8" w14:textId="403F17BD" w:rsidR="00E32477" w:rsidRPr="00B14849" w:rsidRDefault="006B167C" w:rsidP="00E32477">
            <w:pPr>
              <w:spacing w:after="0" w:line="240" w:lineRule="auto"/>
              <w:jc w:val="right"/>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w:t>
            </w:r>
            <w:r w:rsidR="008B796F">
              <w:rPr>
                <w:rFonts w:ascii="Arial" w:eastAsia="Times New Roman" w:hAnsi="Arial" w:cs="Arial"/>
                <w:color w:val="000000"/>
                <w:szCs w:val="20"/>
                <w:lang w:val="en-CA" w:eastAsia="en-CA"/>
              </w:rPr>
              <w:t>3,308,26</w:t>
            </w:r>
            <w:r w:rsidR="00580C5C">
              <w:rPr>
                <w:rFonts w:ascii="Arial" w:eastAsia="Times New Roman" w:hAnsi="Arial" w:cs="Arial"/>
                <w:color w:val="000000"/>
                <w:szCs w:val="20"/>
                <w:lang w:val="en-CA" w:eastAsia="en-CA"/>
              </w:rPr>
              <w:t>4</w:t>
            </w:r>
            <w:r w:rsidRPr="00B14849">
              <w:rPr>
                <w:rFonts w:ascii="Arial" w:eastAsia="Times New Roman" w:hAnsi="Arial" w:cs="Arial"/>
                <w:color w:val="000000"/>
                <w:szCs w:val="20"/>
                <w:lang w:val="en-CA" w:eastAsia="en-CA"/>
              </w:rPr>
              <w:t>)</w:t>
            </w:r>
          </w:p>
        </w:tc>
      </w:tr>
      <w:tr w:rsidR="00E32477" w:rsidRPr="006B167C" w14:paraId="05CD4EBE" w14:textId="77777777" w:rsidTr="005A404B">
        <w:trPr>
          <w:trHeight w:val="260"/>
        </w:trPr>
        <w:tc>
          <w:tcPr>
            <w:tcW w:w="4500" w:type="dxa"/>
            <w:tcBorders>
              <w:top w:val="single" w:sz="4" w:space="0" w:color="auto"/>
              <w:left w:val="nil"/>
              <w:bottom w:val="single" w:sz="12" w:space="0" w:color="auto"/>
              <w:right w:val="nil"/>
            </w:tcBorders>
            <w:shd w:val="clear" w:color="auto" w:fill="auto"/>
            <w:vAlign w:val="center"/>
            <w:hideMark/>
          </w:tcPr>
          <w:p w14:paraId="44E7A609" w14:textId="77777777" w:rsidR="00E32477" w:rsidRPr="00B14849" w:rsidRDefault="00E32477" w:rsidP="005A404B">
            <w:pPr>
              <w:spacing w:before="120" w:after="0" w:line="240" w:lineRule="auto"/>
              <w:rPr>
                <w:rFonts w:ascii="Arial" w:eastAsia="Times New Roman" w:hAnsi="Arial" w:cs="Arial"/>
                <w:color w:val="000000"/>
                <w:szCs w:val="20"/>
                <w:lang w:val="en-CA" w:eastAsia="en-CA"/>
              </w:rPr>
            </w:pPr>
            <w:r w:rsidRPr="00B14849">
              <w:rPr>
                <w:rFonts w:ascii="Arial" w:eastAsia="Times New Roman" w:hAnsi="Arial" w:cs="Arial"/>
                <w:color w:val="000000"/>
                <w:szCs w:val="20"/>
                <w:lang w:val="en-CA" w:eastAsia="en-CA"/>
              </w:rPr>
              <w:t>Present value of operating lease liabilities</w:t>
            </w:r>
          </w:p>
        </w:tc>
        <w:tc>
          <w:tcPr>
            <w:tcW w:w="1720" w:type="dxa"/>
            <w:tcBorders>
              <w:top w:val="single" w:sz="4" w:space="0" w:color="auto"/>
              <w:left w:val="nil"/>
              <w:bottom w:val="single" w:sz="12" w:space="0" w:color="auto"/>
              <w:right w:val="nil"/>
            </w:tcBorders>
            <w:shd w:val="clear" w:color="auto" w:fill="auto"/>
            <w:vAlign w:val="center"/>
            <w:hideMark/>
          </w:tcPr>
          <w:p w14:paraId="05D98B9A" w14:textId="6A512E8D" w:rsidR="00E32477" w:rsidRPr="00B14849" w:rsidRDefault="008B796F" w:rsidP="005A404B">
            <w:pPr>
              <w:spacing w:before="120" w:after="0" w:line="240" w:lineRule="auto"/>
              <w:jc w:val="right"/>
              <w:rPr>
                <w:rFonts w:ascii="Arial" w:eastAsia="Times New Roman" w:hAnsi="Arial" w:cs="Arial"/>
                <w:color w:val="000000"/>
                <w:szCs w:val="20"/>
                <w:lang w:val="en-CA" w:eastAsia="en-CA"/>
              </w:rPr>
            </w:pPr>
            <w:r>
              <w:rPr>
                <w:rFonts w:ascii="Arial" w:eastAsia="Times New Roman" w:hAnsi="Arial" w:cs="Arial"/>
                <w:color w:val="000000"/>
                <w:szCs w:val="20"/>
                <w:lang w:val="en-CA" w:eastAsia="en-CA"/>
              </w:rPr>
              <w:t>3,281,23</w:t>
            </w:r>
            <w:r w:rsidR="00580C5C">
              <w:rPr>
                <w:rFonts w:ascii="Arial" w:eastAsia="Times New Roman" w:hAnsi="Arial" w:cs="Arial"/>
                <w:color w:val="000000"/>
                <w:szCs w:val="20"/>
                <w:lang w:val="en-CA" w:eastAsia="en-CA"/>
              </w:rPr>
              <w:t>5</w:t>
            </w:r>
          </w:p>
        </w:tc>
      </w:tr>
    </w:tbl>
    <w:p w14:paraId="763E9CED" w14:textId="77777777" w:rsidR="00E32477" w:rsidRDefault="00E32477" w:rsidP="00E504AC">
      <w:pPr>
        <w:tabs>
          <w:tab w:val="left" w:pos="450"/>
        </w:tabs>
        <w:spacing w:after="0"/>
        <w:ind w:left="446"/>
        <w:jc w:val="both"/>
        <w:rPr>
          <w:rFonts w:ascii="Arial" w:hAnsi="Arial" w:cs="Arial"/>
          <w:szCs w:val="20"/>
        </w:rPr>
      </w:pPr>
    </w:p>
    <w:p w14:paraId="704EF9A9" w14:textId="14042BDB" w:rsidR="009858B0" w:rsidRPr="009858B0" w:rsidRDefault="00E65D25" w:rsidP="00C71250">
      <w:pPr>
        <w:pStyle w:val="ListParagraph"/>
        <w:tabs>
          <w:tab w:val="left" w:pos="450"/>
        </w:tabs>
        <w:spacing w:after="0" w:line="240" w:lineRule="auto"/>
        <w:ind w:left="0"/>
        <w:jc w:val="both"/>
        <w:rPr>
          <w:rFonts w:ascii="Arial" w:hAnsi="Arial" w:cs="Arial"/>
          <w:b/>
          <w:szCs w:val="20"/>
        </w:rPr>
      </w:pPr>
      <w:r>
        <w:rPr>
          <w:rFonts w:ascii="Arial" w:hAnsi="Arial" w:cs="Arial"/>
          <w:b/>
          <w:szCs w:val="20"/>
        </w:rPr>
        <w:t>1</w:t>
      </w:r>
      <w:r w:rsidR="005A404B">
        <w:rPr>
          <w:rFonts w:ascii="Arial" w:hAnsi="Arial" w:cs="Arial"/>
          <w:b/>
          <w:szCs w:val="20"/>
        </w:rPr>
        <w:t>0</w:t>
      </w:r>
      <w:r w:rsidR="009858B0" w:rsidRPr="00E65D25">
        <w:rPr>
          <w:rFonts w:ascii="Arial" w:hAnsi="Arial" w:cs="Arial"/>
          <w:b/>
          <w:szCs w:val="20"/>
        </w:rPr>
        <w:t>.</w:t>
      </w:r>
      <w:r w:rsidR="009858B0" w:rsidRPr="00E65D25">
        <w:rPr>
          <w:rFonts w:ascii="Arial" w:hAnsi="Arial" w:cs="Arial"/>
          <w:b/>
          <w:szCs w:val="20"/>
        </w:rPr>
        <w:tab/>
        <w:t>Promissory Note</w:t>
      </w:r>
    </w:p>
    <w:p w14:paraId="24282EB5" w14:textId="77777777" w:rsidR="005A404B" w:rsidRDefault="005A404B" w:rsidP="005A404B">
      <w:pPr>
        <w:tabs>
          <w:tab w:val="left" w:pos="810"/>
        </w:tabs>
        <w:spacing w:after="0" w:line="240" w:lineRule="auto"/>
        <w:ind w:left="810"/>
        <w:jc w:val="both"/>
        <w:rPr>
          <w:rFonts w:ascii="Arial" w:hAnsi="Arial" w:cs="Arial"/>
          <w:bCs/>
          <w:szCs w:val="20"/>
        </w:rPr>
      </w:pPr>
    </w:p>
    <w:p w14:paraId="70247C53" w14:textId="2BCA4813" w:rsidR="005A404B" w:rsidRDefault="005A404B" w:rsidP="005A404B">
      <w:pPr>
        <w:spacing w:after="0" w:line="240" w:lineRule="auto"/>
        <w:ind w:left="450"/>
        <w:jc w:val="both"/>
        <w:rPr>
          <w:rFonts w:ascii="Arial" w:hAnsi="Arial" w:cs="Arial"/>
          <w:bCs/>
          <w:szCs w:val="20"/>
        </w:rPr>
      </w:pPr>
      <w:r w:rsidRPr="001B4793">
        <w:rPr>
          <w:rFonts w:ascii="Arial" w:hAnsi="Arial" w:cs="Arial"/>
          <w:bCs/>
          <w:szCs w:val="20"/>
        </w:rPr>
        <w:t xml:space="preserve">On March 5, 2019, the Company issued a promissory note of $300,000, bearing interest at 10% per annum and maturing on September 5, 2019.  Pursuant to the issuance of this promissory note, the Company issued </w:t>
      </w:r>
      <w:r w:rsidR="002D7A67">
        <w:rPr>
          <w:rFonts w:ascii="Arial" w:hAnsi="Arial" w:cs="Arial"/>
          <w:bCs/>
          <w:szCs w:val="20"/>
        </w:rPr>
        <w:t>10,000</w:t>
      </w:r>
      <w:r w:rsidRPr="001B4793">
        <w:rPr>
          <w:rFonts w:ascii="Arial" w:hAnsi="Arial" w:cs="Arial"/>
          <w:bCs/>
          <w:szCs w:val="20"/>
        </w:rPr>
        <w:t xml:space="preserve"> </w:t>
      </w:r>
      <w:r>
        <w:rPr>
          <w:rFonts w:ascii="Arial" w:hAnsi="Arial" w:cs="Arial"/>
          <w:bCs/>
          <w:szCs w:val="20"/>
        </w:rPr>
        <w:t>common shares</w:t>
      </w:r>
      <w:r w:rsidRPr="001B4793">
        <w:rPr>
          <w:rFonts w:ascii="Arial" w:hAnsi="Arial" w:cs="Arial"/>
          <w:bCs/>
          <w:szCs w:val="20"/>
        </w:rPr>
        <w:t xml:space="preserve"> as a loan originat</w:t>
      </w:r>
      <w:r>
        <w:rPr>
          <w:rFonts w:ascii="Arial" w:hAnsi="Arial" w:cs="Arial"/>
          <w:bCs/>
          <w:szCs w:val="20"/>
        </w:rPr>
        <w:t>ion fee (Note 1</w:t>
      </w:r>
      <w:r w:rsidR="0032772B">
        <w:rPr>
          <w:rFonts w:ascii="Arial" w:hAnsi="Arial" w:cs="Arial"/>
          <w:bCs/>
          <w:szCs w:val="20"/>
        </w:rPr>
        <w:t>1</w:t>
      </w:r>
      <w:r w:rsidRPr="001B4793">
        <w:rPr>
          <w:rFonts w:ascii="Arial" w:hAnsi="Arial" w:cs="Arial"/>
          <w:bCs/>
          <w:szCs w:val="20"/>
        </w:rPr>
        <w:t>(</w:t>
      </w:r>
      <w:r w:rsidR="0032772B">
        <w:rPr>
          <w:rFonts w:ascii="Arial" w:hAnsi="Arial" w:cs="Arial"/>
          <w:bCs/>
          <w:szCs w:val="20"/>
        </w:rPr>
        <w:t>b</w:t>
      </w:r>
      <w:r w:rsidRPr="001B4793">
        <w:rPr>
          <w:rFonts w:ascii="Arial" w:hAnsi="Arial" w:cs="Arial"/>
          <w:bCs/>
          <w:szCs w:val="20"/>
        </w:rPr>
        <w:t xml:space="preserve">)) and incurred cash finders’ fee of $24,000. </w:t>
      </w:r>
    </w:p>
    <w:p w14:paraId="42C26F8B" w14:textId="77777777" w:rsidR="005A404B" w:rsidRPr="001B4793" w:rsidRDefault="005A404B" w:rsidP="005A404B">
      <w:pPr>
        <w:spacing w:after="0" w:line="240" w:lineRule="auto"/>
        <w:ind w:left="450"/>
        <w:jc w:val="both"/>
        <w:rPr>
          <w:rFonts w:ascii="Arial" w:hAnsi="Arial" w:cs="Arial"/>
          <w:bCs/>
          <w:szCs w:val="20"/>
        </w:rPr>
      </w:pPr>
      <w:r w:rsidRPr="001B4793">
        <w:rPr>
          <w:rFonts w:ascii="Arial" w:hAnsi="Arial" w:cs="Arial"/>
          <w:bCs/>
          <w:szCs w:val="20"/>
        </w:rPr>
        <w:t xml:space="preserve"> </w:t>
      </w:r>
    </w:p>
    <w:p w14:paraId="4D5F236A" w14:textId="77777777" w:rsidR="00CA3E28" w:rsidRDefault="005A404B" w:rsidP="00CA3E28">
      <w:pPr>
        <w:spacing w:after="0"/>
        <w:ind w:left="446"/>
        <w:jc w:val="both"/>
        <w:rPr>
          <w:rFonts w:ascii="Arial" w:hAnsi="Arial" w:cs="Arial"/>
          <w:bCs/>
          <w:szCs w:val="20"/>
        </w:rPr>
      </w:pPr>
      <w:r>
        <w:rPr>
          <w:rFonts w:ascii="Arial" w:hAnsi="Arial" w:cs="Arial"/>
          <w:bCs/>
          <w:szCs w:val="20"/>
        </w:rPr>
        <w:t xml:space="preserve">Interest expense for </w:t>
      </w:r>
      <w:r w:rsidRPr="001B4793">
        <w:rPr>
          <w:rFonts w:ascii="Arial" w:hAnsi="Arial" w:cs="Arial"/>
          <w:bCs/>
          <w:szCs w:val="20"/>
        </w:rPr>
        <w:t xml:space="preserve">the </w:t>
      </w:r>
      <w:r>
        <w:rPr>
          <w:rFonts w:ascii="Arial" w:hAnsi="Arial" w:cs="Arial"/>
          <w:bCs/>
          <w:szCs w:val="20"/>
        </w:rPr>
        <w:t>three months ended April 30, 2020 and 2019</w:t>
      </w:r>
      <w:r w:rsidRPr="001B4793">
        <w:rPr>
          <w:rFonts w:ascii="Arial" w:hAnsi="Arial" w:cs="Arial"/>
          <w:bCs/>
          <w:szCs w:val="20"/>
        </w:rPr>
        <w:t xml:space="preserve"> was </w:t>
      </w:r>
      <w:r>
        <w:rPr>
          <w:rFonts w:ascii="Arial" w:hAnsi="Arial" w:cs="Arial"/>
          <w:bCs/>
          <w:szCs w:val="20"/>
        </w:rPr>
        <w:t>$nil and $4,607, respectively</w:t>
      </w:r>
      <w:r w:rsidRPr="001B4793">
        <w:rPr>
          <w:rFonts w:ascii="Arial" w:hAnsi="Arial" w:cs="Arial"/>
          <w:bCs/>
          <w:szCs w:val="20"/>
        </w:rPr>
        <w:t xml:space="preserve">. </w:t>
      </w:r>
      <w:r>
        <w:rPr>
          <w:rFonts w:ascii="Arial" w:hAnsi="Arial" w:cs="Arial"/>
          <w:bCs/>
          <w:szCs w:val="20"/>
        </w:rPr>
        <w:t>On May 31, 2019, the Company repaid the principal amount and accrued interest on the promissory note totaling $307,159.</w:t>
      </w:r>
    </w:p>
    <w:p w14:paraId="3E797016" w14:textId="55DE7E23" w:rsidR="006B167C" w:rsidRDefault="006B167C" w:rsidP="00CA3E28">
      <w:pPr>
        <w:spacing w:after="0"/>
        <w:ind w:left="446"/>
        <w:jc w:val="both"/>
        <w:rPr>
          <w:rFonts w:ascii="Arial" w:hAnsi="Arial" w:cs="Arial"/>
          <w:b/>
          <w:szCs w:val="20"/>
        </w:rPr>
      </w:pPr>
    </w:p>
    <w:p w14:paraId="1C8BD45C" w14:textId="518F43D8" w:rsidR="006B167C" w:rsidRPr="009858B0" w:rsidRDefault="006B167C" w:rsidP="006B167C">
      <w:pPr>
        <w:tabs>
          <w:tab w:val="left" w:pos="432"/>
        </w:tabs>
        <w:spacing w:after="0" w:line="240" w:lineRule="auto"/>
        <w:jc w:val="both"/>
        <w:rPr>
          <w:rFonts w:ascii="Arial" w:hAnsi="Arial" w:cs="Arial"/>
          <w:b/>
          <w:bCs/>
          <w:szCs w:val="20"/>
        </w:rPr>
      </w:pPr>
      <w:r w:rsidRPr="00DB5D03">
        <w:rPr>
          <w:rFonts w:ascii="Arial" w:hAnsi="Arial" w:cs="Arial"/>
          <w:b/>
          <w:bCs/>
          <w:szCs w:val="20"/>
        </w:rPr>
        <w:lastRenderedPageBreak/>
        <w:t>1</w:t>
      </w:r>
      <w:r w:rsidR="005A404B">
        <w:rPr>
          <w:rFonts w:ascii="Arial" w:hAnsi="Arial" w:cs="Arial"/>
          <w:b/>
          <w:bCs/>
          <w:szCs w:val="20"/>
        </w:rPr>
        <w:t>1</w:t>
      </w:r>
      <w:r w:rsidRPr="00DB5D03">
        <w:rPr>
          <w:rFonts w:ascii="Arial" w:hAnsi="Arial" w:cs="Arial"/>
          <w:b/>
          <w:bCs/>
          <w:szCs w:val="20"/>
        </w:rPr>
        <w:t>.</w:t>
      </w:r>
      <w:r w:rsidRPr="00DB5D03">
        <w:rPr>
          <w:rFonts w:ascii="Arial" w:hAnsi="Arial" w:cs="Arial"/>
          <w:b/>
          <w:bCs/>
          <w:szCs w:val="20"/>
        </w:rPr>
        <w:tab/>
        <w:t>Common Shares</w:t>
      </w:r>
    </w:p>
    <w:p w14:paraId="0896440A" w14:textId="77777777" w:rsidR="00CE6BA6" w:rsidRDefault="00CE6BA6" w:rsidP="00F15B99">
      <w:pPr>
        <w:tabs>
          <w:tab w:val="left" w:pos="432"/>
        </w:tabs>
        <w:spacing w:after="0" w:line="240" w:lineRule="auto"/>
        <w:ind w:left="426" w:hanging="11"/>
        <w:jc w:val="both"/>
        <w:rPr>
          <w:rFonts w:ascii="Arial" w:hAnsi="Arial" w:cs="Arial"/>
          <w:bCs/>
          <w:szCs w:val="20"/>
        </w:rPr>
      </w:pPr>
    </w:p>
    <w:p w14:paraId="7DA3FD96" w14:textId="4B3AB59D" w:rsidR="00E565BC" w:rsidRDefault="00E565BC" w:rsidP="005639E1">
      <w:pPr>
        <w:tabs>
          <w:tab w:val="left" w:pos="432"/>
        </w:tabs>
        <w:spacing w:after="0" w:line="240" w:lineRule="auto"/>
        <w:ind w:left="426" w:hanging="11"/>
        <w:jc w:val="both"/>
        <w:rPr>
          <w:rFonts w:ascii="Arial" w:hAnsi="Arial" w:cs="Arial"/>
        </w:rPr>
      </w:pPr>
      <w:r>
        <w:rPr>
          <w:rFonts w:ascii="Arial" w:hAnsi="Arial" w:cs="Arial"/>
        </w:rPr>
        <w:t>Unlimited</w:t>
      </w:r>
      <w:r w:rsidRPr="009F3026">
        <w:rPr>
          <w:rFonts w:ascii="Arial" w:hAnsi="Arial" w:cs="Arial"/>
        </w:rPr>
        <w:t xml:space="preserve"> </w:t>
      </w:r>
      <w:r>
        <w:rPr>
          <w:rFonts w:ascii="Arial" w:hAnsi="Arial" w:cs="Arial"/>
        </w:rPr>
        <w:t xml:space="preserve">number of common </w:t>
      </w:r>
      <w:r w:rsidRPr="009F3026">
        <w:rPr>
          <w:rFonts w:ascii="Arial" w:hAnsi="Arial" w:cs="Arial"/>
        </w:rPr>
        <w:t xml:space="preserve">shares </w:t>
      </w:r>
      <w:r>
        <w:rPr>
          <w:rFonts w:ascii="Arial" w:hAnsi="Arial" w:cs="Arial"/>
        </w:rPr>
        <w:t>without par value</w:t>
      </w:r>
    </w:p>
    <w:p w14:paraId="00FB7EC3" w14:textId="77777777" w:rsidR="00E565BC" w:rsidRDefault="00E565BC" w:rsidP="005639E1">
      <w:pPr>
        <w:tabs>
          <w:tab w:val="left" w:pos="432"/>
        </w:tabs>
        <w:spacing w:after="0" w:line="240" w:lineRule="auto"/>
        <w:ind w:left="426" w:hanging="11"/>
        <w:jc w:val="both"/>
        <w:rPr>
          <w:rFonts w:ascii="Arial" w:hAnsi="Arial" w:cs="Arial"/>
          <w:bCs/>
          <w:szCs w:val="20"/>
        </w:rPr>
      </w:pPr>
    </w:p>
    <w:p w14:paraId="18DF2F63" w14:textId="47A0A674" w:rsidR="00A865BD" w:rsidRDefault="008B3E65" w:rsidP="005639E1">
      <w:pPr>
        <w:tabs>
          <w:tab w:val="left" w:pos="432"/>
        </w:tabs>
        <w:spacing w:after="0" w:line="240" w:lineRule="auto"/>
        <w:ind w:left="426" w:hanging="11"/>
        <w:jc w:val="both"/>
        <w:rPr>
          <w:rFonts w:ascii="Arial" w:hAnsi="Arial" w:cs="Arial"/>
          <w:bCs/>
          <w:szCs w:val="20"/>
        </w:rPr>
      </w:pPr>
      <w:r>
        <w:rPr>
          <w:rFonts w:ascii="Arial" w:hAnsi="Arial" w:cs="Arial"/>
          <w:bCs/>
          <w:szCs w:val="20"/>
        </w:rPr>
        <w:t xml:space="preserve">In June 2020, the Company </w:t>
      </w:r>
      <w:r>
        <w:rPr>
          <w:rFonts w:ascii="Arial" w:hAnsi="Arial" w:cs="Arial"/>
        </w:rPr>
        <w:t xml:space="preserve">effected a consolidation of its </w:t>
      </w:r>
      <w:r w:rsidRPr="00F60034">
        <w:rPr>
          <w:rFonts w:ascii="Arial" w:hAnsi="Arial" w:cs="Arial"/>
          <w:szCs w:val="20"/>
        </w:rPr>
        <w:t>issued and outstanding</w:t>
      </w:r>
      <w:r>
        <w:rPr>
          <w:rFonts w:ascii="Arial" w:hAnsi="Arial" w:cs="Arial"/>
        </w:rPr>
        <w:t xml:space="preserve"> common shares on a ten (10) old for one (1) new common share</w:t>
      </w:r>
      <w:r>
        <w:rPr>
          <w:rFonts w:ascii="Arial" w:hAnsi="Arial" w:cs="Arial"/>
          <w:bCs/>
          <w:szCs w:val="20"/>
        </w:rPr>
        <w:t xml:space="preserve"> (Note 22(g)).  </w:t>
      </w:r>
      <w:r w:rsidR="00A865BD">
        <w:rPr>
          <w:rFonts w:ascii="Arial" w:hAnsi="Arial" w:cs="Arial"/>
          <w:bCs/>
          <w:szCs w:val="20"/>
        </w:rPr>
        <w:t>During the three months ended April 30, 2020:</w:t>
      </w:r>
    </w:p>
    <w:p w14:paraId="7E94E820" w14:textId="17E69206" w:rsidR="00A865BD" w:rsidRDefault="00A865BD" w:rsidP="005639E1">
      <w:pPr>
        <w:tabs>
          <w:tab w:val="left" w:pos="432"/>
        </w:tabs>
        <w:spacing w:after="0" w:line="240" w:lineRule="auto"/>
        <w:ind w:left="426" w:hanging="11"/>
        <w:jc w:val="both"/>
        <w:rPr>
          <w:rFonts w:ascii="Arial" w:hAnsi="Arial" w:cs="Arial"/>
          <w:bCs/>
          <w:szCs w:val="20"/>
        </w:rPr>
      </w:pPr>
    </w:p>
    <w:p w14:paraId="037CAE26" w14:textId="0E93A217" w:rsidR="00A865BD" w:rsidRPr="00A865BD" w:rsidRDefault="00A865BD" w:rsidP="00A865BD">
      <w:pPr>
        <w:pStyle w:val="ListParagraph"/>
        <w:numPr>
          <w:ilvl w:val="0"/>
          <w:numId w:val="53"/>
        </w:numPr>
        <w:tabs>
          <w:tab w:val="left" w:pos="432"/>
        </w:tabs>
        <w:spacing w:after="0" w:line="240" w:lineRule="auto"/>
        <w:jc w:val="both"/>
        <w:rPr>
          <w:rFonts w:ascii="Arial" w:hAnsi="Arial" w:cs="Arial"/>
          <w:bCs/>
          <w:szCs w:val="20"/>
        </w:rPr>
      </w:pPr>
      <w:r>
        <w:rPr>
          <w:rFonts w:ascii="Arial" w:hAnsi="Arial" w:cs="Arial"/>
          <w:szCs w:val="20"/>
        </w:rPr>
        <w:t xml:space="preserve">On March 31, 2020, the Company issued </w:t>
      </w:r>
      <w:r w:rsidR="002D7A67">
        <w:rPr>
          <w:rFonts w:ascii="Arial" w:hAnsi="Arial" w:cs="Arial"/>
          <w:szCs w:val="20"/>
        </w:rPr>
        <w:t xml:space="preserve">2,872 </w:t>
      </w:r>
      <w:r>
        <w:rPr>
          <w:rFonts w:ascii="Arial" w:hAnsi="Arial" w:cs="Arial"/>
          <w:szCs w:val="20"/>
        </w:rPr>
        <w:t xml:space="preserve">common shares, with fair value of $10,000, pursuant to the termination of an employment agreement.  </w:t>
      </w:r>
    </w:p>
    <w:p w14:paraId="697FFFEB" w14:textId="77777777" w:rsidR="00A865BD" w:rsidRDefault="00A865BD" w:rsidP="005639E1">
      <w:pPr>
        <w:tabs>
          <w:tab w:val="left" w:pos="432"/>
        </w:tabs>
        <w:spacing w:after="0" w:line="240" w:lineRule="auto"/>
        <w:ind w:left="426" w:hanging="11"/>
        <w:jc w:val="both"/>
        <w:rPr>
          <w:rFonts w:ascii="Arial" w:hAnsi="Arial" w:cs="Arial"/>
          <w:bCs/>
          <w:szCs w:val="20"/>
        </w:rPr>
      </w:pPr>
    </w:p>
    <w:p w14:paraId="7E4C9D05" w14:textId="4529A3DC" w:rsidR="00CE6BA6" w:rsidRDefault="00CE6BA6" w:rsidP="005639E1">
      <w:pPr>
        <w:tabs>
          <w:tab w:val="left" w:pos="432"/>
        </w:tabs>
        <w:spacing w:after="0" w:line="240" w:lineRule="auto"/>
        <w:ind w:left="426" w:hanging="11"/>
        <w:jc w:val="both"/>
        <w:rPr>
          <w:rFonts w:ascii="Arial" w:hAnsi="Arial" w:cs="Arial"/>
          <w:bCs/>
          <w:szCs w:val="20"/>
        </w:rPr>
      </w:pPr>
      <w:r w:rsidRPr="00AD3813">
        <w:rPr>
          <w:rFonts w:ascii="Arial" w:hAnsi="Arial" w:cs="Arial"/>
          <w:bCs/>
          <w:szCs w:val="20"/>
        </w:rPr>
        <w:t xml:space="preserve">During the </w:t>
      </w:r>
      <w:r w:rsidR="00A865BD">
        <w:rPr>
          <w:rFonts w:ascii="Arial" w:hAnsi="Arial" w:cs="Arial"/>
          <w:bCs/>
          <w:szCs w:val="20"/>
        </w:rPr>
        <w:t>three months</w:t>
      </w:r>
      <w:r w:rsidR="00A16517">
        <w:rPr>
          <w:rFonts w:ascii="Arial" w:hAnsi="Arial" w:cs="Arial"/>
          <w:bCs/>
          <w:szCs w:val="20"/>
        </w:rPr>
        <w:t xml:space="preserve"> ended</w:t>
      </w:r>
      <w:r w:rsidRPr="00AD3813">
        <w:rPr>
          <w:rFonts w:ascii="Arial" w:hAnsi="Arial" w:cs="Arial"/>
          <w:bCs/>
          <w:szCs w:val="20"/>
        </w:rPr>
        <w:t xml:space="preserve"> </w:t>
      </w:r>
      <w:r w:rsidR="00A865BD">
        <w:rPr>
          <w:rFonts w:ascii="Arial" w:hAnsi="Arial" w:cs="Arial"/>
          <w:bCs/>
          <w:szCs w:val="20"/>
        </w:rPr>
        <w:t>April 30, 2019</w:t>
      </w:r>
      <w:r w:rsidRPr="00AD3813">
        <w:rPr>
          <w:rFonts w:ascii="Arial" w:hAnsi="Arial" w:cs="Arial"/>
          <w:bCs/>
          <w:szCs w:val="20"/>
        </w:rPr>
        <w:t>:</w:t>
      </w:r>
    </w:p>
    <w:p w14:paraId="5C30C98B" w14:textId="77777777" w:rsidR="00CE6BA6" w:rsidRPr="005778E8" w:rsidRDefault="00CE6BA6" w:rsidP="005639E1">
      <w:pPr>
        <w:tabs>
          <w:tab w:val="left" w:pos="432"/>
        </w:tabs>
        <w:spacing w:after="0" w:line="240" w:lineRule="auto"/>
        <w:ind w:left="426" w:hanging="11"/>
        <w:jc w:val="both"/>
        <w:rPr>
          <w:rFonts w:ascii="Arial" w:hAnsi="Arial" w:cs="Arial"/>
          <w:bCs/>
          <w:szCs w:val="20"/>
        </w:rPr>
      </w:pPr>
    </w:p>
    <w:p w14:paraId="3DCB7888" w14:textId="2206F755" w:rsidR="00B44CE2" w:rsidRPr="00E615F1" w:rsidRDefault="00740DE9" w:rsidP="00A865BD">
      <w:pPr>
        <w:pStyle w:val="ListParagraph"/>
        <w:numPr>
          <w:ilvl w:val="0"/>
          <w:numId w:val="53"/>
        </w:numPr>
        <w:tabs>
          <w:tab w:val="left" w:pos="810"/>
        </w:tabs>
        <w:spacing w:after="0" w:line="240" w:lineRule="auto"/>
        <w:jc w:val="both"/>
        <w:rPr>
          <w:rFonts w:ascii="Arial" w:hAnsi="Arial" w:cs="Arial"/>
          <w:szCs w:val="20"/>
          <w:lang w:val="en-CA"/>
        </w:rPr>
      </w:pPr>
      <w:r>
        <w:rPr>
          <w:rFonts w:ascii="Arial" w:hAnsi="Arial" w:cs="Arial"/>
          <w:szCs w:val="20"/>
          <w:lang w:val="en-CA"/>
        </w:rPr>
        <w:t>In March</w:t>
      </w:r>
      <w:r w:rsidR="00E050EF" w:rsidRPr="00E050EF">
        <w:rPr>
          <w:rFonts w:ascii="Arial" w:hAnsi="Arial" w:cs="Arial"/>
          <w:szCs w:val="20"/>
          <w:lang w:val="en-CA"/>
        </w:rPr>
        <w:t xml:space="preserve"> 2019, the Company issued </w:t>
      </w:r>
      <w:r w:rsidR="002D7A67">
        <w:rPr>
          <w:rFonts w:ascii="Arial" w:hAnsi="Arial" w:cs="Arial"/>
          <w:szCs w:val="20"/>
          <w:lang w:val="en-CA"/>
        </w:rPr>
        <w:t xml:space="preserve">10,000 </w:t>
      </w:r>
      <w:r w:rsidR="00FC7923">
        <w:rPr>
          <w:rFonts w:ascii="Arial" w:hAnsi="Arial" w:cs="Arial"/>
          <w:szCs w:val="20"/>
          <w:lang w:val="en-CA"/>
        </w:rPr>
        <w:t>common shares</w:t>
      </w:r>
      <w:r w:rsidR="005D09A3">
        <w:rPr>
          <w:rFonts w:ascii="Arial" w:hAnsi="Arial" w:cs="Arial"/>
          <w:szCs w:val="20"/>
          <w:lang w:val="en-CA"/>
        </w:rPr>
        <w:t>, with fair value totalling $20,000,</w:t>
      </w:r>
      <w:r w:rsidR="00E050EF" w:rsidRPr="00E050EF">
        <w:rPr>
          <w:rFonts w:ascii="Arial" w:hAnsi="Arial" w:cs="Arial"/>
          <w:szCs w:val="20"/>
          <w:lang w:val="en-CA"/>
        </w:rPr>
        <w:t xml:space="preserve"> to a third party as a loan origination fee (Note </w:t>
      </w:r>
      <w:r w:rsidR="00A81C39">
        <w:rPr>
          <w:rFonts w:ascii="Arial" w:hAnsi="Arial" w:cs="Arial"/>
          <w:szCs w:val="20"/>
          <w:lang w:val="en-CA"/>
        </w:rPr>
        <w:t>1</w:t>
      </w:r>
      <w:r w:rsidR="0032772B">
        <w:rPr>
          <w:rFonts w:ascii="Arial" w:hAnsi="Arial" w:cs="Arial"/>
          <w:szCs w:val="20"/>
          <w:lang w:val="en-CA"/>
        </w:rPr>
        <w:t>0</w:t>
      </w:r>
      <w:r w:rsidR="00E050EF" w:rsidRPr="00E050EF">
        <w:rPr>
          <w:rFonts w:ascii="Arial" w:hAnsi="Arial" w:cs="Arial"/>
          <w:szCs w:val="20"/>
          <w:lang w:val="en-CA"/>
        </w:rPr>
        <w:t>)</w:t>
      </w:r>
      <w:r w:rsidR="00CA3E28">
        <w:rPr>
          <w:rFonts w:ascii="Arial" w:hAnsi="Arial" w:cs="Arial"/>
          <w:szCs w:val="20"/>
          <w:lang w:val="en-CA"/>
        </w:rPr>
        <w:t xml:space="preserve"> and </w:t>
      </w:r>
      <w:r w:rsidR="002D7A67">
        <w:rPr>
          <w:rFonts w:ascii="Arial" w:hAnsi="Arial" w:cs="Arial"/>
          <w:szCs w:val="20"/>
          <w:lang w:val="en-CA"/>
        </w:rPr>
        <w:t xml:space="preserve">3,571 </w:t>
      </w:r>
      <w:r w:rsidR="005D09A3" w:rsidRPr="00E615F1">
        <w:rPr>
          <w:rFonts w:ascii="Arial" w:hAnsi="Arial" w:cs="Arial"/>
          <w:szCs w:val="20"/>
          <w:lang w:val="en-CA"/>
        </w:rPr>
        <w:t xml:space="preserve">common shares, with fair value </w:t>
      </w:r>
      <w:r w:rsidR="00CA3E28">
        <w:rPr>
          <w:rFonts w:ascii="Arial" w:hAnsi="Arial" w:cs="Arial"/>
          <w:szCs w:val="20"/>
          <w:lang w:val="en-CA"/>
        </w:rPr>
        <w:t>of $10,000</w:t>
      </w:r>
      <w:r w:rsidR="005D09A3" w:rsidRPr="00E615F1">
        <w:rPr>
          <w:rFonts w:ascii="Arial" w:hAnsi="Arial" w:cs="Arial"/>
          <w:szCs w:val="20"/>
          <w:lang w:val="en-CA"/>
        </w:rPr>
        <w:t xml:space="preserve">, to </w:t>
      </w:r>
      <w:r w:rsidR="00CA3E28">
        <w:rPr>
          <w:rFonts w:ascii="Arial" w:hAnsi="Arial" w:cs="Arial"/>
          <w:szCs w:val="20"/>
          <w:lang w:val="en-CA"/>
        </w:rPr>
        <w:t xml:space="preserve">a </w:t>
      </w:r>
      <w:r w:rsidR="005D09A3" w:rsidRPr="00E615F1">
        <w:rPr>
          <w:rFonts w:ascii="Arial" w:hAnsi="Arial" w:cs="Arial"/>
          <w:szCs w:val="20"/>
          <w:lang w:val="en-CA"/>
        </w:rPr>
        <w:t>third part</w:t>
      </w:r>
      <w:r w:rsidR="00CA3E28">
        <w:rPr>
          <w:rFonts w:ascii="Arial" w:hAnsi="Arial" w:cs="Arial"/>
          <w:szCs w:val="20"/>
          <w:lang w:val="en-CA"/>
        </w:rPr>
        <w:t>y</w:t>
      </w:r>
      <w:r w:rsidR="005D09A3" w:rsidRPr="00E615F1">
        <w:rPr>
          <w:rFonts w:ascii="Arial" w:hAnsi="Arial" w:cs="Arial"/>
          <w:szCs w:val="20"/>
          <w:lang w:val="en-CA"/>
        </w:rPr>
        <w:t xml:space="preserve"> for services provided.  </w:t>
      </w:r>
      <w:r w:rsidR="00E57F36">
        <w:rPr>
          <w:rFonts w:ascii="Arial" w:hAnsi="Arial" w:cs="Arial"/>
          <w:szCs w:val="20"/>
          <w:lang w:val="en-CA"/>
        </w:rPr>
        <w:t>Fair values</w:t>
      </w:r>
      <w:r w:rsidR="004A42EA">
        <w:rPr>
          <w:rFonts w:ascii="Arial" w:hAnsi="Arial" w:cs="Arial"/>
          <w:szCs w:val="20"/>
          <w:lang w:val="en-CA"/>
        </w:rPr>
        <w:t xml:space="preserve"> of services were determined using the fair values of the common shares issued as values of services provided could not be estimated reliably.</w:t>
      </w:r>
    </w:p>
    <w:p w14:paraId="52E3B24B" w14:textId="77777777" w:rsidR="008B3E65" w:rsidRPr="007B24D9" w:rsidRDefault="008B3E65" w:rsidP="005639E1">
      <w:pPr>
        <w:tabs>
          <w:tab w:val="left" w:pos="810"/>
        </w:tabs>
        <w:spacing w:after="0" w:line="240" w:lineRule="auto"/>
        <w:jc w:val="both"/>
        <w:rPr>
          <w:rFonts w:ascii="Arial" w:hAnsi="Arial" w:cs="Arial"/>
          <w:szCs w:val="20"/>
          <w:lang w:val="en-CA"/>
        </w:rPr>
      </w:pPr>
    </w:p>
    <w:p w14:paraId="41DBD605" w14:textId="60A83E43" w:rsidR="00B44CE2" w:rsidRPr="00040621" w:rsidRDefault="00E050EF" w:rsidP="00A865BD">
      <w:pPr>
        <w:pStyle w:val="ListParagraph"/>
        <w:numPr>
          <w:ilvl w:val="0"/>
          <w:numId w:val="53"/>
        </w:numPr>
        <w:tabs>
          <w:tab w:val="left" w:pos="810"/>
        </w:tabs>
        <w:spacing w:after="0" w:line="240" w:lineRule="auto"/>
        <w:jc w:val="both"/>
        <w:rPr>
          <w:rFonts w:ascii="Arial" w:hAnsi="Arial" w:cs="Arial"/>
          <w:szCs w:val="20"/>
        </w:rPr>
      </w:pPr>
      <w:r w:rsidRPr="00E050EF">
        <w:rPr>
          <w:rFonts w:ascii="Arial" w:hAnsi="Arial" w:cs="Arial"/>
          <w:szCs w:val="20"/>
        </w:rPr>
        <w:t xml:space="preserve">On </w:t>
      </w:r>
      <w:r w:rsidR="00294CF3">
        <w:rPr>
          <w:rFonts w:ascii="Arial" w:hAnsi="Arial" w:cs="Arial"/>
          <w:szCs w:val="20"/>
        </w:rPr>
        <w:t>March 23, 2019</w:t>
      </w:r>
      <w:r w:rsidRPr="00E050EF">
        <w:rPr>
          <w:rFonts w:ascii="Arial" w:hAnsi="Arial" w:cs="Arial"/>
          <w:szCs w:val="20"/>
        </w:rPr>
        <w:t xml:space="preserve">, the </w:t>
      </w:r>
      <w:r w:rsidRPr="00040621">
        <w:rPr>
          <w:rFonts w:ascii="Arial" w:hAnsi="Arial" w:cs="Arial"/>
          <w:szCs w:val="20"/>
        </w:rPr>
        <w:t xml:space="preserve">Company issued </w:t>
      </w:r>
      <w:r w:rsidR="002D7A67">
        <w:rPr>
          <w:rFonts w:ascii="Arial" w:hAnsi="Arial" w:cs="Arial"/>
          <w:szCs w:val="20"/>
        </w:rPr>
        <w:t xml:space="preserve">100,000 </w:t>
      </w:r>
      <w:r w:rsidR="00FC7923" w:rsidRPr="00040621">
        <w:rPr>
          <w:rFonts w:ascii="Arial" w:hAnsi="Arial" w:cs="Arial"/>
          <w:szCs w:val="20"/>
        </w:rPr>
        <w:t xml:space="preserve">common shares to a third party for settlement of accounts payable and </w:t>
      </w:r>
      <w:r w:rsidR="002D7A67">
        <w:rPr>
          <w:rFonts w:ascii="Arial" w:hAnsi="Arial" w:cs="Arial"/>
          <w:szCs w:val="20"/>
        </w:rPr>
        <w:t xml:space="preserve">69,032 </w:t>
      </w:r>
      <w:r w:rsidR="00FC7923" w:rsidRPr="00040621">
        <w:rPr>
          <w:rFonts w:ascii="Arial" w:hAnsi="Arial" w:cs="Arial"/>
          <w:szCs w:val="20"/>
        </w:rPr>
        <w:t>common shares</w:t>
      </w:r>
      <w:r w:rsidRPr="00040621">
        <w:rPr>
          <w:rFonts w:ascii="Arial" w:hAnsi="Arial" w:cs="Arial"/>
          <w:szCs w:val="20"/>
        </w:rPr>
        <w:t xml:space="preserve"> to directors and officers to settle outstanding compensation</w:t>
      </w:r>
      <w:r w:rsidR="00B44CE2" w:rsidRPr="00040621">
        <w:rPr>
          <w:rFonts w:ascii="Arial" w:hAnsi="Arial" w:cs="Arial"/>
          <w:szCs w:val="20"/>
        </w:rPr>
        <w:t>.</w:t>
      </w:r>
      <w:r w:rsidR="004A42EA">
        <w:rPr>
          <w:rFonts w:ascii="Arial" w:hAnsi="Arial" w:cs="Arial"/>
          <w:szCs w:val="20"/>
        </w:rPr>
        <w:t xml:space="preserve">  </w:t>
      </w:r>
      <w:r w:rsidR="00150CAF">
        <w:rPr>
          <w:rFonts w:ascii="Arial" w:hAnsi="Arial" w:cs="Arial"/>
          <w:szCs w:val="20"/>
        </w:rPr>
        <w:t>Loss</w:t>
      </w:r>
      <w:r w:rsidR="00740DE9">
        <w:rPr>
          <w:rFonts w:ascii="Arial" w:hAnsi="Arial" w:cs="Arial"/>
          <w:szCs w:val="20"/>
        </w:rPr>
        <w:t>es</w:t>
      </w:r>
      <w:r w:rsidR="00150CAF">
        <w:rPr>
          <w:rFonts w:ascii="Arial" w:hAnsi="Arial" w:cs="Arial"/>
          <w:szCs w:val="20"/>
        </w:rPr>
        <w:t xml:space="preserve"> on settlement of $60,000 and $34,315 </w:t>
      </w:r>
      <w:r w:rsidR="00740DE9">
        <w:rPr>
          <w:rFonts w:ascii="Arial" w:hAnsi="Arial" w:cs="Arial"/>
          <w:szCs w:val="20"/>
        </w:rPr>
        <w:t xml:space="preserve">have been recorded within consulting fees and </w:t>
      </w:r>
      <w:r w:rsidR="00740DE9">
        <w:rPr>
          <w:rFonts w:ascii="Arial" w:hAnsi="Arial" w:cs="Arial"/>
        </w:rPr>
        <w:t>w</w:t>
      </w:r>
      <w:r w:rsidR="00740DE9" w:rsidRPr="00076E98">
        <w:rPr>
          <w:rFonts w:ascii="Arial" w:hAnsi="Arial" w:cs="Arial"/>
        </w:rPr>
        <w:t>ages</w:t>
      </w:r>
      <w:r w:rsidR="00740DE9">
        <w:rPr>
          <w:rFonts w:ascii="Arial" w:hAnsi="Arial" w:cs="Arial"/>
        </w:rPr>
        <w:t xml:space="preserve">, </w:t>
      </w:r>
      <w:proofErr w:type="gramStart"/>
      <w:r w:rsidR="00740DE9" w:rsidRPr="00076E98">
        <w:rPr>
          <w:rFonts w:ascii="Arial" w:hAnsi="Arial" w:cs="Arial"/>
        </w:rPr>
        <w:t>salaries</w:t>
      </w:r>
      <w:proofErr w:type="gramEnd"/>
      <w:r w:rsidR="00740DE9">
        <w:rPr>
          <w:rFonts w:ascii="Arial" w:hAnsi="Arial" w:cs="Arial"/>
        </w:rPr>
        <w:t xml:space="preserve"> and employment expenses, respectively, in the consolidated statements of comprehensive loss.</w:t>
      </w:r>
    </w:p>
    <w:p w14:paraId="5BA7E002" w14:textId="6864766D" w:rsidR="00B44CE2" w:rsidRDefault="00B44CE2" w:rsidP="005639E1">
      <w:pPr>
        <w:tabs>
          <w:tab w:val="left" w:pos="810"/>
        </w:tabs>
        <w:spacing w:after="0" w:line="240" w:lineRule="auto"/>
        <w:jc w:val="both"/>
        <w:rPr>
          <w:rFonts w:ascii="Arial" w:hAnsi="Arial" w:cs="Arial"/>
          <w:szCs w:val="20"/>
        </w:rPr>
      </w:pPr>
    </w:p>
    <w:p w14:paraId="29AE44C6" w14:textId="3169702D" w:rsidR="00B44CE2" w:rsidRPr="007B24D9" w:rsidRDefault="00E050EF" w:rsidP="00A865BD">
      <w:pPr>
        <w:pStyle w:val="ListParagraph"/>
        <w:numPr>
          <w:ilvl w:val="0"/>
          <w:numId w:val="5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the Company issued </w:t>
      </w:r>
      <w:r w:rsidR="002D7A67">
        <w:rPr>
          <w:rFonts w:ascii="Arial" w:hAnsi="Arial" w:cs="Arial"/>
          <w:szCs w:val="20"/>
        </w:rPr>
        <w:t xml:space="preserve">6,052 </w:t>
      </w:r>
      <w:r w:rsidR="00F07391">
        <w:rPr>
          <w:rFonts w:ascii="Arial" w:hAnsi="Arial" w:cs="Arial"/>
          <w:szCs w:val="20"/>
        </w:rPr>
        <w:t>common shares</w:t>
      </w:r>
      <w:r w:rsidRPr="00E050EF">
        <w:rPr>
          <w:rFonts w:ascii="Arial" w:hAnsi="Arial" w:cs="Arial"/>
          <w:szCs w:val="20"/>
        </w:rPr>
        <w:t xml:space="preserve"> as an extension fee for an outstanding obligation</w:t>
      </w:r>
      <w:r w:rsidR="00A841E0">
        <w:rPr>
          <w:rFonts w:ascii="Arial" w:hAnsi="Arial" w:cs="Arial"/>
          <w:szCs w:val="20"/>
        </w:rPr>
        <w:t>.</w:t>
      </w:r>
    </w:p>
    <w:p w14:paraId="16C37523" w14:textId="16D96780" w:rsidR="00B44CE2" w:rsidRPr="007B24D9" w:rsidRDefault="00B44CE2" w:rsidP="005639E1">
      <w:pPr>
        <w:tabs>
          <w:tab w:val="left" w:pos="3504"/>
        </w:tabs>
        <w:spacing w:after="0" w:line="240" w:lineRule="auto"/>
        <w:jc w:val="both"/>
        <w:rPr>
          <w:rFonts w:ascii="Arial" w:hAnsi="Arial" w:cs="Arial"/>
          <w:szCs w:val="20"/>
        </w:rPr>
      </w:pPr>
    </w:p>
    <w:p w14:paraId="1D913A4C" w14:textId="4BE6A057" w:rsidR="00B44CE2" w:rsidRPr="007B24D9" w:rsidRDefault="00E050EF" w:rsidP="00A865BD">
      <w:pPr>
        <w:pStyle w:val="ListParagraph"/>
        <w:numPr>
          <w:ilvl w:val="0"/>
          <w:numId w:val="5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a private placement was closed for an aggregate of </w:t>
      </w:r>
      <w:r w:rsidR="002D7A67">
        <w:rPr>
          <w:rFonts w:ascii="Arial" w:hAnsi="Arial" w:cs="Arial"/>
          <w:szCs w:val="20"/>
        </w:rPr>
        <w:t xml:space="preserve">665,000 </w:t>
      </w:r>
      <w:r w:rsidRPr="00E050EF">
        <w:rPr>
          <w:rFonts w:ascii="Arial" w:hAnsi="Arial" w:cs="Arial"/>
          <w:szCs w:val="20"/>
        </w:rPr>
        <w:t>units, consisting of one common share and one share purchase warrant, at price of $</w:t>
      </w:r>
      <w:r w:rsidR="00F6465A">
        <w:rPr>
          <w:rFonts w:ascii="Arial" w:hAnsi="Arial" w:cs="Arial"/>
          <w:szCs w:val="20"/>
        </w:rPr>
        <w:t>2.00</w:t>
      </w:r>
      <w:r w:rsidRPr="00E050EF">
        <w:rPr>
          <w:rFonts w:ascii="Arial" w:hAnsi="Arial" w:cs="Arial"/>
          <w:szCs w:val="20"/>
        </w:rPr>
        <w:t xml:space="preserve"> per unit, for gross proceeds of $1,3</w:t>
      </w:r>
      <w:r w:rsidR="00CA3E28">
        <w:rPr>
          <w:rFonts w:ascii="Arial" w:hAnsi="Arial" w:cs="Arial"/>
          <w:szCs w:val="20"/>
        </w:rPr>
        <w:t>3</w:t>
      </w:r>
      <w:r w:rsidRPr="00E050EF">
        <w:rPr>
          <w:rFonts w:ascii="Arial" w:hAnsi="Arial" w:cs="Arial"/>
          <w:szCs w:val="20"/>
        </w:rPr>
        <w:t xml:space="preserve">0,000.  Each share purchase warrant entitles the holder to purchase one common share at a price of </w:t>
      </w:r>
      <w:r w:rsidR="00F91D39">
        <w:rPr>
          <w:rFonts w:ascii="Arial" w:hAnsi="Arial" w:cs="Arial"/>
          <w:szCs w:val="20"/>
        </w:rPr>
        <w:t xml:space="preserve">$3.00 </w:t>
      </w:r>
      <w:r w:rsidRPr="00E050EF">
        <w:rPr>
          <w:rFonts w:ascii="Arial" w:hAnsi="Arial" w:cs="Arial"/>
          <w:szCs w:val="20"/>
        </w:rPr>
        <w:t xml:space="preserve">per share and has an expiry term of three (3) years.  Finders’ fees consisted of cash payments of $80,000 and issuance of </w:t>
      </w:r>
      <w:r w:rsidR="004C1A67">
        <w:rPr>
          <w:rFonts w:ascii="Arial" w:hAnsi="Arial" w:cs="Arial"/>
          <w:szCs w:val="20"/>
        </w:rPr>
        <w:t>50,800</w:t>
      </w:r>
      <w:r w:rsidRPr="00E050EF">
        <w:rPr>
          <w:rFonts w:ascii="Arial" w:hAnsi="Arial" w:cs="Arial"/>
          <w:szCs w:val="20"/>
        </w:rPr>
        <w:t xml:space="preserve"> </w:t>
      </w:r>
      <w:r w:rsidR="00F07391">
        <w:rPr>
          <w:rFonts w:ascii="Arial" w:hAnsi="Arial" w:cs="Arial"/>
          <w:szCs w:val="20"/>
        </w:rPr>
        <w:t>common shares</w:t>
      </w:r>
      <w:r w:rsidRPr="00E050EF">
        <w:rPr>
          <w:rFonts w:ascii="Arial" w:hAnsi="Arial" w:cs="Arial"/>
          <w:szCs w:val="20"/>
        </w:rPr>
        <w:t xml:space="preserve"> and </w:t>
      </w:r>
      <w:r w:rsidR="004C1A67">
        <w:rPr>
          <w:rFonts w:ascii="Arial" w:hAnsi="Arial" w:cs="Arial"/>
          <w:szCs w:val="20"/>
        </w:rPr>
        <w:t xml:space="preserve">10,800 </w:t>
      </w:r>
      <w:r w:rsidRPr="00E050EF">
        <w:rPr>
          <w:rFonts w:ascii="Arial" w:hAnsi="Arial" w:cs="Arial"/>
          <w:szCs w:val="20"/>
        </w:rPr>
        <w:t xml:space="preserve">share purchase warrants entitling the holders to purchase one common share at a price of </w:t>
      </w:r>
      <w:r w:rsidR="00F91D39">
        <w:rPr>
          <w:rFonts w:ascii="Arial" w:hAnsi="Arial" w:cs="Arial"/>
          <w:szCs w:val="20"/>
        </w:rPr>
        <w:t xml:space="preserve">$3.00 </w:t>
      </w:r>
      <w:r w:rsidRPr="00E050EF">
        <w:rPr>
          <w:rFonts w:ascii="Arial" w:hAnsi="Arial" w:cs="Arial"/>
          <w:szCs w:val="20"/>
        </w:rPr>
        <w:t xml:space="preserve">per share and </w:t>
      </w:r>
      <w:r w:rsidR="00DB3EFB">
        <w:rPr>
          <w:rFonts w:ascii="Arial" w:hAnsi="Arial" w:cs="Arial"/>
          <w:szCs w:val="20"/>
        </w:rPr>
        <w:t>with</w:t>
      </w:r>
      <w:r w:rsidRPr="00E050EF">
        <w:rPr>
          <w:rFonts w:ascii="Arial" w:hAnsi="Arial" w:cs="Arial"/>
          <w:szCs w:val="20"/>
        </w:rPr>
        <w:t xml:space="preserve"> an expiry term of three (3) years</w:t>
      </w:r>
      <w:r w:rsidR="00B44CE2" w:rsidRPr="007B24D9">
        <w:rPr>
          <w:rFonts w:ascii="Arial" w:hAnsi="Arial" w:cs="Arial"/>
          <w:szCs w:val="20"/>
        </w:rPr>
        <w:t>.</w:t>
      </w:r>
      <w:r w:rsidR="004A7297">
        <w:rPr>
          <w:rFonts w:ascii="Arial" w:hAnsi="Arial" w:cs="Arial"/>
          <w:szCs w:val="20"/>
        </w:rPr>
        <w:t xml:space="preserve"> The residual method was used to allocate the proceeds between the common shares and the warrants which resulted in a value of $nil allocated to the warrants.</w:t>
      </w:r>
      <w:r w:rsidR="00B44CE2" w:rsidRPr="007B24D9">
        <w:rPr>
          <w:rFonts w:ascii="Arial" w:hAnsi="Arial" w:cs="Arial"/>
          <w:szCs w:val="20"/>
        </w:rPr>
        <w:t xml:space="preserve">  </w:t>
      </w:r>
    </w:p>
    <w:p w14:paraId="69CDF571" w14:textId="28BD363C" w:rsidR="00991E5D" w:rsidRDefault="00991E5D" w:rsidP="005639E1">
      <w:pPr>
        <w:tabs>
          <w:tab w:val="left" w:pos="810"/>
        </w:tabs>
        <w:spacing w:after="0" w:line="240" w:lineRule="auto"/>
        <w:jc w:val="both"/>
        <w:rPr>
          <w:rFonts w:ascii="Arial" w:hAnsi="Arial" w:cs="Arial"/>
          <w:szCs w:val="20"/>
        </w:rPr>
      </w:pPr>
    </w:p>
    <w:p w14:paraId="27437113" w14:textId="77777777" w:rsidR="002578B6" w:rsidRDefault="002578B6">
      <w:pPr>
        <w:rPr>
          <w:rFonts w:ascii="Arial" w:hAnsi="Arial" w:cs="Arial"/>
          <w:b/>
          <w:szCs w:val="20"/>
        </w:rPr>
      </w:pPr>
      <w:r>
        <w:rPr>
          <w:rFonts w:ascii="Arial" w:hAnsi="Arial" w:cs="Arial"/>
          <w:b/>
          <w:szCs w:val="20"/>
        </w:rPr>
        <w:br w:type="page"/>
      </w:r>
    </w:p>
    <w:p w14:paraId="110AD4A0" w14:textId="0D5F977E" w:rsidR="006B167C" w:rsidRPr="00B14849" w:rsidRDefault="006B167C" w:rsidP="00B14849">
      <w:pPr>
        <w:tabs>
          <w:tab w:val="left" w:pos="450"/>
        </w:tabs>
        <w:spacing w:after="0"/>
        <w:rPr>
          <w:rFonts w:ascii="Arial" w:hAnsi="Arial" w:cs="Arial"/>
          <w:b/>
          <w:szCs w:val="20"/>
        </w:rPr>
      </w:pPr>
      <w:r w:rsidRPr="00B14849">
        <w:rPr>
          <w:rFonts w:ascii="Arial" w:hAnsi="Arial" w:cs="Arial"/>
          <w:b/>
          <w:szCs w:val="20"/>
        </w:rPr>
        <w:lastRenderedPageBreak/>
        <w:t>1</w:t>
      </w:r>
      <w:r w:rsidR="002D620A">
        <w:rPr>
          <w:rFonts w:ascii="Arial" w:hAnsi="Arial" w:cs="Arial"/>
          <w:b/>
          <w:szCs w:val="20"/>
        </w:rPr>
        <w:t>2</w:t>
      </w:r>
      <w:r w:rsidRPr="00B14849">
        <w:rPr>
          <w:rFonts w:ascii="Arial" w:hAnsi="Arial" w:cs="Arial"/>
          <w:b/>
          <w:szCs w:val="20"/>
        </w:rPr>
        <w:t>.</w:t>
      </w:r>
      <w:r w:rsidRPr="00B14849">
        <w:rPr>
          <w:rFonts w:ascii="Arial" w:hAnsi="Arial" w:cs="Arial"/>
          <w:b/>
          <w:szCs w:val="20"/>
        </w:rPr>
        <w:tab/>
        <w:t>Share Purchase Warrants</w:t>
      </w:r>
    </w:p>
    <w:p w14:paraId="19C2E4C0" w14:textId="080D06FB" w:rsidR="00CE6BA6" w:rsidRDefault="00CE6BA6" w:rsidP="005639E1">
      <w:pPr>
        <w:tabs>
          <w:tab w:val="left" w:pos="810"/>
        </w:tabs>
        <w:spacing w:after="0" w:line="240" w:lineRule="auto"/>
        <w:jc w:val="both"/>
        <w:rPr>
          <w:rFonts w:ascii="Arial" w:hAnsi="Arial" w:cs="Arial"/>
          <w:szCs w:val="20"/>
        </w:rPr>
      </w:pPr>
    </w:p>
    <w:p w14:paraId="30431642" w14:textId="1D5A1620" w:rsidR="00790828" w:rsidRDefault="00790828" w:rsidP="00F15B99">
      <w:pPr>
        <w:tabs>
          <w:tab w:val="left" w:pos="-2160"/>
        </w:tabs>
        <w:spacing w:after="0" w:line="240" w:lineRule="auto"/>
        <w:ind w:left="431"/>
        <w:jc w:val="both"/>
        <w:rPr>
          <w:rFonts w:ascii="Arial" w:hAnsi="Arial" w:cs="Arial"/>
          <w:szCs w:val="20"/>
        </w:rPr>
      </w:pPr>
      <w:r w:rsidRPr="00F60034">
        <w:rPr>
          <w:rFonts w:ascii="Arial" w:hAnsi="Arial" w:cs="Arial"/>
          <w:szCs w:val="20"/>
        </w:rPr>
        <w:t>The following table summarizes the continuity of share purchase warrants:</w:t>
      </w:r>
    </w:p>
    <w:p w14:paraId="240F84AC" w14:textId="77777777" w:rsidR="00960CA4" w:rsidRPr="00F60034" w:rsidRDefault="00960CA4" w:rsidP="00F15B99">
      <w:pPr>
        <w:tabs>
          <w:tab w:val="left" w:pos="-2160"/>
        </w:tabs>
        <w:spacing w:after="0" w:line="240" w:lineRule="auto"/>
        <w:ind w:left="431"/>
        <w:jc w:val="both"/>
        <w:rPr>
          <w:rFonts w:ascii="Arial" w:hAnsi="Arial" w:cs="Arial"/>
          <w:szCs w:val="20"/>
        </w:rPr>
      </w:pPr>
    </w:p>
    <w:tbl>
      <w:tblPr>
        <w:tblW w:w="9180" w:type="dxa"/>
        <w:tblInd w:w="558" w:type="dxa"/>
        <w:tblLayout w:type="fixed"/>
        <w:tblLook w:val="0000" w:firstRow="0" w:lastRow="0" w:firstColumn="0" w:lastColumn="0" w:noHBand="0" w:noVBand="0"/>
      </w:tblPr>
      <w:tblGrid>
        <w:gridCol w:w="5850"/>
        <w:gridCol w:w="1440"/>
        <w:gridCol w:w="1890"/>
      </w:tblGrid>
      <w:tr w:rsidR="00790828" w:rsidRPr="00F60034" w14:paraId="107C522E" w14:textId="77777777" w:rsidTr="00790828">
        <w:trPr>
          <w:cantSplit/>
        </w:trPr>
        <w:tc>
          <w:tcPr>
            <w:tcW w:w="5850" w:type="dxa"/>
            <w:tcBorders>
              <w:bottom w:val="single" w:sz="4" w:space="0" w:color="auto"/>
            </w:tcBorders>
          </w:tcPr>
          <w:p w14:paraId="18B9A0D8" w14:textId="77777777" w:rsidR="00790828" w:rsidRPr="00F60034" w:rsidRDefault="00790828" w:rsidP="00F15B99">
            <w:pPr>
              <w:keepNext/>
              <w:spacing w:after="0" w:line="240" w:lineRule="auto"/>
              <w:rPr>
                <w:rFonts w:ascii="Arial" w:hAnsi="Arial" w:cs="Arial"/>
                <w:szCs w:val="20"/>
                <w:lang w:val="en-GB"/>
              </w:rPr>
            </w:pPr>
          </w:p>
        </w:tc>
        <w:tc>
          <w:tcPr>
            <w:tcW w:w="1440" w:type="dxa"/>
            <w:tcBorders>
              <w:bottom w:val="single" w:sz="4" w:space="0" w:color="auto"/>
            </w:tcBorders>
            <w:vAlign w:val="bottom"/>
          </w:tcPr>
          <w:p w14:paraId="245C4128" w14:textId="77777777" w:rsidR="00790828" w:rsidRPr="008B3E65" w:rsidRDefault="00790828" w:rsidP="00F15B99">
            <w:pPr>
              <w:spacing w:after="0" w:line="240" w:lineRule="auto"/>
              <w:jc w:val="center"/>
              <w:rPr>
                <w:rFonts w:ascii="Arial" w:hAnsi="Arial" w:cs="Arial"/>
                <w:szCs w:val="20"/>
              </w:rPr>
            </w:pPr>
            <w:r w:rsidRPr="008B3E65">
              <w:rPr>
                <w:rFonts w:ascii="Arial" w:hAnsi="Arial" w:cs="Arial"/>
                <w:szCs w:val="20"/>
              </w:rPr>
              <w:t>Number of</w:t>
            </w:r>
          </w:p>
          <w:p w14:paraId="527169D8" w14:textId="77777777" w:rsidR="00790828" w:rsidRPr="008B3E65" w:rsidRDefault="00790828" w:rsidP="00F15B99">
            <w:pPr>
              <w:spacing w:after="0" w:line="240" w:lineRule="auto"/>
              <w:jc w:val="center"/>
              <w:rPr>
                <w:rFonts w:ascii="Arial" w:hAnsi="Arial" w:cs="Arial"/>
                <w:szCs w:val="20"/>
              </w:rPr>
            </w:pPr>
            <w:r w:rsidRPr="008B3E65">
              <w:rPr>
                <w:rFonts w:ascii="Arial" w:hAnsi="Arial" w:cs="Arial"/>
                <w:szCs w:val="20"/>
              </w:rPr>
              <w:t>Warrants</w:t>
            </w:r>
          </w:p>
          <w:p w14:paraId="023C6856" w14:textId="52AC9635" w:rsidR="008B3E65" w:rsidRPr="008B3E65" w:rsidRDefault="008B3E65" w:rsidP="00F15B99">
            <w:pPr>
              <w:spacing w:after="0" w:line="240" w:lineRule="auto"/>
              <w:jc w:val="center"/>
              <w:rPr>
                <w:rFonts w:ascii="Arial" w:hAnsi="Arial" w:cs="Arial"/>
                <w:szCs w:val="20"/>
              </w:rPr>
            </w:pPr>
            <w:r w:rsidRPr="008B3E65">
              <w:rPr>
                <w:rFonts w:ascii="Arial" w:hAnsi="Arial" w:cs="Arial"/>
                <w:szCs w:val="20"/>
              </w:rPr>
              <w:t>(Note 22(g))</w:t>
            </w:r>
          </w:p>
        </w:tc>
        <w:tc>
          <w:tcPr>
            <w:tcW w:w="1890" w:type="dxa"/>
            <w:tcBorders>
              <w:bottom w:val="single" w:sz="4" w:space="0" w:color="auto"/>
            </w:tcBorders>
            <w:vAlign w:val="bottom"/>
          </w:tcPr>
          <w:p w14:paraId="627B65AF"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Weighted Average Exercise Price</w:t>
            </w:r>
          </w:p>
          <w:p w14:paraId="6E17387C" w14:textId="77777777" w:rsidR="00F91D39" w:rsidRDefault="00790828" w:rsidP="00F15B99">
            <w:pPr>
              <w:spacing w:after="0" w:line="240" w:lineRule="auto"/>
              <w:jc w:val="center"/>
              <w:rPr>
                <w:rFonts w:ascii="Arial" w:hAnsi="Arial" w:cs="Arial"/>
                <w:szCs w:val="20"/>
              </w:rPr>
            </w:pPr>
            <w:r w:rsidRPr="00F60034">
              <w:rPr>
                <w:rFonts w:ascii="Arial" w:hAnsi="Arial" w:cs="Arial"/>
                <w:szCs w:val="20"/>
              </w:rPr>
              <w:t>$</w:t>
            </w:r>
          </w:p>
          <w:p w14:paraId="32F8DE7E" w14:textId="04F2B505" w:rsidR="00790828" w:rsidRPr="00F60034" w:rsidRDefault="00F91D39" w:rsidP="00F15B99">
            <w:pPr>
              <w:spacing w:after="0" w:line="240" w:lineRule="auto"/>
              <w:jc w:val="center"/>
              <w:rPr>
                <w:rFonts w:ascii="Arial" w:hAnsi="Arial" w:cs="Arial"/>
                <w:szCs w:val="20"/>
              </w:rPr>
            </w:pPr>
            <w:r>
              <w:rPr>
                <w:rFonts w:ascii="Arial" w:hAnsi="Arial" w:cs="Arial"/>
                <w:szCs w:val="20"/>
              </w:rPr>
              <w:t>(Note 22(g))</w:t>
            </w:r>
          </w:p>
        </w:tc>
      </w:tr>
      <w:tr w:rsidR="00CD70E7" w:rsidRPr="00F60034" w14:paraId="52E8F3EC" w14:textId="77777777" w:rsidTr="00CD70E7">
        <w:trPr>
          <w:trHeight w:hRule="exact" w:val="72"/>
        </w:trPr>
        <w:tc>
          <w:tcPr>
            <w:tcW w:w="5850" w:type="dxa"/>
            <w:tcBorders>
              <w:top w:val="single" w:sz="6" w:space="0" w:color="auto"/>
            </w:tcBorders>
            <w:vAlign w:val="bottom"/>
          </w:tcPr>
          <w:p w14:paraId="30C1FE1C" w14:textId="77777777" w:rsidR="00CD70E7" w:rsidRPr="00F60034" w:rsidRDefault="00CD70E7" w:rsidP="00CD70E7">
            <w:pPr>
              <w:spacing w:after="0" w:line="240" w:lineRule="auto"/>
              <w:rPr>
                <w:rFonts w:ascii="Arial" w:hAnsi="Arial" w:cs="Arial"/>
                <w:szCs w:val="20"/>
              </w:rPr>
            </w:pPr>
          </w:p>
        </w:tc>
        <w:tc>
          <w:tcPr>
            <w:tcW w:w="1440" w:type="dxa"/>
            <w:tcBorders>
              <w:top w:val="single" w:sz="6" w:space="0" w:color="auto"/>
            </w:tcBorders>
            <w:vAlign w:val="bottom"/>
          </w:tcPr>
          <w:p w14:paraId="1D3E4068" w14:textId="77777777" w:rsidR="00CD70E7" w:rsidRPr="008B3E65" w:rsidRDefault="00CD70E7" w:rsidP="00CD70E7">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78398D26" w14:textId="77777777" w:rsidR="00CD70E7" w:rsidRPr="00F60034" w:rsidRDefault="00CD70E7" w:rsidP="00CD70E7">
            <w:pPr>
              <w:spacing w:after="0" w:line="240" w:lineRule="auto"/>
              <w:ind w:right="256"/>
              <w:jc w:val="right"/>
              <w:rPr>
                <w:rFonts w:ascii="Arial" w:hAnsi="Arial" w:cs="Arial"/>
                <w:szCs w:val="20"/>
              </w:rPr>
            </w:pPr>
          </w:p>
        </w:tc>
      </w:tr>
      <w:tr w:rsidR="00E430D2" w:rsidRPr="00F60034" w14:paraId="252D8A81" w14:textId="77777777" w:rsidTr="00EC4ECB">
        <w:tc>
          <w:tcPr>
            <w:tcW w:w="5850" w:type="dxa"/>
            <w:vAlign w:val="bottom"/>
          </w:tcPr>
          <w:p w14:paraId="44A47B07" w14:textId="77777777" w:rsidR="00E430D2" w:rsidRPr="00F60034" w:rsidRDefault="00E430D2" w:rsidP="00EC4ECB">
            <w:pPr>
              <w:spacing w:after="0" w:line="240" w:lineRule="auto"/>
              <w:rPr>
                <w:rFonts w:ascii="Arial" w:hAnsi="Arial" w:cs="Arial"/>
                <w:szCs w:val="20"/>
              </w:rPr>
            </w:pPr>
            <w:r w:rsidRPr="00F60034">
              <w:rPr>
                <w:rFonts w:ascii="Arial" w:hAnsi="Arial" w:cs="Arial"/>
                <w:szCs w:val="20"/>
              </w:rPr>
              <w:t xml:space="preserve">Balance, January 31, </w:t>
            </w:r>
            <w:r>
              <w:rPr>
                <w:rFonts w:ascii="Arial" w:hAnsi="Arial" w:cs="Arial"/>
                <w:szCs w:val="20"/>
              </w:rPr>
              <w:t>2019</w:t>
            </w:r>
          </w:p>
        </w:tc>
        <w:tc>
          <w:tcPr>
            <w:tcW w:w="1440" w:type="dxa"/>
            <w:vAlign w:val="bottom"/>
          </w:tcPr>
          <w:p w14:paraId="751092E8" w14:textId="171CF3B5" w:rsidR="00E430D2" w:rsidRPr="008B3E65" w:rsidRDefault="00AC6A22" w:rsidP="00EC4ECB">
            <w:pPr>
              <w:spacing w:after="0" w:line="240" w:lineRule="auto"/>
              <w:ind w:right="144"/>
              <w:jc w:val="right"/>
              <w:rPr>
                <w:rFonts w:ascii="Arial" w:hAnsi="Arial" w:cs="Arial"/>
                <w:szCs w:val="20"/>
              </w:rPr>
            </w:pPr>
            <w:r>
              <w:rPr>
                <w:rFonts w:ascii="Arial" w:hAnsi="Arial" w:cs="Arial"/>
                <w:szCs w:val="20"/>
              </w:rPr>
              <w:t>848,605</w:t>
            </w:r>
          </w:p>
        </w:tc>
        <w:tc>
          <w:tcPr>
            <w:tcW w:w="1890" w:type="dxa"/>
            <w:vAlign w:val="bottom"/>
          </w:tcPr>
          <w:p w14:paraId="17E0C68B" w14:textId="18FF009A" w:rsidR="00E430D2" w:rsidRPr="00F60034" w:rsidRDefault="00F91D39" w:rsidP="00EC4ECB">
            <w:pPr>
              <w:spacing w:after="0" w:line="240" w:lineRule="auto"/>
              <w:ind w:right="256"/>
              <w:jc w:val="right"/>
              <w:rPr>
                <w:rFonts w:ascii="Arial" w:hAnsi="Arial" w:cs="Arial"/>
                <w:szCs w:val="20"/>
              </w:rPr>
            </w:pPr>
            <w:r>
              <w:rPr>
                <w:rFonts w:ascii="Arial" w:hAnsi="Arial" w:cs="Arial"/>
                <w:szCs w:val="20"/>
              </w:rPr>
              <w:t>6.18</w:t>
            </w:r>
          </w:p>
        </w:tc>
      </w:tr>
      <w:tr w:rsidR="00CD70E7" w:rsidRPr="00F60034" w14:paraId="778FC0F4" w14:textId="77777777" w:rsidTr="00CD70E7">
        <w:trPr>
          <w:trHeight w:hRule="exact" w:val="86"/>
        </w:trPr>
        <w:tc>
          <w:tcPr>
            <w:tcW w:w="5850" w:type="dxa"/>
            <w:vAlign w:val="bottom"/>
          </w:tcPr>
          <w:p w14:paraId="1DE0FCB2" w14:textId="77777777" w:rsidR="00CD70E7" w:rsidRPr="00F60034" w:rsidRDefault="00CD70E7" w:rsidP="00CD70E7">
            <w:pPr>
              <w:spacing w:after="0" w:line="240" w:lineRule="auto"/>
              <w:rPr>
                <w:rFonts w:ascii="Arial" w:hAnsi="Arial" w:cs="Arial"/>
                <w:szCs w:val="20"/>
              </w:rPr>
            </w:pPr>
          </w:p>
        </w:tc>
        <w:tc>
          <w:tcPr>
            <w:tcW w:w="1440" w:type="dxa"/>
            <w:vAlign w:val="bottom"/>
          </w:tcPr>
          <w:p w14:paraId="5B4AF73A" w14:textId="77777777" w:rsidR="00CD70E7" w:rsidRPr="008B3E65" w:rsidRDefault="00CD70E7" w:rsidP="00CD70E7">
            <w:pPr>
              <w:spacing w:after="0" w:line="240" w:lineRule="auto"/>
              <w:ind w:right="144"/>
              <w:jc w:val="right"/>
              <w:rPr>
                <w:rFonts w:ascii="Arial" w:hAnsi="Arial" w:cs="Arial"/>
                <w:szCs w:val="20"/>
              </w:rPr>
            </w:pPr>
          </w:p>
        </w:tc>
        <w:tc>
          <w:tcPr>
            <w:tcW w:w="1890" w:type="dxa"/>
            <w:vAlign w:val="bottom"/>
          </w:tcPr>
          <w:p w14:paraId="65FB5F9C" w14:textId="77777777" w:rsidR="00CD70E7" w:rsidRPr="00F60034" w:rsidRDefault="00CD70E7" w:rsidP="00CD70E7">
            <w:pPr>
              <w:spacing w:after="0" w:line="240" w:lineRule="auto"/>
              <w:ind w:right="256"/>
              <w:jc w:val="right"/>
              <w:rPr>
                <w:rFonts w:ascii="Arial" w:hAnsi="Arial" w:cs="Arial"/>
                <w:szCs w:val="20"/>
              </w:rPr>
            </w:pPr>
          </w:p>
        </w:tc>
      </w:tr>
      <w:tr w:rsidR="005778E8" w:rsidRPr="00F60034" w14:paraId="007369DC" w14:textId="77777777" w:rsidTr="00CD70E7">
        <w:trPr>
          <w:trHeight w:val="171"/>
        </w:trPr>
        <w:tc>
          <w:tcPr>
            <w:tcW w:w="5850" w:type="dxa"/>
            <w:vAlign w:val="bottom"/>
          </w:tcPr>
          <w:p w14:paraId="2F21B28C" w14:textId="6267B6E6" w:rsidR="005778E8" w:rsidRPr="00F60034" w:rsidRDefault="005778E8" w:rsidP="00D70891">
            <w:pPr>
              <w:spacing w:after="0" w:line="240" w:lineRule="auto"/>
              <w:ind w:left="144"/>
              <w:rPr>
                <w:rFonts w:ascii="Arial" w:hAnsi="Arial" w:cs="Arial"/>
                <w:szCs w:val="20"/>
              </w:rPr>
            </w:pPr>
            <w:r>
              <w:rPr>
                <w:rFonts w:ascii="Arial" w:hAnsi="Arial" w:cs="Arial"/>
                <w:szCs w:val="20"/>
              </w:rPr>
              <w:t>Granted</w:t>
            </w:r>
          </w:p>
        </w:tc>
        <w:tc>
          <w:tcPr>
            <w:tcW w:w="1440" w:type="dxa"/>
            <w:vAlign w:val="bottom"/>
          </w:tcPr>
          <w:p w14:paraId="3ACB624D" w14:textId="7A43719B" w:rsidR="005778E8" w:rsidRPr="008B3E65" w:rsidRDefault="00AC6A22" w:rsidP="00F15B99">
            <w:pPr>
              <w:spacing w:after="0" w:line="240" w:lineRule="auto"/>
              <w:ind w:right="144"/>
              <w:jc w:val="right"/>
              <w:rPr>
                <w:rFonts w:ascii="Arial" w:hAnsi="Arial" w:cs="Arial"/>
                <w:szCs w:val="20"/>
              </w:rPr>
            </w:pPr>
            <w:r>
              <w:rPr>
                <w:rFonts w:ascii="Arial" w:hAnsi="Arial" w:cs="Arial"/>
                <w:szCs w:val="20"/>
              </w:rPr>
              <w:t>7,125,800</w:t>
            </w:r>
          </w:p>
        </w:tc>
        <w:tc>
          <w:tcPr>
            <w:tcW w:w="1890" w:type="dxa"/>
            <w:vAlign w:val="bottom"/>
          </w:tcPr>
          <w:p w14:paraId="2786FBB7" w14:textId="499713BE" w:rsidR="005778E8" w:rsidRPr="00F60034" w:rsidRDefault="00F91D39" w:rsidP="000B745C">
            <w:pPr>
              <w:spacing w:after="0" w:line="240" w:lineRule="auto"/>
              <w:ind w:right="256"/>
              <w:jc w:val="right"/>
              <w:rPr>
                <w:rFonts w:ascii="Arial" w:hAnsi="Arial" w:cs="Arial"/>
                <w:szCs w:val="20"/>
              </w:rPr>
            </w:pPr>
            <w:r>
              <w:rPr>
                <w:rFonts w:ascii="Arial" w:hAnsi="Arial" w:cs="Arial"/>
                <w:szCs w:val="20"/>
              </w:rPr>
              <w:t>3.45</w:t>
            </w:r>
          </w:p>
        </w:tc>
      </w:tr>
      <w:tr w:rsidR="000B745C" w:rsidRPr="00F60034" w14:paraId="4DCCFE1F" w14:textId="77777777" w:rsidTr="00CD70E7">
        <w:trPr>
          <w:trHeight w:val="171"/>
        </w:trPr>
        <w:tc>
          <w:tcPr>
            <w:tcW w:w="5850" w:type="dxa"/>
            <w:vAlign w:val="bottom"/>
          </w:tcPr>
          <w:p w14:paraId="5FC5E56D" w14:textId="3B35C3B5" w:rsidR="000B745C" w:rsidRDefault="000B745C" w:rsidP="00320D7D">
            <w:pPr>
              <w:spacing w:after="0" w:line="240" w:lineRule="auto"/>
              <w:ind w:left="144"/>
              <w:rPr>
                <w:rFonts w:ascii="Arial" w:hAnsi="Arial" w:cs="Arial"/>
                <w:szCs w:val="20"/>
              </w:rPr>
            </w:pPr>
            <w:r>
              <w:rPr>
                <w:rFonts w:ascii="Arial" w:hAnsi="Arial" w:cs="Arial"/>
                <w:szCs w:val="20"/>
              </w:rPr>
              <w:t>Expired</w:t>
            </w:r>
          </w:p>
        </w:tc>
        <w:tc>
          <w:tcPr>
            <w:tcW w:w="1440" w:type="dxa"/>
            <w:vAlign w:val="bottom"/>
          </w:tcPr>
          <w:p w14:paraId="45FF5F8A" w14:textId="41B98B85" w:rsidR="000B745C" w:rsidRPr="008B3E65" w:rsidRDefault="000B745C" w:rsidP="00F15B99">
            <w:pPr>
              <w:spacing w:after="0" w:line="240" w:lineRule="auto"/>
              <w:ind w:right="144"/>
              <w:jc w:val="right"/>
              <w:rPr>
                <w:rFonts w:ascii="Arial" w:hAnsi="Arial" w:cs="Arial"/>
                <w:szCs w:val="20"/>
              </w:rPr>
            </w:pPr>
            <w:r w:rsidRPr="008B3E65">
              <w:rPr>
                <w:rFonts w:ascii="Arial" w:hAnsi="Arial" w:cs="Arial"/>
                <w:szCs w:val="20"/>
              </w:rPr>
              <w:t>(</w:t>
            </w:r>
            <w:r w:rsidR="00AC6A22">
              <w:rPr>
                <w:rFonts w:ascii="Arial" w:hAnsi="Arial" w:cs="Arial"/>
                <w:szCs w:val="20"/>
              </w:rPr>
              <w:t>26,513</w:t>
            </w:r>
            <w:r w:rsidRPr="008B3E65">
              <w:rPr>
                <w:rFonts w:ascii="Arial" w:hAnsi="Arial" w:cs="Arial"/>
                <w:szCs w:val="20"/>
              </w:rPr>
              <w:t>)</w:t>
            </w:r>
          </w:p>
        </w:tc>
        <w:tc>
          <w:tcPr>
            <w:tcW w:w="1890" w:type="dxa"/>
            <w:vAlign w:val="bottom"/>
          </w:tcPr>
          <w:p w14:paraId="7100FBE9" w14:textId="6126CC5F" w:rsidR="000B745C" w:rsidRDefault="000B745C" w:rsidP="000B745C">
            <w:pPr>
              <w:spacing w:after="0" w:line="240" w:lineRule="auto"/>
              <w:ind w:right="256"/>
              <w:jc w:val="right"/>
              <w:rPr>
                <w:rFonts w:ascii="Arial" w:hAnsi="Arial" w:cs="Arial"/>
                <w:szCs w:val="20"/>
              </w:rPr>
            </w:pPr>
            <w:r>
              <w:rPr>
                <w:rFonts w:ascii="Arial" w:hAnsi="Arial" w:cs="Arial"/>
                <w:szCs w:val="20"/>
              </w:rPr>
              <w:t>(</w:t>
            </w:r>
            <w:r w:rsidR="00F91D39">
              <w:rPr>
                <w:rFonts w:ascii="Arial" w:hAnsi="Arial" w:cs="Arial"/>
                <w:szCs w:val="20"/>
              </w:rPr>
              <w:t>4.47</w:t>
            </w:r>
            <w:r>
              <w:rPr>
                <w:rFonts w:ascii="Arial" w:hAnsi="Arial" w:cs="Arial"/>
                <w:szCs w:val="20"/>
              </w:rPr>
              <w:t>)</w:t>
            </w:r>
          </w:p>
        </w:tc>
      </w:tr>
      <w:tr w:rsidR="00790828" w:rsidRPr="00F60034" w14:paraId="10772ED4" w14:textId="77777777" w:rsidTr="000B745C">
        <w:trPr>
          <w:trHeight w:hRule="exact" w:val="72"/>
        </w:trPr>
        <w:tc>
          <w:tcPr>
            <w:tcW w:w="5850" w:type="dxa"/>
            <w:tcBorders>
              <w:top w:val="single" w:sz="6" w:space="0" w:color="auto"/>
            </w:tcBorders>
            <w:vAlign w:val="bottom"/>
          </w:tcPr>
          <w:p w14:paraId="451B1681" w14:textId="77777777" w:rsidR="00790828" w:rsidRPr="00F60034" w:rsidRDefault="00790828" w:rsidP="00F15B99">
            <w:pPr>
              <w:spacing w:after="0" w:line="240" w:lineRule="auto"/>
              <w:rPr>
                <w:rFonts w:ascii="Arial" w:hAnsi="Arial" w:cs="Arial"/>
                <w:szCs w:val="20"/>
              </w:rPr>
            </w:pPr>
          </w:p>
        </w:tc>
        <w:tc>
          <w:tcPr>
            <w:tcW w:w="1440" w:type="dxa"/>
            <w:tcBorders>
              <w:top w:val="single" w:sz="6" w:space="0" w:color="auto"/>
            </w:tcBorders>
            <w:vAlign w:val="bottom"/>
          </w:tcPr>
          <w:p w14:paraId="3B3B34A6" w14:textId="77777777" w:rsidR="00790828" w:rsidRPr="008B3E65" w:rsidRDefault="00790828" w:rsidP="00F15B99">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695F84D1" w14:textId="77777777" w:rsidR="00790828" w:rsidRPr="00F60034" w:rsidRDefault="00790828" w:rsidP="00F15B99">
            <w:pPr>
              <w:spacing w:after="0" w:line="240" w:lineRule="auto"/>
              <w:ind w:right="256"/>
              <w:jc w:val="right"/>
              <w:rPr>
                <w:rFonts w:ascii="Arial" w:hAnsi="Arial" w:cs="Arial"/>
                <w:szCs w:val="20"/>
              </w:rPr>
            </w:pPr>
          </w:p>
        </w:tc>
      </w:tr>
      <w:tr w:rsidR="00790828" w:rsidRPr="00F60034" w14:paraId="6E2632E1" w14:textId="77777777" w:rsidTr="004D0022">
        <w:trPr>
          <w:trHeight w:val="252"/>
        </w:trPr>
        <w:tc>
          <w:tcPr>
            <w:tcW w:w="5850" w:type="dxa"/>
            <w:tcBorders>
              <w:bottom w:val="single" w:sz="12" w:space="0" w:color="auto"/>
            </w:tcBorders>
            <w:vAlign w:val="bottom"/>
          </w:tcPr>
          <w:p w14:paraId="474C39E1" w14:textId="1FF11327" w:rsidR="00790828" w:rsidRPr="00F60034" w:rsidRDefault="00790828" w:rsidP="00E430D2">
            <w:pPr>
              <w:spacing w:after="0" w:line="240" w:lineRule="auto"/>
              <w:rPr>
                <w:rFonts w:ascii="Arial" w:hAnsi="Arial" w:cs="Arial"/>
                <w:szCs w:val="20"/>
              </w:rPr>
            </w:pPr>
            <w:r w:rsidRPr="00F60034">
              <w:rPr>
                <w:rFonts w:ascii="Arial" w:hAnsi="Arial" w:cs="Arial"/>
                <w:szCs w:val="20"/>
              </w:rPr>
              <w:t xml:space="preserve">Balance, </w:t>
            </w:r>
            <w:r w:rsidR="00916ED5">
              <w:rPr>
                <w:rFonts w:ascii="Arial" w:hAnsi="Arial" w:cs="Arial"/>
                <w:szCs w:val="20"/>
              </w:rPr>
              <w:t xml:space="preserve">April 30, </w:t>
            </w:r>
            <w:proofErr w:type="gramStart"/>
            <w:r w:rsidR="00916ED5">
              <w:rPr>
                <w:rFonts w:ascii="Arial" w:hAnsi="Arial" w:cs="Arial"/>
                <w:szCs w:val="20"/>
              </w:rPr>
              <w:t>2020</w:t>
            </w:r>
            <w:proofErr w:type="gramEnd"/>
            <w:r w:rsidR="00916ED5">
              <w:rPr>
                <w:rFonts w:ascii="Arial" w:hAnsi="Arial" w:cs="Arial"/>
                <w:szCs w:val="20"/>
              </w:rPr>
              <w:t xml:space="preserve"> and </w:t>
            </w:r>
            <w:r w:rsidR="006115A7">
              <w:rPr>
                <w:rFonts w:ascii="Arial" w:hAnsi="Arial" w:cs="Arial"/>
                <w:szCs w:val="20"/>
              </w:rPr>
              <w:t>January 31, 2020</w:t>
            </w:r>
            <w:r w:rsidR="00916ED5">
              <w:rPr>
                <w:rFonts w:ascii="Arial" w:hAnsi="Arial" w:cs="Arial"/>
                <w:szCs w:val="20"/>
              </w:rPr>
              <w:t xml:space="preserve"> </w:t>
            </w:r>
          </w:p>
        </w:tc>
        <w:tc>
          <w:tcPr>
            <w:tcW w:w="1440" w:type="dxa"/>
            <w:tcBorders>
              <w:bottom w:val="single" w:sz="12" w:space="0" w:color="auto"/>
            </w:tcBorders>
            <w:vAlign w:val="bottom"/>
          </w:tcPr>
          <w:p w14:paraId="525555C9" w14:textId="0613AB3F" w:rsidR="00790828" w:rsidRPr="008B3E65" w:rsidRDefault="00AC6A22" w:rsidP="00F15B99">
            <w:pPr>
              <w:spacing w:after="0" w:line="240" w:lineRule="auto"/>
              <w:ind w:right="144"/>
              <w:jc w:val="right"/>
              <w:rPr>
                <w:rFonts w:ascii="Arial" w:hAnsi="Arial" w:cs="Arial"/>
                <w:szCs w:val="20"/>
              </w:rPr>
            </w:pPr>
            <w:r>
              <w:rPr>
                <w:rFonts w:ascii="Arial" w:hAnsi="Arial" w:cs="Arial"/>
                <w:szCs w:val="20"/>
              </w:rPr>
              <w:t>7,947,892</w:t>
            </w:r>
          </w:p>
        </w:tc>
        <w:tc>
          <w:tcPr>
            <w:tcW w:w="1890" w:type="dxa"/>
            <w:tcBorders>
              <w:bottom w:val="single" w:sz="12" w:space="0" w:color="auto"/>
            </w:tcBorders>
            <w:vAlign w:val="bottom"/>
          </w:tcPr>
          <w:p w14:paraId="2EC8F330" w14:textId="51B6079A" w:rsidR="00790828" w:rsidRPr="00F60034" w:rsidRDefault="00F91D39" w:rsidP="000B745C">
            <w:pPr>
              <w:spacing w:after="0" w:line="240" w:lineRule="auto"/>
              <w:ind w:right="256"/>
              <w:jc w:val="right"/>
              <w:rPr>
                <w:rFonts w:ascii="Arial" w:hAnsi="Arial" w:cs="Arial"/>
                <w:szCs w:val="20"/>
              </w:rPr>
            </w:pPr>
            <w:r>
              <w:rPr>
                <w:rFonts w:ascii="Arial" w:hAnsi="Arial" w:cs="Arial"/>
                <w:szCs w:val="20"/>
              </w:rPr>
              <w:t>3.74</w:t>
            </w:r>
          </w:p>
        </w:tc>
      </w:tr>
    </w:tbl>
    <w:p w14:paraId="34371069" w14:textId="0953E3A7" w:rsidR="004E594E" w:rsidRDefault="004E594E" w:rsidP="00C71250">
      <w:pPr>
        <w:spacing w:after="0"/>
        <w:rPr>
          <w:rFonts w:ascii="Arial" w:hAnsi="Arial" w:cs="Arial"/>
          <w:b/>
          <w:szCs w:val="20"/>
        </w:rPr>
      </w:pPr>
    </w:p>
    <w:p w14:paraId="65634181" w14:textId="61E940E2" w:rsidR="00B420E5" w:rsidRDefault="00C71250" w:rsidP="00F15B99">
      <w:pPr>
        <w:spacing w:after="0" w:line="240" w:lineRule="auto"/>
        <w:ind w:left="450"/>
        <w:rPr>
          <w:rFonts w:ascii="Arial" w:hAnsi="Arial" w:cs="Arial"/>
          <w:szCs w:val="20"/>
        </w:rPr>
      </w:pPr>
      <w:r>
        <w:rPr>
          <w:rFonts w:ascii="Arial" w:hAnsi="Arial" w:cs="Arial"/>
          <w:szCs w:val="20"/>
        </w:rPr>
        <w:t>A</w:t>
      </w:r>
      <w:r w:rsidR="00B420E5" w:rsidRPr="00B420E5">
        <w:rPr>
          <w:rFonts w:ascii="Arial" w:hAnsi="Arial" w:cs="Arial"/>
          <w:szCs w:val="20"/>
        </w:rPr>
        <w:t xml:space="preserve">s at </w:t>
      </w:r>
      <w:r w:rsidR="00916ED5">
        <w:rPr>
          <w:rFonts w:ascii="Arial" w:hAnsi="Arial" w:cs="Arial"/>
          <w:szCs w:val="20"/>
        </w:rPr>
        <w:t>April 30</w:t>
      </w:r>
      <w:r w:rsidR="006115A7">
        <w:rPr>
          <w:rFonts w:ascii="Arial" w:hAnsi="Arial" w:cs="Arial"/>
          <w:szCs w:val="20"/>
        </w:rPr>
        <w:t>, 2020</w:t>
      </w:r>
      <w:r w:rsidR="00B420E5" w:rsidRPr="00B420E5">
        <w:rPr>
          <w:rFonts w:ascii="Arial" w:hAnsi="Arial" w:cs="Arial"/>
          <w:szCs w:val="20"/>
        </w:rPr>
        <w:t>, the following share purchase warrant</w:t>
      </w:r>
      <w:r w:rsidR="0041197B">
        <w:rPr>
          <w:rFonts w:ascii="Arial" w:hAnsi="Arial" w:cs="Arial"/>
          <w:szCs w:val="20"/>
        </w:rPr>
        <w:t>s</w:t>
      </w:r>
      <w:r w:rsidR="00B420E5" w:rsidRPr="00B420E5">
        <w:rPr>
          <w:rFonts w:ascii="Arial" w:hAnsi="Arial" w:cs="Arial"/>
          <w:szCs w:val="20"/>
        </w:rPr>
        <w:t xml:space="preserve"> </w:t>
      </w:r>
      <w:r w:rsidR="0041197B">
        <w:rPr>
          <w:rFonts w:ascii="Arial" w:hAnsi="Arial" w:cs="Arial"/>
          <w:szCs w:val="20"/>
        </w:rPr>
        <w:t>were</w:t>
      </w:r>
      <w:r w:rsidR="00B420E5" w:rsidRPr="00B420E5">
        <w:rPr>
          <w:rFonts w:ascii="Arial" w:hAnsi="Arial" w:cs="Arial"/>
          <w:szCs w:val="20"/>
        </w:rPr>
        <w:t xml:space="preserve"> outstanding:</w:t>
      </w:r>
    </w:p>
    <w:p w14:paraId="103553F6" w14:textId="77777777" w:rsidR="005639E1" w:rsidRPr="00B420E5" w:rsidRDefault="005639E1" w:rsidP="00F15B99">
      <w:pPr>
        <w:spacing w:after="0" w:line="240" w:lineRule="auto"/>
        <w:ind w:left="450"/>
        <w:rPr>
          <w:rFonts w:ascii="Arial" w:hAnsi="Arial" w:cs="Arial"/>
          <w:szCs w:val="20"/>
        </w:rPr>
      </w:pPr>
    </w:p>
    <w:tbl>
      <w:tblPr>
        <w:tblW w:w="6500" w:type="dxa"/>
        <w:tblInd w:w="558" w:type="dxa"/>
        <w:tblLayout w:type="fixed"/>
        <w:tblLook w:val="01E0" w:firstRow="1" w:lastRow="1" w:firstColumn="1" w:lastColumn="1" w:noHBand="0" w:noVBand="0"/>
      </w:tblPr>
      <w:tblGrid>
        <w:gridCol w:w="1980"/>
        <w:gridCol w:w="1710"/>
        <w:gridCol w:w="2810"/>
      </w:tblGrid>
      <w:tr w:rsidR="008B3E65" w:rsidRPr="00B420E5" w14:paraId="584AEDE3" w14:textId="77777777" w:rsidTr="00F91D39">
        <w:tc>
          <w:tcPr>
            <w:tcW w:w="1980" w:type="dxa"/>
            <w:tcBorders>
              <w:bottom w:val="single" w:sz="4" w:space="0" w:color="auto"/>
            </w:tcBorders>
            <w:vAlign w:val="bottom"/>
          </w:tcPr>
          <w:p w14:paraId="3798D6FE" w14:textId="77777777" w:rsidR="008B3E65" w:rsidRPr="00F91D39" w:rsidRDefault="008B3E65" w:rsidP="004C1A67">
            <w:pPr>
              <w:tabs>
                <w:tab w:val="center" w:pos="4320"/>
                <w:tab w:val="right" w:pos="8640"/>
              </w:tabs>
              <w:spacing w:after="0" w:line="240" w:lineRule="auto"/>
              <w:ind w:hanging="81"/>
              <w:jc w:val="center"/>
              <w:rPr>
                <w:rFonts w:ascii="Arial" w:hAnsi="Arial" w:cs="Arial"/>
                <w:szCs w:val="20"/>
              </w:rPr>
            </w:pPr>
            <w:r w:rsidRPr="00F91D39">
              <w:rPr>
                <w:rFonts w:ascii="Arial" w:hAnsi="Arial" w:cs="Arial"/>
                <w:szCs w:val="20"/>
              </w:rPr>
              <w:t>Number of Warrants</w:t>
            </w:r>
          </w:p>
          <w:p w14:paraId="0582DB1A" w14:textId="111C5015" w:rsidR="008B3E65" w:rsidRPr="00960CA4" w:rsidRDefault="008B3E65" w:rsidP="004C1A67">
            <w:pPr>
              <w:tabs>
                <w:tab w:val="center" w:pos="4320"/>
                <w:tab w:val="right" w:pos="8640"/>
              </w:tabs>
              <w:spacing w:after="0" w:line="240" w:lineRule="auto"/>
              <w:ind w:hanging="81"/>
              <w:jc w:val="center"/>
              <w:rPr>
                <w:rFonts w:ascii="Arial" w:hAnsi="Arial" w:cs="Arial"/>
                <w:szCs w:val="20"/>
                <w:highlight w:val="yellow"/>
              </w:rPr>
            </w:pPr>
            <w:r w:rsidRPr="00F91D39">
              <w:rPr>
                <w:rFonts w:ascii="Arial" w:hAnsi="Arial" w:cs="Arial"/>
                <w:szCs w:val="20"/>
              </w:rPr>
              <w:t>(Note 22(g))</w:t>
            </w:r>
            <w:r w:rsidRPr="00B420E5">
              <w:rPr>
                <w:rFonts w:ascii="Arial" w:hAnsi="Arial" w:cs="Arial"/>
                <w:szCs w:val="20"/>
              </w:rPr>
              <w:t xml:space="preserve"> </w:t>
            </w:r>
          </w:p>
        </w:tc>
        <w:tc>
          <w:tcPr>
            <w:tcW w:w="1710" w:type="dxa"/>
            <w:tcBorders>
              <w:bottom w:val="single" w:sz="4" w:space="0" w:color="auto"/>
            </w:tcBorders>
            <w:vAlign w:val="bottom"/>
          </w:tcPr>
          <w:p w14:paraId="72711323" w14:textId="48AAB90A" w:rsidR="008B3E65" w:rsidRPr="00B420E5" w:rsidRDefault="008B3E65" w:rsidP="004C1A67">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Exercise</w:t>
            </w:r>
            <w:r w:rsidR="00F91D39">
              <w:rPr>
                <w:rFonts w:ascii="Arial" w:hAnsi="Arial" w:cs="Arial"/>
                <w:szCs w:val="20"/>
              </w:rPr>
              <w:t xml:space="preserve"> </w:t>
            </w:r>
            <w:r w:rsidRPr="00B420E5">
              <w:rPr>
                <w:rFonts w:ascii="Arial" w:hAnsi="Arial" w:cs="Arial"/>
                <w:szCs w:val="20"/>
              </w:rPr>
              <w:t>Price</w:t>
            </w:r>
          </w:p>
          <w:p w14:paraId="3BF7C178" w14:textId="77777777" w:rsidR="00F91D39" w:rsidRDefault="008B3E65" w:rsidP="004C1A67">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w:t>
            </w:r>
          </w:p>
          <w:p w14:paraId="76F817D4" w14:textId="17F8B9AC" w:rsidR="008B3E65" w:rsidRPr="00B420E5" w:rsidRDefault="00F91D39" w:rsidP="004C1A67">
            <w:pPr>
              <w:tabs>
                <w:tab w:val="center" w:pos="4320"/>
                <w:tab w:val="right" w:pos="8640"/>
              </w:tabs>
              <w:spacing w:after="0" w:line="240" w:lineRule="auto"/>
              <w:ind w:hanging="81"/>
              <w:jc w:val="center"/>
              <w:rPr>
                <w:rFonts w:ascii="Arial" w:hAnsi="Arial" w:cs="Arial"/>
                <w:szCs w:val="20"/>
              </w:rPr>
            </w:pPr>
            <w:r>
              <w:rPr>
                <w:rFonts w:ascii="Arial" w:hAnsi="Arial" w:cs="Arial"/>
                <w:szCs w:val="20"/>
              </w:rPr>
              <w:t>(Note 22(g))</w:t>
            </w:r>
          </w:p>
        </w:tc>
        <w:tc>
          <w:tcPr>
            <w:tcW w:w="2810" w:type="dxa"/>
            <w:tcBorders>
              <w:bottom w:val="single" w:sz="4" w:space="0" w:color="auto"/>
            </w:tcBorders>
            <w:vAlign w:val="bottom"/>
          </w:tcPr>
          <w:p w14:paraId="26B7126F" w14:textId="77777777" w:rsidR="008B3E65" w:rsidRPr="00B420E5" w:rsidRDefault="008B3E65" w:rsidP="004C1A67">
            <w:pPr>
              <w:tabs>
                <w:tab w:val="center" w:pos="4320"/>
                <w:tab w:val="right" w:pos="8640"/>
              </w:tabs>
              <w:spacing w:after="0" w:line="240" w:lineRule="auto"/>
              <w:ind w:hanging="81"/>
              <w:rPr>
                <w:rFonts w:ascii="Arial" w:hAnsi="Arial" w:cs="Arial"/>
                <w:szCs w:val="20"/>
              </w:rPr>
            </w:pPr>
            <w:r w:rsidRPr="00B420E5">
              <w:rPr>
                <w:rFonts w:ascii="Arial" w:hAnsi="Arial" w:cs="Arial"/>
                <w:szCs w:val="20"/>
              </w:rPr>
              <w:t>Expiry Date</w:t>
            </w:r>
          </w:p>
        </w:tc>
      </w:tr>
      <w:tr w:rsidR="008B3E65" w:rsidRPr="00B420E5" w14:paraId="4BBEA96F" w14:textId="77777777" w:rsidTr="00F91D39">
        <w:trPr>
          <w:trHeight w:hRule="exact" w:val="113"/>
        </w:trPr>
        <w:tc>
          <w:tcPr>
            <w:tcW w:w="1980" w:type="dxa"/>
            <w:tcBorders>
              <w:top w:val="single" w:sz="4" w:space="0" w:color="auto"/>
            </w:tcBorders>
          </w:tcPr>
          <w:p w14:paraId="3BE3B285" w14:textId="77777777" w:rsidR="008B3E65" w:rsidRPr="00B420E5" w:rsidRDefault="008B3E65" w:rsidP="004C1A67">
            <w:pPr>
              <w:tabs>
                <w:tab w:val="center" w:pos="4320"/>
                <w:tab w:val="right" w:pos="8640"/>
              </w:tabs>
              <w:spacing w:after="0" w:line="240" w:lineRule="auto"/>
              <w:ind w:hanging="81"/>
              <w:jc w:val="center"/>
              <w:rPr>
                <w:rFonts w:ascii="Arial" w:hAnsi="Arial" w:cs="Arial"/>
                <w:szCs w:val="20"/>
              </w:rPr>
            </w:pPr>
          </w:p>
        </w:tc>
        <w:tc>
          <w:tcPr>
            <w:tcW w:w="1710" w:type="dxa"/>
            <w:tcBorders>
              <w:top w:val="single" w:sz="4" w:space="0" w:color="auto"/>
            </w:tcBorders>
            <w:vAlign w:val="bottom"/>
          </w:tcPr>
          <w:p w14:paraId="66816146" w14:textId="77777777" w:rsidR="008B3E65" w:rsidRPr="00B420E5" w:rsidRDefault="008B3E65" w:rsidP="004C1A67">
            <w:pPr>
              <w:tabs>
                <w:tab w:val="center" w:pos="4320"/>
                <w:tab w:val="right" w:pos="8640"/>
              </w:tabs>
              <w:spacing w:after="0" w:line="240" w:lineRule="auto"/>
              <w:ind w:hanging="81"/>
              <w:jc w:val="center"/>
              <w:rPr>
                <w:rFonts w:ascii="Arial" w:hAnsi="Arial" w:cs="Arial"/>
                <w:szCs w:val="20"/>
              </w:rPr>
            </w:pPr>
          </w:p>
        </w:tc>
        <w:tc>
          <w:tcPr>
            <w:tcW w:w="2810" w:type="dxa"/>
            <w:tcBorders>
              <w:top w:val="single" w:sz="4" w:space="0" w:color="auto"/>
            </w:tcBorders>
            <w:vAlign w:val="bottom"/>
          </w:tcPr>
          <w:p w14:paraId="0C7DA8BA" w14:textId="77777777" w:rsidR="008B3E65" w:rsidRPr="00B420E5" w:rsidRDefault="008B3E65" w:rsidP="004C1A67">
            <w:pPr>
              <w:tabs>
                <w:tab w:val="center" w:pos="4320"/>
                <w:tab w:val="right" w:pos="8640"/>
              </w:tabs>
              <w:spacing w:after="0" w:line="240" w:lineRule="auto"/>
              <w:ind w:hanging="81"/>
              <w:jc w:val="center"/>
              <w:rPr>
                <w:rFonts w:ascii="Arial" w:hAnsi="Arial" w:cs="Arial"/>
                <w:szCs w:val="20"/>
              </w:rPr>
            </w:pPr>
          </w:p>
        </w:tc>
      </w:tr>
      <w:tr w:rsidR="008B3E65" w:rsidRPr="00B420E5" w14:paraId="43A3EA9B" w14:textId="77777777" w:rsidTr="00F91D39">
        <w:tc>
          <w:tcPr>
            <w:tcW w:w="1980" w:type="dxa"/>
          </w:tcPr>
          <w:p w14:paraId="3E9D7F94" w14:textId="2EB10B95"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17,241</w:t>
            </w:r>
          </w:p>
        </w:tc>
        <w:tc>
          <w:tcPr>
            <w:tcW w:w="1710" w:type="dxa"/>
            <w:vAlign w:val="bottom"/>
          </w:tcPr>
          <w:p w14:paraId="20770569" w14:textId="32C94341"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17.40</w:t>
            </w:r>
          </w:p>
        </w:tc>
        <w:tc>
          <w:tcPr>
            <w:tcW w:w="2810" w:type="dxa"/>
            <w:vAlign w:val="bottom"/>
          </w:tcPr>
          <w:p w14:paraId="11173DA0" w14:textId="31DAB978"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March 1, 2021</w:t>
            </w:r>
          </w:p>
        </w:tc>
      </w:tr>
      <w:tr w:rsidR="008B3E65" w:rsidRPr="00B420E5" w14:paraId="148C4267" w14:textId="77777777" w:rsidTr="00F91D39">
        <w:tc>
          <w:tcPr>
            <w:tcW w:w="1980" w:type="dxa"/>
          </w:tcPr>
          <w:p w14:paraId="5B842BC8" w14:textId="104EBAAD"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335,325</w:t>
            </w:r>
          </w:p>
        </w:tc>
        <w:tc>
          <w:tcPr>
            <w:tcW w:w="1710" w:type="dxa"/>
            <w:vAlign w:val="bottom"/>
          </w:tcPr>
          <w:p w14:paraId="73646C98" w14:textId="1EAA1554"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6.00</w:t>
            </w:r>
          </w:p>
        </w:tc>
        <w:tc>
          <w:tcPr>
            <w:tcW w:w="2810" w:type="dxa"/>
            <w:vAlign w:val="bottom"/>
          </w:tcPr>
          <w:p w14:paraId="6EA6EAD8" w14:textId="2F0A0C62"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September 21, 2021</w:t>
            </w:r>
          </w:p>
        </w:tc>
      </w:tr>
      <w:tr w:rsidR="008B3E65" w:rsidRPr="00B420E5" w14:paraId="5748EB3B" w14:textId="77777777" w:rsidTr="00F91D39">
        <w:tc>
          <w:tcPr>
            <w:tcW w:w="1980" w:type="dxa"/>
          </w:tcPr>
          <w:p w14:paraId="594D7C13" w14:textId="6DC2A923"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800</w:t>
            </w:r>
          </w:p>
        </w:tc>
        <w:tc>
          <w:tcPr>
            <w:tcW w:w="1710" w:type="dxa"/>
            <w:vAlign w:val="bottom"/>
          </w:tcPr>
          <w:p w14:paraId="0DABBE4D" w14:textId="3AF102D8"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6.00</w:t>
            </w:r>
          </w:p>
        </w:tc>
        <w:tc>
          <w:tcPr>
            <w:tcW w:w="2810" w:type="dxa"/>
            <w:vAlign w:val="bottom"/>
          </w:tcPr>
          <w:p w14:paraId="10B05210" w14:textId="3CC34D0A"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 2021</w:t>
            </w:r>
          </w:p>
        </w:tc>
      </w:tr>
      <w:tr w:rsidR="008B3E65" w:rsidRPr="00B420E5" w14:paraId="17C8D4C5" w14:textId="77777777" w:rsidTr="00F91D39">
        <w:tc>
          <w:tcPr>
            <w:tcW w:w="1980" w:type="dxa"/>
          </w:tcPr>
          <w:p w14:paraId="1B188BC9" w14:textId="7BE84C57"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90,726</w:t>
            </w:r>
          </w:p>
        </w:tc>
        <w:tc>
          <w:tcPr>
            <w:tcW w:w="1710" w:type="dxa"/>
            <w:vAlign w:val="bottom"/>
          </w:tcPr>
          <w:p w14:paraId="4463C41E" w14:textId="64D82EE1"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6.00</w:t>
            </w:r>
          </w:p>
        </w:tc>
        <w:tc>
          <w:tcPr>
            <w:tcW w:w="2810" w:type="dxa"/>
            <w:vAlign w:val="bottom"/>
          </w:tcPr>
          <w:p w14:paraId="426780E6" w14:textId="2B6F5BEA"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18, 2021</w:t>
            </w:r>
          </w:p>
        </w:tc>
      </w:tr>
      <w:tr w:rsidR="008B3E65" w:rsidRPr="00B420E5" w14:paraId="0A9B6E81" w14:textId="77777777" w:rsidTr="00F91D39">
        <w:tc>
          <w:tcPr>
            <w:tcW w:w="1980" w:type="dxa"/>
          </w:tcPr>
          <w:p w14:paraId="6E344D04" w14:textId="56712779"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378</w:t>
            </w:r>
            <w:r w:rsidR="008B3E65">
              <w:rPr>
                <w:rFonts w:ascii="Arial" w:hAnsi="Arial" w:cs="Arial"/>
                <w:szCs w:val="20"/>
              </w:rPr>
              <w:t>,000</w:t>
            </w:r>
          </w:p>
        </w:tc>
        <w:tc>
          <w:tcPr>
            <w:tcW w:w="1710" w:type="dxa"/>
            <w:vAlign w:val="bottom"/>
          </w:tcPr>
          <w:p w14:paraId="6A5A343A" w14:textId="7EC7249D"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6.00</w:t>
            </w:r>
          </w:p>
        </w:tc>
        <w:tc>
          <w:tcPr>
            <w:tcW w:w="2810" w:type="dxa"/>
            <w:vAlign w:val="bottom"/>
          </w:tcPr>
          <w:p w14:paraId="219274E6" w14:textId="6A25ED55"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October 22, 2021</w:t>
            </w:r>
          </w:p>
        </w:tc>
      </w:tr>
      <w:tr w:rsidR="008B3E65" w:rsidRPr="00B420E5" w14:paraId="2AF5E285" w14:textId="77777777" w:rsidTr="00F91D39">
        <w:tc>
          <w:tcPr>
            <w:tcW w:w="1980" w:type="dxa"/>
          </w:tcPr>
          <w:p w14:paraId="05CB016D" w14:textId="244A317A" w:rsidR="008B3E65" w:rsidRDefault="008B3E65"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7</w:t>
            </w:r>
            <w:r w:rsidR="00F91D39">
              <w:rPr>
                <w:rFonts w:ascii="Arial" w:hAnsi="Arial" w:cs="Arial"/>
                <w:szCs w:val="20"/>
              </w:rPr>
              <w:t>05,800</w:t>
            </w:r>
          </w:p>
        </w:tc>
        <w:tc>
          <w:tcPr>
            <w:tcW w:w="1710" w:type="dxa"/>
            <w:vAlign w:val="bottom"/>
          </w:tcPr>
          <w:p w14:paraId="53E9CEA2" w14:textId="60B7AD21"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3.00</w:t>
            </w:r>
          </w:p>
        </w:tc>
        <w:tc>
          <w:tcPr>
            <w:tcW w:w="2810" w:type="dxa"/>
            <w:vAlign w:val="bottom"/>
          </w:tcPr>
          <w:p w14:paraId="4BA8EF6C" w14:textId="7406983E"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March 16, 2022</w:t>
            </w:r>
          </w:p>
        </w:tc>
      </w:tr>
      <w:tr w:rsidR="008B3E65" w:rsidRPr="00B420E5" w14:paraId="1442F730" w14:textId="77777777" w:rsidTr="00F91D39">
        <w:tc>
          <w:tcPr>
            <w:tcW w:w="1980" w:type="dxa"/>
          </w:tcPr>
          <w:p w14:paraId="705789F5" w14:textId="50DA67F1"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4,613,200</w:t>
            </w:r>
          </w:p>
        </w:tc>
        <w:tc>
          <w:tcPr>
            <w:tcW w:w="1710" w:type="dxa"/>
            <w:vAlign w:val="bottom"/>
          </w:tcPr>
          <w:p w14:paraId="4D0B66E9" w14:textId="6426BDAB"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3.50</w:t>
            </w:r>
          </w:p>
        </w:tc>
        <w:tc>
          <w:tcPr>
            <w:tcW w:w="2810" w:type="dxa"/>
            <w:vAlign w:val="bottom"/>
          </w:tcPr>
          <w:p w14:paraId="4977CEBD" w14:textId="20F0958A"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May 14, 2021</w:t>
            </w:r>
          </w:p>
        </w:tc>
      </w:tr>
      <w:tr w:rsidR="008B3E65" w:rsidRPr="00B420E5" w14:paraId="33D3B80E" w14:textId="77777777" w:rsidTr="00F91D39">
        <w:tc>
          <w:tcPr>
            <w:tcW w:w="1980" w:type="dxa"/>
            <w:tcBorders>
              <w:bottom w:val="single" w:sz="2" w:space="0" w:color="auto"/>
            </w:tcBorders>
          </w:tcPr>
          <w:p w14:paraId="68507908" w14:textId="55EA7F53" w:rsidR="008B3E65" w:rsidRPr="00303283"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1,806,800</w:t>
            </w:r>
          </w:p>
        </w:tc>
        <w:tc>
          <w:tcPr>
            <w:tcW w:w="1710" w:type="dxa"/>
            <w:tcBorders>
              <w:bottom w:val="single" w:sz="2" w:space="0" w:color="auto"/>
            </w:tcBorders>
            <w:vAlign w:val="bottom"/>
          </w:tcPr>
          <w:p w14:paraId="7B246513" w14:textId="4C3ECDCA" w:rsidR="008B3E65" w:rsidRDefault="00F91D39" w:rsidP="004C1A67">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3.50</w:t>
            </w:r>
          </w:p>
        </w:tc>
        <w:tc>
          <w:tcPr>
            <w:tcW w:w="2810" w:type="dxa"/>
            <w:tcBorders>
              <w:bottom w:val="single" w:sz="2" w:space="0" w:color="auto"/>
            </w:tcBorders>
            <w:vAlign w:val="bottom"/>
          </w:tcPr>
          <w:p w14:paraId="3E468E73" w14:textId="7D633AD1" w:rsidR="008B3E65" w:rsidRDefault="008B3E65" w:rsidP="004C1A67">
            <w:pPr>
              <w:tabs>
                <w:tab w:val="center" w:pos="4320"/>
                <w:tab w:val="right" w:pos="8640"/>
              </w:tabs>
              <w:spacing w:after="0" w:line="240" w:lineRule="auto"/>
              <w:ind w:right="459" w:hanging="81"/>
              <w:rPr>
                <w:rFonts w:ascii="Arial" w:hAnsi="Arial" w:cs="Arial"/>
                <w:szCs w:val="20"/>
              </w:rPr>
            </w:pPr>
            <w:r>
              <w:rPr>
                <w:rFonts w:ascii="Arial" w:hAnsi="Arial" w:cs="Arial"/>
                <w:szCs w:val="20"/>
              </w:rPr>
              <w:t>May 29, 2021</w:t>
            </w:r>
          </w:p>
        </w:tc>
      </w:tr>
      <w:tr w:rsidR="008B3E65" w:rsidRPr="00B420E5" w14:paraId="7106DE8A" w14:textId="77777777" w:rsidTr="00F91D39">
        <w:tc>
          <w:tcPr>
            <w:tcW w:w="1980" w:type="dxa"/>
            <w:tcBorders>
              <w:top w:val="single" w:sz="2" w:space="0" w:color="auto"/>
              <w:bottom w:val="single" w:sz="12" w:space="0" w:color="auto"/>
            </w:tcBorders>
          </w:tcPr>
          <w:p w14:paraId="2024C4CE" w14:textId="34A5655E" w:rsidR="008B3E65" w:rsidRDefault="00F91D39" w:rsidP="004C1A67">
            <w:pPr>
              <w:tabs>
                <w:tab w:val="center" w:pos="4320"/>
                <w:tab w:val="right" w:pos="8640"/>
              </w:tabs>
              <w:spacing w:before="120" w:after="0" w:line="240" w:lineRule="auto"/>
              <w:ind w:left="86" w:right="288" w:hanging="86"/>
              <w:jc w:val="right"/>
              <w:rPr>
                <w:rFonts w:ascii="Arial" w:hAnsi="Arial" w:cs="Arial"/>
                <w:szCs w:val="20"/>
              </w:rPr>
            </w:pPr>
            <w:r>
              <w:rPr>
                <w:rFonts w:ascii="Arial" w:hAnsi="Arial" w:cs="Arial"/>
                <w:szCs w:val="20"/>
              </w:rPr>
              <w:t>7,947,892</w:t>
            </w:r>
          </w:p>
        </w:tc>
        <w:tc>
          <w:tcPr>
            <w:tcW w:w="1710" w:type="dxa"/>
            <w:tcBorders>
              <w:top w:val="single" w:sz="2" w:space="0" w:color="auto"/>
              <w:bottom w:val="single" w:sz="12" w:space="0" w:color="auto"/>
            </w:tcBorders>
            <w:vAlign w:val="bottom"/>
          </w:tcPr>
          <w:p w14:paraId="65EF92BD" w14:textId="77777777" w:rsidR="008B3E65" w:rsidRDefault="008B3E65" w:rsidP="004C1A67">
            <w:pPr>
              <w:tabs>
                <w:tab w:val="center" w:pos="4320"/>
                <w:tab w:val="right" w:pos="8640"/>
              </w:tabs>
              <w:spacing w:before="120" w:after="0" w:line="240" w:lineRule="auto"/>
              <w:ind w:left="86" w:right="288" w:hanging="86"/>
              <w:jc w:val="right"/>
              <w:rPr>
                <w:rFonts w:ascii="Arial" w:hAnsi="Arial" w:cs="Arial"/>
                <w:szCs w:val="20"/>
              </w:rPr>
            </w:pPr>
          </w:p>
        </w:tc>
        <w:tc>
          <w:tcPr>
            <w:tcW w:w="2810" w:type="dxa"/>
            <w:tcBorders>
              <w:top w:val="single" w:sz="2" w:space="0" w:color="auto"/>
              <w:bottom w:val="single" w:sz="12" w:space="0" w:color="auto"/>
            </w:tcBorders>
            <w:vAlign w:val="bottom"/>
          </w:tcPr>
          <w:p w14:paraId="32DD5B5D" w14:textId="77777777" w:rsidR="008B3E65" w:rsidRDefault="008B3E65" w:rsidP="004C1A67">
            <w:pPr>
              <w:tabs>
                <w:tab w:val="center" w:pos="4320"/>
                <w:tab w:val="right" w:pos="8640"/>
              </w:tabs>
              <w:spacing w:before="120" w:after="0" w:line="240" w:lineRule="auto"/>
              <w:ind w:right="459" w:hanging="81"/>
              <w:rPr>
                <w:rFonts w:ascii="Arial" w:hAnsi="Arial" w:cs="Arial"/>
                <w:szCs w:val="20"/>
              </w:rPr>
            </w:pPr>
          </w:p>
        </w:tc>
      </w:tr>
    </w:tbl>
    <w:p w14:paraId="0A7E9AA7" w14:textId="77777777" w:rsidR="00F6465A" w:rsidRDefault="00F6465A" w:rsidP="00F15B99">
      <w:pPr>
        <w:tabs>
          <w:tab w:val="left" w:pos="432"/>
          <w:tab w:val="left" w:pos="792"/>
        </w:tabs>
        <w:spacing w:after="0" w:line="240" w:lineRule="auto"/>
        <w:jc w:val="both"/>
        <w:rPr>
          <w:rFonts w:ascii="Arial" w:hAnsi="Arial" w:cs="Arial"/>
          <w:b/>
          <w:szCs w:val="20"/>
        </w:rPr>
      </w:pPr>
    </w:p>
    <w:p w14:paraId="02BA42CD" w14:textId="35FFC16D" w:rsidR="00790828" w:rsidRPr="00CA68B9" w:rsidRDefault="00320D7D" w:rsidP="00F15B99">
      <w:pPr>
        <w:tabs>
          <w:tab w:val="left" w:pos="432"/>
          <w:tab w:val="left" w:pos="792"/>
        </w:tabs>
        <w:spacing w:after="0" w:line="240" w:lineRule="auto"/>
        <w:jc w:val="both"/>
        <w:rPr>
          <w:rFonts w:ascii="Arial" w:hAnsi="Arial" w:cs="Arial"/>
          <w:b/>
          <w:szCs w:val="20"/>
        </w:rPr>
      </w:pPr>
      <w:r w:rsidRPr="00CA68B9">
        <w:rPr>
          <w:rFonts w:ascii="Arial" w:hAnsi="Arial" w:cs="Arial"/>
          <w:b/>
          <w:szCs w:val="20"/>
        </w:rPr>
        <w:t>1</w:t>
      </w:r>
      <w:r w:rsidR="002D620A">
        <w:rPr>
          <w:rFonts w:ascii="Arial" w:hAnsi="Arial" w:cs="Arial"/>
          <w:b/>
          <w:szCs w:val="20"/>
        </w:rPr>
        <w:t>3</w:t>
      </w:r>
      <w:r w:rsidR="00790828" w:rsidRPr="00CA68B9">
        <w:rPr>
          <w:rFonts w:ascii="Arial" w:hAnsi="Arial" w:cs="Arial"/>
          <w:b/>
          <w:szCs w:val="20"/>
        </w:rPr>
        <w:t>.</w:t>
      </w:r>
      <w:r w:rsidR="00790828" w:rsidRPr="00CA68B9">
        <w:rPr>
          <w:rFonts w:ascii="Arial" w:hAnsi="Arial" w:cs="Arial"/>
          <w:b/>
          <w:szCs w:val="20"/>
        </w:rPr>
        <w:tab/>
      </w:r>
      <w:r w:rsidR="005B38D5">
        <w:rPr>
          <w:rFonts w:ascii="Arial" w:hAnsi="Arial" w:cs="Arial"/>
          <w:b/>
          <w:szCs w:val="20"/>
        </w:rPr>
        <w:t>Long-term Incentive Plans</w:t>
      </w:r>
    </w:p>
    <w:p w14:paraId="5D3A8A5B" w14:textId="77777777" w:rsidR="00181AEB" w:rsidRPr="00CA68B9" w:rsidRDefault="00181AEB" w:rsidP="00F15B99">
      <w:pPr>
        <w:pStyle w:val="BodyTextIndent2"/>
        <w:spacing w:after="0" w:line="240" w:lineRule="auto"/>
        <w:ind w:left="450"/>
        <w:jc w:val="both"/>
        <w:rPr>
          <w:rFonts w:ascii="Arial" w:hAnsi="Arial" w:cs="Arial"/>
          <w:szCs w:val="20"/>
          <w:lang w:val="en-CA"/>
        </w:rPr>
      </w:pPr>
    </w:p>
    <w:p w14:paraId="3EA17502" w14:textId="5E1402D7" w:rsidR="0053697F" w:rsidRDefault="0053697F" w:rsidP="00F15B99">
      <w:pPr>
        <w:pStyle w:val="BodyTextIndent2"/>
        <w:spacing w:after="0" w:line="240" w:lineRule="auto"/>
        <w:ind w:left="450"/>
        <w:jc w:val="both"/>
        <w:rPr>
          <w:rFonts w:ascii="Arial" w:hAnsi="Arial" w:cs="Arial"/>
          <w:szCs w:val="20"/>
          <w:lang w:val="en-CA"/>
        </w:rPr>
      </w:pPr>
      <w:r w:rsidRPr="00CA68B9">
        <w:rPr>
          <w:rFonts w:ascii="Arial" w:hAnsi="Arial" w:cs="Arial"/>
          <w:szCs w:val="20"/>
          <w:lang w:val="en-CA"/>
        </w:rPr>
        <w:t xml:space="preserve">Effective </w:t>
      </w:r>
      <w:r w:rsidR="002520DA" w:rsidRPr="00CA68B9">
        <w:rPr>
          <w:rFonts w:ascii="Arial" w:hAnsi="Arial" w:cs="Arial"/>
          <w:szCs w:val="20"/>
          <w:lang w:val="en-CA"/>
        </w:rPr>
        <w:t>October 1, 2019</w:t>
      </w:r>
      <w:r w:rsidRPr="00CA68B9">
        <w:rPr>
          <w:rFonts w:ascii="Arial" w:hAnsi="Arial" w:cs="Arial"/>
          <w:szCs w:val="20"/>
          <w:lang w:val="en-CA"/>
        </w:rPr>
        <w:t xml:space="preserve">, the Company adopted a </w:t>
      </w:r>
      <w:r w:rsidR="002520DA" w:rsidRPr="00CA68B9">
        <w:rPr>
          <w:rFonts w:ascii="Arial" w:hAnsi="Arial" w:cs="Arial"/>
          <w:szCs w:val="20"/>
          <w:lang w:val="en-CA"/>
        </w:rPr>
        <w:t>long-term incentive plan</w:t>
      </w:r>
      <w:r w:rsidRPr="00CA68B9">
        <w:rPr>
          <w:rFonts w:ascii="Arial" w:hAnsi="Arial" w:cs="Arial"/>
          <w:szCs w:val="20"/>
          <w:lang w:val="en-CA"/>
        </w:rPr>
        <w:t xml:space="preserve">. Under this plan, the Company may grant </w:t>
      </w:r>
      <w:r w:rsidR="009F232E">
        <w:rPr>
          <w:rFonts w:ascii="Arial" w:hAnsi="Arial" w:cs="Arial"/>
          <w:szCs w:val="20"/>
          <w:lang w:val="en-CA"/>
        </w:rPr>
        <w:t xml:space="preserve">share purchase </w:t>
      </w:r>
      <w:r w:rsidRPr="00CA68B9">
        <w:rPr>
          <w:rFonts w:ascii="Arial" w:hAnsi="Arial" w:cs="Arial"/>
          <w:szCs w:val="20"/>
          <w:lang w:val="en-CA"/>
        </w:rPr>
        <w:t>options</w:t>
      </w:r>
      <w:r w:rsidR="00CA68B9" w:rsidRPr="00CA68B9">
        <w:rPr>
          <w:rFonts w:ascii="Arial" w:hAnsi="Arial" w:cs="Arial"/>
          <w:szCs w:val="20"/>
          <w:lang w:val="en-CA"/>
        </w:rPr>
        <w:t xml:space="preserve">, </w:t>
      </w:r>
      <w:r w:rsidR="008725DE">
        <w:rPr>
          <w:rFonts w:ascii="Arial" w:hAnsi="Arial" w:cs="Arial"/>
          <w:szCs w:val="20"/>
          <w:lang w:val="en-CA"/>
        </w:rPr>
        <w:t>RSUs</w:t>
      </w:r>
      <w:r w:rsidR="00CA68B9" w:rsidRPr="00CA68B9">
        <w:rPr>
          <w:rFonts w:ascii="Arial" w:hAnsi="Arial" w:cs="Arial"/>
          <w:szCs w:val="20"/>
          <w:lang w:val="en-CA"/>
        </w:rPr>
        <w:t xml:space="preserve">, </w:t>
      </w:r>
      <w:r w:rsidR="008725DE">
        <w:rPr>
          <w:rFonts w:ascii="Arial" w:hAnsi="Arial" w:cs="Arial"/>
          <w:szCs w:val="20"/>
          <w:lang w:val="en-CA"/>
        </w:rPr>
        <w:t>PSUs</w:t>
      </w:r>
      <w:r w:rsidR="00CA68B9" w:rsidRPr="00CA68B9">
        <w:rPr>
          <w:rFonts w:ascii="Arial" w:hAnsi="Arial" w:cs="Arial"/>
          <w:szCs w:val="20"/>
          <w:lang w:val="en-CA"/>
        </w:rPr>
        <w:t xml:space="preserve"> or deferred share units</w:t>
      </w:r>
      <w:r w:rsidRPr="00CA68B9">
        <w:rPr>
          <w:rFonts w:ascii="Arial" w:hAnsi="Arial" w:cs="Arial"/>
          <w:szCs w:val="20"/>
          <w:lang w:val="en-CA"/>
        </w:rPr>
        <w:t xml:space="preserve"> </w:t>
      </w:r>
      <w:r w:rsidR="00E60A82" w:rsidRPr="00CA68B9">
        <w:rPr>
          <w:rFonts w:ascii="Arial" w:hAnsi="Arial" w:cs="Arial"/>
          <w:szCs w:val="20"/>
          <w:lang w:val="en-CA"/>
        </w:rPr>
        <w:t xml:space="preserve">to its directors, officers, employees and consultants </w:t>
      </w:r>
      <w:r w:rsidRPr="00CA68B9">
        <w:rPr>
          <w:rFonts w:ascii="Arial" w:hAnsi="Arial" w:cs="Arial"/>
          <w:szCs w:val="20"/>
          <w:lang w:val="en-CA"/>
        </w:rPr>
        <w:t>up to an amount</w:t>
      </w:r>
      <w:r w:rsidR="00E60A82" w:rsidRPr="00CA68B9">
        <w:rPr>
          <w:rFonts w:ascii="Arial" w:hAnsi="Arial" w:cs="Arial"/>
          <w:szCs w:val="20"/>
          <w:lang w:val="en-CA"/>
        </w:rPr>
        <w:t xml:space="preserve"> as determined by the Company and will be no more than </w:t>
      </w:r>
      <w:r w:rsidR="00CA68B9" w:rsidRPr="00CA68B9">
        <w:rPr>
          <w:rFonts w:ascii="Arial" w:hAnsi="Arial" w:cs="Arial"/>
          <w:szCs w:val="20"/>
          <w:lang w:val="en-CA"/>
        </w:rPr>
        <w:t>10% of</w:t>
      </w:r>
      <w:r w:rsidR="00E60A82" w:rsidRPr="00CA68B9">
        <w:rPr>
          <w:rFonts w:ascii="Arial" w:hAnsi="Arial" w:cs="Arial"/>
          <w:szCs w:val="20"/>
          <w:lang w:val="en-CA"/>
        </w:rPr>
        <w:t xml:space="preserve"> </w:t>
      </w:r>
      <w:r w:rsidR="00C634FA" w:rsidRPr="00CA68B9">
        <w:rPr>
          <w:rFonts w:ascii="Arial" w:hAnsi="Arial" w:cs="Arial"/>
          <w:szCs w:val="20"/>
          <w:lang w:val="en-CA"/>
        </w:rPr>
        <w:t xml:space="preserve">its </w:t>
      </w:r>
      <w:r w:rsidR="00E60A82" w:rsidRPr="00CA68B9">
        <w:rPr>
          <w:rFonts w:ascii="Arial" w:hAnsi="Arial" w:cs="Arial"/>
          <w:szCs w:val="20"/>
          <w:lang w:val="en-CA"/>
        </w:rPr>
        <w:t xml:space="preserve">outstanding common </w:t>
      </w:r>
      <w:r w:rsidR="00DB5BF7" w:rsidRPr="00CA68B9">
        <w:rPr>
          <w:rFonts w:ascii="Arial" w:hAnsi="Arial" w:cs="Arial"/>
          <w:szCs w:val="20"/>
          <w:lang w:val="en-CA"/>
        </w:rPr>
        <w:t>shares</w:t>
      </w:r>
      <w:r w:rsidR="00E60A82" w:rsidRPr="00CA68B9">
        <w:rPr>
          <w:rFonts w:ascii="Arial" w:hAnsi="Arial" w:cs="Arial"/>
          <w:szCs w:val="20"/>
          <w:lang w:val="en-CA"/>
        </w:rPr>
        <w:t xml:space="preserve"> </w:t>
      </w:r>
      <w:r w:rsidR="00CA68B9" w:rsidRPr="00CA68B9">
        <w:rPr>
          <w:rFonts w:ascii="Arial" w:hAnsi="Arial" w:cs="Arial"/>
          <w:szCs w:val="20"/>
          <w:lang w:val="en-CA"/>
        </w:rPr>
        <w:t>on a fully-diluted basis</w:t>
      </w:r>
      <w:r w:rsidRPr="00CA68B9">
        <w:rPr>
          <w:rFonts w:ascii="Arial" w:hAnsi="Arial" w:cs="Arial"/>
          <w:szCs w:val="20"/>
          <w:lang w:val="en-CA"/>
        </w:rPr>
        <w:t xml:space="preserve">. The exercise price of the </w:t>
      </w:r>
      <w:r w:rsidR="00DB5BF7" w:rsidRPr="00CA68B9">
        <w:rPr>
          <w:rFonts w:ascii="Arial" w:hAnsi="Arial" w:cs="Arial"/>
          <w:szCs w:val="20"/>
          <w:lang w:val="en-CA"/>
        </w:rPr>
        <w:t>share purchase options</w:t>
      </w:r>
      <w:r w:rsidRPr="00CA68B9">
        <w:rPr>
          <w:rFonts w:ascii="Arial" w:hAnsi="Arial" w:cs="Arial"/>
          <w:szCs w:val="20"/>
          <w:lang w:val="en-CA"/>
        </w:rPr>
        <w:t xml:space="preserve"> will be determined by the Company and will be no less than </w:t>
      </w:r>
      <w:r w:rsidR="00CA68B9" w:rsidRPr="00CA68B9">
        <w:rPr>
          <w:rFonts w:ascii="Arial" w:hAnsi="Arial" w:cs="Arial"/>
          <w:szCs w:val="20"/>
          <w:lang w:val="en-CA"/>
        </w:rPr>
        <w:t>market price on grant date</w:t>
      </w:r>
      <w:r>
        <w:rPr>
          <w:rFonts w:ascii="Arial" w:hAnsi="Arial" w:cs="Arial"/>
          <w:szCs w:val="20"/>
          <w:lang w:val="en-CA"/>
        </w:rPr>
        <w:t>.</w:t>
      </w:r>
    </w:p>
    <w:p w14:paraId="29DA9C20" w14:textId="5881FECB" w:rsidR="00181AEB" w:rsidRDefault="00181AEB" w:rsidP="00F15B99">
      <w:pPr>
        <w:pStyle w:val="BodyTextIndent2"/>
        <w:spacing w:after="0" w:line="240" w:lineRule="auto"/>
        <w:ind w:left="0" w:firstLine="450"/>
        <w:rPr>
          <w:rFonts w:ascii="Arial" w:hAnsi="Arial" w:cs="Arial"/>
          <w:szCs w:val="20"/>
          <w:lang w:val="en-CA"/>
        </w:rPr>
      </w:pPr>
    </w:p>
    <w:p w14:paraId="130A9419" w14:textId="17E03510" w:rsidR="001C2047" w:rsidRPr="001C2047" w:rsidRDefault="00A33BC5" w:rsidP="001C2047">
      <w:pPr>
        <w:pStyle w:val="ListParagraph"/>
        <w:numPr>
          <w:ilvl w:val="0"/>
          <w:numId w:val="45"/>
        </w:numPr>
        <w:tabs>
          <w:tab w:val="left" w:pos="810"/>
        </w:tabs>
        <w:spacing w:after="0"/>
        <w:rPr>
          <w:rFonts w:ascii="Arial" w:hAnsi="Arial" w:cs="Arial"/>
          <w:bCs/>
          <w:szCs w:val="20"/>
        </w:rPr>
      </w:pPr>
      <w:r w:rsidRPr="001C2047">
        <w:rPr>
          <w:rFonts w:ascii="Arial" w:hAnsi="Arial" w:cs="Arial"/>
          <w:bCs/>
          <w:szCs w:val="20"/>
        </w:rPr>
        <w:t>Restricted Stock Units</w:t>
      </w:r>
    </w:p>
    <w:p w14:paraId="1E8297F4" w14:textId="77777777" w:rsidR="001C2047" w:rsidRDefault="001C2047" w:rsidP="001C2047">
      <w:pPr>
        <w:pStyle w:val="BodyTextIndent2"/>
        <w:spacing w:after="0" w:line="240" w:lineRule="auto"/>
        <w:ind w:left="446"/>
        <w:jc w:val="both"/>
        <w:rPr>
          <w:rFonts w:ascii="Arial" w:hAnsi="Arial" w:cs="Arial"/>
          <w:szCs w:val="20"/>
          <w:lang w:val="en-CA"/>
        </w:rPr>
      </w:pPr>
    </w:p>
    <w:p w14:paraId="34FA8816" w14:textId="4E9E998E" w:rsidR="001C2047" w:rsidRDefault="001C2047" w:rsidP="001C2047">
      <w:pPr>
        <w:pStyle w:val="BodyTextIndent2"/>
        <w:spacing w:after="0" w:line="240" w:lineRule="auto"/>
        <w:ind w:left="81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Pr>
          <w:rFonts w:ascii="Arial" w:hAnsi="Arial" w:cs="Arial"/>
          <w:szCs w:val="20"/>
          <w:lang w:val="en-CA"/>
        </w:rPr>
        <w:t>RSUs</w:t>
      </w:r>
      <w:r w:rsidRPr="00F60034">
        <w:rPr>
          <w:rFonts w:ascii="Arial" w:hAnsi="Arial" w:cs="Arial"/>
          <w:szCs w:val="20"/>
          <w:lang w:val="en-CA"/>
        </w:rPr>
        <w:t>:</w:t>
      </w:r>
    </w:p>
    <w:p w14:paraId="0A438BD0" w14:textId="77777777" w:rsidR="001C2047" w:rsidRPr="00F60034" w:rsidRDefault="001C2047" w:rsidP="001C2047">
      <w:pPr>
        <w:pStyle w:val="BodyTextIndent2"/>
        <w:spacing w:after="0" w:line="240" w:lineRule="auto"/>
        <w:ind w:left="806"/>
        <w:rPr>
          <w:rFonts w:ascii="Arial" w:hAnsi="Arial" w:cs="Arial"/>
          <w:szCs w:val="20"/>
          <w:lang w:val="en-CA"/>
        </w:rPr>
      </w:pPr>
    </w:p>
    <w:tbl>
      <w:tblPr>
        <w:tblW w:w="8460" w:type="dxa"/>
        <w:tblInd w:w="810" w:type="dxa"/>
        <w:tblCellMar>
          <w:left w:w="0" w:type="dxa"/>
          <w:right w:w="0" w:type="dxa"/>
        </w:tblCellMar>
        <w:tblLook w:val="0000" w:firstRow="0" w:lastRow="0" w:firstColumn="0" w:lastColumn="0" w:noHBand="0" w:noVBand="0"/>
      </w:tblPr>
      <w:tblGrid>
        <w:gridCol w:w="7200"/>
        <w:gridCol w:w="1260"/>
      </w:tblGrid>
      <w:tr w:rsidR="001C2047" w:rsidRPr="00F91D39" w14:paraId="530BA0B9" w14:textId="77777777" w:rsidTr="001C2047">
        <w:tc>
          <w:tcPr>
            <w:tcW w:w="7200" w:type="dxa"/>
            <w:tcBorders>
              <w:bottom w:val="single" w:sz="4" w:space="0" w:color="auto"/>
            </w:tcBorders>
            <w:vAlign w:val="bottom"/>
          </w:tcPr>
          <w:p w14:paraId="5C57598B" w14:textId="77777777" w:rsidR="001C2047" w:rsidRPr="00D0623F" w:rsidRDefault="001C2047" w:rsidP="00FC3565">
            <w:pPr>
              <w:spacing w:after="0" w:line="240" w:lineRule="auto"/>
              <w:jc w:val="center"/>
              <w:rPr>
                <w:rStyle w:val="HeadNoteTitle"/>
                <w:rFonts w:cs="Arial"/>
                <w:b w:val="0"/>
                <w:bCs/>
                <w:sz w:val="20"/>
                <w:szCs w:val="20"/>
              </w:rPr>
            </w:pPr>
            <w:r w:rsidRPr="00D0623F">
              <w:rPr>
                <w:rFonts w:ascii="Arial" w:hAnsi="Arial" w:cs="Arial"/>
                <w:szCs w:val="20"/>
              </w:rPr>
              <w:fldChar w:fldCharType="begin"/>
            </w:r>
            <w:r w:rsidRPr="00D0623F">
              <w:rPr>
                <w:rFonts w:ascii="Arial" w:hAnsi="Arial" w:cs="Arial"/>
                <w:szCs w:val="20"/>
              </w:rPr>
              <w:instrText>ADVANCE \d 5</w:instrText>
            </w:r>
            <w:r w:rsidRPr="00D0623F">
              <w:rPr>
                <w:rFonts w:ascii="Arial" w:hAnsi="Arial" w:cs="Arial"/>
                <w:szCs w:val="20"/>
              </w:rPr>
              <w:fldChar w:fldCharType="end"/>
            </w:r>
          </w:p>
        </w:tc>
        <w:tc>
          <w:tcPr>
            <w:tcW w:w="1260" w:type="dxa"/>
            <w:tcBorders>
              <w:bottom w:val="single" w:sz="4" w:space="0" w:color="auto"/>
            </w:tcBorders>
            <w:vAlign w:val="bottom"/>
          </w:tcPr>
          <w:p w14:paraId="30BCA507" w14:textId="77777777" w:rsidR="001C2047" w:rsidRPr="00F91D39" w:rsidRDefault="001C2047" w:rsidP="00FC3565">
            <w:pPr>
              <w:spacing w:after="0" w:line="240" w:lineRule="auto"/>
              <w:jc w:val="center"/>
              <w:rPr>
                <w:rFonts w:ascii="Arial" w:hAnsi="Arial" w:cs="Arial"/>
                <w:szCs w:val="20"/>
              </w:rPr>
            </w:pPr>
            <w:r w:rsidRPr="00F91D39">
              <w:rPr>
                <w:rFonts w:ascii="Arial" w:hAnsi="Arial" w:cs="Arial"/>
                <w:szCs w:val="20"/>
              </w:rPr>
              <w:t>Number</w:t>
            </w:r>
            <w:r w:rsidRPr="00F91D39">
              <w:rPr>
                <w:rFonts w:ascii="Arial" w:hAnsi="Arial" w:cs="Arial"/>
                <w:szCs w:val="20"/>
              </w:rPr>
              <w:br/>
              <w:t>of RSUs</w:t>
            </w:r>
          </w:p>
          <w:p w14:paraId="1E12FF11" w14:textId="18F88C49" w:rsidR="00F91D39" w:rsidRPr="00F91D39" w:rsidRDefault="00F91D39" w:rsidP="00FC3565">
            <w:pPr>
              <w:spacing w:after="0" w:line="240" w:lineRule="auto"/>
              <w:jc w:val="center"/>
              <w:rPr>
                <w:rStyle w:val="HeadNoteTitle"/>
                <w:rFonts w:cs="Arial"/>
                <w:b w:val="0"/>
                <w:sz w:val="20"/>
                <w:szCs w:val="20"/>
              </w:rPr>
            </w:pPr>
            <w:r w:rsidRPr="00F91D39">
              <w:rPr>
                <w:rStyle w:val="HeadNoteTitle"/>
                <w:rFonts w:cs="Arial"/>
                <w:b w:val="0"/>
                <w:sz w:val="20"/>
                <w:szCs w:val="20"/>
              </w:rPr>
              <w:t>(</w:t>
            </w:r>
            <w:r w:rsidRPr="00F91D39">
              <w:rPr>
                <w:rStyle w:val="HeadNoteTitle"/>
                <w:b w:val="0"/>
                <w:sz w:val="20"/>
                <w:szCs w:val="20"/>
              </w:rPr>
              <w:t>Note 22(g))</w:t>
            </w:r>
          </w:p>
        </w:tc>
      </w:tr>
      <w:tr w:rsidR="001C2047" w:rsidRPr="00D0623F" w14:paraId="0B2F2A35" w14:textId="77777777" w:rsidTr="001C2047">
        <w:trPr>
          <w:trHeight w:hRule="exact" w:val="115"/>
        </w:trPr>
        <w:tc>
          <w:tcPr>
            <w:tcW w:w="7200" w:type="dxa"/>
            <w:tcBorders>
              <w:top w:val="single" w:sz="4" w:space="0" w:color="auto"/>
            </w:tcBorders>
          </w:tcPr>
          <w:p w14:paraId="0021ADE1" w14:textId="77777777" w:rsidR="001C2047" w:rsidRPr="00D0623F" w:rsidRDefault="001C2047" w:rsidP="00FC3565">
            <w:pPr>
              <w:spacing w:after="0" w:line="240" w:lineRule="auto"/>
              <w:rPr>
                <w:rFonts w:ascii="Arial" w:hAnsi="Arial" w:cs="Arial"/>
                <w:szCs w:val="20"/>
              </w:rPr>
            </w:pPr>
          </w:p>
        </w:tc>
        <w:tc>
          <w:tcPr>
            <w:tcW w:w="1260" w:type="dxa"/>
            <w:tcBorders>
              <w:top w:val="single" w:sz="4" w:space="0" w:color="auto"/>
            </w:tcBorders>
          </w:tcPr>
          <w:p w14:paraId="27184DF5" w14:textId="77777777" w:rsidR="001C2047" w:rsidRPr="00D0623F" w:rsidRDefault="001C2047" w:rsidP="00FC3565">
            <w:pPr>
              <w:spacing w:after="0" w:line="240" w:lineRule="auto"/>
              <w:ind w:right="29"/>
              <w:jc w:val="right"/>
              <w:rPr>
                <w:rStyle w:val="HeadNoteTitle"/>
                <w:rFonts w:cs="Arial"/>
                <w:b w:val="0"/>
                <w:bCs/>
                <w:sz w:val="20"/>
                <w:szCs w:val="20"/>
              </w:rPr>
            </w:pPr>
          </w:p>
        </w:tc>
      </w:tr>
      <w:tr w:rsidR="001C2047" w:rsidRPr="00D0623F" w14:paraId="7FD237A3" w14:textId="77777777" w:rsidTr="001C2047">
        <w:tc>
          <w:tcPr>
            <w:tcW w:w="7200" w:type="dxa"/>
          </w:tcPr>
          <w:p w14:paraId="0FD78A42" w14:textId="26941AEC" w:rsidR="001C2047" w:rsidRPr="00D0623F" w:rsidRDefault="001C2047" w:rsidP="00FC3565">
            <w:pPr>
              <w:spacing w:after="0" w:line="240" w:lineRule="auto"/>
              <w:rPr>
                <w:rFonts w:ascii="Arial" w:hAnsi="Arial" w:cs="Arial"/>
                <w:szCs w:val="20"/>
              </w:rPr>
            </w:pPr>
            <w:r w:rsidRPr="00D0623F">
              <w:rPr>
                <w:rFonts w:ascii="Arial" w:hAnsi="Arial" w:cs="Arial"/>
                <w:szCs w:val="20"/>
              </w:rPr>
              <w:t>Outstanding, January 31, 2019</w:t>
            </w:r>
            <w:r>
              <w:rPr>
                <w:rFonts w:ascii="Arial" w:hAnsi="Arial" w:cs="Arial"/>
                <w:szCs w:val="20"/>
              </w:rPr>
              <w:t xml:space="preserve"> </w:t>
            </w:r>
          </w:p>
        </w:tc>
        <w:tc>
          <w:tcPr>
            <w:tcW w:w="1260" w:type="dxa"/>
            <w:vAlign w:val="bottom"/>
          </w:tcPr>
          <w:p w14:paraId="5ADFBE2C" w14:textId="44BE3A5A" w:rsidR="001C2047" w:rsidRPr="00D0623F" w:rsidRDefault="001C2047" w:rsidP="00FC3565">
            <w:pPr>
              <w:pStyle w:val="Header"/>
              <w:tabs>
                <w:tab w:val="left" w:pos="990"/>
              </w:tabs>
              <w:ind w:left="86" w:right="90" w:hanging="86"/>
              <w:jc w:val="right"/>
              <w:rPr>
                <w:rFonts w:ascii="Arial" w:hAnsi="Arial" w:cs="Arial"/>
                <w:szCs w:val="20"/>
              </w:rPr>
            </w:pPr>
            <w:r w:rsidRPr="00D0623F">
              <w:rPr>
                <w:rFonts w:ascii="Arial" w:hAnsi="Arial" w:cs="Arial"/>
                <w:szCs w:val="20"/>
              </w:rPr>
              <w:t>–</w:t>
            </w:r>
          </w:p>
        </w:tc>
      </w:tr>
      <w:tr w:rsidR="001C2047" w:rsidRPr="00D0623F" w14:paraId="6401740B" w14:textId="77777777" w:rsidTr="001C2047">
        <w:tc>
          <w:tcPr>
            <w:tcW w:w="7200" w:type="dxa"/>
          </w:tcPr>
          <w:p w14:paraId="3EAD62A6" w14:textId="7E788D04" w:rsidR="001C2047" w:rsidRPr="007E6159" w:rsidRDefault="001C2047" w:rsidP="00FC3565">
            <w:pPr>
              <w:spacing w:after="0" w:line="240" w:lineRule="auto"/>
              <w:ind w:left="180"/>
              <w:rPr>
                <w:rFonts w:ascii="Arial" w:hAnsi="Arial" w:cs="Arial"/>
                <w:szCs w:val="20"/>
              </w:rPr>
            </w:pPr>
            <w:r w:rsidRPr="007E6159">
              <w:rPr>
                <w:rFonts w:ascii="Arial" w:hAnsi="Arial" w:cs="Arial"/>
                <w:szCs w:val="20"/>
              </w:rPr>
              <w:t xml:space="preserve">Granted </w:t>
            </w:r>
          </w:p>
        </w:tc>
        <w:tc>
          <w:tcPr>
            <w:tcW w:w="1260" w:type="dxa"/>
            <w:vAlign w:val="bottom"/>
          </w:tcPr>
          <w:p w14:paraId="1CAE4CA7" w14:textId="58CE0132" w:rsidR="001C2047" w:rsidRPr="00D0623F" w:rsidRDefault="00F91D39" w:rsidP="00FC3565">
            <w:pPr>
              <w:pStyle w:val="Header"/>
              <w:tabs>
                <w:tab w:val="left" w:pos="990"/>
              </w:tabs>
              <w:ind w:left="86" w:right="90" w:hanging="86"/>
              <w:jc w:val="right"/>
              <w:rPr>
                <w:rFonts w:ascii="Arial" w:hAnsi="Arial" w:cs="Arial"/>
                <w:szCs w:val="20"/>
              </w:rPr>
            </w:pPr>
            <w:r>
              <w:rPr>
                <w:rFonts w:ascii="Arial" w:hAnsi="Arial" w:cs="Arial"/>
                <w:szCs w:val="20"/>
              </w:rPr>
              <w:t>275</w:t>
            </w:r>
            <w:r w:rsidR="001C2047" w:rsidRPr="007E6159">
              <w:rPr>
                <w:rFonts w:ascii="Arial" w:hAnsi="Arial" w:cs="Arial"/>
                <w:szCs w:val="20"/>
              </w:rPr>
              <w:t>,000</w:t>
            </w:r>
          </w:p>
        </w:tc>
      </w:tr>
      <w:tr w:rsidR="001C2047" w:rsidRPr="00D0623F" w14:paraId="0FACA9F1" w14:textId="77777777" w:rsidTr="001C2047">
        <w:trPr>
          <w:trHeight w:hRule="exact" w:val="115"/>
        </w:trPr>
        <w:tc>
          <w:tcPr>
            <w:tcW w:w="7200" w:type="dxa"/>
            <w:tcBorders>
              <w:top w:val="single" w:sz="4" w:space="0" w:color="auto"/>
            </w:tcBorders>
          </w:tcPr>
          <w:p w14:paraId="25AE8334" w14:textId="77777777" w:rsidR="001C2047" w:rsidRPr="00D0623F" w:rsidRDefault="001C2047" w:rsidP="00FC3565">
            <w:pPr>
              <w:spacing w:after="0" w:line="240" w:lineRule="auto"/>
              <w:rPr>
                <w:rFonts w:ascii="Arial" w:hAnsi="Arial" w:cs="Arial"/>
                <w:szCs w:val="20"/>
              </w:rPr>
            </w:pPr>
          </w:p>
        </w:tc>
        <w:tc>
          <w:tcPr>
            <w:tcW w:w="1260" w:type="dxa"/>
            <w:tcBorders>
              <w:top w:val="single" w:sz="4" w:space="0" w:color="auto"/>
            </w:tcBorders>
          </w:tcPr>
          <w:p w14:paraId="32EC2866" w14:textId="77777777" w:rsidR="001C2047" w:rsidRPr="00D0623F" w:rsidRDefault="001C2047" w:rsidP="00FC3565">
            <w:pPr>
              <w:spacing w:after="0" w:line="240" w:lineRule="auto"/>
              <w:ind w:right="29"/>
              <w:jc w:val="right"/>
              <w:rPr>
                <w:rStyle w:val="HeadNoteTitle"/>
                <w:rFonts w:cs="Arial"/>
                <w:b w:val="0"/>
                <w:bCs/>
                <w:sz w:val="20"/>
                <w:szCs w:val="20"/>
              </w:rPr>
            </w:pPr>
          </w:p>
        </w:tc>
      </w:tr>
      <w:tr w:rsidR="001C2047" w:rsidRPr="00F60034" w14:paraId="22658531" w14:textId="77777777" w:rsidTr="001C2047">
        <w:tc>
          <w:tcPr>
            <w:tcW w:w="7200" w:type="dxa"/>
            <w:tcBorders>
              <w:bottom w:val="single" w:sz="12" w:space="0" w:color="auto"/>
            </w:tcBorders>
          </w:tcPr>
          <w:p w14:paraId="6E00422A" w14:textId="13CC0775" w:rsidR="001C2047" w:rsidRPr="00D0623F" w:rsidRDefault="001C2047" w:rsidP="00FC3565">
            <w:pPr>
              <w:spacing w:after="0" w:line="240" w:lineRule="auto"/>
              <w:rPr>
                <w:rFonts w:ascii="Arial" w:hAnsi="Arial" w:cs="Arial"/>
                <w:szCs w:val="20"/>
              </w:rPr>
            </w:pPr>
            <w:r w:rsidRPr="00D0623F">
              <w:rPr>
                <w:rFonts w:ascii="Arial" w:hAnsi="Arial" w:cs="Arial"/>
                <w:szCs w:val="20"/>
              </w:rPr>
              <w:t xml:space="preserve">Outstanding, </w:t>
            </w:r>
            <w:r w:rsidR="00916ED5">
              <w:rPr>
                <w:rFonts w:ascii="Arial" w:hAnsi="Arial" w:cs="Arial"/>
                <w:szCs w:val="20"/>
              </w:rPr>
              <w:t xml:space="preserve">April 30, 2020 and </w:t>
            </w:r>
            <w:r>
              <w:rPr>
                <w:rFonts w:ascii="Arial" w:hAnsi="Arial" w:cs="Arial"/>
                <w:szCs w:val="20"/>
              </w:rPr>
              <w:t>January 31, 2020</w:t>
            </w:r>
          </w:p>
        </w:tc>
        <w:tc>
          <w:tcPr>
            <w:tcW w:w="1260" w:type="dxa"/>
            <w:tcBorders>
              <w:bottom w:val="single" w:sz="12" w:space="0" w:color="auto"/>
            </w:tcBorders>
            <w:vAlign w:val="bottom"/>
          </w:tcPr>
          <w:p w14:paraId="1AF72744" w14:textId="5A5FA466" w:rsidR="001C2047" w:rsidRPr="00D0623F" w:rsidRDefault="00F91D39" w:rsidP="00FC3565">
            <w:pPr>
              <w:pStyle w:val="Header"/>
              <w:tabs>
                <w:tab w:val="left" w:pos="990"/>
              </w:tabs>
              <w:ind w:left="86" w:right="90" w:hanging="86"/>
              <w:jc w:val="right"/>
              <w:rPr>
                <w:rFonts w:ascii="Arial" w:hAnsi="Arial" w:cs="Arial"/>
                <w:szCs w:val="20"/>
              </w:rPr>
            </w:pPr>
            <w:r>
              <w:rPr>
                <w:rFonts w:ascii="Arial" w:hAnsi="Arial" w:cs="Arial"/>
                <w:szCs w:val="20"/>
              </w:rPr>
              <w:t>275</w:t>
            </w:r>
            <w:r w:rsidR="001C2047">
              <w:rPr>
                <w:rFonts w:ascii="Arial" w:hAnsi="Arial" w:cs="Arial"/>
                <w:szCs w:val="20"/>
              </w:rPr>
              <w:t>,000</w:t>
            </w:r>
          </w:p>
        </w:tc>
      </w:tr>
    </w:tbl>
    <w:p w14:paraId="5048D6CA" w14:textId="77777777" w:rsidR="001C2047" w:rsidRDefault="001C2047" w:rsidP="001C2047">
      <w:pPr>
        <w:tabs>
          <w:tab w:val="left" w:pos="810"/>
        </w:tabs>
        <w:spacing w:after="0"/>
        <w:rPr>
          <w:rFonts w:ascii="Arial" w:hAnsi="Arial" w:cs="Arial"/>
          <w:bCs/>
          <w:szCs w:val="20"/>
        </w:rPr>
      </w:pPr>
    </w:p>
    <w:p w14:paraId="4C8726BC" w14:textId="77777777" w:rsidR="002578B6" w:rsidRDefault="002578B6">
      <w:pPr>
        <w:rPr>
          <w:rFonts w:ascii="Arial" w:hAnsi="Arial" w:cs="Arial"/>
          <w:b/>
          <w:szCs w:val="20"/>
        </w:rPr>
      </w:pPr>
      <w:r>
        <w:rPr>
          <w:rFonts w:ascii="Arial" w:hAnsi="Arial" w:cs="Arial"/>
          <w:b/>
          <w:szCs w:val="20"/>
        </w:rPr>
        <w:br w:type="page"/>
      </w:r>
    </w:p>
    <w:p w14:paraId="3D89F621" w14:textId="70B435F7" w:rsidR="002578B6" w:rsidRPr="002D620A" w:rsidRDefault="002578B6" w:rsidP="002578B6">
      <w:pPr>
        <w:tabs>
          <w:tab w:val="left" w:pos="432"/>
          <w:tab w:val="left" w:pos="792"/>
        </w:tabs>
        <w:spacing w:after="0" w:line="240" w:lineRule="auto"/>
        <w:jc w:val="both"/>
        <w:rPr>
          <w:rFonts w:ascii="Arial" w:hAnsi="Arial" w:cs="Arial"/>
          <w:bCs/>
          <w:szCs w:val="20"/>
        </w:rPr>
      </w:pPr>
      <w:r w:rsidRPr="00CA68B9">
        <w:rPr>
          <w:rFonts w:ascii="Arial" w:hAnsi="Arial" w:cs="Arial"/>
          <w:b/>
          <w:szCs w:val="20"/>
        </w:rPr>
        <w:lastRenderedPageBreak/>
        <w:t>1</w:t>
      </w:r>
      <w:r>
        <w:rPr>
          <w:rFonts w:ascii="Arial" w:hAnsi="Arial" w:cs="Arial"/>
          <w:b/>
          <w:szCs w:val="20"/>
        </w:rPr>
        <w:t>3</w:t>
      </w:r>
      <w:r w:rsidRPr="00CA68B9">
        <w:rPr>
          <w:rFonts w:ascii="Arial" w:hAnsi="Arial" w:cs="Arial"/>
          <w:b/>
          <w:szCs w:val="20"/>
        </w:rPr>
        <w:t>.</w:t>
      </w:r>
      <w:r w:rsidRPr="00CA68B9">
        <w:rPr>
          <w:rFonts w:ascii="Arial" w:hAnsi="Arial" w:cs="Arial"/>
          <w:b/>
          <w:szCs w:val="20"/>
        </w:rPr>
        <w:tab/>
      </w:r>
      <w:r>
        <w:rPr>
          <w:rFonts w:ascii="Arial" w:hAnsi="Arial" w:cs="Arial"/>
          <w:b/>
          <w:szCs w:val="20"/>
        </w:rPr>
        <w:t xml:space="preserve">Long-term Incentive Plans </w:t>
      </w:r>
      <w:r>
        <w:rPr>
          <w:rFonts w:ascii="Arial" w:hAnsi="Arial" w:cs="Arial"/>
          <w:bCs/>
          <w:szCs w:val="20"/>
        </w:rPr>
        <w:t>(continued)</w:t>
      </w:r>
    </w:p>
    <w:p w14:paraId="705D120A" w14:textId="77777777" w:rsidR="002578B6" w:rsidRDefault="002578B6" w:rsidP="00EE4151">
      <w:pPr>
        <w:spacing w:after="0" w:line="240" w:lineRule="auto"/>
        <w:ind w:left="810"/>
        <w:jc w:val="both"/>
        <w:rPr>
          <w:rFonts w:ascii="Arial" w:hAnsi="Arial" w:cs="Arial"/>
          <w:szCs w:val="20"/>
        </w:rPr>
      </w:pPr>
    </w:p>
    <w:p w14:paraId="229EBDD8" w14:textId="00C3BE02" w:rsidR="001C2047" w:rsidRDefault="00B2247D" w:rsidP="00EE4151">
      <w:pPr>
        <w:spacing w:after="0" w:line="240" w:lineRule="auto"/>
        <w:ind w:left="810"/>
        <w:jc w:val="both"/>
        <w:rPr>
          <w:rFonts w:ascii="Arial" w:hAnsi="Arial" w:cs="Arial"/>
          <w:bCs/>
          <w:szCs w:val="20"/>
        </w:rPr>
      </w:pPr>
      <w:r>
        <w:rPr>
          <w:rFonts w:ascii="Arial" w:hAnsi="Arial" w:cs="Arial"/>
          <w:szCs w:val="20"/>
        </w:rPr>
        <w:t xml:space="preserve">The fair value of share-based payment expense was </w:t>
      </w:r>
      <w:r w:rsidR="0097118B">
        <w:rPr>
          <w:rFonts w:ascii="Arial" w:hAnsi="Arial" w:cs="Arial"/>
          <w:szCs w:val="20"/>
        </w:rPr>
        <w:t xml:space="preserve">determined using </w:t>
      </w:r>
      <w:r w:rsidR="0079605E">
        <w:rPr>
          <w:rFonts w:ascii="Arial" w:hAnsi="Arial" w:cs="Arial"/>
          <w:szCs w:val="20"/>
        </w:rPr>
        <w:t>market value of the</w:t>
      </w:r>
      <w:r w:rsidR="0097118B">
        <w:rPr>
          <w:rFonts w:ascii="Arial" w:hAnsi="Arial" w:cs="Arial"/>
          <w:szCs w:val="20"/>
        </w:rPr>
        <w:t xml:space="preserve"> share price on grant date.</w:t>
      </w:r>
      <w:r w:rsidR="0097118B">
        <w:rPr>
          <w:rFonts w:ascii="Arial" w:hAnsi="Arial" w:cs="Arial"/>
          <w:bCs/>
          <w:szCs w:val="20"/>
        </w:rPr>
        <w:t xml:space="preserve">  </w:t>
      </w:r>
      <w:r w:rsidR="00F25C86">
        <w:rPr>
          <w:rFonts w:ascii="Arial" w:hAnsi="Arial" w:cs="Arial"/>
          <w:bCs/>
          <w:szCs w:val="20"/>
        </w:rPr>
        <w:t xml:space="preserve">RSUs are settled by delivery of a notice of settlement by the </w:t>
      </w:r>
      <w:r w:rsidR="00F94298">
        <w:rPr>
          <w:rFonts w:ascii="Arial" w:hAnsi="Arial" w:cs="Arial"/>
          <w:bCs/>
          <w:szCs w:val="20"/>
        </w:rPr>
        <w:t xml:space="preserve">RSU holder or, if no notice of settlement is delivered, on the last vesting date.  </w:t>
      </w:r>
      <w:r w:rsidR="001C2047">
        <w:rPr>
          <w:rFonts w:ascii="Arial" w:hAnsi="Arial" w:cs="Arial"/>
          <w:bCs/>
          <w:szCs w:val="20"/>
        </w:rPr>
        <w:t xml:space="preserve">At </w:t>
      </w:r>
      <w:r w:rsidR="002D620A">
        <w:rPr>
          <w:rFonts w:ascii="Arial" w:hAnsi="Arial" w:cs="Arial"/>
          <w:bCs/>
          <w:szCs w:val="20"/>
        </w:rPr>
        <w:t>April 30, 2020</w:t>
      </w:r>
      <w:r w:rsidR="001C2047">
        <w:rPr>
          <w:rFonts w:ascii="Arial" w:hAnsi="Arial" w:cs="Arial"/>
          <w:bCs/>
          <w:szCs w:val="20"/>
        </w:rPr>
        <w:t xml:space="preserve">, </w:t>
      </w:r>
      <w:r w:rsidR="00F91D39">
        <w:rPr>
          <w:rFonts w:ascii="Arial" w:hAnsi="Arial" w:cs="Arial"/>
          <w:bCs/>
          <w:szCs w:val="20"/>
        </w:rPr>
        <w:t>258,333</w:t>
      </w:r>
      <w:r w:rsidR="001C2047">
        <w:rPr>
          <w:rFonts w:ascii="Arial" w:hAnsi="Arial" w:cs="Arial"/>
          <w:bCs/>
          <w:szCs w:val="20"/>
        </w:rPr>
        <w:t xml:space="preserve"> RSUs were vested (January 31, </w:t>
      </w:r>
      <w:r w:rsidR="00916ED5">
        <w:rPr>
          <w:rFonts w:ascii="Arial" w:hAnsi="Arial" w:cs="Arial"/>
          <w:bCs/>
          <w:szCs w:val="20"/>
        </w:rPr>
        <w:t>2020</w:t>
      </w:r>
      <w:r w:rsidR="001C2047">
        <w:rPr>
          <w:rFonts w:ascii="Arial" w:hAnsi="Arial" w:cs="Arial"/>
          <w:bCs/>
          <w:szCs w:val="20"/>
        </w:rPr>
        <w:t xml:space="preserve"> – </w:t>
      </w:r>
      <w:r w:rsidR="00916ED5">
        <w:rPr>
          <w:rFonts w:ascii="Arial" w:hAnsi="Arial" w:cs="Arial"/>
          <w:bCs/>
          <w:szCs w:val="20"/>
        </w:rPr>
        <w:t>83,334</w:t>
      </w:r>
      <w:r w:rsidR="001C2047">
        <w:rPr>
          <w:rFonts w:ascii="Arial" w:hAnsi="Arial" w:cs="Arial"/>
          <w:bCs/>
          <w:szCs w:val="20"/>
        </w:rPr>
        <w:t>).</w:t>
      </w:r>
      <w:r w:rsidR="008725DE">
        <w:rPr>
          <w:rFonts w:ascii="Arial" w:hAnsi="Arial" w:cs="Arial"/>
          <w:bCs/>
          <w:szCs w:val="20"/>
        </w:rPr>
        <w:t xml:space="preserve">  </w:t>
      </w:r>
    </w:p>
    <w:p w14:paraId="723DF6D7" w14:textId="77777777" w:rsidR="00E77024" w:rsidRDefault="00E77024" w:rsidP="001C2047">
      <w:pPr>
        <w:spacing w:after="0"/>
        <w:ind w:left="810"/>
        <w:rPr>
          <w:rFonts w:ascii="Arial" w:hAnsi="Arial" w:cs="Arial"/>
          <w:bCs/>
          <w:szCs w:val="20"/>
        </w:rPr>
      </w:pPr>
    </w:p>
    <w:p w14:paraId="24223C1E" w14:textId="5F855B7C" w:rsidR="001C2047" w:rsidRPr="001C2047" w:rsidRDefault="001C2047" w:rsidP="001C2047">
      <w:pPr>
        <w:pStyle w:val="ListParagraph"/>
        <w:numPr>
          <w:ilvl w:val="0"/>
          <w:numId w:val="45"/>
        </w:numPr>
        <w:tabs>
          <w:tab w:val="left" w:pos="810"/>
        </w:tabs>
        <w:spacing w:after="0"/>
        <w:rPr>
          <w:rFonts w:ascii="Arial" w:hAnsi="Arial" w:cs="Arial"/>
          <w:bCs/>
          <w:szCs w:val="20"/>
        </w:rPr>
      </w:pPr>
      <w:r>
        <w:rPr>
          <w:rFonts w:ascii="Arial" w:hAnsi="Arial" w:cs="Arial"/>
          <w:bCs/>
          <w:szCs w:val="20"/>
        </w:rPr>
        <w:t>Performance</w:t>
      </w:r>
      <w:r w:rsidRPr="001C2047">
        <w:rPr>
          <w:rFonts w:ascii="Arial" w:hAnsi="Arial" w:cs="Arial"/>
          <w:bCs/>
          <w:szCs w:val="20"/>
        </w:rPr>
        <w:t xml:space="preserve"> Stock Units</w:t>
      </w:r>
    </w:p>
    <w:p w14:paraId="5069106E" w14:textId="77777777" w:rsidR="001C2047" w:rsidRDefault="001C2047" w:rsidP="001C2047">
      <w:pPr>
        <w:pStyle w:val="BodyTextIndent2"/>
        <w:spacing w:after="0" w:line="240" w:lineRule="auto"/>
        <w:ind w:left="446"/>
        <w:jc w:val="both"/>
        <w:rPr>
          <w:rFonts w:ascii="Arial" w:hAnsi="Arial" w:cs="Arial"/>
          <w:szCs w:val="20"/>
          <w:lang w:val="en-CA"/>
        </w:rPr>
      </w:pPr>
    </w:p>
    <w:p w14:paraId="69A83B61" w14:textId="49130159" w:rsidR="001C2047" w:rsidRDefault="001C2047" w:rsidP="001C2047">
      <w:pPr>
        <w:pStyle w:val="BodyTextIndent2"/>
        <w:spacing w:after="0" w:line="240" w:lineRule="auto"/>
        <w:ind w:left="81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Pr>
          <w:rFonts w:ascii="Arial" w:hAnsi="Arial" w:cs="Arial"/>
          <w:szCs w:val="20"/>
          <w:lang w:val="en-CA"/>
        </w:rPr>
        <w:t>performance stock units (“PSUs”)</w:t>
      </w:r>
      <w:r w:rsidRPr="00F60034">
        <w:rPr>
          <w:rFonts w:ascii="Arial" w:hAnsi="Arial" w:cs="Arial"/>
          <w:szCs w:val="20"/>
          <w:lang w:val="en-CA"/>
        </w:rPr>
        <w:t>:</w:t>
      </w:r>
    </w:p>
    <w:p w14:paraId="75FAD5E5" w14:textId="77777777" w:rsidR="001C2047" w:rsidRPr="00F60034" w:rsidRDefault="001C2047" w:rsidP="001C2047">
      <w:pPr>
        <w:pStyle w:val="BodyTextIndent2"/>
        <w:spacing w:after="0" w:line="240" w:lineRule="auto"/>
        <w:ind w:left="806"/>
        <w:rPr>
          <w:rFonts w:ascii="Arial" w:hAnsi="Arial" w:cs="Arial"/>
          <w:szCs w:val="20"/>
          <w:lang w:val="en-CA"/>
        </w:rPr>
      </w:pPr>
    </w:p>
    <w:tbl>
      <w:tblPr>
        <w:tblW w:w="8460" w:type="dxa"/>
        <w:tblInd w:w="810" w:type="dxa"/>
        <w:tblCellMar>
          <w:left w:w="0" w:type="dxa"/>
          <w:right w:w="0" w:type="dxa"/>
        </w:tblCellMar>
        <w:tblLook w:val="0000" w:firstRow="0" w:lastRow="0" w:firstColumn="0" w:lastColumn="0" w:noHBand="0" w:noVBand="0"/>
      </w:tblPr>
      <w:tblGrid>
        <w:gridCol w:w="7200"/>
        <w:gridCol w:w="1260"/>
      </w:tblGrid>
      <w:tr w:rsidR="001C2047" w:rsidRPr="00F91D39" w14:paraId="56E5D034" w14:textId="77777777" w:rsidTr="00FC3565">
        <w:tc>
          <w:tcPr>
            <w:tcW w:w="7200" w:type="dxa"/>
            <w:tcBorders>
              <w:bottom w:val="single" w:sz="4" w:space="0" w:color="auto"/>
            </w:tcBorders>
            <w:vAlign w:val="bottom"/>
          </w:tcPr>
          <w:p w14:paraId="32ECB458" w14:textId="77777777" w:rsidR="001C2047" w:rsidRPr="00D0623F" w:rsidRDefault="001C2047" w:rsidP="00FC3565">
            <w:pPr>
              <w:spacing w:after="0" w:line="240" w:lineRule="auto"/>
              <w:jc w:val="center"/>
              <w:rPr>
                <w:rStyle w:val="HeadNoteTitle"/>
                <w:rFonts w:cs="Arial"/>
                <w:b w:val="0"/>
                <w:bCs/>
                <w:sz w:val="20"/>
                <w:szCs w:val="20"/>
              </w:rPr>
            </w:pPr>
            <w:r w:rsidRPr="00D0623F">
              <w:rPr>
                <w:rFonts w:ascii="Arial" w:hAnsi="Arial" w:cs="Arial"/>
                <w:szCs w:val="20"/>
              </w:rPr>
              <w:fldChar w:fldCharType="begin"/>
            </w:r>
            <w:r w:rsidRPr="00D0623F">
              <w:rPr>
                <w:rFonts w:ascii="Arial" w:hAnsi="Arial" w:cs="Arial"/>
                <w:szCs w:val="20"/>
              </w:rPr>
              <w:instrText>ADVANCE \d 5</w:instrText>
            </w:r>
            <w:r w:rsidRPr="00D0623F">
              <w:rPr>
                <w:rFonts w:ascii="Arial" w:hAnsi="Arial" w:cs="Arial"/>
                <w:szCs w:val="20"/>
              </w:rPr>
              <w:fldChar w:fldCharType="end"/>
            </w:r>
          </w:p>
        </w:tc>
        <w:tc>
          <w:tcPr>
            <w:tcW w:w="1260" w:type="dxa"/>
            <w:tcBorders>
              <w:bottom w:val="single" w:sz="4" w:space="0" w:color="auto"/>
            </w:tcBorders>
            <w:vAlign w:val="bottom"/>
          </w:tcPr>
          <w:p w14:paraId="7E1B8673" w14:textId="77777777" w:rsidR="001C2047" w:rsidRPr="00F91D39" w:rsidRDefault="001C2047" w:rsidP="00FC3565">
            <w:pPr>
              <w:spacing w:after="0" w:line="240" w:lineRule="auto"/>
              <w:jc w:val="center"/>
              <w:rPr>
                <w:rFonts w:ascii="Arial" w:hAnsi="Arial" w:cs="Arial"/>
                <w:szCs w:val="20"/>
              </w:rPr>
            </w:pPr>
            <w:r w:rsidRPr="00F91D39">
              <w:rPr>
                <w:rFonts w:ascii="Arial" w:hAnsi="Arial" w:cs="Arial"/>
                <w:szCs w:val="20"/>
              </w:rPr>
              <w:t>Number</w:t>
            </w:r>
            <w:r w:rsidRPr="00F91D39">
              <w:rPr>
                <w:rFonts w:ascii="Arial" w:hAnsi="Arial" w:cs="Arial"/>
                <w:szCs w:val="20"/>
              </w:rPr>
              <w:br/>
              <w:t>of RSUs</w:t>
            </w:r>
          </w:p>
          <w:p w14:paraId="3DCF5B13" w14:textId="510813F1" w:rsidR="00F91D39" w:rsidRPr="00F91D39" w:rsidRDefault="00F91D39" w:rsidP="00FC3565">
            <w:pPr>
              <w:spacing w:after="0" w:line="240" w:lineRule="auto"/>
              <w:jc w:val="center"/>
              <w:rPr>
                <w:rStyle w:val="HeadNoteTitle"/>
                <w:rFonts w:cs="Arial"/>
                <w:b w:val="0"/>
                <w:sz w:val="20"/>
                <w:szCs w:val="20"/>
              </w:rPr>
            </w:pPr>
            <w:r w:rsidRPr="00F91D39">
              <w:rPr>
                <w:rStyle w:val="HeadNoteTitle"/>
                <w:rFonts w:cs="Arial"/>
                <w:b w:val="0"/>
                <w:sz w:val="20"/>
                <w:szCs w:val="20"/>
              </w:rPr>
              <w:t>(</w:t>
            </w:r>
            <w:r w:rsidRPr="00F91D39">
              <w:rPr>
                <w:rStyle w:val="HeadNoteTitle"/>
                <w:b w:val="0"/>
                <w:sz w:val="20"/>
                <w:szCs w:val="20"/>
              </w:rPr>
              <w:t>Note 22(g))</w:t>
            </w:r>
          </w:p>
        </w:tc>
      </w:tr>
      <w:tr w:rsidR="001C2047" w:rsidRPr="00D0623F" w14:paraId="1C28EB73" w14:textId="77777777" w:rsidTr="00FC3565">
        <w:trPr>
          <w:trHeight w:hRule="exact" w:val="115"/>
        </w:trPr>
        <w:tc>
          <w:tcPr>
            <w:tcW w:w="7200" w:type="dxa"/>
            <w:tcBorders>
              <w:top w:val="single" w:sz="4" w:space="0" w:color="auto"/>
            </w:tcBorders>
          </w:tcPr>
          <w:p w14:paraId="49712EBC" w14:textId="77777777" w:rsidR="001C2047" w:rsidRPr="00D0623F" w:rsidRDefault="001C2047" w:rsidP="00FC3565">
            <w:pPr>
              <w:spacing w:after="0" w:line="240" w:lineRule="auto"/>
              <w:rPr>
                <w:rFonts w:ascii="Arial" w:hAnsi="Arial" w:cs="Arial"/>
                <w:szCs w:val="20"/>
              </w:rPr>
            </w:pPr>
          </w:p>
        </w:tc>
        <w:tc>
          <w:tcPr>
            <w:tcW w:w="1260" w:type="dxa"/>
            <w:tcBorders>
              <w:top w:val="single" w:sz="4" w:space="0" w:color="auto"/>
            </w:tcBorders>
          </w:tcPr>
          <w:p w14:paraId="161AC5F4" w14:textId="77777777" w:rsidR="001C2047" w:rsidRPr="00D0623F" w:rsidRDefault="001C2047" w:rsidP="00FC3565">
            <w:pPr>
              <w:spacing w:after="0" w:line="240" w:lineRule="auto"/>
              <w:ind w:right="29"/>
              <w:jc w:val="right"/>
              <w:rPr>
                <w:rStyle w:val="HeadNoteTitle"/>
                <w:rFonts w:cs="Arial"/>
                <w:b w:val="0"/>
                <w:bCs/>
                <w:sz w:val="20"/>
                <w:szCs w:val="20"/>
              </w:rPr>
            </w:pPr>
          </w:p>
        </w:tc>
      </w:tr>
      <w:tr w:rsidR="001C2047" w:rsidRPr="00D0623F" w14:paraId="3008319D" w14:textId="77777777" w:rsidTr="00FC3565">
        <w:tc>
          <w:tcPr>
            <w:tcW w:w="7200" w:type="dxa"/>
          </w:tcPr>
          <w:p w14:paraId="68DD4B07" w14:textId="1AD9A6BB" w:rsidR="001C2047" w:rsidRPr="00D0623F" w:rsidRDefault="001C2047" w:rsidP="00FC3565">
            <w:pPr>
              <w:spacing w:after="0" w:line="240" w:lineRule="auto"/>
              <w:rPr>
                <w:rFonts w:ascii="Arial" w:hAnsi="Arial" w:cs="Arial"/>
                <w:szCs w:val="20"/>
              </w:rPr>
            </w:pPr>
            <w:r w:rsidRPr="00D0623F">
              <w:rPr>
                <w:rFonts w:ascii="Arial" w:hAnsi="Arial" w:cs="Arial"/>
                <w:szCs w:val="20"/>
              </w:rPr>
              <w:t>Outstanding, January 31, 2019</w:t>
            </w:r>
            <w:r>
              <w:rPr>
                <w:rFonts w:ascii="Arial" w:hAnsi="Arial" w:cs="Arial"/>
                <w:szCs w:val="20"/>
              </w:rPr>
              <w:t xml:space="preserve"> </w:t>
            </w:r>
          </w:p>
        </w:tc>
        <w:tc>
          <w:tcPr>
            <w:tcW w:w="1260" w:type="dxa"/>
            <w:vAlign w:val="bottom"/>
          </w:tcPr>
          <w:p w14:paraId="0C944AD9" w14:textId="77777777" w:rsidR="001C2047" w:rsidRPr="00D0623F" w:rsidRDefault="001C2047" w:rsidP="00FC3565">
            <w:pPr>
              <w:pStyle w:val="Header"/>
              <w:tabs>
                <w:tab w:val="left" w:pos="990"/>
              </w:tabs>
              <w:ind w:left="86" w:right="90" w:hanging="86"/>
              <w:jc w:val="right"/>
              <w:rPr>
                <w:rFonts w:ascii="Arial" w:hAnsi="Arial" w:cs="Arial"/>
                <w:szCs w:val="20"/>
              </w:rPr>
            </w:pPr>
            <w:r w:rsidRPr="00D0623F">
              <w:rPr>
                <w:rFonts w:ascii="Arial" w:hAnsi="Arial" w:cs="Arial"/>
                <w:szCs w:val="20"/>
              </w:rPr>
              <w:t>–</w:t>
            </w:r>
          </w:p>
        </w:tc>
      </w:tr>
      <w:tr w:rsidR="001C2047" w:rsidRPr="00D0623F" w14:paraId="7FB5E633" w14:textId="77777777" w:rsidTr="00FC3565">
        <w:tc>
          <w:tcPr>
            <w:tcW w:w="7200" w:type="dxa"/>
          </w:tcPr>
          <w:p w14:paraId="45641227" w14:textId="6721F7A6" w:rsidR="001C2047" w:rsidRPr="005B38D5" w:rsidRDefault="007E6159" w:rsidP="00FC3565">
            <w:pPr>
              <w:spacing w:after="0" w:line="240" w:lineRule="auto"/>
              <w:ind w:left="180"/>
              <w:rPr>
                <w:rFonts w:ascii="Arial" w:hAnsi="Arial" w:cs="Arial"/>
                <w:szCs w:val="20"/>
                <w:highlight w:val="yellow"/>
              </w:rPr>
            </w:pPr>
            <w:r w:rsidRPr="007E6159">
              <w:rPr>
                <w:rFonts w:ascii="Arial" w:hAnsi="Arial" w:cs="Arial"/>
                <w:szCs w:val="20"/>
              </w:rPr>
              <w:t>Granted</w:t>
            </w:r>
          </w:p>
        </w:tc>
        <w:tc>
          <w:tcPr>
            <w:tcW w:w="1260" w:type="dxa"/>
            <w:vAlign w:val="bottom"/>
          </w:tcPr>
          <w:p w14:paraId="2B192BE6" w14:textId="57C1E83D" w:rsidR="001C2047" w:rsidRPr="00D0623F" w:rsidRDefault="001C2047" w:rsidP="00FC3565">
            <w:pPr>
              <w:pStyle w:val="Header"/>
              <w:tabs>
                <w:tab w:val="left" w:pos="990"/>
              </w:tabs>
              <w:ind w:left="86" w:right="90" w:hanging="86"/>
              <w:jc w:val="right"/>
              <w:rPr>
                <w:rFonts w:ascii="Arial" w:hAnsi="Arial" w:cs="Arial"/>
                <w:szCs w:val="20"/>
              </w:rPr>
            </w:pPr>
            <w:r>
              <w:rPr>
                <w:rFonts w:ascii="Arial" w:hAnsi="Arial" w:cs="Arial"/>
                <w:szCs w:val="20"/>
              </w:rPr>
              <w:t>75,000</w:t>
            </w:r>
          </w:p>
        </w:tc>
      </w:tr>
      <w:tr w:rsidR="001C2047" w:rsidRPr="00D0623F" w14:paraId="1743F9BE" w14:textId="77777777" w:rsidTr="00FC3565">
        <w:trPr>
          <w:trHeight w:hRule="exact" w:val="115"/>
        </w:trPr>
        <w:tc>
          <w:tcPr>
            <w:tcW w:w="7200" w:type="dxa"/>
            <w:tcBorders>
              <w:top w:val="single" w:sz="4" w:space="0" w:color="auto"/>
            </w:tcBorders>
          </w:tcPr>
          <w:p w14:paraId="004D35F5" w14:textId="77777777" w:rsidR="001C2047" w:rsidRPr="00D0623F" w:rsidRDefault="001C2047" w:rsidP="00FC3565">
            <w:pPr>
              <w:spacing w:after="0" w:line="240" w:lineRule="auto"/>
              <w:rPr>
                <w:rFonts w:ascii="Arial" w:hAnsi="Arial" w:cs="Arial"/>
                <w:szCs w:val="20"/>
              </w:rPr>
            </w:pPr>
          </w:p>
        </w:tc>
        <w:tc>
          <w:tcPr>
            <w:tcW w:w="1260" w:type="dxa"/>
            <w:tcBorders>
              <w:top w:val="single" w:sz="4" w:space="0" w:color="auto"/>
            </w:tcBorders>
          </w:tcPr>
          <w:p w14:paraId="2D1B9C32" w14:textId="77777777" w:rsidR="001C2047" w:rsidRPr="00D0623F" w:rsidRDefault="001C2047" w:rsidP="00FC3565">
            <w:pPr>
              <w:spacing w:after="0" w:line="240" w:lineRule="auto"/>
              <w:ind w:right="29"/>
              <w:jc w:val="right"/>
              <w:rPr>
                <w:rStyle w:val="HeadNoteTitle"/>
                <w:rFonts w:cs="Arial"/>
                <w:b w:val="0"/>
                <w:bCs/>
                <w:sz w:val="20"/>
                <w:szCs w:val="20"/>
              </w:rPr>
            </w:pPr>
          </w:p>
        </w:tc>
      </w:tr>
      <w:tr w:rsidR="001C2047" w:rsidRPr="00F60034" w14:paraId="376D96D9" w14:textId="77777777" w:rsidTr="00FC3565">
        <w:tc>
          <w:tcPr>
            <w:tcW w:w="7200" w:type="dxa"/>
            <w:tcBorders>
              <w:bottom w:val="single" w:sz="12" w:space="0" w:color="auto"/>
            </w:tcBorders>
          </w:tcPr>
          <w:p w14:paraId="25D0AC24" w14:textId="529CCE94" w:rsidR="001C2047" w:rsidRPr="00D0623F" w:rsidRDefault="001C2047" w:rsidP="00FC3565">
            <w:pPr>
              <w:spacing w:after="0" w:line="240" w:lineRule="auto"/>
              <w:rPr>
                <w:rFonts w:ascii="Arial" w:hAnsi="Arial" w:cs="Arial"/>
                <w:szCs w:val="20"/>
              </w:rPr>
            </w:pPr>
            <w:r w:rsidRPr="00D0623F">
              <w:rPr>
                <w:rFonts w:ascii="Arial" w:hAnsi="Arial" w:cs="Arial"/>
                <w:szCs w:val="20"/>
              </w:rPr>
              <w:t xml:space="preserve">Outstanding, </w:t>
            </w:r>
            <w:r w:rsidR="00916ED5">
              <w:rPr>
                <w:rFonts w:ascii="Arial" w:hAnsi="Arial" w:cs="Arial"/>
                <w:szCs w:val="20"/>
              </w:rPr>
              <w:t xml:space="preserve">April 30, 2020 and </w:t>
            </w:r>
            <w:r>
              <w:rPr>
                <w:rFonts w:ascii="Arial" w:hAnsi="Arial" w:cs="Arial"/>
                <w:szCs w:val="20"/>
              </w:rPr>
              <w:t>January 31, 2020</w:t>
            </w:r>
          </w:p>
        </w:tc>
        <w:tc>
          <w:tcPr>
            <w:tcW w:w="1260" w:type="dxa"/>
            <w:tcBorders>
              <w:bottom w:val="single" w:sz="12" w:space="0" w:color="auto"/>
            </w:tcBorders>
            <w:vAlign w:val="bottom"/>
          </w:tcPr>
          <w:p w14:paraId="5168AACF" w14:textId="44F74E64" w:rsidR="001C2047" w:rsidRPr="00D0623F" w:rsidRDefault="001C2047" w:rsidP="00FC3565">
            <w:pPr>
              <w:pStyle w:val="Header"/>
              <w:tabs>
                <w:tab w:val="left" w:pos="990"/>
              </w:tabs>
              <w:ind w:left="86" w:right="90" w:hanging="86"/>
              <w:jc w:val="right"/>
              <w:rPr>
                <w:rFonts w:ascii="Arial" w:hAnsi="Arial" w:cs="Arial"/>
                <w:szCs w:val="20"/>
              </w:rPr>
            </w:pPr>
            <w:r>
              <w:rPr>
                <w:rFonts w:ascii="Arial" w:hAnsi="Arial" w:cs="Arial"/>
                <w:szCs w:val="20"/>
              </w:rPr>
              <w:t>75,000</w:t>
            </w:r>
          </w:p>
        </w:tc>
      </w:tr>
    </w:tbl>
    <w:p w14:paraId="6ED24207" w14:textId="77777777" w:rsidR="00F94298" w:rsidRDefault="00F94298" w:rsidP="00B2247D">
      <w:pPr>
        <w:spacing w:after="0" w:line="240" w:lineRule="auto"/>
        <w:ind w:left="810"/>
        <w:jc w:val="both"/>
        <w:rPr>
          <w:rFonts w:ascii="Arial" w:hAnsi="Arial" w:cs="Arial"/>
          <w:szCs w:val="20"/>
        </w:rPr>
      </w:pPr>
    </w:p>
    <w:p w14:paraId="759B43DB" w14:textId="143E5059" w:rsidR="00F94298" w:rsidRPr="00070A04" w:rsidRDefault="00070A04" w:rsidP="00EE4151">
      <w:pPr>
        <w:spacing w:after="0" w:line="240" w:lineRule="auto"/>
        <w:ind w:left="810"/>
        <w:jc w:val="both"/>
        <w:rPr>
          <w:rFonts w:ascii="Arial" w:hAnsi="Arial" w:cs="Arial"/>
          <w:szCs w:val="20"/>
        </w:rPr>
      </w:pPr>
      <w:r w:rsidRPr="00EE4151">
        <w:rPr>
          <w:rFonts w:ascii="Arial" w:hAnsi="Arial" w:cs="Arial"/>
          <w:szCs w:val="20"/>
        </w:rPr>
        <w:t>PSUs vest as follows:</w:t>
      </w:r>
      <w:r w:rsidR="00916ED5">
        <w:rPr>
          <w:rFonts w:ascii="Arial" w:hAnsi="Arial" w:cs="Arial"/>
          <w:szCs w:val="20"/>
        </w:rPr>
        <w:t xml:space="preserve">  </w:t>
      </w:r>
      <w:r w:rsidR="00F91D39">
        <w:rPr>
          <w:rFonts w:ascii="Arial" w:hAnsi="Arial" w:cs="Arial"/>
          <w:szCs w:val="20"/>
        </w:rPr>
        <w:t>18,750</w:t>
      </w:r>
      <w:r w:rsidR="00916ED5">
        <w:rPr>
          <w:rFonts w:ascii="Arial" w:hAnsi="Arial" w:cs="Arial"/>
          <w:szCs w:val="20"/>
        </w:rPr>
        <w:t xml:space="preserve"> PSUs vest on November 14, 2019, </w:t>
      </w:r>
      <w:r w:rsidR="00F91D39">
        <w:rPr>
          <w:rFonts w:ascii="Arial" w:hAnsi="Arial" w:cs="Arial"/>
          <w:szCs w:val="20"/>
        </w:rPr>
        <w:t>28,150</w:t>
      </w:r>
      <w:r w:rsidR="00916ED5">
        <w:rPr>
          <w:rFonts w:ascii="Arial" w:hAnsi="Arial" w:cs="Arial"/>
          <w:szCs w:val="20"/>
        </w:rPr>
        <w:t xml:space="preserve"> PSUs vest upon financing greater than $2,500,000 obtained before July 30, 2020 (non-market performance condition) and </w:t>
      </w:r>
      <w:r w:rsidR="00F91D39">
        <w:rPr>
          <w:rFonts w:ascii="Arial" w:hAnsi="Arial" w:cs="Arial"/>
          <w:szCs w:val="20"/>
        </w:rPr>
        <w:t>28,150</w:t>
      </w:r>
      <w:r w:rsidR="00916ED5">
        <w:rPr>
          <w:rFonts w:ascii="Arial" w:hAnsi="Arial" w:cs="Arial"/>
          <w:szCs w:val="20"/>
        </w:rPr>
        <w:t xml:space="preserve"> PSUs vest on March 31, 2021.  </w:t>
      </w:r>
      <w:r w:rsidRPr="00EE4151">
        <w:rPr>
          <w:rFonts w:ascii="Arial" w:hAnsi="Arial" w:cs="Arial"/>
          <w:szCs w:val="20"/>
        </w:rPr>
        <w:t xml:space="preserve"> </w:t>
      </w:r>
    </w:p>
    <w:p w14:paraId="2BB02765" w14:textId="77777777" w:rsidR="00F94298" w:rsidRPr="00070A04" w:rsidRDefault="00F94298" w:rsidP="00F9075E">
      <w:pPr>
        <w:pStyle w:val="ListParagraph"/>
        <w:spacing w:after="0" w:line="240" w:lineRule="auto"/>
        <w:ind w:left="1440"/>
        <w:rPr>
          <w:rFonts w:ascii="Arial" w:hAnsi="Arial" w:cs="Arial"/>
          <w:szCs w:val="20"/>
        </w:rPr>
      </w:pPr>
    </w:p>
    <w:p w14:paraId="353ECD3F" w14:textId="0795CF92" w:rsidR="001C2047" w:rsidRDefault="00F94298" w:rsidP="00F9075E">
      <w:pPr>
        <w:spacing w:after="0" w:line="240" w:lineRule="auto"/>
        <w:ind w:left="810"/>
        <w:jc w:val="both"/>
        <w:rPr>
          <w:rFonts w:ascii="Arial" w:hAnsi="Arial" w:cs="Arial"/>
          <w:bCs/>
          <w:szCs w:val="20"/>
        </w:rPr>
      </w:pPr>
      <w:r>
        <w:rPr>
          <w:rFonts w:ascii="Arial" w:hAnsi="Arial" w:cs="Arial"/>
          <w:bCs/>
          <w:szCs w:val="20"/>
        </w:rPr>
        <w:t xml:space="preserve">PSUs are settled by delivery of a notice of settlement by the PSU holder.  </w:t>
      </w:r>
      <w:r w:rsidR="001C2047">
        <w:rPr>
          <w:rFonts w:ascii="Arial" w:hAnsi="Arial" w:cs="Arial"/>
          <w:bCs/>
          <w:szCs w:val="20"/>
        </w:rPr>
        <w:t xml:space="preserve">At </w:t>
      </w:r>
      <w:r w:rsidR="002D620A">
        <w:rPr>
          <w:rFonts w:ascii="Arial" w:hAnsi="Arial" w:cs="Arial"/>
          <w:bCs/>
          <w:szCs w:val="20"/>
        </w:rPr>
        <w:t>April 30</w:t>
      </w:r>
      <w:r w:rsidR="001C2047">
        <w:rPr>
          <w:rFonts w:ascii="Arial" w:hAnsi="Arial" w:cs="Arial"/>
          <w:bCs/>
          <w:szCs w:val="20"/>
        </w:rPr>
        <w:t xml:space="preserve">, 2020, </w:t>
      </w:r>
      <w:r w:rsidR="00F91D39">
        <w:rPr>
          <w:rFonts w:ascii="Arial" w:hAnsi="Arial" w:cs="Arial"/>
          <w:bCs/>
          <w:szCs w:val="20"/>
        </w:rPr>
        <w:t>18,750</w:t>
      </w:r>
      <w:r w:rsidR="001C2047">
        <w:rPr>
          <w:rFonts w:ascii="Arial" w:hAnsi="Arial" w:cs="Arial"/>
          <w:bCs/>
          <w:szCs w:val="20"/>
        </w:rPr>
        <w:t xml:space="preserve"> PSUs were vested (January 31, </w:t>
      </w:r>
      <w:r w:rsidR="002D620A">
        <w:rPr>
          <w:rFonts w:ascii="Arial" w:hAnsi="Arial" w:cs="Arial"/>
          <w:bCs/>
          <w:szCs w:val="20"/>
        </w:rPr>
        <w:t>2020</w:t>
      </w:r>
      <w:r w:rsidR="001C2047">
        <w:rPr>
          <w:rFonts w:ascii="Arial" w:hAnsi="Arial" w:cs="Arial"/>
          <w:bCs/>
          <w:szCs w:val="20"/>
        </w:rPr>
        <w:t xml:space="preserve">– </w:t>
      </w:r>
      <w:r w:rsidR="00F91D39">
        <w:rPr>
          <w:rFonts w:ascii="Arial" w:hAnsi="Arial" w:cs="Arial"/>
          <w:bCs/>
          <w:szCs w:val="20"/>
        </w:rPr>
        <w:t>18,750</w:t>
      </w:r>
      <w:r w:rsidR="001C2047">
        <w:rPr>
          <w:rFonts w:ascii="Arial" w:hAnsi="Arial" w:cs="Arial"/>
          <w:bCs/>
          <w:szCs w:val="20"/>
        </w:rPr>
        <w:t>).</w:t>
      </w:r>
      <w:r w:rsidR="009A7216">
        <w:rPr>
          <w:rFonts w:ascii="Arial" w:hAnsi="Arial" w:cs="Arial"/>
          <w:bCs/>
          <w:szCs w:val="20"/>
        </w:rPr>
        <w:t xml:space="preserve">  </w:t>
      </w:r>
    </w:p>
    <w:p w14:paraId="478E0529" w14:textId="77777777" w:rsidR="00CA3E28" w:rsidRDefault="00CA3E28" w:rsidP="00F9075E">
      <w:pPr>
        <w:spacing w:after="0" w:line="240" w:lineRule="auto"/>
        <w:ind w:left="810"/>
        <w:jc w:val="both"/>
        <w:rPr>
          <w:rFonts w:ascii="Arial" w:hAnsi="Arial" w:cs="Arial"/>
          <w:bCs/>
          <w:szCs w:val="20"/>
        </w:rPr>
      </w:pPr>
    </w:p>
    <w:p w14:paraId="16C32C7F" w14:textId="2A1B5F2E" w:rsidR="005B38D5" w:rsidRDefault="005B38D5">
      <w:pPr>
        <w:pStyle w:val="BodyTextIndent2"/>
        <w:tabs>
          <w:tab w:val="left" w:pos="810"/>
        </w:tabs>
        <w:spacing w:after="0" w:line="240" w:lineRule="auto"/>
        <w:ind w:left="450"/>
        <w:jc w:val="both"/>
        <w:rPr>
          <w:rFonts w:ascii="Arial" w:hAnsi="Arial" w:cs="Arial"/>
          <w:szCs w:val="20"/>
          <w:lang w:val="en-CA"/>
        </w:rPr>
      </w:pPr>
      <w:r>
        <w:rPr>
          <w:rFonts w:ascii="Arial" w:hAnsi="Arial" w:cs="Arial"/>
          <w:szCs w:val="20"/>
          <w:lang w:val="en-CA"/>
        </w:rPr>
        <w:t>(</w:t>
      </w:r>
      <w:r w:rsidR="001C2047">
        <w:rPr>
          <w:rFonts w:ascii="Arial" w:hAnsi="Arial" w:cs="Arial"/>
          <w:szCs w:val="20"/>
          <w:lang w:val="en-CA"/>
        </w:rPr>
        <w:t>c</w:t>
      </w:r>
      <w:r>
        <w:rPr>
          <w:rFonts w:ascii="Arial" w:hAnsi="Arial" w:cs="Arial"/>
          <w:szCs w:val="20"/>
          <w:lang w:val="en-CA"/>
        </w:rPr>
        <w:t>)</w:t>
      </w:r>
      <w:r w:rsidR="00952961">
        <w:rPr>
          <w:rFonts w:ascii="Arial" w:hAnsi="Arial" w:cs="Arial"/>
          <w:szCs w:val="20"/>
          <w:lang w:val="en-CA"/>
        </w:rPr>
        <w:tab/>
      </w:r>
      <w:r>
        <w:rPr>
          <w:rFonts w:ascii="Arial" w:hAnsi="Arial" w:cs="Arial"/>
          <w:szCs w:val="20"/>
          <w:lang w:val="en-CA"/>
        </w:rPr>
        <w:t>Share Purchase Options</w:t>
      </w:r>
    </w:p>
    <w:p w14:paraId="4E193718" w14:textId="77777777" w:rsidR="005B38D5" w:rsidRDefault="005B38D5">
      <w:pPr>
        <w:pStyle w:val="BodyTextIndent2"/>
        <w:spacing w:after="0" w:line="240" w:lineRule="auto"/>
        <w:ind w:left="450"/>
        <w:jc w:val="both"/>
        <w:rPr>
          <w:rFonts w:ascii="Arial" w:hAnsi="Arial" w:cs="Arial"/>
          <w:szCs w:val="20"/>
          <w:lang w:val="en-CA"/>
        </w:rPr>
      </w:pPr>
    </w:p>
    <w:p w14:paraId="5312B2F5" w14:textId="3313B994" w:rsidR="00790828" w:rsidRDefault="00790828">
      <w:pPr>
        <w:pStyle w:val="BodyTextIndent2"/>
        <w:spacing w:after="0" w:line="240" w:lineRule="auto"/>
        <w:ind w:left="81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sidR="00DB5BF7">
        <w:rPr>
          <w:rFonts w:ascii="Arial" w:hAnsi="Arial" w:cs="Arial"/>
          <w:szCs w:val="20"/>
          <w:lang w:val="en-CA"/>
        </w:rPr>
        <w:t>share purchase options</w:t>
      </w:r>
      <w:r w:rsidRPr="00F60034">
        <w:rPr>
          <w:rFonts w:ascii="Arial" w:hAnsi="Arial" w:cs="Arial"/>
          <w:szCs w:val="20"/>
          <w:lang w:val="en-CA"/>
        </w:rPr>
        <w:t>:</w:t>
      </w:r>
    </w:p>
    <w:p w14:paraId="42A45403" w14:textId="77777777" w:rsidR="00181AEB" w:rsidRPr="00F60034" w:rsidRDefault="00181AEB" w:rsidP="00F15B99">
      <w:pPr>
        <w:pStyle w:val="BodyTextIndent2"/>
        <w:spacing w:after="0" w:line="240" w:lineRule="auto"/>
        <w:ind w:left="0" w:firstLine="450"/>
        <w:rPr>
          <w:rFonts w:ascii="Arial" w:hAnsi="Arial" w:cs="Arial"/>
          <w:szCs w:val="20"/>
          <w:lang w:val="en-CA"/>
        </w:rPr>
      </w:pPr>
    </w:p>
    <w:tbl>
      <w:tblPr>
        <w:tblW w:w="8460" w:type="dxa"/>
        <w:tblInd w:w="810" w:type="dxa"/>
        <w:tblCellMar>
          <w:left w:w="0" w:type="dxa"/>
          <w:right w:w="0" w:type="dxa"/>
        </w:tblCellMar>
        <w:tblLook w:val="0000" w:firstRow="0" w:lastRow="0" w:firstColumn="0" w:lastColumn="0" w:noHBand="0" w:noVBand="0"/>
      </w:tblPr>
      <w:tblGrid>
        <w:gridCol w:w="4230"/>
        <w:gridCol w:w="1260"/>
        <w:gridCol w:w="1620"/>
        <w:gridCol w:w="1350"/>
      </w:tblGrid>
      <w:tr w:rsidR="00E73C26" w:rsidRPr="00D0623F" w14:paraId="7ECA2115" w14:textId="77777777" w:rsidTr="00C149A9">
        <w:tc>
          <w:tcPr>
            <w:tcW w:w="4230" w:type="dxa"/>
            <w:tcBorders>
              <w:bottom w:val="single" w:sz="4" w:space="0" w:color="auto"/>
            </w:tcBorders>
            <w:vAlign w:val="bottom"/>
          </w:tcPr>
          <w:p w14:paraId="0F683AB2" w14:textId="77777777" w:rsidR="00E73C26" w:rsidRPr="00D0623F" w:rsidRDefault="00E73C26" w:rsidP="00F15B99">
            <w:pPr>
              <w:spacing w:after="0" w:line="240" w:lineRule="auto"/>
              <w:jc w:val="center"/>
              <w:rPr>
                <w:rStyle w:val="HeadNoteTitle"/>
                <w:rFonts w:cs="Arial"/>
                <w:b w:val="0"/>
                <w:bCs/>
                <w:sz w:val="20"/>
                <w:szCs w:val="20"/>
              </w:rPr>
            </w:pPr>
            <w:r w:rsidRPr="00D0623F">
              <w:rPr>
                <w:rFonts w:ascii="Arial" w:hAnsi="Arial" w:cs="Arial"/>
                <w:szCs w:val="20"/>
              </w:rPr>
              <w:fldChar w:fldCharType="begin"/>
            </w:r>
            <w:r w:rsidRPr="00D0623F">
              <w:rPr>
                <w:rFonts w:ascii="Arial" w:hAnsi="Arial" w:cs="Arial"/>
                <w:szCs w:val="20"/>
              </w:rPr>
              <w:instrText>ADVANCE \d 5</w:instrText>
            </w:r>
            <w:r w:rsidRPr="00D0623F">
              <w:rPr>
                <w:rFonts w:ascii="Arial" w:hAnsi="Arial" w:cs="Arial"/>
                <w:szCs w:val="20"/>
              </w:rPr>
              <w:fldChar w:fldCharType="end"/>
            </w:r>
          </w:p>
        </w:tc>
        <w:tc>
          <w:tcPr>
            <w:tcW w:w="1260" w:type="dxa"/>
            <w:tcBorders>
              <w:bottom w:val="single" w:sz="4" w:space="0" w:color="auto"/>
            </w:tcBorders>
            <w:vAlign w:val="bottom"/>
          </w:tcPr>
          <w:p w14:paraId="18CD1C9C" w14:textId="77777777" w:rsidR="00E73C26" w:rsidRPr="00F91D39" w:rsidRDefault="00E73C26" w:rsidP="00F15B99">
            <w:pPr>
              <w:spacing w:after="0" w:line="240" w:lineRule="auto"/>
              <w:jc w:val="center"/>
              <w:rPr>
                <w:rFonts w:ascii="Arial" w:hAnsi="Arial" w:cs="Arial"/>
                <w:szCs w:val="20"/>
              </w:rPr>
            </w:pPr>
            <w:r w:rsidRPr="00D0623F">
              <w:rPr>
                <w:rFonts w:ascii="Arial" w:hAnsi="Arial" w:cs="Arial"/>
                <w:szCs w:val="20"/>
              </w:rPr>
              <w:t>Number</w:t>
            </w:r>
            <w:r w:rsidRPr="00D0623F">
              <w:rPr>
                <w:rFonts w:ascii="Arial" w:hAnsi="Arial" w:cs="Arial"/>
                <w:szCs w:val="20"/>
              </w:rPr>
              <w:br/>
              <w:t xml:space="preserve">of </w:t>
            </w:r>
            <w:r w:rsidRPr="00F91D39">
              <w:rPr>
                <w:rFonts w:ascii="Arial" w:hAnsi="Arial" w:cs="Arial"/>
                <w:szCs w:val="20"/>
              </w:rPr>
              <w:t>Options</w:t>
            </w:r>
          </w:p>
          <w:p w14:paraId="2CA08267" w14:textId="00C25546" w:rsidR="00F91D39" w:rsidRPr="00D0623F" w:rsidRDefault="00F91D39" w:rsidP="00F15B99">
            <w:pPr>
              <w:spacing w:after="0" w:line="240" w:lineRule="auto"/>
              <w:jc w:val="center"/>
              <w:rPr>
                <w:rStyle w:val="HeadNoteTitle"/>
                <w:rFonts w:cs="Arial"/>
                <w:b w:val="0"/>
                <w:bCs/>
                <w:sz w:val="20"/>
                <w:szCs w:val="20"/>
              </w:rPr>
            </w:pPr>
            <w:r w:rsidRPr="00F91D39">
              <w:rPr>
                <w:rStyle w:val="HeadNoteTitle"/>
                <w:rFonts w:cs="Arial"/>
                <w:b w:val="0"/>
                <w:sz w:val="20"/>
                <w:szCs w:val="20"/>
              </w:rPr>
              <w:t>(</w:t>
            </w:r>
            <w:r w:rsidRPr="00F91D39">
              <w:rPr>
                <w:rStyle w:val="HeadNoteTitle"/>
                <w:b w:val="0"/>
                <w:sz w:val="20"/>
                <w:szCs w:val="20"/>
              </w:rPr>
              <w:t>Note 22(g))</w:t>
            </w:r>
          </w:p>
        </w:tc>
        <w:tc>
          <w:tcPr>
            <w:tcW w:w="1620" w:type="dxa"/>
            <w:tcBorders>
              <w:bottom w:val="single" w:sz="4" w:space="0" w:color="auto"/>
            </w:tcBorders>
            <w:tcMar>
              <w:left w:w="0" w:type="dxa"/>
              <w:right w:w="0" w:type="dxa"/>
            </w:tcMar>
            <w:vAlign w:val="bottom"/>
          </w:tcPr>
          <w:p w14:paraId="704AB3F8" w14:textId="77777777" w:rsidR="00E73C26" w:rsidRDefault="00E73C26" w:rsidP="00E73C26">
            <w:pPr>
              <w:spacing w:after="0" w:line="240" w:lineRule="auto"/>
              <w:jc w:val="center"/>
              <w:rPr>
                <w:rFonts w:ascii="Arial" w:hAnsi="Arial" w:cs="Arial"/>
                <w:szCs w:val="20"/>
              </w:rPr>
            </w:pPr>
            <w:r w:rsidRPr="00D0623F">
              <w:rPr>
                <w:rFonts w:ascii="Arial" w:hAnsi="Arial" w:cs="Arial"/>
                <w:szCs w:val="20"/>
              </w:rPr>
              <w:t>Weighted</w:t>
            </w:r>
            <w:r w:rsidRPr="00D0623F">
              <w:rPr>
                <w:rFonts w:ascii="Arial" w:hAnsi="Arial" w:cs="Arial"/>
                <w:szCs w:val="20"/>
              </w:rPr>
              <w:br/>
              <w:t>Average</w:t>
            </w:r>
            <w:r w:rsidRPr="00D0623F">
              <w:rPr>
                <w:rFonts w:ascii="Arial" w:hAnsi="Arial" w:cs="Arial"/>
                <w:szCs w:val="20"/>
              </w:rPr>
              <w:br/>
              <w:t>Exercise Price</w:t>
            </w:r>
          </w:p>
          <w:p w14:paraId="24B764B0" w14:textId="7CE7180B" w:rsidR="00F91D39" w:rsidRPr="00D0623F" w:rsidRDefault="00F91D39" w:rsidP="00E73C26">
            <w:pPr>
              <w:spacing w:after="0" w:line="240" w:lineRule="auto"/>
              <w:jc w:val="center"/>
              <w:rPr>
                <w:rStyle w:val="HeadNoteTitle"/>
                <w:rFonts w:cs="Arial"/>
                <w:b w:val="0"/>
                <w:bCs/>
                <w:sz w:val="20"/>
                <w:szCs w:val="20"/>
              </w:rPr>
            </w:pPr>
            <w:r w:rsidRPr="00F91D39">
              <w:rPr>
                <w:rStyle w:val="HeadNoteTitle"/>
                <w:rFonts w:cs="Arial"/>
                <w:b w:val="0"/>
                <w:sz w:val="20"/>
                <w:szCs w:val="20"/>
              </w:rPr>
              <w:t>(</w:t>
            </w:r>
            <w:r w:rsidRPr="00F91D39">
              <w:rPr>
                <w:rStyle w:val="HeadNoteTitle"/>
                <w:b w:val="0"/>
                <w:sz w:val="20"/>
                <w:szCs w:val="20"/>
              </w:rPr>
              <w:t>Note 22(g))</w:t>
            </w:r>
          </w:p>
        </w:tc>
        <w:tc>
          <w:tcPr>
            <w:tcW w:w="1350" w:type="dxa"/>
            <w:tcBorders>
              <w:bottom w:val="single" w:sz="4" w:space="0" w:color="auto"/>
            </w:tcBorders>
          </w:tcPr>
          <w:p w14:paraId="2A9E816A" w14:textId="77777777" w:rsidR="00E73C26" w:rsidRPr="00D0623F" w:rsidRDefault="00E73C26" w:rsidP="00F15B99">
            <w:pPr>
              <w:spacing w:after="0" w:line="240" w:lineRule="auto"/>
              <w:jc w:val="center"/>
              <w:rPr>
                <w:rFonts w:ascii="Arial" w:hAnsi="Arial" w:cs="Arial"/>
                <w:szCs w:val="20"/>
              </w:rPr>
            </w:pPr>
            <w:r w:rsidRPr="00D0623F">
              <w:rPr>
                <w:rFonts w:ascii="Arial" w:hAnsi="Arial" w:cs="Arial"/>
                <w:szCs w:val="20"/>
              </w:rPr>
              <w:t>Weighted Average Remaining Contractual Life (years)</w:t>
            </w:r>
          </w:p>
        </w:tc>
      </w:tr>
      <w:tr w:rsidR="009E6759" w:rsidRPr="00D0623F" w14:paraId="0C2D6F71" w14:textId="77777777" w:rsidTr="00C149A9">
        <w:trPr>
          <w:trHeight w:hRule="exact" w:val="115"/>
        </w:trPr>
        <w:tc>
          <w:tcPr>
            <w:tcW w:w="4230" w:type="dxa"/>
            <w:tcBorders>
              <w:top w:val="single" w:sz="4" w:space="0" w:color="auto"/>
            </w:tcBorders>
          </w:tcPr>
          <w:p w14:paraId="31398117" w14:textId="77777777" w:rsidR="009E6759" w:rsidRPr="00D0623F" w:rsidRDefault="009E6759" w:rsidP="00EC4ECB">
            <w:pPr>
              <w:spacing w:after="0" w:line="240" w:lineRule="auto"/>
              <w:rPr>
                <w:rFonts w:ascii="Arial" w:hAnsi="Arial" w:cs="Arial"/>
                <w:szCs w:val="20"/>
              </w:rPr>
            </w:pPr>
          </w:p>
        </w:tc>
        <w:tc>
          <w:tcPr>
            <w:tcW w:w="1260" w:type="dxa"/>
            <w:tcBorders>
              <w:top w:val="single" w:sz="4" w:space="0" w:color="auto"/>
            </w:tcBorders>
          </w:tcPr>
          <w:p w14:paraId="061A2574" w14:textId="77777777" w:rsidR="009E6759" w:rsidRPr="00D0623F" w:rsidRDefault="009E6759"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341B7B4E" w14:textId="77777777" w:rsidR="009E6759" w:rsidRPr="00D0623F" w:rsidRDefault="009E6759" w:rsidP="00EC4ECB">
            <w:pPr>
              <w:spacing w:after="0" w:line="240" w:lineRule="auto"/>
              <w:ind w:right="29"/>
              <w:jc w:val="right"/>
              <w:rPr>
                <w:rStyle w:val="HeadNoteTitle"/>
                <w:rFonts w:cs="Arial"/>
                <w:b w:val="0"/>
                <w:bCs/>
                <w:sz w:val="20"/>
                <w:szCs w:val="20"/>
              </w:rPr>
            </w:pPr>
          </w:p>
        </w:tc>
        <w:tc>
          <w:tcPr>
            <w:tcW w:w="1350" w:type="dxa"/>
            <w:tcBorders>
              <w:top w:val="single" w:sz="4" w:space="0" w:color="auto"/>
            </w:tcBorders>
          </w:tcPr>
          <w:p w14:paraId="1D56209A" w14:textId="77777777" w:rsidR="009E6759" w:rsidRPr="00D0623F" w:rsidRDefault="009E6759" w:rsidP="00EC4ECB">
            <w:pPr>
              <w:spacing w:after="0" w:line="240" w:lineRule="auto"/>
              <w:ind w:right="29"/>
              <w:jc w:val="right"/>
              <w:rPr>
                <w:rStyle w:val="HeadNoteTitle"/>
                <w:rFonts w:cs="Arial"/>
                <w:b w:val="0"/>
                <w:bCs/>
                <w:sz w:val="20"/>
                <w:szCs w:val="20"/>
              </w:rPr>
            </w:pPr>
          </w:p>
        </w:tc>
      </w:tr>
      <w:tr w:rsidR="009E6759" w:rsidRPr="00D0623F" w14:paraId="555729A9" w14:textId="77777777" w:rsidTr="00C149A9">
        <w:tc>
          <w:tcPr>
            <w:tcW w:w="4230" w:type="dxa"/>
          </w:tcPr>
          <w:p w14:paraId="27EA6B94" w14:textId="77777777" w:rsidR="009E6759" w:rsidRPr="00D0623F" w:rsidRDefault="009E6759" w:rsidP="00EC4ECB">
            <w:pPr>
              <w:spacing w:after="0" w:line="240" w:lineRule="auto"/>
              <w:rPr>
                <w:rFonts w:ascii="Arial" w:hAnsi="Arial" w:cs="Arial"/>
                <w:szCs w:val="20"/>
              </w:rPr>
            </w:pPr>
            <w:r w:rsidRPr="00D0623F">
              <w:rPr>
                <w:rFonts w:ascii="Arial" w:hAnsi="Arial" w:cs="Arial"/>
                <w:szCs w:val="20"/>
              </w:rPr>
              <w:t>Outstanding, January 31, 2019</w:t>
            </w:r>
          </w:p>
        </w:tc>
        <w:tc>
          <w:tcPr>
            <w:tcW w:w="1260" w:type="dxa"/>
            <w:vAlign w:val="bottom"/>
          </w:tcPr>
          <w:p w14:paraId="672DDCA3" w14:textId="037B77ED" w:rsidR="009E6759" w:rsidRPr="00D0623F" w:rsidRDefault="00D0623F" w:rsidP="00EC4ECB">
            <w:pPr>
              <w:pStyle w:val="Header"/>
              <w:tabs>
                <w:tab w:val="left" w:pos="990"/>
              </w:tabs>
              <w:ind w:left="86" w:right="90" w:hanging="86"/>
              <w:jc w:val="right"/>
              <w:rPr>
                <w:rFonts w:ascii="Arial" w:hAnsi="Arial" w:cs="Arial"/>
                <w:szCs w:val="20"/>
              </w:rPr>
            </w:pPr>
            <w:r w:rsidRPr="00D0623F">
              <w:rPr>
                <w:rFonts w:ascii="Arial" w:hAnsi="Arial" w:cs="Arial"/>
                <w:szCs w:val="20"/>
              </w:rPr>
              <w:t>1</w:t>
            </w:r>
            <w:r w:rsidR="00A44469">
              <w:rPr>
                <w:rFonts w:ascii="Arial" w:hAnsi="Arial" w:cs="Arial"/>
                <w:szCs w:val="20"/>
              </w:rPr>
              <w:t>,</w:t>
            </w:r>
            <w:r w:rsidRPr="00D0623F">
              <w:rPr>
                <w:rFonts w:ascii="Arial" w:hAnsi="Arial" w:cs="Arial"/>
                <w:szCs w:val="20"/>
              </w:rPr>
              <w:t>3</w:t>
            </w:r>
            <w:r w:rsidR="00EE54DD">
              <w:rPr>
                <w:rFonts w:ascii="Arial" w:hAnsi="Arial" w:cs="Arial"/>
                <w:szCs w:val="20"/>
              </w:rPr>
              <w:t>69</w:t>
            </w:r>
            <w:r w:rsidR="00A44469">
              <w:rPr>
                <w:rFonts w:ascii="Arial" w:hAnsi="Arial" w:cs="Arial"/>
                <w:szCs w:val="20"/>
              </w:rPr>
              <w:t>,</w:t>
            </w:r>
            <w:r w:rsidR="00EE54DD">
              <w:rPr>
                <w:rFonts w:ascii="Arial" w:hAnsi="Arial" w:cs="Arial"/>
                <w:szCs w:val="20"/>
              </w:rPr>
              <w:t>183</w:t>
            </w:r>
          </w:p>
        </w:tc>
        <w:tc>
          <w:tcPr>
            <w:tcW w:w="1620" w:type="dxa"/>
            <w:vAlign w:val="bottom"/>
          </w:tcPr>
          <w:p w14:paraId="65764B2E" w14:textId="1569BEFB" w:rsidR="009E6759" w:rsidRPr="00D0623F" w:rsidRDefault="00A44469" w:rsidP="00EC4ECB">
            <w:pPr>
              <w:pStyle w:val="Header"/>
              <w:ind w:left="86" w:right="180" w:hanging="86"/>
              <w:jc w:val="right"/>
              <w:rPr>
                <w:rFonts w:ascii="Arial" w:hAnsi="Arial" w:cs="Arial"/>
                <w:szCs w:val="20"/>
              </w:rPr>
            </w:pPr>
            <w:r>
              <w:rPr>
                <w:rFonts w:ascii="Arial" w:hAnsi="Arial" w:cs="Arial"/>
                <w:szCs w:val="20"/>
              </w:rPr>
              <w:t>4.60</w:t>
            </w:r>
          </w:p>
        </w:tc>
        <w:tc>
          <w:tcPr>
            <w:tcW w:w="1350" w:type="dxa"/>
            <w:vAlign w:val="bottom"/>
          </w:tcPr>
          <w:p w14:paraId="062F081E" w14:textId="3829DF1C" w:rsidR="009E6759" w:rsidRPr="00D0623F" w:rsidRDefault="00D0623F" w:rsidP="00EC4ECB">
            <w:pPr>
              <w:pStyle w:val="Header"/>
              <w:ind w:left="86" w:right="288" w:hanging="86"/>
              <w:jc w:val="right"/>
              <w:rPr>
                <w:rFonts w:ascii="Arial" w:hAnsi="Arial" w:cs="Arial"/>
                <w:szCs w:val="20"/>
              </w:rPr>
            </w:pPr>
            <w:r w:rsidRPr="00D0623F">
              <w:rPr>
                <w:rFonts w:ascii="Arial" w:hAnsi="Arial" w:cs="Arial"/>
                <w:szCs w:val="20"/>
              </w:rPr>
              <w:t>3.26</w:t>
            </w:r>
          </w:p>
        </w:tc>
      </w:tr>
      <w:tr w:rsidR="002D620A" w:rsidRPr="007E6159" w14:paraId="511D14D4" w14:textId="77777777" w:rsidTr="009E6977">
        <w:tc>
          <w:tcPr>
            <w:tcW w:w="4230" w:type="dxa"/>
          </w:tcPr>
          <w:p w14:paraId="6DCA7D9B" w14:textId="6F21339A" w:rsidR="002D620A" w:rsidRPr="007E6159" w:rsidRDefault="002D620A" w:rsidP="009E6977">
            <w:pPr>
              <w:spacing w:after="0" w:line="240" w:lineRule="auto"/>
              <w:ind w:left="180"/>
              <w:rPr>
                <w:rFonts w:ascii="Arial" w:hAnsi="Arial" w:cs="Arial"/>
                <w:szCs w:val="20"/>
              </w:rPr>
            </w:pPr>
            <w:r w:rsidRPr="007E6159">
              <w:rPr>
                <w:rFonts w:ascii="Arial" w:hAnsi="Arial" w:cs="Arial"/>
                <w:szCs w:val="20"/>
              </w:rPr>
              <w:t xml:space="preserve">Granted </w:t>
            </w:r>
          </w:p>
        </w:tc>
        <w:tc>
          <w:tcPr>
            <w:tcW w:w="1260" w:type="dxa"/>
            <w:vAlign w:val="bottom"/>
          </w:tcPr>
          <w:p w14:paraId="0C419042" w14:textId="36D549FC" w:rsidR="002D620A" w:rsidRPr="007E6159" w:rsidRDefault="002D620A" w:rsidP="009E6977">
            <w:pPr>
              <w:pStyle w:val="Header"/>
              <w:tabs>
                <w:tab w:val="left" w:pos="990"/>
              </w:tabs>
              <w:ind w:left="86" w:right="90" w:hanging="86"/>
              <w:jc w:val="right"/>
              <w:rPr>
                <w:rFonts w:ascii="Arial" w:hAnsi="Arial" w:cs="Arial"/>
                <w:szCs w:val="20"/>
              </w:rPr>
            </w:pPr>
            <w:r w:rsidRPr="007E6159">
              <w:rPr>
                <w:rFonts w:ascii="Arial" w:hAnsi="Arial" w:cs="Arial"/>
                <w:szCs w:val="20"/>
              </w:rPr>
              <w:t>807</w:t>
            </w:r>
            <w:r w:rsidR="00A44469">
              <w:rPr>
                <w:rFonts w:ascii="Arial" w:hAnsi="Arial" w:cs="Arial"/>
                <w:szCs w:val="20"/>
              </w:rPr>
              <w:t>,</w:t>
            </w:r>
            <w:r w:rsidRPr="007E6159">
              <w:rPr>
                <w:rFonts w:ascii="Arial" w:hAnsi="Arial" w:cs="Arial"/>
                <w:szCs w:val="20"/>
              </w:rPr>
              <w:t>500</w:t>
            </w:r>
          </w:p>
        </w:tc>
        <w:tc>
          <w:tcPr>
            <w:tcW w:w="1620" w:type="dxa"/>
            <w:vAlign w:val="bottom"/>
          </w:tcPr>
          <w:p w14:paraId="4A47EBA6" w14:textId="4B240175" w:rsidR="002D620A" w:rsidRPr="007E6159" w:rsidRDefault="00A44469" w:rsidP="009E6977">
            <w:pPr>
              <w:pStyle w:val="Header"/>
              <w:ind w:left="86" w:right="180" w:hanging="86"/>
              <w:jc w:val="right"/>
              <w:rPr>
                <w:rFonts w:ascii="Arial" w:hAnsi="Arial" w:cs="Arial"/>
                <w:szCs w:val="20"/>
              </w:rPr>
            </w:pPr>
            <w:r>
              <w:rPr>
                <w:rFonts w:ascii="Arial" w:hAnsi="Arial" w:cs="Arial"/>
                <w:szCs w:val="20"/>
              </w:rPr>
              <w:t>3.19</w:t>
            </w:r>
          </w:p>
        </w:tc>
        <w:tc>
          <w:tcPr>
            <w:tcW w:w="1350" w:type="dxa"/>
            <w:vAlign w:val="bottom"/>
          </w:tcPr>
          <w:p w14:paraId="44281792" w14:textId="77777777" w:rsidR="002D620A" w:rsidRPr="007E6159" w:rsidRDefault="002D620A" w:rsidP="009E6977">
            <w:pPr>
              <w:pStyle w:val="Header"/>
              <w:ind w:left="86" w:right="288" w:hanging="86"/>
              <w:jc w:val="right"/>
              <w:rPr>
                <w:rFonts w:ascii="Arial" w:hAnsi="Arial" w:cs="Arial"/>
                <w:szCs w:val="20"/>
              </w:rPr>
            </w:pPr>
            <w:r w:rsidRPr="007E6159">
              <w:rPr>
                <w:rFonts w:ascii="Arial" w:hAnsi="Arial" w:cs="Arial"/>
                <w:szCs w:val="20"/>
              </w:rPr>
              <w:t>4.38</w:t>
            </w:r>
          </w:p>
        </w:tc>
      </w:tr>
      <w:tr w:rsidR="002D620A" w:rsidRPr="00D0623F" w14:paraId="5BB0C99D" w14:textId="77777777" w:rsidTr="009E6977">
        <w:tc>
          <w:tcPr>
            <w:tcW w:w="4230" w:type="dxa"/>
          </w:tcPr>
          <w:p w14:paraId="63B4EC38" w14:textId="5CAB284A" w:rsidR="002D620A" w:rsidRPr="007E6159" w:rsidRDefault="002D620A" w:rsidP="009E6977">
            <w:pPr>
              <w:spacing w:after="0" w:line="240" w:lineRule="auto"/>
              <w:ind w:left="180"/>
              <w:rPr>
                <w:rFonts w:ascii="Arial" w:hAnsi="Arial" w:cs="Arial"/>
                <w:szCs w:val="20"/>
              </w:rPr>
            </w:pPr>
            <w:r w:rsidRPr="007E6159">
              <w:rPr>
                <w:rFonts w:ascii="Arial" w:hAnsi="Arial" w:cs="Arial"/>
                <w:szCs w:val="20"/>
              </w:rPr>
              <w:t>Forfeited/cancelled</w:t>
            </w:r>
          </w:p>
        </w:tc>
        <w:tc>
          <w:tcPr>
            <w:tcW w:w="1260" w:type="dxa"/>
            <w:vAlign w:val="bottom"/>
          </w:tcPr>
          <w:p w14:paraId="2ED70D11" w14:textId="24A35301" w:rsidR="002D620A" w:rsidRPr="007E6159" w:rsidRDefault="002D620A" w:rsidP="009E6977">
            <w:pPr>
              <w:pStyle w:val="Header"/>
              <w:tabs>
                <w:tab w:val="left" w:pos="990"/>
              </w:tabs>
              <w:ind w:left="86" w:right="90" w:hanging="86"/>
              <w:jc w:val="right"/>
              <w:rPr>
                <w:rFonts w:ascii="Arial" w:hAnsi="Arial" w:cs="Arial"/>
                <w:szCs w:val="20"/>
              </w:rPr>
            </w:pPr>
            <w:r w:rsidRPr="007E6159">
              <w:rPr>
                <w:rFonts w:ascii="Arial" w:hAnsi="Arial" w:cs="Arial"/>
                <w:szCs w:val="20"/>
              </w:rPr>
              <w:t>(704</w:t>
            </w:r>
            <w:r w:rsidR="00A44469">
              <w:rPr>
                <w:rFonts w:ascii="Arial" w:hAnsi="Arial" w:cs="Arial"/>
                <w:szCs w:val="20"/>
              </w:rPr>
              <w:t>,</w:t>
            </w:r>
            <w:r w:rsidRPr="007E6159">
              <w:rPr>
                <w:rFonts w:ascii="Arial" w:hAnsi="Arial" w:cs="Arial"/>
                <w:szCs w:val="20"/>
              </w:rPr>
              <w:t>183)</w:t>
            </w:r>
          </w:p>
        </w:tc>
        <w:tc>
          <w:tcPr>
            <w:tcW w:w="1620" w:type="dxa"/>
            <w:vAlign w:val="bottom"/>
          </w:tcPr>
          <w:p w14:paraId="0B1D0E29" w14:textId="0D29326C" w:rsidR="002D620A" w:rsidRPr="007E6159" w:rsidRDefault="002D620A" w:rsidP="009E6977">
            <w:pPr>
              <w:pStyle w:val="Header"/>
              <w:ind w:left="86" w:right="180" w:hanging="86"/>
              <w:jc w:val="right"/>
              <w:rPr>
                <w:rFonts w:ascii="Arial" w:hAnsi="Arial" w:cs="Arial"/>
                <w:szCs w:val="20"/>
              </w:rPr>
            </w:pPr>
            <w:r w:rsidRPr="007E6159">
              <w:rPr>
                <w:rFonts w:ascii="Arial" w:hAnsi="Arial" w:cs="Arial"/>
                <w:szCs w:val="20"/>
              </w:rPr>
              <w:t>(</w:t>
            </w:r>
            <w:r w:rsidR="00A44469">
              <w:rPr>
                <w:rFonts w:ascii="Arial" w:hAnsi="Arial" w:cs="Arial"/>
                <w:szCs w:val="20"/>
              </w:rPr>
              <w:t>5.01</w:t>
            </w:r>
            <w:r w:rsidRPr="007E6159">
              <w:rPr>
                <w:rFonts w:ascii="Arial" w:hAnsi="Arial" w:cs="Arial"/>
                <w:szCs w:val="20"/>
              </w:rPr>
              <w:t>)</w:t>
            </w:r>
          </w:p>
        </w:tc>
        <w:tc>
          <w:tcPr>
            <w:tcW w:w="1350" w:type="dxa"/>
            <w:vAlign w:val="bottom"/>
          </w:tcPr>
          <w:p w14:paraId="74B4EB38" w14:textId="77777777" w:rsidR="002D620A" w:rsidRPr="00D0623F" w:rsidRDefault="002D620A" w:rsidP="009E6977">
            <w:pPr>
              <w:pStyle w:val="Header"/>
              <w:ind w:left="86" w:right="288" w:hanging="86"/>
              <w:jc w:val="right"/>
              <w:rPr>
                <w:rFonts w:ascii="Arial" w:hAnsi="Arial" w:cs="Arial"/>
                <w:szCs w:val="20"/>
              </w:rPr>
            </w:pPr>
            <w:r w:rsidRPr="007E6159">
              <w:rPr>
                <w:rFonts w:ascii="Arial" w:hAnsi="Arial" w:cs="Arial"/>
                <w:szCs w:val="20"/>
              </w:rPr>
              <w:t>–</w:t>
            </w:r>
          </w:p>
        </w:tc>
      </w:tr>
      <w:tr w:rsidR="002D620A" w:rsidRPr="00D0623F" w14:paraId="6D1EF909" w14:textId="77777777" w:rsidTr="002D620A">
        <w:trPr>
          <w:trHeight w:hRule="exact" w:val="115"/>
        </w:trPr>
        <w:tc>
          <w:tcPr>
            <w:tcW w:w="4230" w:type="dxa"/>
            <w:tcBorders>
              <w:top w:val="single" w:sz="4" w:space="0" w:color="auto"/>
            </w:tcBorders>
          </w:tcPr>
          <w:p w14:paraId="2833790F" w14:textId="77777777" w:rsidR="002D620A" w:rsidRPr="00D0623F" w:rsidRDefault="002D620A" w:rsidP="009E6977">
            <w:pPr>
              <w:spacing w:after="0" w:line="240" w:lineRule="auto"/>
              <w:rPr>
                <w:rFonts w:ascii="Arial" w:hAnsi="Arial" w:cs="Arial"/>
                <w:szCs w:val="20"/>
              </w:rPr>
            </w:pPr>
          </w:p>
        </w:tc>
        <w:tc>
          <w:tcPr>
            <w:tcW w:w="1260" w:type="dxa"/>
            <w:tcBorders>
              <w:top w:val="single" w:sz="4" w:space="0" w:color="auto"/>
            </w:tcBorders>
          </w:tcPr>
          <w:p w14:paraId="59B7F2F0" w14:textId="77777777" w:rsidR="002D620A" w:rsidRPr="00D0623F" w:rsidRDefault="002D620A" w:rsidP="009E6977">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00EFCDC3" w14:textId="77777777" w:rsidR="002D620A" w:rsidRPr="00D0623F" w:rsidRDefault="002D620A" w:rsidP="009E6977">
            <w:pPr>
              <w:spacing w:after="0" w:line="240" w:lineRule="auto"/>
              <w:ind w:right="29"/>
              <w:jc w:val="right"/>
              <w:rPr>
                <w:rStyle w:val="HeadNoteTitle"/>
                <w:rFonts w:cs="Arial"/>
                <w:b w:val="0"/>
                <w:bCs/>
                <w:sz w:val="20"/>
                <w:szCs w:val="20"/>
              </w:rPr>
            </w:pPr>
          </w:p>
        </w:tc>
        <w:tc>
          <w:tcPr>
            <w:tcW w:w="1350" w:type="dxa"/>
            <w:tcBorders>
              <w:top w:val="single" w:sz="4" w:space="0" w:color="auto"/>
            </w:tcBorders>
          </w:tcPr>
          <w:p w14:paraId="0AB56CE3" w14:textId="77777777" w:rsidR="002D620A" w:rsidRPr="00D0623F" w:rsidRDefault="002D620A" w:rsidP="009E6977">
            <w:pPr>
              <w:spacing w:after="0" w:line="240" w:lineRule="auto"/>
              <w:ind w:right="29"/>
              <w:jc w:val="right"/>
              <w:rPr>
                <w:rStyle w:val="HeadNoteTitle"/>
                <w:rFonts w:cs="Arial"/>
                <w:b w:val="0"/>
                <w:bCs/>
                <w:sz w:val="20"/>
                <w:szCs w:val="20"/>
              </w:rPr>
            </w:pPr>
          </w:p>
        </w:tc>
      </w:tr>
      <w:tr w:rsidR="002D620A" w:rsidRPr="00F60034" w14:paraId="1337D801" w14:textId="77777777" w:rsidTr="002D620A">
        <w:tc>
          <w:tcPr>
            <w:tcW w:w="4230" w:type="dxa"/>
          </w:tcPr>
          <w:p w14:paraId="5844B8EE" w14:textId="77777777" w:rsidR="002D620A" w:rsidRPr="00D0623F" w:rsidRDefault="002D620A" w:rsidP="009E6977">
            <w:pPr>
              <w:spacing w:after="0" w:line="240" w:lineRule="auto"/>
              <w:rPr>
                <w:rFonts w:ascii="Arial" w:hAnsi="Arial" w:cs="Arial"/>
                <w:szCs w:val="20"/>
              </w:rPr>
            </w:pPr>
            <w:r w:rsidRPr="00D0623F">
              <w:rPr>
                <w:rFonts w:ascii="Arial" w:hAnsi="Arial" w:cs="Arial"/>
                <w:szCs w:val="20"/>
              </w:rPr>
              <w:t xml:space="preserve">Outstanding, </w:t>
            </w:r>
            <w:r>
              <w:rPr>
                <w:rFonts w:ascii="Arial" w:hAnsi="Arial" w:cs="Arial"/>
                <w:szCs w:val="20"/>
              </w:rPr>
              <w:t>January 31, 2020</w:t>
            </w:r>
          </w:p>
        </w:tc>
        <w:tc>
          <w:tcPr>
            <w:tcW w:w="1260" w:type="dxa"/>
            <w:vAlign w:val="bottom"/>
          </w:tcPr>
          <w:p w14:paraId="5F775ED9" w14:textId="24F34495" w:rsidR="002D620A" w:rsidRPr="00D0623F" w:rsidRDefault="002D620A" w:rsidP="009E6977">
            <w:pPr>
              <w:pStyle w:val="Header"/>
              <w:tabs>
                <w:tab w:val="left" w:pos="990"/>
              </w:tabs>
              <w:ind w:left="86" w:right="90" w:hanging="86"/>
              <w:jc w:val="right"/>
              <w:rPr>
                <w:rFonts w:ascii="Arial" w:hAnsi="Arial" w:cs="Arial"/>
                <w:szCs w:val="20"/>
              </w:rPr>
            </w:pPr>
            <w:r>
              <w:rPr>
                <w:rFonts w:ascii="Arial" w:hAnsi="Arial" w:cs="Arial"/>
                <w:szCs w:val="20"/>
              </w:rPr>
              <w:t>1</w:t>
            </w:r>
            <w:r w:rsidR="00A44469">
              <w:rPr>
                <w:rFonts w:ascii="Arial" w:hAnsi="Arial" w:cs="Arial"/>
                <w:szCs w:val="20"/>
              </w:rPr>
              <w:t>,</w:t>
            </w:r>
            <w:r>
              <w:rPr>
                <w:rFonts w:ascii="Arial" w:hAnsi="Arial" w:cs="Arial"/>
                <w:szCs w:val="20"/>
              </w:rPr>
              <w:t>472</w:t>
            </w:r>
            <w:r w:rsidR="00A44469">
              <w:rPr>
                <w:rFonts w:ascii="Arial" w:hAnsi="Arial" w:cs="Arial"/>
                <w:szCs w:val="20"/>
              </w:rPr>
              <w:t>,</w:t>
            </w:r>
            <w:r>
              <w:rPr>
                <w:rFonts w:ascii="Arial" w:hAnsi="Arial" w:cs="Arial"/>
                <w:szCs w:val="20"/>
              </w:rPr>
              <w:t>500</w:t>
            </w:r>
          </w:p>
        </w:tc>
        <w:tc>
          <w:tcPr>
            <w:tcW w:w="1620" w:type="dxa"/>
            <w:vAlign w:val="bottom"/>
          </w:tcPr>
          <w:p w14:paraId="017E8340" w14:textId="1723B413" w:rsidR="002D620A" w:rsidRPr="00D0623F" w:rsidRDefault="00A44469" w:rsidP="009E6977">
            <w:pPr>
              <w:pStyle w:val="Header"/>
              <w:ind w:left="86" w:right="180" w:hanging="86"/>
              <w:jc w:val="right"/>
              <w:rPr>
                <w:rFonts w:ascii="Arial" w:hAnsi="Arial" w:cs="Arial"/>
                <w:szCs w:val="20"/>
              </w:rPr>
            </w:pPr>
            <w:r>
              <w:rPr>
                <w:rFonts w:ascii="Arial" w:hAnsi="Arial" w:cs="Arial"/>
                <w:szCs w:val="20"/>
              </w:rPr>
              <w:t>3.82</w:t>
            </w:r>
          </w:p>
        </w:tc>
        <w:tc>
          <w:tcPr>
            <w:tcW w:w="1350" w:type="dxa"/>
            <w:vAlign w:val="bottom"/>
          </w:tcPr>
          <w:p w14:paraId="6D7DEE9C" w14:textId="77777777" w:rsidR="002D620A" w:rsidRPr="00F60034" w:rsidRDefault="002D620A" w:rsidP="009E6977">
            <w:pPr>
              <w:pStyle w:val="Header"/>
              <w:ind w:left="86" w:right="288" w:hanging="86"/>
              <w:jc w:val="right"/>
              <w:rPr>
                <w:rFonts w:ascii="Arial" w:hAnsi="Arial" w:cs="Arial"/>
                <w:szCs w:val="20"/>
              </w:rPr>
            </w:pPr>
            <w:r>
              <w:rPr>
                <w:rFonts w:ascii="Arial" w:hAnsi="Arial" w:cs="Arial"/>
                <w:szCs w:val="20"/>
              </w:rPr>
              <w:t>3.08</w:t>
            </w:r>
          </w:p>
        </w:tc>
      </w:tr>
      <w:tr w:rsidR="00D0623F" w:rsidRPr="00D0623F" w14:paraId="42209CD9" w14:textId="77777777" w:rsidTr="00C149A9">
        <w:tc>
          <w:tcPr>
            <w:tcW w:w="4230" w:type="dxa"/>
          </w:tcPr>
          <w:p w14:paraId="51BF6265" w14:textId="609E403B" w:rsidR="00D0623F" w:rsidRPr="007E6159" w:rsidRDefault="00D0623F" w:rsidP="0093147D">
            <w:pPr>
              <w:spacing w:after="0" w:line="240" w:lineRule="auto"/>
              <w:ind w:left="180"/>
              <w:rPr>
                <w:rFonts w:ascii="Arial" w:hAnsi="Arial" w:cs="Arial"/>
                <w:szCs w:val="20"/>
              </w:rPr>
            </w:pPr>
            <w:r w:rsidRPr="007E6159">
              <w:rPr>
                <w:rFonts w:ascii="Arial" w:hAnsi="Arial" w:cs="Arial"/>
                <w:szCs w:val="20"/>
              </w:rPr>
              <w:t xml:space="preserve">Forfeited/cancelled </w:t>
            </w:r>
            <w:r w:rsidRPr="00431D86">
              <w:rPr>
                <w:rFonts w:ascii="Arial" w:hAnsi="Arial" w:cs="Arial"/>
                <w:szCs w:val="20"/>
              </w:rPr>
              <w:t xml:space="preserve">(Note </w:t>
            </w:r>
            <w:r w:rsidR="007E6159" w:rsidRPr="00431D86">
              <w:rPr>
                <w:rFonts w:ascii="Arial" w:hAnsi="Arial" w:cs="Arial"/>
                <w:szCs w:val="20"/>
              </w:rPr>
              <w:t>1</w:t>
            </w:r>
            <w:r w:rsidR="0049787F" w:rsidRPr="00431D86">
              <w:rPr>
                <w:rFonts w:ascii="Arial" w:hAnsi="Arial" w:cs="Arial"/>
                <w:szCs w:val="20"/>
              </w:rPr>
              <w:t>5</w:t>
            </w:r>
            <w:r w:rsidRPr="00431D86">
              <w:rPr>
                <w:rFonts w:ascii="Arial" w:hAnsi="Arial" w:cs="Arial"/>
                <w:szCs w:val="20"/>
              </w:rPr>
              <w:t>)</w:t>
            </w:r>
          </w:p>
        </w:tc>
        <w:tc>
          <w:tcPr>
            <w:tcW w:w="1260" w:type="dxa"/>
            <w:vAlign w:val="bottom"/>
          </w:tcPr>
          <w:p w14:paraId="362E90D6" w14:textId="0363AC3E" w:rsidR="00D0623F" w:rsidRPr="007E6159" w:rsidRDefault="00D0623F" w:rsidP="0093147D">
            <w:pPr>
              <w:pStyle w:val="Header"/>
              <w:tabs>
                <w:tab w:val="left" w:pos="990"/>
              </w:tabs>
              <w:ind w:left="86" w:right="90" w:hanging="86"/>
              <w:jc w:val="right"/>
              <w:rPr>
                <w:rFonts w:ascii="Arial" w:hAnsi="Arial" w:cs="Arial"/>
                <w:szCs w:val="20"/>
              </w:rPr>
            </w:pPr>
            <w:r w:rsidRPr="007E6159">
              <w:rPr>
                <w:rFonts w:ascii="Arial" w:hAnsi="Arial" w:cs="Arial"/>
                <w:szCs w:val="20"/>
              </w:rPr>
              <w:t>(</w:t>
            </w:r>
            <w:r w:rsidR="002D620A">
              <w:rPr>
                <w:rFonts w:ascii="Arial" w:hAnsi="Arial" w:cs="Arial"/>
                <w:szCs w:val="20"/>
              </w:rPr>
              <w:t>255,000</w:t>
            </w:r>
            <w:r w:rsidRPr="007E6159">
              <w:rPr>
                <w:rFonts w:ascii="Arial" w:hAnsi="Arial" w:cs="Arial"/>
                <w:szCs w:val="20"/>
              </w:rPr>
              <w:t>)</w:t>
            </w:r>
          </w:p>
        </w:tc>
        <w:tc>
          <w:tcPr>
            <w:tcW w:w="1620" w:type="dxa"/>
            <w:vAlign w:val="bottom"/>
          </w:tcPr>
          <w:p w14:paraId="33773AE8" w14:textId="2B4A6409" w:rsidR="00D0623F" w:rsidRPr="007E6159" w:rsidRDefault="00D0623F" w:rsidP="0093147D">
            <w:pPr>
              <w:pStyle w:val="Header"/>
              <w:ind w:left="86" w:right="180" w:hanging="86"/>
              <w:jc w:val="right"/>
              <w:rPr>
                <w:rFonts w:ascii="Arial" w:hAnsi="Arial" w:cs="Arial"/>
                <w:szCs w:val="20"/>
              </w:rPr>
            </w:pPr>
            <w:r w:rsidRPr="007E6159">
              <w:rPr>
                <w:rFonts w:ascii="Arial" w:hAnsi="Arial" w:cs="Arial"/>
                <w:szCs w:val="20"/>
              </w:rPr>
              <w:t>(</w:t>
            </w:r>
            <w:r w:rsidR="00A44469">
              <w:rPr>
                <w:rFonts w:ascii="Arial" w:hAnsi="Arial" w:cs="Arial"/>
                <w:szCs w:val="20"/>
              </w:rPr>
              <w:t>3.03</w:t>
            </w:r>
            <w:r w:rsidRPr="007E6159">
              <w:rPr>
                <w:rFonts w:ascii="Arial" w:hAnsi="Arial" w:cs="Arial"/>
                <w:szCs w:val="20"/>
              </w:rPr>
              <w:t>)</w:t>
            </w:r>
          </w:p>
        </w:tc>
        <w:tc>
          <w:tcPr>
            <w:tcW w:w="1350" w:type="dxa"/>
            <w:vAlign w:val="bottom"/>
          </w:tcPr>
          <w:p w14:paraId="001BB5F8" w14:textId="77777777" w:rsidR="00D0623F" w:rsidRPr="00D0623F" w:rsidRDefault="00D0623F" w:rsidP="0093147D">
            <w:pPr>
              <w:pStyle w:val="Header"/>
              <w:ind w:left="86" w:right="288" w:hanging="86"/>
              <w:jc w:val="right"/>
              <w:rPr>
                <w:rFonts w:ascii="Arial" w:hAnsi="Arial" w:cs="Arial"/>
                <w:szCs w:val="20"/>
              </w:rPr>
            </w:pPr>
            <w:r w:rsidRPr="007E6159">
              <w:rPr>
                <w:rFonts w:ascii="Arial" w:hAnsi="Arial" w:cs="Arial"/>
                <w:szCs w:val="20"/>
              </w:rPr>
              <w:t>–</w:t>
            </w:r>
          </w:p>
        </w:tc>
      </w:tr>
      <w:tr w:rsidR="00E73C26" w:rsidRPr="00D0623F" w14:paraId="4A208AC2" w14:textId="77777777" w:rsidTr="00C149A9">
        <w:trPr>
          <w:trHeight w:hRule="exact" w:val="115"/>
        </w:trPr>
        <w:tc>
          <w:tcPr>
            <w:tcW w:w="4230" w:type="dxa"/>
            <w:tcBorders>
              <w:top w:val="single" w:sz="4" w:space="0" w:color="auto"/>
            </w:tcBorders>
          </w:tcPr>
          <w:p w14:paraId="64F4FAA3" w14:textId="77777777" w:rsidR="00E73C26" w:rsidRPr="00D0623F" w:rsidRDefault="00E73C26" w:rsidP="00F15B99">
            <w:pPr>
              <w:spacing w:after="0" w:line="240" w:lineRule="auto"/>
              <w:rPr>
                <w:rFonts w:ascii="Arial" w:hAnsi="Arial" w:cs="Arial"/>
                <w:szCs w:val="20"/>
              </w:rPr>
            </w:pPr>
          </w:p>
        </w:tc>
        <w:tc>
          <w:tcPr>
            <w:tcW w:w="1260" w:type="dxa"/>
            <w:tcBorders>
              <w:top w:val="single" w:sz="4" w:space="0" w:color="auto"/>
            </w:tcBorders>
          </w:tcPr>
          <w:p w14:paraId="25402D49"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2A161CD7"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350" w:type="dxa"/>
            <w:tcBorders>
              <w:top w:val="single" w:sz="4" w:space="0" w:color="auto"/>
            </w:tcBorders>
          </w:tcPr>
          <w:p w14:paraId="2D5D3D59" w14:textId="77777777" w:rsidR="00E73C26" w:rsidRPr="00D0623F" w:rsidRDefault="00E73C26" w:rsidP="00F15B99">
            <w:pPr>
              <w:spacing w:after="0" w:line="240" w:lineRule="auto"/>
              <w:ind w:right="29"/>
              <w:jc w:val="right"/>
              <w:rPr>
                <w:rStyle w:val="HeadNoteTitle"/>
                <w:rFonts w:cs="Arial"/>
                <w:b w:val="0"/>
                <w:bCs/>
                <w:sz w:val="20"/>
                <w:szCs w:val="20"/>
              </w:rPr>
            </w:pPr>
          </w:p>
        </w:tc>
      </w:tr>
      <w:tr w:rsidR="00E73C26" w:rsidRPr="00F60034" w14:paraId="7E93FE24" w14:textId="77777777" w:rsidTr="00C149A9">
        <w:tc>
          <w:tcPr>
            <w:tcW w:w="4230" w:type="dxa"/>
            <w:tcBorders>
              <w:bottom w:val="single" w:sz="12" w:space="0" w:color="auto"/>
            </w:tcBorders>
          </w:tcPr>
          <w:p w14:paraId="5D77FFC7" w14:textId="0A830DEA" w:rsidR="00E73C26" w:rsidRPr="00D0623F" w:rsidRDefault="00E73C26" w:rsidP="009E6759">
            <w:pPr>
              <w:spacing w:after="0" w:line="240" w:lineRule="auto"/>
              <w:rPr>
                <w:rFonts w:ascii="Arial" w:hAnsi="Arial" w:cs="Arial"/>
                <w:szCs w:val="20"/>
              </w:rPr>
            </w:pPr>
            <w:r w:rsidRPr="00D0623F">
              <w:rPr>
                <w:rFonts w:ascii="Arial" w:hAnsi="Arial" w:cs="Arial"/>
                <w:szCs w:val="20"/>
              </w:rPr>
              <w:t xml:space="preserve">Outstanding, </w:t>
            </w:r>
            <w:r w:rsidR="002D620A">
              <w:rPr>
                <w:rFonts w:ascii="Arial" w:hAnsi="Arial" w:cs="Arial"/>
                <w:szCs w:val="20"/>
              </w:rPr>
              <w:t>April 30</w:t>
            </w:r>
            <w:r w:rsidR="006115A7">
              <w:rPr>
                <w:rFonts w:ascii="Arial" w:hAnsi="Arial" w:cs="Arial"/>
                <w:szCs w:val="20"/>
              </w:rPr>
              <w:t>, 2020</w:t>
            </w:r>
          </w:p>
        </w:tc>
        <w:tc>
          <w:tcPr>
            <w:tcW w:w="1260" w:type="dxa"/>
            <w:tcBorders>
              <w:bottom w:val="single" w:sz="12" w:space="0" w:color="auto"/>
            </w:tcBorders>
            <w:vAlign w:val="bottom"/>
          </w:tcPr>
          <w:p w14:paraId="5F9C642F" w14:textId="2921DBFE" w:rsidR="00E73C26" w:rsidRPr="00D0623F" w:rsidRDefault="002D620A" w:rsidP="00E73C26">
            <w:pPr>
              <w:pStyle w:val="Header"/>
              <w:tabs>
                <w:tab w:val="left" w:pos="990"/>
              </w:tabs>
              <w:ind w:left="86" w:right="90" w:hanging="86"/>
              <w:jc w:val="right"/>
              <w:rPr>
                <w:rFonts w:ascii="Arial" w:hAnsi="Arial" w:cs="Arial"/>
                <w:szCs w:val="20"/>
              </w:rPr>
            </w:pPr>
            <w:r>
              <w:rPr>
                <w:rFonts w:ascii="Arial" w:hAnsi="Arial" w:cs="Arial"/>
                <w:szCs w:val="20"/>
              </w:rPr>
              <w:t>1</w:t>
            </w:r>
            <w:r w:rsidR="00A44469">
              <w:rPr>
                <w:rFonts w:ascii="Arial" w:hAnsi="Arial" w:cs="Arial"/>
                <w:szCs w:val="20"/>
              </w:rPr>
              <w:t>,</w:t>
            </w:r>
            <w:r>
              <w:rPr>
                <w:rFonts w:ascii="Arial" w:hAnsi="Arial" w:cs="Arial"/>
                <w:szCs w:val="20"/>
              </w:rPr>
              <w:t>217</w:t>
            </w:r>
            <w:r w:rsidR="00A44469">
              <w:rPr>
                <w:rFonts w:ascii="Arial" w:hAnsi="Arial" w:cs="Arial"/>
                <w:szCs w:val="20"/>
              </w:rPr>
              <w:t>,</w:t>
            </w:r>
            <w:r>
              <w:rPr>
                <w:rFonts w:ascii="Arial" w:hAnsi="Arial" w:cs="Arial"/>
                <w:szCs w:val="20"/>
              </w:rPr>
              <w:t>500</w:t>
            </w:r>
          </w:p>
        </w:tc>
        <w:tc>
          <w:tcPr>
            <w:tcW w:w="1620" w:type="dxa"/>
            <w:tcBorders>
              <w:bottom w:val="single" w:sz="12" w:space="0" w:color="auto"/>
            </w:tcBorders>
            <w:vAlign w:val="bottom"/>
          </w:tcPr>
          <w:p w14:paraId="0DBC58B0" w14:textId="79005C02" w:rsidR="00E73C26" w:rsidRPr="00D0623F" w:rsidRDefault="00A44469" w:rsidP="00E73C26">
            <w:pPr>
              <w:pStyle w:val="Header"/>
              <w:ind w:left="86" w:right="180" w:hanging="86"/>
              <w:jc w:val="right"/>
              <w:rPr>
                <w:rFonts w:ascii="Arial" w:hAnsi="Arial" w:cs="Arial"/>
                <w:szCs w:val="20"/>
              </w:rPr>
            </w:pPr>
            <w:r>
              <w:rPr>
                <w:rFonts w:ascii="Arial" w:hAnsi="Arial" w:cs="Arial"/>
                <w:szCs w:val="20"/>
              </w:rPr>
              <w:t>3.99</w:t>
            </w:r>
          </w:p>
        </w:tc>
        <w:tc>
          <w:tcPr>
            <w:tcW w:w="1350" w:type="dxa"/>
            <w:tcBorders>
              <w:bottom w:val="single" w:sz="12" w:space="0" w:color="auto"/>
            </w:tcBorders>
            <w:vAlign w:val="bottom"/>
          </w:tcPr>
          <w:p w14:paraId="0DA303D9" w14:textId="20F71E8D" w:rsidR="00E73C26" w:rsidRPr="00F60034" w:rsidRDefault="002D620A" w:rsidP="00F15B99">
            <w:pPr>
              <w:pStyle w:val="Header"/>
              <w:ind w:left="86" w:right="288" w:hanging="86"/>
              <w:jc w:val="right"/>
              <w:rPr>
                <w:rFonts w:ascii="Arial" w:hAnsi="Arial" w:cs="Arial"/>
                <w:szCs w:val="20"/>
              </w:rPr>
            </w:pPr>
            <w:r>
              <w:rPr>
                <w:rFonts w:ascii="Arial" w:hAnsi="Arial" w:cs="Arial"/>
                <w:szCs w:val="20"/>
              </w:rPr>
              <w:t>2.52</w:t>
            </w:r>
          </w:p>
        </w:tc>
      </w:tr>
    </w:tbl>
    <w:p w14:paraId="39FE5E19" w14:textId="77777777" w:rsidR="001C2047" w:rsidRDefault="001C2047" w:rsidP="00952961">
      <w:pPr>
        <w:tabs>
          <w:tab w:val="left" w:pos="792"/>
        </w:tabs>
        <w:spacing w:after="0" w:line="240" w:lineRule="auto"/>
        <w:ind w:left="810"/>
        <w:jc w:val="both"/>
        <w:rPr>
          <w:rFonts w:ascii="Arial" w:hAnsi="Arial" w:cs="Arial"/>
          <w:szCs w:val="20"/>
        </w:rPr>
      </w:pPr>
    </w:p>
    <w:p w14:paraId="162415BF" w14:textId="77777777" w:rsidR="002578B6" w:rsidRDefault="002578B6">
      <w:pPr>
        <w:rPr>
          <w:rFonts w:ascii="Arial" w:hAnsi="Arial" w:cs="Arial"/>
          <w:b/>
          <w:szCs w:val="20"/>
        </w:rPr>
      </w:pPr>
      <w:r>
        <w:rPr>
          <w:rFonts w:ascii="Arial" w:hAnsi="Arial" w:cs="Arial"/>
          <w:b/>
          <w:szCs w:val="20"/>
        </w:rPr>
        <w:br w:type="page"/>
      </w:r>
    </w:p>
    <w:p w14:paraId="15B274DC" w14:textId="7A39CAC0" w:rsidR="002578B6" w:rsidRPr="006115A7" w:rsidRDefault="002578B6" w:rsidP="002578B6">
      <w:pPr>
        <w:tabs>
          <w:tab w:val="left" w:pos="450"/>
        </w:tabs>
        <w:spacing w:after="0" w:line="240" w:lineRule="auto"/>
        <w:rPr>
          <w:rFonts w:ascii="Arial" w:hAnsi="Arial" w:cs="Arial"/>
          <w:bCs/>
          <w:szCs w:val="20"/>
        </w:rPr>
      </w:pPr>
      <w:r w:rsidRPr="00CA68B9">
        <w:rPr>
          <w:rFonts w:ascii="Arial" w:hAnsi="Arial" w:cs="Arial"/>
          <w:b/>
          <w:szCs w:val="20"/>
        </w:rPr>
        <w:lastRenderedPageBreak/>
        <w:t>1</w:t>
      </w:r>
      <w:r>
        <w:rPr>
          <w:rFonts w:ascii="Arial" w:hAnsi="Arial" w:cs="Arial"/>
          <w:b/>
          <w:szCs w:val="20"/>
        </w:rPr>
        <w:t>3</w:t>
      </w:r>
      <w:r w:rsidRPr="00CA68B9">
        <w:rPr>
          <w:rFonts w:ascii="Arial" w:hAnsi="Arial" w:cs="Arial"/>
          <w:b/>
          <w:szCs w:val="20"/>
        </w:rPr>
        <w:t>.</w:t>
      </w:r>
      <w:r w:rsidRPr="00CA68B9">
        <w:rPr>
          <w:rFonts w:ascii="Arial" w:hAnsi="Arial" w:cs="Arial"/>
          <w:b/>
          <w:szCs w:val="20"/>
        </w:rPr>
        <w:tab/>
      </w:r>
      <w:r>
        <w:rPr>
          <w:rFonts w:ascii="Arial" w:hAnsi="Arial" w:cs="Arial"/>
          <w:b/>
          <w:szCs w:val="20"/>
        </w:rPr>
        <w:t>Long-term Incentive Plans</w:t>
      </w:r>
      <w:r>
        <w:rPr>
          <w:rFonts w:ascii="Arial" w:hAnsi="Arial" w:cs="Arial"/>
          <w:bCs/>
          <w:szCs w:val="20"/>
        </w:rPr>
        <w:t xml:space="preserve"> (continued)</w:t>
      </w:r>
    </w:p>
    <w:p w14:paraId="56870AB4" w14:textId="77777777" w:rsidR="002578B6" w:rsidRDefault="002578B6" w:rsidP="00952961">
      <w:pPr>
        <w:tabs>
          <w:tab w:val="left" w:pos="792"/>
        </w:tabs>
        <w:spacing w:after="0" w:line="240" w:lineRule="auto"/>
        <w:ind w:left="810"/>
        <w:jc w:val="both"/>
        <w:rPr>
          <w:rFonts w:ascii="Arial" w:hAnsi="Arial" w:cs="Arial"/>
          <w:szCs w:val="20"/>
        </w:rPr>
      </w:pPr>
    </w:p>
    <w:p w14:paraId="0FC5DABC" w14:textId="4A666D97" w:rsidR="00BA6A0D" w:rsidRPr="00DE57B5" w:rsidRDefault="00BA6A0D" w:rsidP="00952961">
      <w:pPr>
        <w:tabs>
          <w:tab w:val="left" w:pos="792"/>
        </w:tabs>
        <w:spacing w:after="0" w:line="240" w:lineRule="auto"/>
        <w:ind w:left="810"/>
        <w:jc w:val="both"/>
        <w:rPr>
          <w:rFonts w:ascii="Arial" w:hAnsi="Arial" w:cs="Arial"/>
          <w:b/>
          <w:szCs w:val="20"/>
        </w:rPr>
      </w:pPr>
      <w:r w:rsidRPr="00DE57B5">
        <w:rPr>
          <w:rFonts w:ascii="Arial" w:hAnsi="Arial" w:cs="Arial"/>
          <w:szCs w:val="20"/>
        </w:rPr>
        <w:t xml:space="preserve">Additional information regarding </w:t>
      </w:r>
      <w:r w:rsidR="00DB5BF7">
        <w:rPr>
          <w:rFonts w:ascii="Arial" w:hAnsi="Arial" w:cs="Arial"/>
          <w:szCs w:val="20"/>
        </w:rPr>
        <w:t>share purchase options</w:t>
      </w:r>
      <w:r w:rsidRPr="00DE57B5">
        <w:rPr>
          <w:rFonts w:ascii="Arial" w:hAnsi="Arial" w:cs="Arial"/>
          <w:szCs w:val="20"/>
        </w:rPr>
        <w:t xml:space="preserve"> as of </w:t>
      </w:r>
      <w:r w:rsidR="002D620A">
        <w:rPr>
          <w:rFonts w:ascii="Arial" w:hAnsi="Arial" w:cs="Arial"/>
          <w:szCs w:val="20"/>
        </w:rPr>
        <w:t>April 30</w:t>
      </w:r>
      <w:r w:rsidR="006115A7">
        <w:rPr>
          <w:rFonts w:ascii="Arial" w:hAnsi="Arial" w:cs="Arial"/>
          <w:szCs w:val="20"/>
        </w:rPr>
        <w:t>, 2020</w:t>
      </w:r>
      <w:r w:rsidRPr="00DE57B5">
        <w:rPr>
          <w:rFonts w:ascii="Arial" w:hAnsi="Arial" w:cs="Arial"/>
          <w:szCs w:val="20"/>
        </w:rPr>
        <w:t>, is as follows:</w:t>
      </w:r>
    </w:p>
    <w:tbl>
      <w:tblPr>
        <w:tblW w:w="7048" w:type="dxa"/>
        <w:tblInd w:w="918" w:type="dxa"/>
        <w:tblLayout w:type="fixed"/>
        <w:tblLook w:val="01E0" w:firstRow="1" w:lastRow="1" w:firstColumn="1" w:lastColumn="1" w:noHBand="0" w:noVBand="0"/>
      </w:tblPr>
      <w:tblGrid>
        <w:gridCol w:w="1704"/>
        <w:gridCol w:w="1418"/>
        <w:gridCol w:w="1918"/>
        <w:gridCol w:w="2008"/>
      </w:tblGrid>
      <w:tr w:rsidR="00BA6A0D" w:rsidRPr="00DE57B5" w14:paraId="3BC09299" w14:textId="77777777" w:rsidTr="00952961">
        <w:tc>
          <w:tcPr>
            <w:tcW w:w="1704" w:type="dxa"/>
            <w:tcBorders>
              <w:bottom w:val="single" w:sz="6" w:space="0" w:color="auto"/>
            </w:tcBorders>
            <w:vAlign w:val="bottom"/>
          </w:tcPr>
          <w:p w14:paraId="2FC7B836" w14:textId="77777777" w:rsidR="00BA6A0D" w:rsidRDefault="00BA6A0D" w:rsidP="00EC4ECB">
            <w:pPr>
              <w:pStyle w:val="Header"/>
              <w:ind w:hanging="81"/>
              <w:jc w:val="center"/>
              <w:rPr>
                <w:rFonts w:ascii="Arial" w:hAnsi="Arial" w:cs="Arial"/>
                <w:szCs w:val="20"/>
              </w:rPr>
            </w:pPr>
            <w:r w:rsidRPr="00DE57B5">
              <w:rPr>
                <w:rFonts w:ascii="Arial" w:hAnsi="Arial" w:cs="Arial"/>
                <w:szCs w:val="20"/>
              </w:rPr>
              <w:t>Options Outstanding</w:t>
            </w:r>
          </w:p>
          <w:p w14:paraId="24286D73" w14:textId="1BF2B168" w:rsidR="00F91D39" w:rsidRPr="00DE57B5" w:rsidRDefault="00F91D39" w:rsidP="00EC4ECB">
            <w:pPr>
              <w:pStyle w:val="Header"/>
              <w:ind w:hanging="81"/>
              <w:jc w:val="center"/>
              <w:rPr>
                <w:rFonts w:ascii="Arial" w:hAnsi="Arial" w:cs="Arial"/>
                <w:szCs w:val="20"/>
              </w:rPr>
            </w:pPr>
            <w:r w:rsidRPr="00F91D39">
              <w:rPr>
                <w:rStyle w:val="HeadNoteTitle"/>
                <w:rFonts w:cs="Arial"/>
                <w:b w:val="0"/>
                <w:sz w:val="20"/>
                <w:szCs w:val="20"/>
              </w:rPr>
              <w:t>(</w:t>
            </w:r>
            <w:r w:rsidRPr="00F91D39">
              <w:rPr>
                <w:rStyle w:val="HeadNoteTitle"/>
                <w:b w:val="0"/>
                <w:sz w:val="20"/>
                <w:szCs w:val="20"/>
              </w:rPr>
              <w:t>Note 22(g))</w:t>
            </w:r>
          </w:p>
        </w:tc>
        <w:tc>
          <w:tcPr>
            <w:tcW w:w="1418" w:type="dxa"/>
            <w:tcBorders>
              <w:bottom w:val="single" w:sz="6" w:space="0" w:color="auto"/>
            </w:tcBorders>
          </w:tcPr>
          <w:p w14:paraId="3DFB95BE" w14:textId="77777777" w:rsidR="00BA6A0D" w:rsidRPr="00DE57B5" w:rsidRDefault="00BA6A0D" w:rsidP="00EC4ECB">
            <w:pPr>
              <w:pStyle w:val="Header"/>
              <w:ind w:hanging="81"/>
              <w:jc w:val="center"/>
              <w:rPr>
                <w:rFonts w:ascii="Arial" w:hAnsi="Arial" w:cs="Arial"/>
                <w:szCs w:val="20"/>
              </w:rPr>
            </w:pPr>
          </w:p>
          <w:p w14:paraId="573053D5" w14:textId="77777777" w:rsidR="00BA6A0D" w:rsidRDefault="00BA6A0D" w:rsidP="00EC4ECB">
            <w:pPr>
              <w:pStyle w:val="Header"/>
              <w:ind w:hanging="81"/>
              <w:jc w:val="center"/>
              <w:rPr>
                <w:rFonts w:ascii="Arial" w:hAnsi="Arial" w:cs="Arial"/>
                <w:szCs w:val="20"/>
              </w:rPr>
            </w:pPr>
            <w:r w:rsidRPr="00DE57B5">
              <w:rPr>
                <w:rFonts w:ascii="Arial" w:hAnsi="Arial" w:cs="Arial"/>
                <w:szCs w:val="20"/>
              </w:rPr>
              <w:t>Options Exercisable</w:t>
            </w:r>
          </w:p>
          <w:p w14:paraId="77AC6001" w14:textId="740D01CB" w:rsidR="00F91D39" w:rsidRPr="00DE57B5" w:rsidRDefault="00F91D39" w:rsidP="00EC4ECB">
            <w:pPr>
              <w:pStyle w:val="Header"/>
              <w:ind w:hanging="81"/>
              <w:jc w:val="center"/>
              <w:rPr>
                <w:rFonts w:ascii="Arial" w:hAnsi="Arial" w:cs="Arial"/>
                <w:szCs w:val="20"/>
              </w:rPr>
            </w:pPr>
            <w:r w:rsidRPr="00F91D39">
              <w:rPr>
                <w:rStyle w:val="HeadNoteTitle"/>
                <w:rFonts w:cs="Arial"/>
                <w:b w:val="0"/>
                <w:sz w:val="20"/>
                <w:szCs w:val="20"/>
              </w:rPr>
              <w:t>(</w:t>
            </w:r>
            <w:r w:rsidRPr="00F91D39">
              <w:rPr>
                <w:rStyle w:val="HeadNoteTitle"/>
                <w:b w:val="0"/>
                <w:sz w:val="20"/>
                <w:szCs w:val="20"/>
              </w:rPr>
              <w:t>Note 22(g))</w:t>
            </w:r>
          </w:p>
        </w:tc>
        <w:tc>
          <w:tcPr>
            <w:tcW w:w="1918" w:type="dxa"/>
            <w:tcBorders>
              <w:bottom w:val="single" w:sz="6" w:space="0" w:color="auto"/>
            </w:tcBorders>
            <w:vAlign w:val="bottom"/>
          </w:tcPr>
          <w:p w14:paraId="39C51171" w14:textId="22432E71" w:rsidR="00BA6A0D" w:rsidRPr="00DE57B5" w:rsidRDefault="00BA6A0D" w:rsidP="00952961">
            <w:pPr>
              <w:pStyle w:val="Header"/>
              <w:ind w:hanging="81"/>
              <w:jc w:val="center"/>
              <w:rPr>
                <w:rFonts w:ascii="Arial" w:hAnsi="Arial" w:cs="Arial"/>
                <w:szCs w:val="20"/>
              </w:rPr>
            </w:pPr>
            <w:r w:rsidRPr="00DE57B5">
              <w:rPr>
                <w:rFonts w:ascii="Arial" w:hAnsi="Arial" w:cs="Arial"/>
                <w:szCs w:val="20"/>
              </w:rPr>
              <w:t>Exercise</w:t>
            </w:r>
            <w:r w:rsidR="00952961">
              <w:rPr>
                <w:rFonts w:ascii="Arial" w:hAnsi="Arial" w:cs="Arial"/>
                <w:szCs w:val="20"/>
              </w:rPr>
              <w:t xml:space="preserve"> P</w:t>
            </w:r>
            <w:r w:rsidRPr="00DE57B5">
              <w:rPr>
                <w:rFonts w:ascii="Arial" w:hAnsi="Arial" w:cs="Arial"/>
                <w:szCs w:val="20"/>
              </w:rPr>
              <w:t>rice</w:t>
            </w:r>
          </w:p>
          <w:p w14:paraId="635E7D80" w14:textId="77777777" w:rsidR="00BA6A0D" w:rsidRDefault="00BA6A0D" w:rsidP="00EC4ECB">
            <w:pPr>
              <w:pStyle w:val="Header"/>
              <w:ind w:hanging="81"/>
              <w:jc w:val="center"/>
              <w:rPr>
                <w:rFonts w:ascii="Arial" w:hAnsi="Arial" w:cs="Arial"/>
                <w:szCs w:val="20"/>
              </w:rPr>
            </w:pPr>
            <w:r w:rsidRPr="00DE57B5">
              <w:rPr>
                <w:rFonts w:ascii="Arial" w:hAnsi="Arial" w:cs="Arial"/>
                <w:szCs w:val="20"/>
              </w:rPr>
              <w:t>$</w:t>
            </w:r>
          </w:p>
          <w:p w14:paraId="583B010E" w14:textId="3B0192D5" w:rsidR="00F91D39" w:rsidRPr="00DE57B5" w:rsidRDefault="00F91D39" w:rsidP="00EC4ECB">
            <w:pPr>
              <w:pStyle w:val="Header"/>
              <w:ind w:hanging="81"/>
              <w:jc w:val="center"/>
              <w:rPr>
                <w:rFonts w:ascii="Arial" w:hAnsi="Arial" w:cs="Arial"/>
                <w:szCs w:val="20"/>
              </w:rPr>
            </w:pPr>
            <w:r w:rsidRPr="00F91D39">
              <w:rPr>
                <w:rStyle w:val="HeadNoteTitle"/>
                <w:rFonts w:cs="Arial"/>
                <w:b w:val="0"/>
                <w:sz w:val="20"/>
                <w:szCs w:val="20"/>
              </w:rPr>
              <w:t>(</w:t>
            </w:r>
            <w:r w:rsidRPr="00F91D39">
              <w:rPr>
                <w:rStyle w:val="HeadNoteTitle"/>
                <w:b w:val="0"/>
                <w:sz w:val="20"/>
                <w:szCs w:val="20"/>
              </w:rPr>
              <w:t>Note 22(g))</w:t>
            </w:r>
          </w:p>
        </w:tc>
        <w:tc>
          <w:tcPr>
            <w:tcW w:w="2008" w:type="dxa"/>
            <w:tcBorders>
              <w:bottom w:val="single" w:sz="6" w:space="0" w:color="auto"/>
            </w:tcBorders>
            <w:vAlign w:val="bottom"/>
          </w:tcPr>
          <w:p w14:paraId="6AA44A3A"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Expiry Date</w:t>
            </w:r>
          </w:p>
        </w:tc>
      </w:tr>
      <w:tr w:rsidR="00BA6A0D" w:rsidRPr="00DE57B5" w14:paraId="6EC75AA6" w14:textId="77777777" w:rsidTr="00952961">
        <w:trPr>
          <w:trHeight w:hRule="exact" w:val="113"/>
        </w:trPr>
        <w:tc>
          <w:tcPr>
            <w:tcW w:w="1704" w:type="dxa"/>
            <w:tcBorders>
              <w:top w:val="single" w:sz="6" w:space="0" w:color="auto"/>
            </w:tcBorders>
          </w:tcPr>
          <w:p w14:paraId="65C4D743"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tcPr>
          <w:p w14:paraId="4B8323D2" w14:textId="77777777" w:rsidR="00BA6A0D" w:rsidRPr="00DE57B5" w:rsidRDefault="00BA6A0D" w:rsidP="00EC4ECB">
            <w:pPr>
              <w:pStyle w:val="Header"/>
              <w:ind w:hanging="81"/>
              <w:jc w:val="center"/>
              <w:rPr>
                <w:rFonts w:ascii="Arial" w:hAnsi="Arial" w:cs="Arial"/>
                <w:szCs w:val="20"/>
              </w:rPr>
            </w:pPr>
          </w:p>
        </w:tc>
        <w:tc>
          <w:tcPr>
            <w:tcW w:w="1918" w:type="dxa"/>
            <w:tcBorders>
              <w:top w:val="single" w:sz="6" w:space="0" w:color="auto"/>
            </w:tcBorders>
            <w:vAlign w:val="bottom"/>
          </w:tcPr>
          <w:p w14:paraId="0101FA26" w14:textId="77777777" w:rsidR="00BA6A0D" w:rsidRPr="00DE57B5" w:rsidRDefault="00BA6A0D" w:rsidP="00EC4ECB">
            <w:pPr>
              <w:pStyle w:val="Header"/>
              <w:ind w:hanging="81"/>
              <w:jc w:val="center"/>
              <w:rPr>
                <w:rFonts w:ascii="Arial" w:hAnsi="Arial" w:cs="Arial"/>
                <w:szCs w:val="20"/>
              </w:rPr>
            </w:pPr>
          </w:p>
        </w:tc>
        <w:tc>
          <w:tcPr>
            <w:tcW w:w="2008" w:type="dxa"/>
            <w:tcBorders>
              <w:top w:val="single" w:sz="6" w:space="0" w:color="auto"/>
            </w:tcBorders>
            <w:vAlign w:val="bottom"/>
          </w:tcPr>
          <w:p w14:paraId="43E62286" w14:textId="77777777" w:rsidR="00BA6A0D" w:rsidRPr="00DE57B5" w:rsidRDefault="00BA6A0D" w:rsidP="00EC4ECB">
            <w:pPr>
              <w:pStyle w:val="Header"/>
              <w:ind w:hanging="81"/>
              <w:jc w:val="center"/>
              <w:rPr>
                <w:rFonts w:ascii="Arial" w:hAnsi="Arial" w:cs="Arial"/>
                <w:szCs w:val="20"/>
              </w:rPr>
            </w:pPr>
          </w:p>
        </w:tc>
      </w:tr>
      <w:tr w:rsidR="00BA6A0D" w:rsidRPr="00DE57B5" w14:paraId="2CE0750B" w14:textId="77777777" w:rsidTr="00952961">
        <w:tc>
          <w:tcPr>
            <w:tcW w:w="1704" w:type="dxa"/>
            <w:vAlign w:val="bottom"/>
          </w:tcPr>
          <w:p w14:paraId="70ED9427" w14:textId="4EF4D17D"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BA6A0D" w:rsidRPr="00DE57B5">
              <w:rPr>
                <w:rFonts w:ascii="Arial" w:hAnsi="Arial" w:cs="Arial"/>
                <w:szCs w:val="20"/>
              </w:rPr>
              <w:t>00,000</w:t>
            </w:r>
          </w:p>
        </w:tc>
        <w:tc>
          <w:tcPr>
            <w:tcW w:w="1418" w:type="dxa"/>
          </w:tcPr>
          <w:p w14:paraId="65599420" w14:textId="4E462B0A"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BA6A0D" w:rsidRPr="00DE57B5">
              <w:rPr>
                <w:rFonts w:ascii="Arial" w:hAnsi="Arial" w:cs="Arial"/>
                <w:szCs w:val="20"/>
              </w:rPr>
              <w:t>00,000</w:t>
            </w:r>
          </w:p>
        </w:tc>
        <w:tc>
          <w:tcPr>
            <w:tcW w:w="1918" w:type="dxa"/>
            <w:vAlign w:val="bottom"/>
          </w:tcPr>
          <w:p w14:paraId="3894887C" w14:textId="74E3C600" w:rsidR="00BA6A0D" w:rsidRPr="00DE57B5" w:rsidRDefault="00A44469" w:rsidP="00EC4ECB">
            <w:pPr>
              <w:pStyle w:val="Header"/>
              <w:ind w:left="86" w:right="288" w:hanging="86"/>
              <w:jc w:val="right"/>
              <w:rPr>
                <w:rFonts w:ascii="Arial" w:hAnsi="Arial" w:cs="Arial"/>
                <w:szCs w:val="20"/>
              </w:rPr>
            </w:pPr>
            <w:r>
              <w:rPr>
                <w:rFonts w:ascii="Arial" w:hAnsi="Arial" w:cs="Arial"/>
                <w:szCs w:val="20"/>
              </w:rPr>
              <w:t>1.37</w:t>
            </w:r>
          </w:p>
        </w:tc>
        <w:tc>
          <w:tcPr>
            <w:tcW w:w="2008" w:type="dxa"/>
            <w:vAlign w:val="bottom"/>
          </w:tcPr>
          <w:p w14:paraId="3544D65D"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szCs w:val="20"/>
              </w:rPr>
              <w:t>December 14, 2020</w:t>
            </w:r>
          </w:p>
        </w:tc>
      </w:tr>
      <w:tr w:rsidR="00BA6A0D" w:rsidRPr="00DE57B5" w14:paraId="78823354" w14:textId="77777777" w:rsidTr="00952961">
        <w:tc>
          <w:tcPr>
            <w:tcW w:w="1704" w:type="dxa"/>
            <w:vAlign w:val="bottom"/>
          </w:tcPr>
          <w:p w14:paraId="39F6F6DF" w14:textId="189604E3"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A44469">
              <w:rPr>
                <w:rFonts w:ascii="Arial" w:hAnsi="Arial" w:cs="Arial"/>
                <w:szCs w:val="20"/>
              </w:rPr>
              <w:t>5</w:t>
            </w:r>
            <w:r w:rsidR="00DE57B5" w:rsidRPr="00DE57B5">
              <w:rPr>
                <w:rFonts w:ascii="Arial" w:hAnsi="Arial" w:cs="Arial"/>
                <w:szCs w:val="20"/>
              </w:rPr>
              <w:t>0</w:t>
            </w:r>
            <w:r w:rsidR="00BA6A0D" w:rsidRPr="00DE57B5">
              <w:rPr>
                <w:rFonts w:ascii="Arial" w:hAnsi="Arial" w:cs="Arial"/>
                <w:szCs w:val="20"/>
              </w:rPr>
              <w:t>,000</w:t>
            </w:r>
          </w:p>
        </w:tc>
        <w:tc>
          <w:tcPr>
            <w:tcW w:w="1418" w:type="dxa"/>
          </w:tcPr>
          <w:p w14:paraId="5269949D" w14:textId="7BE345BD"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DE57B5" w:rsidRPr="00DE57B5">
              <w:rPr>
                <w:rFonts w:ascii="Arial" w:hAnsi="Arial" w:cs="Arial"/>
                <w:szCs w:val="20"/>
              </w:rPr>
              <w:t>5</w:t>
            </w:r>
            <w:r w:rsidR="002D620A">
              <w:rPr>
                <w:rFonts w:ascii="Arial" w:hAnsi="Arial" w:cs="Arial"/>
                <w:szCs w:val="20"/>
              </w:rPr>
              <w:t>0</w:t>
            </w:r>
            <w:r w:rsidR="00BA6A0D" w:rsidRPr="00DE57B5">
              <w:rPr>
                <w:rFonts w:ascii="Arial" w:hAnsi="Arial" w:cs="Arial"/>
                <w:szCs w:val="20"/>
              </w:rPr>
              <w:t>,000</w:t>
            </w:r>
          </w:p>
        </w:tc>
        <w:tc>
          <w:tcPr>
            <w:tcW w:w="1918" w:type="dxa"/>
            <w:vAlign w:val="bottom"/>
          </w:tcPr>
          <w:p w14:paraId="37772F71" w14:textId="557982F0" w:rsidR="00BA6A0D" w:rsidRPr="00DE57B5" w:rsidRDefault="00A44469" w:rsidP="00EC4ECB">
            <w:pPr>
              <w:pStyle w:val="Header"/>
              <w:ind w:left="86" w:right="288" w:hanging="86"/>
              <w:jc w:val="right"/>
              <w:rPr>
                <w:rFonts w:ascii="Arial" w:hAnsi="Arial" w:cs="Arial"/>
                <w:szCs w:val="20"/>
              </w:rPr>
            </w:pPr>
            <w:r>
              <w:rPr>
                <w:rFonts w:ascii="Arial" w:hAnsi="Arial" w:cs="Arial"/>
                <w:szCs w:val="20"/>
              </w:rPr>
              <w:t>9.65</w:t>
            </w:r>
          </w:p>
        </w:tc>
        <w:tc>
          <w:tcPr>
            <w:tcW w:w="2008" w:type="dxa"/>
          </w:tcPr>
          <w:p w14:paraId="7263C4CF"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rPr>
              <w:t>February 22, 2021</w:t>
            </w:r>
          </w:p>
        </w:tc>
      </w:tr>
      <w:tr w:rsidR="00BA6A0D" w:rsidRPr="00DE57B5" w14:paraId="634790E1" w14:textId="77777777" w:rsidTr="00952961">
        <w:tc>
          <w:tcPr>
            <w:tcW w:w="1704" w:type="dxa"/>
            <w:vAlign w:val="bottom"/>
          </w:tcPr>
          <w:p w14:paraId="35F820B7" w14:textId="1A0A9D95"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BA6A0D" w:rsidRPr="00DE57B5">
              <w:rPr>
                <w:rFonts w:ascii="Arial" w:hAnsi="Arial" w:cs="Arial"/>
                <w:szCs w:val="20"/>
              </w:rPr>
              <w:t>00,000</w:t>
            </w:r>
          </w:p>
        </w:tc>
        <w:tc>
          <w:tcPr>
            <w:tcW w:w="1418" w:type="dxa"/>
          </w:tcPr>
          <w:p w14:paraId="0B0BE86C" w14:textId="249C942C"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BA6A0D" w:rsidRPr="00DE57B5">
              <w:rPr>
                <w:rFonts w:ascii="Arial" w:hAnsi="Arial" w:cs="Arial"/>
                <w:szCs w:val="20"/>
              </w:rPr>
              <w:t>00,000</w:t>
            </w:r>
          </w:p>
        </w:tc>
        <w:tc>
          <w:tcPr>
            <w:tcW w:w="1918" w:type="dxa"/>
            <w:vAlign w:val="bottom"/>
          </w:tcPr>
          <w:p w14:paraId="62E025D7" w14:textId="60EC55D3" w:rsidR="00BA6A0D" w:rsidRPr="00DE57B5" w:rsidRDefault="00A44469" w:rsidP="00EC4ECB">
            <w:pPr>
              <w:pStyle w:val="Header"/>
              <w:ind w:left="86" w:right="288" w:hanging="86"/>
              <w:jc w:val="right"/>
              <w:rPr>
                <w:rFonts w:ascii="Arial" w:hAnsi="Arial" w:cs="Arial"/>
                <w:szCs w:val="20"/>
              </w:rPr>
            </w:pPr>
            <w:r>
              <w:rPr>
                <w:rFonts w:ascii="Arial" w:hAnsi="Arial" w:cs="Arial"/>
                <w:szCs w:val="20"/>
              </w:rPr>
              <w:t>1.33</w:t>
            </w:r>
          </w:p>
        </w:tc>
        <w:tc>
          <w:tcPr>
            <w:tcW w:w="2008" w:type="dxa"/>
          </w:tcPr>
          <w:p w14:paraId="4C188232"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December 14, 2021</w:t>
            </w:r>
          </w:p>
        </w:tc>
      </w:tr>
      <w:tr w:rsidR="00BA6A0D" w:rsidRPr="00DE57B5" w14:paraId="0358944F" w14:textId="77777777" w:rsidTr="00952961">
        <w:tc>
          <w:tcPr>
            <w:tcW w:w="1704" w:type="dxa"/>
            <w:vAlign w:val="bottom"/>
          </w:tcPr>
          <w:p w14:paraId="74BED819" w14:textId="244C146E" w:rsidR="00BA6A0D" w:rsidRPr="00DE57B5" w:rsidRDefault="002D620A" w:rsidP="00EC4ECB">
            <w:pPr>
              <w:pStyle w:val="Header"/>
              <w:ind w:left="86" w:right="288" w:hanging="86"/>
              <w:jc w:val="right"/>
              <w:rPr>
                <w:rFonts w:ascii="Arial" w:hAnsi="Arial" w:cs="Arial"/>
                <w:szCs w:val="20"/>
              </w:rPr>
            </w:pPr>
            <w:r>
              <w:rPr>
                <w:rFonts w:ascii="Arial" w:hAnsi="Arial" w:cs="Arial"/>
                <w:szCs w:val="20"/>
              </w:rPr>
              <w:t>5</w:t>
            </w:r>
            <w:r w:rsidR="00BA6A0D" w:rsidRPr="00DE57B5">
              <w:rPr>
                <w:rFonts w:ascii="Arial" w:hAnsi="Arial" w:cs="Arial"/>
                <w:szCs w:val="20"/>
              </w:rPr>
              <w:t>,000</w:t>
            </w:r>
          </w:p>
        </w:tc>
        <w:tc>
          <w:tcPr>
            <w:tcW w:w="1418" w:type="dxa"/>
          </w:tcPr>
          <w:p w14:paraId="58753483" w14:textId="25ED172E" w:rsidR="00BA6A0D" w:rsidRPr="00DE57B5" w:rsidRDefault="002D620A" w:rsidP="00EC4ECB">
            <w:pPr>
              <w:pStyle w:val="Header"/>
              <w:ind w:left="86" w:right="134" w:hanging="86"/>
              <w:jc w:val="right"/>
              <w:rPr>
                <w:rFonts w:ascii="Arial" w:hAnsi="Arial" w:cs="Arial"/>
                <w:szCs w:val="20"/>
              </w:rPr>
            </w:pPr>
            <w:r>
              <w:rPr>
                <w:rFonts w:ascii="Arial" w:hAnsi="Arial" w:cs="Arial"/>
                <w:szCs w:val="20"/>
              </w:rPr>
              <w:t>5</w:t>
            </w:r>
            <w:r w:rsidR="00BA6A0D" w:rsidRPr="00DE57B5">
              <w:rPr>
                <w:rFonts w:ascii="Arial" w:hAnsi="Arial" w:cs="Arial"/>
                <w:szCs w:val="20"/>
              </w:rPr>
              <w:t>,000</w:t>
            </w:r>
          </w:p>
        </w:tc>
        <w:tc>
          <w:tcPr>
            <w:tcW w:w="1918" w:type="dxa"/>
            <w:vAlign w:val="bottom"/>
          </w:tcPr>
          <w:p w14:paraId="236C6221" w14:textId="77B9C447" w:rsidR="00BA6A0D" w:rsidRPr="00DE57B5" w:rsidRDefault="00A44469" w:rsidP="00EC4ECB">
            <w:pPr>
              <w:pStyle w:val="Header"/>
              <w:ind w:left="86" w:right="288" w:hanging="86"/>
              <w:jc w:val="right"/>
              <w:rPr>
                <w:rFonts w:ascii="Arial" w:hAnsi="Arial" w:cs="Arial"/>
                <w:szCs w:val="20"/>
              </w:rPr>
            </w:pPr>
            <w:r>
              <w:rPr>
                <w:rFonts w:ascii="Arial" w:hAnsi="Arial" w:cs="Arial"/>
                <w:szCs w:val="20"/>
              </w:rPr>
              <w:t>4.98</w:t>
            </w:r>
          </w:p>
        </w:tc>
        <w:tc>
          <w:tcPr>
            <w:tcW w:w="2008" w:type="dxa"/>
          </w:tcPr>
          <w:p w14:paraId="0FFD4BFB"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November 14, 2022</w:t>
            </w:r>
          </w:p>
        </w:tc>
      </w:tr>
      <w:tr w:rsidR="00E831F9" w:rsidRPr="00DE57B5" w14:paraId="29E4DB9A" w14:textId="77777777" w:rsidTr="00952961">
        <w:tc>
          <w:tcPr>
            <w:tcW w:w="1704" w:type="dxa"/>
            <w:vAlign w:val="bottom"/>
          </w:tcPr>
          <w:p w14:paraId="066865C1" w14:textId="607C1DFF"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2</w:t>
            </w:r>
            <w:r w:rsidR="002D620A">
              <w:rPr>
                <w:rFonts w:ascii="Arial" w:hAnsi="Arial" w:cs="Arial"/>
                <w:szCs w:val="20"/>
              </w:rPr>
              <w:t>6</w:t>
            </w:r>
            <w:r w:rsidRPr="00DE57B5">
              <w:rPr>
                <w:rFonts w:ascii="Arial" w:hAnsi="Arial" w:cs="Arial"/>
                <w:szCs w:val="20"/>
              </w:rPr>
              <w:t>0,000</w:t>
            </w:r>
          </w:p>
        </w:tc>
        <w:tc>
          <w:tcPr>
            <w:tcW w:w="1418" w:type="dxa"/>
          </w:tcPr>
          <w:p w14:paraId="6E144C8A" w14:textId="56BE6942" w:rsidR="00E831F9" w:rsidRPr="00DE57B5" w:rsidRDefault="002D620A" w:rsidP="0093147D">
            <w:pPr>
              <w:pStyle w:val="Header"/>
              <w:ind w:left="86" w:right="134" w:hanging="86"/>
              <w:jc w:val="right"/>
              <w:rPr>
                <w:rFonts w:ascii="Arial" w:hAnsi="Arial" w:cs="Arial"/>
                <w:szCs w:val="20"/>
              </w:rPr>
            </w:pPr>
            <w:r>
              <w:rPr>
                <w:rFonts w:ascii="Arial" w:hAnsi="Arial" w:cs="Arial"/>
                <w:szCs w:val="20"/>
              </w:rPr>
              <w:t>260,000</w:t>
            </w:r>
          </w:p>
        </w:tc>
        <w:tc>
          <w:tcPr>
            <w:tcW w:w="1918" w:type="dxa"/>
            <w:vAlign w:val="bottom"/>
          </w:tcPr>
          <w:p w14:paraId="1BC94983" w14:textId="756F0917" w:rsidR="00E831F9" w:rsidRPr="00DE57B5" w:rsidRDefault="00D04156" w:rsidP="0093147D">
            <w:pPr>
              <w:pStyle w:val="Header"/>
              <w:ind w:left="86" w:right="288" w:hanging="86"/>
              <w:jc w:val="right"/>
              <w:rPr>
                <w:rFonts w:ascii="Arial" w:hAnsi="Arial" w:cs="Arial"/>
                <w:szCs w:val="20"/>
              </w:rPr>
            </w:pPr>
            <w:r>
              <w:rPr>
                <w:rFonts w:ascii="Arial" w:hAnsi="Arial" w:cs="Arial"/>
                <w:szCs w:val="20"/>
              </w:rPr>
              <w:t>4.00</w:t>
            </w:r>
          </w:p>
        </w:tc>
        <w:tc>
          <w:tcPr>
            <w:tcW w:w="2008" w:type="dxa"/>
          </w:tcPr>
          <w:p w14:paraId="1415F857" w14:textId="77777777" w:rsidR="00E831F9" w:rsidRPr="00DE57B5" w:rsidRDefault="00E831F9" w:rsidP="0093147D">
            <w:pPr>
              <w:pStyle w:val="Header"/>
              <w:ind w:right="-66" w:hanging="81"/>
              <w:jc w:val="center"/>
              <w:rPr>
                <w:rFonts w:ascii="Arial" w:hAnsi="Arial" w:cs="Arial"/>
              </w:rPr>
            </w:pPr>
            <w:r w:rsidRPr="00DE57B5">
              <w:rPr>
                <w:rFonts w:ascii="Arial" w:hAnsi="Arial" w:cs="Arial"/>
              </w:rPr>
              <w:t>June 11, 2024</w:t>
            </w:r>
          </w:p>
        </w:tc>
      </w:tr>
      <w:tr w:rsidR="00E831F9" w:rsidRPr="00DE57B5" w14:paraId="76B7624E" w14:textId="77777777" w:rsidTr="00952961">
        <w:tc>
          <w:tcPr>
            <w:tcW w:w="1704" w:type="dxa"/>
            <w:vAlign w:val="bottom"/>
          </w:tcPr>
          <w:p w14:paraId="4BC96D0D" w14:textId="1497A0F9"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75,000</w:t>
            </w:r>
          </w:p>
        </w:tc>
        <w:tc>
          <w:tcPr>
            <w:tcW w:w="1418" w:type="dxa"/>
          </w:tcPr>
          <w:p w14:paraId="096957DA" w14:textId="61D8FDCA" w:rsidR="00E831F9" w:rsidRPr="00DE57B5" w:rsidRDefault="002D620A" w:rsidP="0093147D">
            <w:pPr>
              <w:pStyle w:val="Header"/>
              <w:ind w:left="86" w:right="134" w:hanging="86"/>
              <w:jc w:val="right"/>
              <w:rPr>
                <w:rFonts w:ascii="Arial" w:hAnsi="Arial" w:cs="Arial"/>
                <w:szCs w:val="20"/>
              </w:rPr>
            </w:pPr>
            <w:r w:rsidRPr="00DE57B5">
              <w:rPr>
                <w:rFonts w:ascii="Arial" w:hAnsi="Arial" w:cs="Arial"/>
                <w:szCs w:val="20"/>
              </w:rPr>
              <w:t>75,000</w:t>
            </w:r>
          </w:p>
        </w:tc>
        <w:tc>
          <w:tcPr>
            <w:tcW w:w="1918" w:type="dxa"/>
            <w:vAlign w:val="bottom"/>
          </w:tcPr>
          <w:p w14:paraId="295C0EA7" w14:textId="04B24FB1" w:rsidR="00E831F9" w:rsidRPr="00DE57B5" w:rsidRDefault="00D04156" w:rsidP="0093147D">
            <w:pPr>
              <w:pStyle w:val="Header"/>
              <w:ind w:left="86" w:right="288" w:hanging="86"/>
              <w:jc w:val="right"/>
              <w:rPr>
                <w:rFonts w:ascii="Arial" w:hAnsi="Arial" w:cs="Arial"/>
                <w:szCs w:val="20"/>
              </w:rPr>
            </w:pPr>
            <w:r>
              <w:rPr>
                <w:rFonts w:ascii="Arial" w:hAnsi="Arial" w:cs="Arial"/>
                <w:szCs w:val="20"/>
              </w:rPr>
              <w:t>3.90</w:t>
            </w:r>
          </w:p>
        </w:tc>
        <w:tc>
          <w:tcPr>
            <w:tcW w:w="2008" w:type="dxa"/>
          </w:tcPr>
          <w:p w14:paraId="4BAAE8F2" w14:textId="77777777" w:rsidR="00E831F9" w:rsidRPr="00DE57B5" w:rsidRDefault="00E831F9" w:rsidP="0093147D">
            <w:pPr>
              <w:pStyle w:val="Header"/>
              <w:ind w:right="-66" w:hanging="81"/>
              <w:jc w:val="center"/>
              <w:rPr>
                <w:rFonts w:ascii="Arial" w:hAnsi="Arial" w:cs="Arial"/>
              </w:rPr>
            </w:pPr>
            <w:r w:rsidRPr="00DE57B5">
              <w:rPr>
                <w:rFonts w:ascii="Arial" w:hAnsi="Arial" w:cs="Arial"/>
              </w:rPr>
              <w:t>July 1, 2024</w:t>
            </w:r>
          </w:p>
        </w:tc>
      </w:tr>
      <w:tr w:rsidR="00E831F9" w:rsidRPr="00DE57B5" w14:paraId="2A0104F5" w14:textId="77777777" w:rsidTr="00952961">
        <w:tc>
          <w:tcPr>
            <w:tcW w:w="1704" w:type="dxa"/>
            <w:vAlign w:val="bottom"/>
          </w:tcPr>
          <w:p w14:paraId="2389C230" w14:textId="18072210"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10,000</w:t>
            </w:r>
          </w:p>
        </w:tc>
        <w:tc>
          <w:tcPr>
            <w:tcW w:w="1418" w:type="dxa"/>
          </w:tcPr>
          <w:p w14:paraId="76EB5E76" w14:textId="1230BAAE" w:rsidR="00E831F9" w:rsidRPr="00DE57B5" w:rsidRDefault="002D620A" w:rsidP="00EC4ECB">
            <w:pPr>
              <w:pStyle w:val="Header"/>
              <w:ind w:left="86" w:right="134" w:hanging="86"/>
              <w:jc w:val="right"/>
              <w:rPr>
                <w:rFonts w:ascii="Arial" w:hAnsi="Arial" w:cs="Arial"/>
                <w:szCs w:val="20"/>
              </w:rPr>
            </w:pPr>
            <w:r>
              <w:rPr>
                <w:rFonts w:ascii="Arial" w:hAnsi="Arial" w:cs="Arial"/>
                <w:szCs w:val="20"/>
              </w:rPr>
              <w:t>7</w:t>
            </w:r>
            <w:r w:rsidR="00A44469">
              <w:rPr>
                <w:rFonts w:ascii="Arial" w:hAnsi="Arial" w:cs="Arial"/>
                <w:szCs w:val="20"/>
              </w:rPr>
              <w:t>,</w:t>
            </w:r>
            <w:r>
              <w:rPr>
                <w:rFonts w:ascii="Arial" w:hAnsi="Arial" w:cs="Arial"/>
                <w:szCs w:val="20"/>
              </w:rPr>
              <w:t>5</w:t>
            </w:r>
            <w:r w:rsidR="006115A7">
              <w:rPr>
                <w:rFonts w:ascii="Arial" w:hAnsi="Arial" w:cs="Arial"/>
                <w:szCs w:val="20"/>
              </w:rPr>
              <w:t>00</w:t>
            </w:r>
          </w:p>
        </w:tc>
        <w:tc>
          <w:tcPr>
            <w:tcW w:w="1918" w:type="dxa"/>
            <w:vAlign w:val="bottom"/>
          </w:tcPr>
          <w:p w14:paraId="3E93C975" w14:textId="1A26BDA1" w:rsidR="00E831F9" w:rsidRPr="00DE57B5" w:rsidRDefault="00D04156" w:rsidP="00EC4ECB">
            <w:pPr>
              <w:pStyle w:val="Header"/>
              <w:ind w:left="86" w:right="288" w:hanging="86"/>
              <w:jc w:val="right"/>
              <w:rPr>
                <w:rFonts w:ascii="Arial" w:hAnsi="Arial" w:cs="Arial"/>
                <w:szCs w:val="20"/>
              </w:rPr>
            </w:pPr>
            <w:r>
              <w:rPr>
                <w:rFonts w:ascii="Arial" w:hAnsi="Arial" w:cs="Arial"/>
                <w:szCs w:val="20"/>
              </w:rPr>
              <w:t>2.60</w:t>
            </w:r>
          </w:p>
        </w:tc>
        <w:tc>
          <w:tcPr>
            <w:tcW w:w="2008" w:type="dxa"/>
          </w:tcPr>
          <w:p w14:paraId="46A45942" w14:textId="0C9D946E" w:rsidR="00E831F9" w:rsidRPr="00DE57B5" w:rsidRDefault="00E831F9" w:rsidP="00EC4ECB">
            <w:pPr>
              <w:pStyle w:val="Header"/>
              <w:ind w:right="-66" w:hanging="81"/>
              <w:jc w:val="center"/>
              <w:rPr>
                <w:rFonts w:ascii="Arial" w:hAnsi="Arial" w:cs="Arial"/>
              </w:rPr>
            </w:pPr>
            <w:r>
              <w:rPr>
                <w:rFonts w:ascii="Arial" w:hAnsi="Arial" w:cs="Arial"/>
              </w:rPr>
              <w:t>September 29, 2024</w:t>
            </w:r>
          </w:p>
        </w:tc>
      </w:tr>
      <w:tr w:rsidR="00E831F9" w:rsidRPr="00DE57B5" w14:paraId="6945EFF9" w14:textId="77777777" w:rsidTr="00952961">
        <w:tc>
          <w:tcPr>
            <w:tcW w:w="1704" w:type="dxa"/>
            <w:vAlign w:val="bottom"/>
          </w:tcPr>
          <w:p w14:paraId="67FD7211" w14:textId="64B27CBA"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15,000</w:t>
            </w:r>
          </w:p>
        </w:tc>
        <w:tc>
          <w:tcPr>
            <w:tcW w:w="1418" w:type="dxa"/>
          </w:tcPr>
          <w:p w14:paraId="010DEAEB" w14:textId="6A0E3668" w:rsidR="00E831F9" w:rsidRPr="00DE57B5" w:rsidRDefault="002D620A" w:rsidP="00EC4ECB">
            <w:pPr>
              <w:pStyle w:val="Header"/>
              <w:ind w:left="86" w:right="134" w:hanging="86"/>
              <w:jc w:val="right"/>
              <w:rPr>
                <w:rFonts w:ascii="Arial" w:hAnsi="Arial" w:cs="Arial"/>
                <w:szCs w:val="20"/>
              </w:rPr>
            </w:pPr>
            <w:r>
              <w:rPr>
                <w:rFonts w:ascii="Arial" w:hAnsi="Arial" w:cs="Arial"/>
                <w:szCs w:val="20"/>
              </w:rPr>
              <w:t>11</w:t>
            </w:r>
            <w:r w:rsidR="00A44469">
              <w:rPr>
                <w:rFonts w:ascii="Arial" w:hAnsi="Arial" w:cs="Arial"/>
                <w:szCs w:val="20"/>
              </w:rPr>
              <w:t>,</w:t>
            </w:r>
            <w:r>
              <w:rPr>
                <w:rFonts w:ascii="Arial" w:hAnsi="Arial" w:cs="Arial"/>
                <w:szCs w:val="20"/>
              </w:rPr>
              <w:t>250</w:t>
            </w:r>
          </w:p>
        </w:tc>
        <w:tc>
          <w:tcPr>
            <w:tcW w:w="1918" w:type="dxa"/>
            <w:vAlign w:val="bottom"/>
          </w:tcPr>
          <w:p w14:paraId="0DF9ECB3" w14:textId="2510C1D0" w:rsidR="00E831F9" w:rsidRPr="00DE57B5" w:rsidRDefault="00D04156" w:rsidP="00EC4ECB">
            <w:pPr>
              <w:pStyle w:val="Header"/>
              <w:ind w:left="86" w:right="288" w:hanging="86"/>
              <w:jc w:val="right"/>
              <w:rPr>
                <w:rFonts w:ascii="Arial" w:hAnsi="Arial" w:cs="Arial"/>
                <w:szCs w:val="20"/>
              </w:rPr>
            </w:pPr>
            <w:r>
              <w:rPr>
                <w:rFonts w:ascii="Arial" w:hAnsi="Arial" w:cs="Arial"/>
                <w:szCs w:val="20"/>
              </w:rPr>
              <w:t>1.55</w:t>
            </w:r>
          </w:p>
        </w:tc>
        <w:tc>
          <w:tcPr>
            <w:tcW w:w="2008" w:type="dxa"/>
          </w:tcPr>
          <w:p w14:paraId="47FA52C3" w14:textId="7A5ECE79" w:rsidR="00E831F9" w:rsidRPr="00DE57B5" w:rsidRDefault="00E831F9" w:rsidP="00EC4ECB">
            <w:pPr>
              <w:pStyle w:val="Header"/>
              <w:ind w:right="-66" w:hanging="81"/>
              <w:jc w:val="center"/>
              <w:rPr>
                <w:rFonts w:ascii="Arial" w:hAnsi="Arial" w:cs="Arial"/>
              </w:rPr>
            </w:pPr>
            <w:r>
              <w:rPr>
                <w:rFonts w:ascii="Arial" w:hAnsi="Arial" w:cs="Arial"/>
              </w:rPr>
              <w:t>October 15, 2024</w:t>
            </w:r>
          </w:p>
        </w:tc>
      </w:tr>
      <w:tr w:rsidR="00E831F9" w:rsidRPr="00DE57B5" w14:paraId="743D5FE0" w14:textId="77777777" w:rsidTr="00952961">
        <w:tc>
          <w:tcPr>
            <w:tcW w:w="1704" w:type="dxa"/>
            <w:vAlign w:val="bottom"/>
          </w:tcPr>
          <w:p w14:paraId="498CDD92" w14:textId="2E67DF43"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15,000</w:t>
            </w:r>
          </w:p>
        </w:tc>
        <w:tc>
          <w:tcPr>
            <w:tcW w:w="1418" w:type="dxa"/>
          </w:tcPr>
          <w:p w14:paraId="3C1CFB56" w14:textId="141C5848" w:rsidR="00E831F9" w:rsidRPr="00DE57B5" w:rsidRDefault="002D620A" w:rsidP="00EC4ECB">
            <w:pPr>
              <w:pStyle w:val="Header"/>
              <w:ind w:left="86" w:right="134" w:hanging="86"/>
              <w:jc w:val="right"/>
              <w:rPr>
                <w:rFonts w:ascii="Arial" w:hAnsi="Arial" w:cs="Arial"/>
                <w:szCs w:val="20"/>
              </w:rPr>
            </w:pPr>
            <w:r>
              <w:rPr>
                <w:rFonts w:ascii="Arial" w:hAnsi="Arial" w:cs="Arial"/>
                <w:szCs w:val="20"/>
              </w:rPr>
              <w:t>11</w:t>
            </w:r>
            <w:r w:rsidR="00A44469">
              <w:rPr>
                <w:rFonts w:ascii="Arial" w:hAnsi="Arial" w:cs="Arial"/>
                <w:szCs w:val="20"/>
              </w:rPr>
              <w:t>,</w:t>
            </w:r>
            <w:r>
              <w:rPr>
                <w:rFonts w:ascii="Arial" w:hAnsi="Arial" w:cs="Arial"/>
                <w:szCs w:val="20"/>
              </w:rPr>
              <w:t>250</w:t>
            </w:r>
          </w:p>
        </w:tc>
        <w:tc>
          <w:tcPr>
            <w:tcW w:w="1918" w:type="dxa"/>
            <w:vAlign w:val="bottom"/>
          </w:tcPr>
          <w:p w14:paraId="3EE2EF27" w14:textId="425CFDF5" w:rsidR="00E831F9" w:rsidRPr="00DE57B5" w:rsidRDefault="00D04156" w:rsidP="00EC4ECB">
            <w:pPr>
              <w:pStyle w:val="Header"/>
              <w:ind w:left="86" w:right="288" w:hanging="86"/>
              <w:jc w:val="right"/>
              <w:rPr>
                <w:rFonts w:ascii="Arial" w:hAnsi="Arial" w:cs="Arial"/>
                <w:szCs w:val="20"/>
              </w:rPr>
            </w:pPr>
            <w:r>
              <w:rPr>
                <w:rFonts w:ascii="Arial" w:hAnsi="Arial" w:cs="Arial"/>
                <w:szCs w:val="20"/>
              </w:rPr>
              <w:t>2.50</w:t>
            </w:r>
          </w:p>
        </w:tc>
        <w:tc>
          <w:tcPr>
            <w:tcW w:w="2008" w:type="dxa"/>
          </w:tcPr>
          <w:p w14:paraId="22FD8E00" w14:textId="2956BE8D" w:rsidR="00E831F9" w:rsidRPr="00DE57B5" w:rsidRDefault="00E831F9" w:rsidP="00EC4ECB">
            <w:pPr>
              <w:pStyle w:val="Header"/>
              <w:ind w:right="-66" w:hanging="81"/>
              <w:jc w:val="center"/>
              <w:rPr>
                <w:rFonts w:ascii="Arial" w:hAnsi="Arial" w:cs="Arial"/>
              </w:rPr>
            </w:pPr>
            <w:r>
              <w:rPr>
                <w:rFonts w:ascii="Arial" w:hAnsi="Arial" w:cs="Arial"/>
              </w:rPr>
              <w:t>October 15, 2024</w:t>
            </w:r>
          </w:p>
        </w:tc>
      </w:tr>
      <w:tr w:rsidR="006115A7" w:rsidRPr="00DE57B5" w14:paraId="4B627205" w14:textId="77777777" w:rsidTr="00952961">
        <w:tc>
          <w:tcPr>
            <w:tcW w:w="1704" w:type="dxa"/>
            <w:vAlign w:val="bottom"/>
          </w:tcPr>
          <w:p w14:paraId="3B94FD62" w14:textId="63D1349A" w:rsidR="006115A7" w:rsidRDefault="006115A7" w:rsidP="00EC4ECB">
            <w:pPr>
              <w:pStyle w:val="Header"/>
              <w:ind w:left="86" w:right="288" w:hanging="86"/>
              <w:jc w:val="right"/>
              <w:rPr>
                <w:rFonts w:ascii="Arial" w:hAnsi="Arial" w:cs="Arial"/>
                <w:szCs w:val="20"/>
              </w:rPr>
            </w:pPr>
            <w:r>
              <w:rPr>
                <w:rFonts w:ascii="Arial" w:hAnsi="Arial" w:cs="Arial"/>
                <w:szCs w:val="20"/>
              </w:rPr>
              <w:t>7</w:t>
            </w:r>
            <w:r w:rsidR="00A44469">
              <w:rPr>
                <w:rFonts w:ascii="Arial" w:hAnsi="Arial" w:cs="Arial"/>
                <w:szCs w:val="20"/>
              </w:rPr>
              <w:t>,</w:t>
            </w:r>
            <w:r>
              <w:rPr>
                <w:rFonts w:ascii="Arial" w:hAnsi="Arial" w:cs="Arial"/>
                <w:szCs w:val="20"/>
              </w:rPr>
              <w:t>500</w:t>
            </w:r>
          </w:p>
        </w:tc>
        <w:tc>
          <w:tcPr>
            <w:tcW w:w="1418" w:type="dxa"/>
          </w:tcPr>
          <w:p w14:paraId="5DC96D58" w14:textId="2E26EA2A" w:rsidR="006115A7" w:rsidRDefault="006115A7" w:rsidP="00EC4ECB">
            <w:pPr>
              <w:pStyle w:val="Header"/>
              <w:ind w:left="86" w:right="134" w:hanging="86"/>
              <w:jc w:val="right"/>
              <w:rPr>
                <w:rFonts w:ascii="Arial" w:hAnsi="Arial" w:cs="Arial"/>
                <w:szCs w:val="20"/>
              </w:rPr>
            </w:pPr>
            <w:r w:rsidRPr="00D0623F">
              <w:rPr>
                <w:rFonts w:ascii="Arial" w:hAnsi="Arial" w:cs="Arial"/>
                <w:szCs w:val="20"/>
              </w:rPr>
              <w:t>–</w:t>
            </w:r>
          </w:p>
        </w:tc>
        <w:tc>
          <w:tcPr>
            <w:tcW w:w="1918" w:type="dxa"/>
            <w:vAlign w:val="bottom"/>
          </w:tcPr>
          <w:p w14:paraId="1374B385" w14:textId="3A31826F" w:rsidR="006115A7" w:rsidRDefault="00D04156" w:rsidP="00EC4ECB">
            <w:pPr>
              <w:pStyle w:val="Header"/>
              <w:ind w:left="86" w:right="288" w:hanging="86"/>
              <w:jc w:val="right"/>
              <w:rPr>
                <w:rFonts w:ascii="Arial" w:hAnsi="Arial" w:cs="Arial"/>
                <w:szCs w:val="20"/>
              </w:rPr>
            </w:pPr>
            <w:r>
              <w:rPr>
                <w:rFonts w:ascii="Arial" w:hAnsi="Arial" w:cs="Arial"/>
                <w:szCs w:val="20"/>
              </w:rPr>
              <w:t>1.50</w:t>
            </w:r>
          </w:p>
        </w:tc>
        <w:tc>
          <w:tcPr>
            <w:tcW w:w="2008" w:type="dxa"/>
          </w:tcPr>
          <w:p w14:paraId="7F17B407" w14:textId="66C58830" w:rsidR="006115A7" w:rsidRDefault="006115A7" w:rsidP="00EC4ECB">
            <w:pPr>
              <w:pStyle w:val="Header"/>
              <w:ind w:right="-66" w:hanging="81"/>
              <w:jc w:val="center"/>
              <w:rPr>
                <w:rFonts w:ascii="Arial" w:hAnsi="Arial" w:cs="Arial"/>
              </w:rPr>
            </w:pPr>
            <w:r>
              <w:rPr>
                <w:rFonts w:ascii="Arial" w:hAnsi="Arial" w:cs="Arial"/>
              </w:rPr>
              <w:t>November 3, 2024</w:t>
            </w:r>
          </w:p>
        </w:tc>
      </w:tr>
      <w:tr w:rsidR="006115A7" w:rsidRPr="00DE57B5" w14:paraId="41EEC7AD" w14:textId="77777777" w:rsidTr="00952961">
        <w:tc>
          <w:tcPr>
            <w:tcW w:w="1704" w:type="dxa"/>
            <w:vAlign w:val="bottom"/>
          </w:tcPr>
          <w:p w14:paraId="4FC23495" w14:textId="7094FDEE" w:rsidR="006115A7" w:rsidRDefault="002D620A" w:rsidP="00EC4ECB">
            <w:pPr>
              <w:pStyle w:val="Header"/>
              <w:ind w:left="86" w:right="288" w:hanging="86"/>
              <w:jc w:val="right"/>
              <w:rPr>
                <w:rFonts w:ascii="Arial" w:hAnsi="Arial" w:cs="Arial"/>
                <w:szCs w:val="20"/>
              </w:rPr>
            </w:pPr>
            <w:r>
              <w:rPr>
                <w:rFonts w:ascii="Arial" w:hAnsi="Arial" w:cs="Arial"/>
                <w:szCs w:val="20"/>
              </w:rPr>
              <w:t>150</w:t>
            </w:r>
            <w:r w:rsidR="006115A7">
              <w:rPr>
                <w:rFonts w:ascii="Arial" w:hAnsi="Arial" w:cs="Arial"/>
                <w:szCs w:val="20"/>
              </w:rPr>
              <w:t>,000</w:t>
            </w:r>
          </w:p>
        </w:tc>
        <w:tc>
          <w:tcPr>
            <w:tcW w:w="1418" w:type="dxa"/>
          </w:tcPr>
          <w:p w14:paraId="686812CA" w14:textId="1E738E83" w:rsidR="006115A7" w:rsidRDefault="002D620A" w:rsidP="00EC4ECB">
            <w:pPr>
              <w:pStyle w:val="Header"/>
              <w:ind w:left="86" w:right="134" w:hanging="86"/>
              <w:jc w:val="right"/>
              <w:rPr>
                <w:rFonts w:ascii="Arial" w:hAnsi="Arial" w:cs="Arial"/>
                <w:szCs w:val="20"/>
              </w:rPr>
            </w:pPr>
            <w:r>
              <w:rPr>
                <w:rFonts w:ascii="Arial" w:hAnsi="Arial" w:cs="Arial"/>
                <w:szCs w:val="20"/>
              </w:rPr>
              <w:t>50,000</w:t>
            </w:r>
          </w:p>
        </w:tc>
        <w:tc>
          <w:tcPr>
            <w:tcW w:w="1918" w:type="dxa"/>
            <w:vAlign w:val="bottom"/>
          </w:tcPr>
          <w:p w14:paraId="7BA5C757" w14:textId="0BB3C4DA" w:rsidR="006115A7" w:rsidRDefault="00D04156" w:rsidP="00EC4ECB">
            <w:pPr>
              <w:pStyle w:val="Header"/>
              <w:ind w:left="86" w:right="288" w:hanging="86"/>
              <w:jc w:val="right"/>
              <w:rPr>
                <w:rFonts w:ascii="Arial" w:hAnsi="Arial" w:cs="Arial"/>
                <w:szCs w:val="20"/>
              </w:rPr>
            </w:pPr>
            <w:r>
              <w:rPr>
                <w:rFonts w:ascii="Arial" w:hAnsi="Arial" w:cs="Arial"/>
                <w:szCs w:val="20"/>
              </w:rPr>
              <w:t>2.50</w:t>
            </w:r>
          </w:p>
        </w:tc>
        <w:tc>
          <w:tcPr>
            <w:tcW w:w="2008" w:type="dxa"/>
          </w:tcPr>
          <w:p w14:paraId="21DD4D64" w14:textId="4CC40A9F" w:rsidR="006115A7" w:rsidRDefault="006115A7" w:rsidP="00EC4ECB">
            <w:pPr>
              <w:pStyle w:val="Header"/>
              <w:ind w:right="-66" w:hanging="81"/>
              <w:jc w:val="center"/>
              <w:rPr>
                <w:rFonts w:ascii="Arial" w:hAnsi="Arial" w:cs="Arial"/>
              </w:rPr>
            </w:pPr>
            <w:r>
              <w:rPr>
                <w:rFonts w:ascii="Arial" w:hAnsi="Arial" w:cs="Arial"/>
              </w:rPr>
              <w:t>November 13, 2024</w:t>
            </w:r>
          </w:p>
        </w:tc>
      </w:tr>
      <w:tr w:rsidR="006115A7" w:rsidRPr="00DE57B5" w14:paraId="1066222D" w14:textId="77777777" w:rsidTr="00952961">
        <w:tc>
          <w:tcPr>
            <w:tcW w:w="1704" w:type="dxa"/>
            <w:vAlign w:val="bottom"/>
          </w:tcPr>
          <w:p w14:paraId="320AE2E2" w14:textId="1EDE94DD" w:rsidR="006115A7" w:rsidRDefault="006115A7" w:rsidP="00EC4ECB">
            <w:pPr>
              <w:pStyle w:val="Header"/>
              <w:ind w:left="86" w:right="288" w:hanging="86"/>
              <w:jc w:val="right"/>
              <w:rPr>
                <w:rFonts w:ascii="Arial" w:hAnsi="Arial" w:cs="Arial"/>
                <w:szCs w:val="20"/>
              </w:rPr>
            </w:pPr>
            <w:r>
              <w:rPr>
                <w:rFonts w:ascii="Arial" w:hAnsi="Arial" w:cs="Arial"/>
                <w:szCs w:val="20"/>
              </w:rPr>
              <w:t>20,000</w:t>
            </w:r>
          </w:p>
        </w:tc>
        <w:tc>
          <w:tcPr>
            <w:tcW w:w="1418" w:type="dxa"/>
          </w:tcPr>
          <w:p w14:paraId="66AED3BD" w14:textId="522EEE96" w:rsidR="006115A7" w:rsidRDefault="002D620A" w:rsidP="00EC4ECB">
            <w:pPr>
              <w:pStyle w:val="Header"/>
              <w:ind w:left="86" w:right="134" w:hanging="86"/>
              <w:jc w:val="right"/>
              <w:rPr>
                <w:rFonts w:ascii="Arial" w:hAnsi="Arial" w:cs="Arial"/>
                <w:szCs w:val="20"/>
              </w:rPr>
            </w:pPr>
            <w:r>
              <w:rPr>
                <w:rFonts w:ascii="Arial" w:hAnsi="Arial" w:cs="Arial"/>
                <w:szCs w:val="20"/>
              </w:rPr>
              <w:t>10</w:t>
            </w:r>
            <w:r w:rsidR="006115A7">
              <w:rPr>
                <w:rFonts w:ascii="Arial" w:hAnsi="Arial" w:cs="Arial"/>
                <w:szCs w:val="20"/>
              </w:rPr>
              <w:t>,000</w:t>
            </w:r>
          </w:p>
        </w:tc>
        <w:tc>
          <w:tcPr>
            <w:tcW w:w="1918" w:type="dxa"/>
            <w:vAlign w:val="bottom"/>
          </w:tcPr>
          <w:p w14:paraId="5BFDD91E" w14:textId="4945DE16" w:rsidR="006115A7" w:rsidRDefault="00D04156" w:rsidP="00EC4ECB">
            <w:pPr>
              <w:pStyle w:val="Header"/>
              <w:ind w:left="86" w:right="288" w:hanging="86"/>
              <w:jc w:val="right"/>
              <w:rPr>
                <w:rFonts w:ascii="Arial" w:hAnsi="Arial" w:cs="Arial"/>
                <w:szCs w:val="20"/>
              </w:rPr>
            </w:pPr>
            <w:r>
              <w:rPr>
                <w:rFonts w:ascii="Arial" w:hAnsi="Arial" w:cs="Arial"/>
                <w:szCs w:val="20"/>
              </w:rPr>
              <w:t>2.50</w:t>
            </w:r>
          </w:p>
        </w:tc>
        <w:tc>
          <w:tcPr>
            <w:tcW w:w="2008" w:type="dxa"/>
          </w:tcPr>
          <w:p w14:paraId="347F3D79" w14:textId="6DDCFB36" w:rsidR="006115A7" w:rsidRDefault="006115A7" w:rsidP="00EC4ECB">
            <w:pPr>
              <w:pStyle w:val="Header"/>
              <w:ind w:right="-66" w:hanging="81"/>
              <w:jc w:val="center"/>
              <w:rPr>
                <w:rFonts w:ascii="Arial" w:hAnsi="Arial" w:cs="Arial"/>
              </w:rPr>
            </w:pPr>
            <w:r>
              <w:rPr>
                <w:rFonts w:ascii="Arial" w:hAnsi="Arial" w:cs="Arial"/>
              </w:rPr>
              <w:t>December 26, 2024</w:t>
            </w:r>
          </w:p>
        </w:tc>
      </w:tr>
      <w:tr w:rsidR="006115A7" w:rsidRPr="00DE57B5" w14:paraId="773E3A36" w14:textId="77777777" w:rsidTr="00952961">
        <w:tc>
          <w:tcPr>
            <w:tcW w:w="1704" w:type="dxa"/>
            <w:vAlign w:val="bottom"/>
          </w:tcPr>
          <w:p w14:paraId="3CCF550B" w14:textId="5C01B06F" w:rsidR="006115A7" w:rsidRDefault="006115A7" w:rsidP="00EC4ECB">
            <w:pPr>
              <w:pStyle w:val="Header"/>
              <w:ind w:left="86" w:right="288" w:hanging="86"/>
              <w:jc w:val="right"/>
              <w:rPr>
                <w:rFonts w:ascii="Arial" w:hAnsi="Arial" w:cs="Arial"/>
                <w:szCs w:val="20"/>
              </w:rPr>
            </w:pPr>
            <w:r>
              <w:rPr>
                <w:rFonts w:ascii="Arial" w:hAnsi="Arial" w:cs="Arial"/>
                <w:szCs w:val="20"/>
              </w:rPr>
              <w:t>10,000</w:t>
            </w:r>
          </w:p>
        </w:tc>
        <w:tc>
          <w:tcPr>
            <w:tcW w:w="1418" w:type="dxa"/>
          </w:tcPr>
          <w:p w14:paraId="78FE6AA6" w14:textId="3EC2D476" w:rsidR="006115A7" w:rsidRDefault="002D620A" w:rsidP="00EC4ECB">
            <w:pPr>
              <w:pStyle w:val="Header"/>
              <w:ind w:left="86" w:right="134" w:hanging="86"/>
              <w:jc w:val="right"/>
              <w:rPr>
                <w:rFonts w:ascii="Arial" w:hAnsi="Arial" w:cs="Arial"/>
                <w:szCs w:val="20"/>
              </w:rPr>
            </w:pPr>
            <w:r>
              <w:rPr>
                <w:rFonts w:ascii="Arial" w:hAnsi="Arial" w:cs="Arial"/>
                <w:szCs w:val="20"/>
              </w:rPr>
              <w:t>2</w:t>
            </w:r>
            <w:r w:rsidR="00A44469">
              <w:rPr>
                <w:rFonts w:ascii="Arial" w:hAnsi="Arial" w:cs="Arial"/>
                <w:szCs w:val="20"/>
              </w:rPr>
              <w:t>,</w:t>
            </w:r>
            <w:r>
              <w:rPr>
                <w:rFonts w:ascii="Arial" w:hAnsi="Arial" w:cs="Arial"/>
                <w:szCs w:val="20"/>
              </w:rPr>
              <w:t>500</w:t>
            </w:r>
          </w:p>
        </w:tc>
        <w:tc>
          <w:tcPr>
            <w:tcW w:w="1918" w:type="dxa"/>
            <w:vAlign w:val="bottom"/>
          </w:tcPr>
          <w:p w14:paraId="534E5279" w14:textId="1349A790" w:rsidR="006115A7" w:rsidRDefault="00D04156" w:rsidP="00EC4ECB">
            <w:pPr>
              <w:pStyle w:val="Header"/>
              <w:ind w:left="86" w:right="288" w:hanging="86"/>
              <w:jc w:val="right"/>
              <w:rPr>
                <w:rFonts w:ascii="Arial" w:hAnsi="Arial" w:cs="Arial"/>
                <w:szCs w:val="20"/>
              </w:rPr>
            </w:pPr>
            <w:r>
              <w:rPr>
                <w:rFonts w:ascii="Arial" w:hAnsi="Arial" w:cs="Arial"/>
                <w:szCs w:val="20"/>
              </w:rPr>
              <w:t>2.50</w:t>
            </w:r>
          </w:p>
        </w:tc>
        <w:tc>
          <w:tcPr>
            <w:tcW w:w="2008" w:type="dxa"/>
          </w:tcPr>
          <w:p w14:paraId="7EBEC2A5" w14:textId="32E88F2E" w:rsidR="006115A7" w:rsidRDefault="006115A7" w:rsidP="00EC4ECB">
            <w:pPr>
              <w:pStyle w:val="Header"/>
              <w:ind w:right="-66" w:hanging="81"/>
              <w:jc w:val="center"/>
              <w:rPr>
                <w:rFonts w:ascii="Arial" w:hAnsi="Arial" w:cs="Arial"/>
              </w:rPr>
            </w:pPr>
            <w:r>
              <w:rPr>
                <w:rFonts w:ascii="Arial" w:hAnsi="Arial" w:cs="Arial"/>
              </w:rPr>
              <w:t>January 20, 2023</w:t>
            </w:r>
          </w:p>
        </w:tc>
      </w:tr>
      <w:tr w:rsidR="00BA6A0D" w:rsidRPr="00F60034" w14:paraId="30170B36" w14:textId="77777777" w:rsidTr="00952961">
        <w:trPr>
          <w:trHeight w:val="278"/>
        </w:trPr>
        <w:tc>
          <w:tcPr>
            <w:tcW w:w="1704" w:type="dxa"/>
            <w:tcBorders>
              <w:top w:val="single" w:sz="4" w:space="0" w:color="auto"/>
              <w:bottom w:val="single" w:sz="12" w:space="0" w:color="auto"/>
            </w:tcBorders>
            <w:vAlign w:val="bottom"/>
          </w:tcPr>
          <w:p w14:paraId="547EA93E" w14:textId="619ADBC4" w:rsidR="00BA6A0D" w:rsidRPr="00DE57B5" w:rsidDel="00B626EB" w:rsidRDefault="002D620A" w:rsidP="004D0022">
            <w:pPr>
              <w:pStyle w:val="Header"/>
              <w:spacing w:before="120"/>
              <w:ind w:left="86" w:right="288" w:hanging="86"/>
              <w:jc w:val="right"/>
              <w:rPr>
                <w:rFonts w:ascii="Arial" w:hAnsi="Arial" w:cs="Arial"/>
                <w:szCs w:val="20"/>
              </w:rPr>
            </w:pPr>
            <w:r>
              <w:rPr>
                <w:rFonts w:ascii="Arial" w:hAnsi="Arial" w:cs="Arial"/>
                <w:szCs w:val="20"/>
              </w:rPr>
              <w:t>1</w:t>
            </w:r>
            <w:r w:rsidR="00A44469">
              <w:rPr>
                <w:rFonts w:ascii="Arial" w:hAnsi="Arial" w:cs="Arial"/>
                <w:szCs w:val="20"/>
              </w:rPr>
              <w:t>,</w:t>
            </w:r>
            <w:r>
              <w:rPr>
                <w:rFonts w:ascii="Arial" w:hAnsi="Arial" w:cs="Arial"/>
                <w:szCs w:val="20"/>
              </w:rPr>
              <w:t>217</w:t>
            </w:r>
            <w:r w:rsidR="00A44469">
              <w:rPr>
                <w:rFonts w:ascii="Arial" w:hAnsi="Arial" w:cs="Arial"/>
                <w:szCs w:val="20"/>
              </w:rPr>
              <w:t>,5</w:t>
            </w:r>
            <w:r w:rsidR="00DE57B5" w:rsidRPr="00DE57B5">
              <w:rPr>
                <w:rFonts w:ascii="Arial" w:hAnsi="Arial" w:cs="Arial"/>
                <w:szCs w:val="20"/>
              </w:rPr>
              <w:t>00</w:t>
            </w:r>
          </w:p>
        </w:tc>
        <w:tc>
          <w:tcPr>
            <w:tcW w:w="1418" w:type="dxa"/>
            <w:tcBorders>
              <w:top w:val="single" w:sz="4" w:space="0" w:color="auto"/>
              <w:bottom w:val="single" w:sz="12" w:space="0" w:color="auto"/>
            </w:tcBorders>
          </w:tcPr>
          <w:p w14:paraId="1A2FA444" w14:textId="019CEF68" w:rsidR="00BA6A0D" w:rsidRPr="00F60034" w:rsidRDefault="005D0A2B" w:rsidP="004D0022">
            <w:pPr>
              <w:pStyle w:val="Header"/>
              <w:spacing w:before="120"/>
              <w:ind w:left="86" w:right="134" w:hanging="86"/>
              <w:jc w:val="right"/>
              <w:rPr>
                <w:rFonts w:ascii="Arial" w:hAnsi="Arial" w:cs="Arial"/>
                <w:szCs w:val="20"/>
              </w:rPr>
            </w:pPr>
            <w:r>
              <w:rPr>
                <w:rFonts w:ascii="Arial" w:hAnsi="Arial" w:cs="Arial"/>
                <w:szCs w:val="20"/>
              </w:rPr>
              <w:t>1</w:t>
            </w:r>
            <w:r w:rsidR="00A44469">
              <w:rPr>
                <w:rFonts w:ascii="Arial" w:hAnsi="Arial" w:cs="Arial"/>
                <w:szCs w:val="20"/>
              </w:rPr>
              <w:t>,</w:t>
            </w:r>
            <w:r>
              <w:rPr>
                <w:rFonts w:ascii="Arial" w:hAnsi="Arial" w:cs="Arial"/>
                <w:szCs w:val="20"/>
              </w:rPr>
              <w:t>0</w:t>
            </w:r>
            <w:r w:rsidR="00A44469">
              <w:rPr>
                <w:rFonts w:ascii="Arial" w:hAnsi="Arial" w:cs="Arial"/>
                <w:szCs w:val="20"/>
              </w:rPr>
              <w:t>8</w:t>
            </w:r>
            <w:r w:rsidR="002D620A">
              <w:rPr>
                <w:rFonts w:ascii="Arial" w:hAnsi="Arial" w:cs="Arial"/>
                <w:szCs w:val="20"/>
              </w:rPr>
              <w:t>2</w:t>
            </w:r>
            <w:r w:rsidR="00A44469">
              <w:rPr>
                <w:rFonts w:ascii="Arial" w:hAnsi="Arial" w:cs="Arial"/>
                <w:szCs w:val="20"/>
              </w:rPr>
              <w:t>,</w:t>
            </w:r>
            <w:r w:rsidR="002D620A">
              <w:rPr>
                <w:rFonts w:ascii="Arial" w:hAnsi="Arial" w:cs="Arial"/>
                <w:szCs w:val="20"/>
              </w:rPr>
              <w:t>500</w:t>
            </w:r>
          </w:p>
        </w:tc>
        <w:tc>
          <w:tcPr>
            <w:tcW w:w="1918" w:type="dxa"/>
            <w:tcBorders>
              <w:top w:val="single" w:sz="4" w:space="0" w:color="auto"/>
              <w:bottom w:val="single" w:sz="12" w:space="0" w:color="auto"/>
            </w:tcBorders>
            <w:vAlign w:val="bottom"/>
          </w:tcPr>
          <w:p w14:paraId="30BD7808" w14:textId="77777777" w:rsidR="00BA6A0D" w:rsidRPr="00F60034" w:rsidRDefault="00BA6A0D" w:rsidP="004D0022">
            <w:pPr>
              <w:pStyle w:val="Header"/>
              <w:spacing w:before="120"/>
              <w:ind w:left="86" w:right="288" w:hanging="86"/>
              <w:jc w:val="right"/>
              <w:rPr>
                <w:rFonts w:ascii="Arial" w:hAnsi="Arial" w:cs="Arial"/>
                <w:szCs w:val="20"/>
              </w:rPr>
            </w:pPr>
          </w:p>
        </w:tc>
        <w:tc>
          <w:tcPr>
            <w:tcW w:w="2008" w:type="dxa"/>
            <w:tcBorders>
              <w:top w:val="single" w:sz="4" w:space="0" w:color="auto"/>
              <w:bottom w:val="single" w:sz="12" w:space="0" w:color="auto"/>
            </w:tcBorders>
            <w:vAlign w:val="bottom"/>
          </w:tcPr>
          <w:p w14:paraId="6FB28EA4" w14:textId="77777777" w:rsidR="00BA6A0D" w:rsidRPr="00F60034" w:rsidRDefault="00BA6A0D" w:rsidP="004D0022">
            <w:pPr>
              <w:pStyle w:val="Header"/>
              <w:spacing w:before="120"/>
              <w:ind w:right="-66" w:hanging="81"/>
              <w:jc w:val="center"/>
              <w:rPr>
                <w:rFonts w:ascii="Arial" w:hAnsi="Arial" w:cs="Arial"/>
                <w:szCs w:val="20"/>
              </w:rPr>
            </w:pPr>
          </w:p>
        </w:tc>
      </w:tr>
    </w:tbl>
    <w:p w14:paraId="5E349566" w14:textId="77777777" w:rsidR="00B2247D" w:rsidRDefault="00B2247D" w:rsidP="00952961">
      <w:pPr>
        <w:spacing w:after="0" w:line="240" w:lineRule="auto"/>
        <w:ind w:left="810"/>
        <w:jc w:val="both"/>
        <w:rPr>
          <w:rFonts w:ascii="Arial" w:hAnsi="Arial" w:cs="Arial"/>
          <w:szCs w:val="20"/>
        </w:rPr>
      </w:pPr>
    </w:p>
    <w:p w14:paraId="50D34E0B" w14:textId="14167947" w:rsidR="00185473" w:rsidRDefault="00185473" w:rsidP="00952961">
      <w:pPr>
        <w:spacing w:after="0" w:line="240" w:lineRule="auto"/>
        <w:ind w:left="810"/>
        <w:jc w:val="both"/>
        <w:rPr>
          <w:rFonts w:ascii="Arial" w:hAnsi="Arial" w:cs="Arial"/>
          <w:szCs w:val="20"/>
        </w:rPr>
      </w:pPr>
      <w:r>
        <w:rPr>
          <w:rFonts w:ascii="Arial" w:hAnsi="Arial" w:cs="Arial"/>
          <w:szCs w:val="20"/>
        </w:rPr>
        <w:t xml:space="preserve">The fair value of </w:t>
      </w:r>
      <w:r w:rsidR="00DB5BF7">
        <w:rPr>
          <w:rFonts w:ascii="Arial" w:hAnsi="Arial" w:cs="Arial"/>
          <w:szCs w:val="20"/>
        </w:rPr>
        <w:t>share-based payment</w:t>
      </w:r>
      <w:r>
        <w:rPr>
          <w:rFonts w:ascii="Arial" w:hAnsi="Arial" w:cs="Arial"/>
          <w:szCs w:val="20"/>
        </w:rPr>
        <w:t xml:space="preserve"> expense was estimated using</w:t>
      </w:r>
      <w:r w:rsidR="0053697F">
        <w:rPr>
          <w:rFonts w:ascii="Arial" w:hAnsi="Arial" w:cs="Arial"/>
          <w:szCs w:val="20"/>
        </w:rPr>
        <w:t xml:space="preserve"> the Black-Scholes option pricing model and</w:t>
      </w:r>
      <w:r>
        <w:rPr>
          <w:rFonts w:ascii="Arial" w:hAnsi="Arial" w:cs="Arial"/>
          <w:szCs w:val="20"/>
        </w:rPr>
        <w:t xml:space="preserve"> the following assumptions:</w:t>
      </w:r>
    </w:p>
    <w:p w14:paraId="5565D875" w14:textId="03F17030" w:rsidR="00360B15" w:rsidRDefault="00360B15" w:rsidP="00F15B99">
      <w:pPr>
        <w:spacing w:after="0" w:line="240" w:lineRule="auto"/>
        <w:rPr>
          <w:rFonts w:ascii="Arial" w:hAnsi="Arial" w:cs="Arial"/>
          <w:b/>
          <w:szCs w:val="20"/>
        </w:rPr>
      </w:pPr>
    </w:p>
    <w:p w14:paraId="74E68C64" w14:textId="4F7DCFA4" w:rsidR="00DB5BF7" w:rsidRDefault="0069656F" w:rsidP="00952961">
      <w:pPr>
        <w:pStyle w:val="ListParagraph"/>
        <w:numPr>
          <w:ilvl w:val="0"/>
          <w:numId w:val="40"/>
        </w:numPr>
        <w:spacing w:after="0" w:line="240" w:lineRule="auto"/>
        <w:ind w:left="1440"/>
        <w:rPr>
          <w:rFonts w:ascii="Arial" w:hAnsi="Arial" w:cs="Arial"/>
          <w:szCs w:val="20"/>
        </w:rPr>
      </w:pPr>
      <w:r w:rsidRPr="0069656F">
        <w:rPr>
          <w:rFonts w:ascii="Arial" w:hAnsi="Arial" w:cs="Arial"/>
          <w:szCs w:val="20"/>
        </w:rPr>
        <w:t xml:space="preserve">Dates of grant: </w:t>
      </w:r>
      <w:r>
        <w:rPr>
          <w:rFonts w:ascii="Arial" w:hAnsi="Arial" w:cs="Arial"/>
          <w:szCs w:val="20"/>
        </w:rPr>
        <w:t>June 12</w:t>
      </w:r>
      <w:r w:rsidR="005D0A2B">
        <w:rPr>
          <w:rFonts w:ascii="Arial" w:hAnsi="Arial" w:cs="Arial"/>
          <w:szCs w:val="20"/>
        </w:rPr>
        <w:t>, 2019 to January 2</w:t>
      </w:r>
      <w:r w:rsidR="00253061">
        <w:rPr>
          <w:rFonts w:ascii="Arial" w:hAnsi="Arial" w:cs="Arial"/>
          <w:szCs w:val="20"/>
        </w:rPr>
        <w:t>1</w:t>
      </w:r>
      <w:r w:rsidR="005D0A2B">
        <w:rPr>
          <w:rFonts w:ascii="Arial" w:hAnsi="Arial" w:cs="Arial"/>
          <w:szCs w:val="20"/>
        </w:rPr>
        <w:t>, 2020</w:t>
      </w:r>
    </w:p>
    <w:p w14:paraId="37D2D2E0" w14:textId="637D9D4C" w:rsid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 xml:space="preserve">Risk free interest rate: </w:t>
      </w:r>
      <w:r w:rsidR="00D9371D">
        <w:rPr>
          <w:rFonts w:ascii="Arial" w:hAnsi="Arial" w:cs="Arial"/>
          <w:szCs w:val="20"/>
        </w:rPr>
        <w:t xml:space="preserve"> 1.</w:t>
      </w:r>
      <w:r w:rsidR="00070A04">
        <w:rPr>
          <w:rFonts w:ascii="Arial" w:hAnsi="Arial" w:cs="Arial"/>
          <w:szCs w:val="20"/>
        </w:rPr>
        <w:t>40</w:t>
      </w:r>
      <w:r w:rsidR="00D9371D">
        <w:rPr>
          <w:rFonts w:ascii="Arial" w:hAnsi="Arial" w:cs="Arial"/>
          <w:szCs w:val="20"/>
        </w:rPr>
        <w:t>% to</w:t>
      </w:r>
      <w:r>
        <w:rPr>
          <w:rFonts w:ascii="Arial" w:hAnsi="Arial" w:cs="Arial"/>
          <w:szCs w:val="20"/>
        </w:rPr>
        <w:t xml:space="preserve"> 1.</w:t>
      </w:r>
      <w:r w:rsidR="00070A04">
        <w:rPr>
          <w:rFonts w:ascii="Arial" w:hAnsi="Arial" w:cs="Arial"/>
          <w:szCs w:val="20"/>
        </w:rPr>
        <w:t>46</w:t>
      </w:r>
      <w:r>
        <w:rPr>
          <w:rFonts w:ascii="Arial" w:hAnsi="Arial" w:cs="Arial"/>
          <w:szCs w:val="20"/>
        </w:rPr>
        <w:t>%</w:t>
      </w:r>
    </w:p>
    <w:p w14:paraId="7C01CE66" w14:textId="0BA882C0" w:rsid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 xml:space="preserve">Volatility:  </w:t>
      </w:r>
      <w:r w:rsidR="001A131C">
        <w:rPr>
          <w:rFonts w:ascii="Arial" w:hAnsi="Arial" w:cs="Arial"/>
          <w:szCs w:val="20"/>
        </w:rPr>
        <w:t>93</w:t>
      </w:r>
      <w:r w:rsidR="00D9371D">
        <w:rPr>
          <w:rFonts w:ascii="Arial" w:hAnsi="Arial" w:cs="Arial"/>
          <w:szCs w:val="20"/>
        </w:rPr>
        <w:t xml:space="preserve">% to </w:t>
      </w:r>
      <w:r>
        <w:rPr>
          <w:rFonts w:ascii="Arial" w:hAnsi="Arial" w:cs="Arial"/>
          <w:szCs w:val="20"/>
        </w:rPr>
        <w:t>1</w:t>
      </w:r>
      <w:r w:rsidR="001A131C">
        <w:rPr>
          <w:rFonts w:ascii="Arial" w:hAnsi="Arial" w:cs="Arial"/>
          <w:szCs w:val="20"/>
        </w:rPr>
        <w:t>1</w:t>
      </w:r>
      <w:r>
        <w:rPr>
          <w:rFonts w:ascii="Arial" w:hAnsi="Arial" w:cs="Arial"/>
          <w:szCs w:val="20"/>
        </w:rPr>
        <w:t>2%</w:t>
      </w:r>
    </w:p>
    <w:p w14:paraId="348DB27B" w14:textId="5073F9E0" w:rsid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Market price of common shares on grant date: $</w:t>
      </w:r>
      <w:r w:rsidR="00167857">
        <w:rPr>
          <w:rFonts w:ascii="Arial" w:hAnsi="Arial" w:cs="Arial"/>
          <w:szCs w:val="20"/>
        </w:rPr>
        <w:t>1.10</w:t>
      </w:r>
      <w:r>
        <w:rPr>
          <w:rFonts w:ascii="Arial" w:hAnsi="Arial" w:cs="Arial"/>
          <w:szCs w:val="20"/>
        </w:rPr>
        <w:t xml:space="preserve"> to $</w:t>
      </w:r>
      <w:r w:rsidR="00167857">
        <w:rPr>
          <w:rFonts w:ascii="Arial" w:hAnsi="Arial" w:cs="Arial"/>
          <w:szCs w:val="20"/>
        </w:rPr>
        <w:t>4.00 (adjusted for consolidation of common shares (Note 22(g)))</w:t>
      </w:r>
    </w:p>
    <w:p w14:paraId="469F6939" w14:textId="120FBCD4" w:rsid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Expected dividends:  Nil%</w:t>
      </w:r>
    </w:p>
    <w:p w14:paraId="00CBDB6C" w14:textId="59E4B6F9" w:rsid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 xml:space="preserve">Expected life: </w:t>
      </w:r>
      <w:r w:rsidR="005D0A2B">
        <w:rPr>
          <w:rFonts w:ascii="Arial" w:hAnsi="Arial" w:cs="Arial"/>
          <w:szCs w:val="20"/>
        </w:rPr>
        <w:t>Three (3) to f</w:t>
      </w:r>
      <w:r>
        <w:rPr>
          <w:rFonts w:ascii="Arial" w:hAnsi="Arial" w:cs="Arial"/>
          <w:szCs w:val="20"/>
        </w:rPr>
        <w:t>ive (5) years</w:t>
      </w:r>
    </w:p>
    <w:p w14:paraId="2D25BA76" w14:textId="5D8730EF" w:rsidR="0069656F" w:rsidRPr="0069656F" w:rsidRDefault="0069656F" w:rsidP="00952961">
      <w:pPr>
        <w:pStyle w:val="ListParagraph"/>
        <w:numPr>
          <w:ilvl w:val="0"/>
          <w:numId w:val="40"/>
        </w:numPr>
        <w:spacing w:after="0" w:line="240" w:lineRule="auto"/>
        <w:ind w:left="1440"/>
        <w:rPr>
          <w:rFonts w:ascii="Arial" w:hAnsi="Arial" w:cs="Arial"/>
          <w:szCs w:val="20"/>
        </w:rPr>
      </w:pPr>
      <w:r>
        <w:rPr>
          <w:rFonts w:ascii="Arial" w:hAnsi="Arial" w:cs="Arial"/>
          <w:szCs w:val="20"/>
        </w:rPr>
        <w:t>Exercise price:  $</w:t>
      </w:r>
      <w:r w:rsidR="00167857">
        <w:rPr>
          <w:rFonts w:ascii="Arial" w:hAnsi="Arial" w:cs="Arial"/>
          <w:szCs w:val="20"/>
        </w:rPr>
        <w:t>1.50</w:t>
      </w:r>
      <w:r>
        <w:rPr>
          <w:rFonts w:ascii="Arial" w:hAnsi="Arial" w:cs="Arial"/>
          <w:szCs w:val="20"/>
        </w:rPr>
        <w:t xml:space="preserve"> to $</w:t>
      </w:r>
      <w:r w:rsidR="00167857">
        <w:rPr>
          <w:rFonts w:ascii="Arial" w:hAnsi="Arial" w:cs="Arial"/>
          <w:szCs w:val="20"/>
        </w:rPr>
        <w:t>4.00 (Note 22(g))</w:t>
      </w:r>
    </w:p>
    <w:p w14:paraId="5155E40E" w14:textId="77777777" w:rsidR="004956A3" w:rsidRDefault="004956A3"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63D7DF53" w14:textId="40F4B7F5" w:rsidR="00A72010" w:rsidRDefault="00F94298" w:rsidP="00952961">
      <w:pPr>
        <w:tabs>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810"/>
        <w:jc w:val="both"/>
        <w:rPr>
          <w:rFonts w:ascii="Arial" w:hAnsi="Arial" w:cs="Arial"/>
          <w:bCs/>
          <w:szCs w:val="20"/>
        </w:rPr>
      </w:pPr>
      <w:r>
        <w:rPr>
          <w:rFonts w:ascii="Arial" w:hAnsi="Arial" w:cs="Arial"/>
          <w:bCs/>
          <w:szCs w:val="20"/>
        </w:rPr>
        <w:t>Fair values of the options at each measurement date ranged between $</w:t>
      </w:r>
      <w:r w:rsidR="00167857">
        <w:rPr>
          <w:rFonts w:ascii="Arial" w:hAnsi="Arial" w:cs="Arial"/>
          <w:bCs/>
          <w:szCs w:val="20"/>
        </w:rPr>
        <w:t>0.40</w:t>
      </w:r>
      <w:r>
        <w:rPr>
          <w:rFonts w:ascii="Arial" w:hAnsi="Arial" w:cs="Arial"/>
          <w:bCs/>
          <w:szCs w:val="20"/>
        </w:rPr>
        <w:t xml:space="preserve"> to $</w:t>
      </w:r>
      <w:r w:rsidR="00167857">
        <w:rPr>
          <w:rFonts w:ascii="Arial" w:hAnsi="Arial" w:cs="Arial"/>
          <w:bCs/>
          <w:szCs w:val="20"/>
        </w:rPr>
        <w:t>3.20 (</w:t>
      </w:r>
      <w:r w:rsidR="00830BA5">
        <w:rPr>
          <w:rFonts w:ascii="Arial" w:hAnsi="Arial" w:cs="Arial"/>
          <w:bCs/>
          <w:szCs w:val="20"/>
        </w:rPr>
        <w:t>adjusted for consolidation of common shares (</w:t>
      </w:r>
      <w:r w:rsidR="00167857">
        <w:rPr>
          <w:rFonts w:ascii="Arial" w:hAnsi="Arial" w:cs="Arial"/>
          <w:bCs/>
          <w:szCs w:val="20"/>
        </w:rPr>
        <w:t>Note 22(g</w:t>
      </w:r>
      <w:r w:rsidR="00830BA5">
        <w:rPr>
          <w:rFonts w:ascii="Arial" w:hAnsi="Arial" w:cs="Arial"/>
          <w:bCs/>
          <w:szCs w:val="20"/>
        </w:rPr>
        <w:t>)</w:t>
      </w:r>
      <w:r w:rsidR="00167857">
        <w:rPr>
          <w:rFonts w:ascii="Arial" w:hAnsi="Arial" w:cs="Arial"/>
          <w:bCs/>
          <w:szCs w:val="20"/>
        </w:rPr>
        <w:t>))</w:t>
      </w:r>
      <w:r>
        <w:rPr>
          <w:rFonts w:ascii="Arial" w:hAnsi="Arial" w:cs="Arial"/>
          <w:bCs/>
          <w:szCs w:val="20"/>
        </w:rPr>
        <w:t xml:space="preserve">.  </w:t>
      </w:r>
      <w:r w:rsidR="003C381F">
        <w:rPr>
          <w:rFonts w:ascii="Arial" w:hAnsi="Arial" w:cs="Arial"/>
          <w:bCs/>
          <w:szCs w:val="20"/>
        </w:rPr>
        <w:t>As the Company does not have sufficient historical share price information, expected volatilities were determined using historical volatilities of comparable companies.</w:t>
      </w:r>
      <w:r w:rsidR="00356313">
        <w:rPr>
          <w:rFonts w:ascii="Arial" w:hAnsi="Arial" w:cs="Arial"/>
          <w:bCs/>
          <w:szCs w:val="20"/>
        </w:rPr>
        <w:t xml:space="preserve">  </w:t>
      </w:r>
      <w:r w:rsidR="009A7216">
        <w:rPr>
          <w:rFonts w:ascii="Arial" w:hAnsi="Arial" w:cs="Arial"/>
          <w:bCs/>
          <w:szCs w:val="20"/>
        </w:rPr>
        <w:t xml:space="preserve">For the </w:t>
      </w:r>
      <w:r w:rsidR="00253061">
        <w:rPr>
          <w:rFonts w:ascii="Arial" w:hAnsi="Arial" w:cs="Arial"/>
          <w:bCs/>
          <w:szCs w:val="20"/>
        </w:rPr>
        <w:t>three months</w:t>
      </w:r>
      <w:r w:rsidR="009A7216">
        <w:rPr>
          <w:rFonts w:ascii="Arial" w:hAnsi="Arial" w:cs="Arial"/>
          <w:bCs/>
          <w:szCs w:val="20"/>
        </w:rPr>
        <w:t xml:space="preserve"> ended </w:t>
      </w:r>
      <w:r w:rsidR="00253061">
        <w:rPr>
          <w:rFonts w:ascii="Arial" w:hAnsi="Arial" w:cs="Arial"/>
          <w:bCs/>
          <w:szCs w:val="20"/>
        </w:rPr>
        <w:t>April 30, 2020 and 2019</w:t>
      </w:r>
      <w:r w:rsidR="009A7216">
        <w:rPr>
          <w:rFonts w:ascii="Arial" w:hAnsi="Arial" w:cs="Arial"/>
          <w:bCs/>
          <w:szCs w:val="20"/>
        </w:rPr>
        <w:t>, share-based payments related to share purchase options totaling $</w:t>
      </w:r>
      <w:r w:rsidR="00253061">
        <w:rPr>
          <w:rFonts w:ascii="Arial" w:hAnsi="Arial" w:cs="Arial"/>
          <w:bCs/>
          <w:szCs w:val="20"/>
        </w:rPr>
        <w:t>15,413</w:t>
      </w:r>
      <w:r w:rsidR="009A7216">
        <w:rPr>
          <w:rFonts w:ascii="Arial" w:hAnsi="Arial" w:cs="Arial"/>
          <w:bCs/>
          <w:szCs w:val="20"/>
        </w:rPr>
        <w:t xml:space="preserve"> and $</w:t>
      </w:r>
      <w:r w:rsidR="00FB3358" w:rsidRPr="00FB3358">
        <w:rPr>
          <w:rFonts w:ascii="Arial" w:hAnsi="Arial" w:cs="Arial"/>
          <w:bCs/>
          <w:szCs w:val="20"/>
        </w:rPr>
        <w:t>5,896</w:t>
      </w:r>
      <w:r w:rsidR="009A7216">
        <w:rPr>
          <w:rFonts w:ascii="Arial" w:hAnsi="Arial" w:cs="Arial"/>
          <w:bCs/>
          <w:szCs w:val="20"/>
        </w:rPr>
        <w:t xml:space="preserve">, respectively, have been recorded in the Company’s </w:t>
      </w:r>
      <w:r w:rsidR="00253061">
        <w:rPr>
          <w:rFonts w:ascii="Arial" w:hAnsi="Arial" w:cs="Arial"/>
          <w:bCs/>
          <w:szCs w:val="20"/>
        </w:rPr>
        <w:t xml:space="preserve">condensed </w:t>
      </w:r>
      <w:r w:rsidR="009A7216">
        <w:rPr>
          <w:rFonts w:ascii="Arial" w:hAnsi="Arial" w:cs="Arial"/>
          <w:bCs/>
          <w:szCs w:val="20"/>
        </w:rPr>
        <w:t xml:space="preserve">consolidated </w:t>
      </w:r>
      <w:r w:rsidR="00253061">
        <w:rPr>
          <w:rFonts w:ascii="Arial" w:hAnsi="Arial" w:cs="Arial"/>
          <w:bCs/>
          <w:szCs w:val="20"/>
        </w:rPr>
        <w:t xml:space="preserve">interim </w:t>
      </w:r>
      <w:r w:rsidR="009A7216">
        <w:rPr>
          <w:rFonts w:ascii="Arial" w:hAnsi="Arial" w:cs="Arial"/>
          <w:bCs/>
          <w:szCs w:val="20"/>
        </w:rPr>
        <w:t xml:space="preserve">statements of comprehensive loss.  </w:t>
      </w:r>
      <w:r w:rsidR="00A72010">
        <w:rPr>
          <w:rFonts w:ascii="Arial" w:hAnsi="Arial" w:cs="Arial"/>
          <w:bCs/>
          <w:szCs w:val="20"/>
        </w:rPr>
        <w:t>$</w:t>
      </w:r>
      <w:r w:rsidR="00253061">
        <w:rPr>
          <w:rFonts w:ascii="Arial" w:hAnsi="Arial" w:cs="Arial"/>
          <w:bCs/>
          <w:szCs w:val="20"/>
        </w:rPr>
        <w:t>67,581</w:t>
      </w:r>
      <w:r w:rsidR="00A72010">
        <w:rPr>
          <w:rFonts w:ascii="Arial" w:hAnsi="Arial" w:cs="Arial"/>
          <w:bCs/>
          <w:szCs w:val="20"/>
        </w:rPr>
        <w:t xml:space="preserve"> of </w:t>
      </w:r>
      <w:r w:rsidR="004956A3">
        <w:rPr>
          <w:rFonts w:ascii="Arial" w:hAnsi="Arial" w:cs="Arial"/>
          <w:bCs/>
          <w:szCs w:val="20"/>
        </w:rPr>
        <w:t>share-based payment expense</w:t>
      </w:r>
      <w:r w:rsidR="00A72010">
        <w:rPr>
          <w:rFonts w:ascii="Arial" w:hAnsi="Arial" w:cs="Arial"/>
          <w:bCs/>
          <w:szCs w:val="20"/>
        </w:rPr>
        <w:t xml:space="preserve"> have yet to be recognized and will be recognized in future periods.</w:t>
      </w:r>
    </w:p>
    <w:p w14:paraId="5813361F" w14:textId="77777777" w:rsidR="00FB3358" w:rsidRDefault="00FB3358" w:rsidP="00070A04">
      <w:pPr>
        <w:tabs>
          <w:tab w:val="left" w:pos="432"/>
        </w:tabs>
        <w:spacing w:after="0" w:line="240" w:lineRule="auto"/>
        <w:rPr>
          <w:rFonts w:ascii="Arial" w:hAnsi="Arial" w:cs="Arial"/>
          <w:b/>
          <w:bCs/>
          <w:szCs w:val="20"/>
        </w:rPr>
      </w:pPr>
    </w:p>
    <w:p w14:paraId="4FEC8C05" w14:textId="77777777" w:rsidR="002578B6" w:rsidRDefault="002578B6">
      <w:pPr>
        <w:rPr>
          <w:rFonts w:ascii="Arial" w:hAnsi="Arial" w:cs="Arial"/>
          <w:b/>
          <w:bCs/>
          <w:szCs w:val="20"/>
        </w:rPr>
      </w:pPr>
      <w:r>
        <w:rPr>
          <w:rFonts w:ascii="Arial" w:hAnsi="Arial" w:cs="Arial"/>
          <w:b/>
          <w:bCs/>
          <w:szCs w:val="20"/>
        </w:rPr>
        <w:br w:type="page"/>
      </w:r>
    </w:p>
    <w:p w14:paraId="5CA4A627" w14:textId="01630CBE" w:rsidR="00070A04" w:rsidRPr="00356313" w:rsidRDefault="00070A04" w:rsidP="00070A04">
      <w:pPr>
        <w:tabs>
          <w:tab w:val="left" w:pos="432"/>
        </w:tabs>
        <w:spacing w:after="0" w:line="240" w:lineRule="auto"/>
        <w:rPr>
          <w:rFonts w:ascii="Arial" w:hAnsi="Arial" w:cs="Arial"/>
          <w:b/>
          <w:bCs/>
          <w:szCs w:val="20"/>
        </w:rPr>
      </w:pPr>
      <w:r>
        <w:rPr>
          <w:rFonts w:ascii="Arial" w:hAnsi="Arial" w:cs="Arial"/>
          <w:b/>
          <w:bCs/>
          <w:szCs w:val="20"/>
        </w:rPr>
        <w:lastRenderedPageBreak/>
        <w:t>1</w:t>
      </w:r>
      <w:r w:rsidR="00253061">
        <w:rPr>
          <w:rFonts w:ascii="Arial" w:hAnsi="Arial" w:cs="Arial"/>
          <w:b/>
          <w:bCs/>
          <w:szCs w:val="20"/>
        </w:rPr>
        <w:t>4</w:t>
      </w:r>
      <w:r w:rsidRPr="00F60034">
        <w:rPr>
          <w:rFonts w:ascii="Arial" w:hAnsi="Arial" w:cs="Arial"/>
          <w:b/>
          <w:bCs/>
          <w:szCs w:val="20"/>
        </w:rPr>
        <w:t>.</w:t>
      </w:r>
      <w:r w:rsidRPr="00F60034">
        <w:rPr>
          <w:rFonts w:ascii="Arial" w:hAnsi="Arial" w:cs="Arial"/>
          <w:b/>
          <w:bCs/>
          <w:szCs w:val="20"/>
        </w:rPr>
        <w:tab/>
      </w:r>
      <w:r w:rsidRPr="00EE4151">
        <w:rPr>
          <w:rFonts w:ascii="Arial" w:hAnsi="Arial" w:cs="Arial"/>
          <w:b/>
          <w:bCs/>
          <w:szCs w:val="20"/>
        </w:rPr>
        <w:t>Supplemental Cash Flow Disclosures</w:t>
      </w:r>
    </w:p>
    <w:p w14:paraId="7222FEFC" w14:textId="77777777" w:rsidR="00356313" w:rsidRPr="00356313" w:rsidRDefault="00356313" w:rsidP="00070A04">
      <w:pPr>
        <w:tabs>
          <w:tab w:val="left" w:pos="432"/>
        </w:tabs>
        <w:spacing w:after="0" w:line="240" w:lineRule="auto"/>
        <w:rPr>
          <w:rFonts w:ascii="Arial" w:hAnsi="Arial" w:cs="Arial"/>
          <w:b/>
          <w:bCs/>
          <w:szCs w:val="20"/>
        </w:rPr>
      </w:pPr>
    </w:p>
    <w:tbl>
      <w:tblPr>
        <w:tblW w:w="8930" w:type="dxa"/>
        <w:tblInd w:w="450" w:type="dxa"/>
        <w:tblLayout w:type="fixed"/>
        <w:tblCellMar>
          <w:left w:w="0" w:type="dxa"/>
          <w:bottom w:w="29" w:type="dxa"/>
          <w:right w:w="0" w:type="dxa"/>
        </w:tblCellMar>
        <w:tblLook w:val="0000" w:firstRow="0" w:lastRow="0" w:firstColumn="0" w:lastColumn="0" w:noHBand="0" w:noVBand="0"/>
      </w:tblPr>
      <w:tblGrid>
        <w:gridCol w:w="5760"/>
        <w:gridCol w:w="1585"/>
        <w:gridCol w:w="1585"/>
      </w:tblGrid>
      <w:tr w:rsidR="00356313" w:rsidRPr="00356313" w14:paraId="5DC11B20" w14:textId="77777777" w:rsidTr="00356313">
        <w:tc>
          <w:tcPr>
            <w:tcW w:w="5760" w:type="dxa"/>
            <w:tcBorders>
              <w:bottom w:val="single" w:sz="2" w:space="0" w:color="auto"/>
            </w:tcBorders>
            <w:vAlign w:val="bottom"/>
          </w:tcPr>
          <w:p w14:paraId="4F37C000" w14:textId="77777777" w:rsidR="00356313" w:rsidRPr="00356313" w:rsidRDefault="00356313" w:rsidP="00356313">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28CDA7DA" w14:textId="0B442194" w:rsidR="00356313" w:rsidRPr="0049787F" w:rsidRDefault="00253061" w:rsidP="00356313">
            <w:pPr>
              <w:spacing w:after="0" w:line="240" w:lineRule="auto"/>
              <w:jc w:val="center"/>
              <w:rPr>
                <w:rFonts w:ascii="Arial" w:hAnsi="Arial" w:cs="Arial"/>
                <w:szCs w:val="20"/>
              </w:rPr>
            </w:pPr>
            <w:r w:rsidRPr="0049787F">
              <w:rPr>
                <w:rFonts w:ascii="Arial" w:hAnsi="Arial" w:cs="Arial"/>
                <w:szCs w:val="20"/>
              </w:rPr>
              <w:t>April 30</w:t>
            </w:r>
            <w:r w:rsidR="00356313" w:rsidRPr="0049787F">
              <w:rPr>
                <w:rFonts w:ascii="Arial" w:hAnsi="Arial" w:cs="Arial"/>
                <w:szCs w:val="20"/>
              </w:rPr>
              <w:t>,</w:t>
            </w:r>
          </w:p>
          <w:p w14:paraId="74AD2697" w14:textId="77777777" w:rsidR="00356313" w:rsidRPr="0049787F" w:rsidRDefault="00356313" w:rsidP="00356313">
            <w:pPr>
              <w:spacing w:after="0" w:line="240" w:lineRule="auto"/>
              <w:jc w:val="center"/>
              <w:rPr>
                <w:rFonts w:ascii="Arial" w:hAnsi="Arial" w:cs="Arial"/>
                <w:szCs w:val="20"/>
              </w:rPr>
            </w:pPr>
            <w:r w:rsidRPr="0049787F">
              <w:rPr>
                <w:rFonts w:ascii="Arial" w:hAnsi="Arial" w:cs="Arial"/>
                <w:szCs w:val="20"/>
              </w:rPr>
              <w:t>2020</w:t>
            </w:r>
          </w:p>
          <w:p w14:paraId="31AE6B3D" w14:textId="77777777" w:rsidR="00356313" w:rsidRPr="0049787F" w:rsidRDefault="00356313" w:rsidP="00356313">
            <w:pPr>
              <w:tabs>
                <w:tab w:val="left" w:pos="7272"/>
                <w:tab w:val="decimal" w:pos="8136"/>
                <w:tab w:val="left" w:pos="8496"/>
                <w:tab w:val="decimal" w:pos="9360"/>
              </w:tabs>
              <w:spacing w:after="0"/>
              <w:ind w:right="29"/>
              <w:jc w:val="center"/>
              <w:rPr>
                <w:rFonts w:ascii="Arial" w:hAnsi="Arial" w:cs="Arial"/>
                <w:szCs w:val="20"/>
              </w:rPr>
            </w:pPr>
            <w:r w:rsidRPr="0049787F">
              <w:rPr>
                <w:rFonts w:ascii="Arial" w:hAnsi="Arial" w:cs="Arial"/>
                <w:szCs w:val="20"/>
              </w:rPr>
              <w:t>$</w:t>
            </w:r>
          </w:p>
        </w:tc>
        <w:tc>
          <w:tcPr>
            <w:tcW w:w="1585" w:type="dxa"/>
            <w:tcBorders>
              <w:bottom w:val="single" w:sz="2" w:space="0" w:color="auto"/>
            </w:tcBorders>
            <w:vAlign w:val="bottom"/>
          </w:tcPr>
          <w:p w14:paraId="0B54CAB8" w14:textId="7B1AFEE5" w:rsidR="00356313" w:rsidRPr="0049787F" w:rsidRDefault="00253061" w:rsidP="00356313">
            <w:pPr>
              <w:spacing w:after="0" w:line="240" w:lineRule="auto"/>
              <w:jc w:val="center"/>
              <w:rPr>
                <w:rFonts w:ascii="Arial" w:hAnsi="Arial" w:cs="Arial"/>
                <w:szCs w:val="20"/>
              </w:rPr>
            </w:pPr>
            <w:r w:rsidRPr="0049787F">
              <w:rPr>
                <w:rFonts w:ascii="Arial" w:hAnsi="Arial" w:cs="Arial"/>
                <w:szCs w:val="20"/>
              </w:rPr>
              <w:t>April 30</w:t>
            </w:r>
            <w:r w:rsidR="00356313" w:rsidRPr="0049787F">
              <w:rPr>
                <w:rFonts w:ascii="Arial" w:hAnsi="Arial" w:cs="Arial"/>
                <w:szCs w:val="20"/>
              </w:rPr>
              <w:t>,</w:t>
            </w:r>
          </w:p>
          <w:p w14:paraId="4EF1BA3A" w14:textId="77777777" w:rsidR="00356313" w:rsidRPr="0049787F" w:rsidRDefault="00356313" w:rsidP="00356313">
            <w:pPr>
              <w:spacing w:after="0" w:line="240" w:lineRule="auto"/>
              <w:jc w:val="center"/>
              <w:rPr>
                <w:rFonts w:ascii="Arial" w:hAnsi="Arial" w:cs="Arial"/>
                <w:szCs w:val="20"/>
              </w:rPr>
            </w:pPr>
            <w:r w:rsidRPr="0049787F">
              <w:rPr>
                <w:rFonts w:ascii="Arial" w:hAnsi="Arial" w:cs="Arial"/>
                <w:szCs w:val="20"/>
              </w:rPr>
              <w:t>2019</w:t>
            </w:r>
          </w:p>
          <w:p w14:paraId="2A82248E" w14:textId="77777777" w:rsidR="00356313" w:rsidRPr="0049787F" w:rsidRDefault="00356313" w:rsidP="00356313">
            <w:pPr>
              <w:tabs>
                <w:tab w:val="left" w:pos="7272"/>
                <w:tab w:val="decimal" w:pos="8136"/>
                <w:tab w:val="left" w:pos="8496"/>
                <w:tab w:val="decimal" w:pos="9360"/>
              </w:tabs>
              <w:spacing w:after="0"/>
              <w:ind w:right="29"/>
              <w:jc w:val="center"/>
              <w:rPr>
                <w:rFonts w:ascii="Arial" w:hAnsi="Arial" w:cs="Arial"/>
                <w:szCs w:val="20"/>
              </w:rPr>
            </w:pPr>
            <w:r w:rsidRPr="0049787F">
              <w:rPr>
                <w:rFonts w:ascii="Arial" w:hAnsi="Arial" w:cs="Arial"/>
                <w:szCs w:val="20"/>
              </w:rPr>
              <w:t>$</w:t>
            </w:r>
          </w:p>
        </w:tc>
      </w:tr>
      <w:tr w:rsidR="00356313" w:rsidRPr="00356313" w14:paraId="6D287D2B" w14:textId="77777777" w:rsidTr="00356313">
        <w:tc>
          <w:tcPr>
            <w:tcW w:w="5760" w:type="dxa"/>
            <w:tcBorders>
              <w:top w:val="single" w:sz="2" w:space="0" w:color="auto"/>
            </w:tcBorders>
            <w:vAlign w:val="bottom"/>
          </w:tcPr>
          <w:p w14:paraId="543A75A9" w14:textId="3EBC9680" w:rsidR="00356313" w:rsidRPr="00356313" w:rsidRDefault="00356313" w:rsidP="00EE4151">
            <w:pPr>
              <w:tabs>
                <w:tab w:val="left" w:pos="7272"/>
                <w:tab w:val="decimal" w:pos="8136"/>
                <w:tab w:val="left" w:pos="8496"/>
                <w:tab w:val="decimal" w:pos="9360"/>
              </w:tabs>
              <w:spacing w:before="120" w:after="0" w:line="240" w:lineRule="auto"/>
              <w:rPr>
                <w:rFonts w:ascii="Arial" w:hAnsi="Arial" w:cs="Arial"/>
                <w:szCs w:val="20"/>
              </w:rPr>
            </w:pPr>
            <w:r w:rsidRPr="00356313">
              <w:rPr>
                <w:rFonts w:ascii="Arial" w:hAnsi="Arial" w:cs="Arial"/>
                <w:szCs w:val="20"/>
              </w:rPr>
              <w:t>Components of cash:</w:t>
            </w:r>
          </w:p>
        </w:tc>
        <w:tc>
          <w:tcPr>
            <w:tcW w:w="1585" w:type="dxa"/>
            <w:tcBorders>
              <w:top w:val="single" w:sz="2" w:space="0" w:color="auto"/>
            </w:tcBorders>
          </w:tcPr>
          <w:p w14:paraId="61C0C8D5" w14:textId="77777777" w:rsidR="00356313" w:rsidRPr="00EE4151" w:rsidRDefault="00356313" w:rsidP="00EE4151">
            <w:pPr>
              <w:tabs>
                <w:tab w:val="left" w:pos="7272"/>
                <w:tab w:val="decimal" w:pos="8136"/>
                <w:tab w:val="left" w:pos="8496"/>
                <w:tab w:val="decimal" w:pos="9360"/>
              </w:tabs>
              <w:spacing w:before="120" w:after="0" w:line="240" w:lineRule="auto"/>
              <w:ind w:right="29"/>
              <w:jc w:val="right"/>
              <w:rPr>
                <w:rFonts w:ascii="Arial" w:hAnsi="Arial" w:cs="Arial"/>
                <w:szCs w:val="20"/>
              </w:rPr>
            </w:pPr>
          </w:p>
        </w:tc>
        <w:tc>
          <w:tcPr>
            <w:tcW w:w="1585" w:type="dxa"/>
            <w:tcBorders>
              <w:top w:val="single" w:sz="2" w:space="0" w:color="auto"/>
            </w:tcBorders>
          </w:tcPr>
          <w:p w14:paraId="3BE5778F" w14:textId="77777777" w:rsidR="00356313" w:rsidRPr="00356313" w:rsidRDefault="00356313" w:rsidP="00EE4151">
            <w:pPr>
              <w:tabs>
                <w:tab w:val="left" w:pos="7272"/>
                <w:tab w:val="decimal" w:pos="8136"/>
                <w:tab w:val="left" w:pos="8496"/>
                <w:tab w:val="decimal" w:pos="9360"/>
              </w:tabs>
              <w:spacing w:before="120" w:after="0" w:line="240" w:lineRule="auto"/>
              <w:ind w:right="29"/>
              <w:jc w:val="right"/>
              <w:rPr>
                <w:rFonts w:ascii="Arial" w:hAnsi="Arial" w:cs="Arial"/>
                <w:szCs w:val="20"/>
              </w:rPr>
            </w:pPr>
          </w:p>
        </w:tc>
      </w:tr>
      <w:tr w:rsidR="00356313" w:rsidRPr="00356313" w14:paraId="366DACD4" w14:textId="77777777" w:rsidTr="00EE4151">
        <w:tc>
          <w:tcPr>
            <w:tcW w:w="5760" w:type="dxa"/>
            <w:vAlign w:val="bottom"/>
          </w:tcPr>
          <w:p w14:paraId="4556BAC1" w14:textId="5452DB3D" w:rsidR="00356313" w:rsidRPr="00356313" w:rsidRDefault="00356313" w:rsidP="00EE4151">
            <w:pPr>
              <w:tabs>
                <w:tab w:val="left" w:pos="7272"/>
                <w:tab w:val="decimal" w:pos="8136"/>
                <w:tab w:val="left" w:pos="8496"/>
                <w:tab w:val="decimal" w:pos="9360"/>
              </w:tabs>
              <w:spacing w:after="0" w:line="240" w:lineRule="auto"/>
              <w:ind w:left="144"/>
              <w:rPr>
                <w:rFonts w:ascii="Arial" w:hAnsi="Arial" w:cs="Arial"/>
                <w:szCs w:val="20"/>
              </w:rPr>
            </w:pPr>
            <w:r w:rsidRPr="00356313">
              <w:rPr>
                <w:rFonts w:ascii="Arial" w:hAnsi="Arial" w:cs="Arial"/>
                <w:szCs w:val="20"/>
              </w:rPr>
              <w:t>Cash</w:t>
            </w:r>
          </w:p>
        </w:tc>
        <w:tc>
          <w:tcPr>
            <w:tcW w:w="1585" w:type="dxa"/>
            <w:vAlign w:val="bottom"/>
          </w:tcPr>
          <w:p w14:paraId="2B4759C1" w14:textId="16A49D81" w:rsidR="00356313" w:rsidRPr="00EE4151" w:rsidRDefault="0049787F"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Pr>
                <w:rFonts w:ascii="Arial" w:hAnsi="Arial" w:cs="Arial"/>
                <w:szCs w:val="20"/>
              </w:rPr>
              <w:t>1,137,958</w:t>
            </w:r>
          </w:p>
        </w:tc>
        <w:tc>
          <w:tcPr>
            <w:tcW w:w="1585" w:type="dxa"/>
            <w:vAlign w:val="bottom"/>
          </w:tcPr>
          <w:p w14:paraId="6B4AFA35" w14:textId="2A481084" w:rsidR="00356313" w:rsidRPr="00EE4151" w:rsidRDefault="0049787F" w:rsidP="00EE4151">
            <w:pPr>
              <w:tabs>
                <w:tab w:val="left" w:pos="7272"/>
                <w:tab w:val="decimal" w:pos="8136"/>
                <w:tab w:val="left" w:pos="8496"/>
                <w:tab w:val="decimal" w:pos="9360"/>
              </w:tabs>
              <w:spacing w:after="0" w:line="240" w:lineRule="auto"/>
              <w:ind w:right="52"/>
              <w:jc w:val="right"/>
              <w:rPr>
                <w:rFonts w:ascii="Arial" w:hAnsi="Arial" w:cs="Arial"/>
                <w:szCs w:val="20"/>
              </w:rPr>
            </w:pPr>
            <w:r>
              <w:rPr>
                <w:rFonts w:ascii="Arial" w:hAnsi="Arial" w:cs="Arial"/>
                <w:szCs w:val="20"/>
              </w:rPr>
              <w:t>45,414</w:t>
            </w:r>
          </w:p>
        </w:tc>
      </w:tr>
      <w:tr w:rsidR="00356313" w:rsidRPr="006D4677" w14:paraId="3D04D162" w14:textId="77777777" w:rsidTr="00EE4151">
        <w:tc>
          <w:tcPr>
            <w:tcW w:w="5760" w:type="dxa"/>
            <w:tcBorders>
              <w:bottom w:val="single" w:sz="4" w:space="0" w:color="auto"/>
            </w:tcBorders>
            <w:vAlign w:val="bottom"/>
          </w:tcPr>
          <w:p w14:paraId="3AC12C28" w14:textId="77777777" w:rsidR="00356313" w:rsidRPr="002E06AF" w:rsidRDefault="00356313" w:rsidP="00EE4151">
            <w:pPr>
              <w:tabs>
                <w:tab w:val="left" w:pos="7272"/>
                <w:tab w:val="decimal" w:pos="8136"/>
                <w:tab w:val="left" w:pos="8496"/>
                <w:tab w:val="decimal" w:pos="9360"/>
              </w:tabs>
              <w:spacing w:after="0" w:line="240" w:lineRule="auto"/>
              <w:ind w:left="144"/>
              <w:rPr>
                <w:rFonts w:ascii="Arial" w:hAnsi="Arial" w:cs="Arial"/>
                <w:szCs w:val="20"/>
              </w:rPr>
            </w:pPr>
            <w:r w:rsidRPr="002E06AF">
              <w:rPr>
                <w:rFonts w:ascii="Arial" w:hAnsi="Arial" w:cs="Arial"/>
                <w:szCs w:val="20"/>
              </w:rPr>
              <w:t>Cash – restricted</w:t>
            </w:r>
          </w:p>
        </w:tc>
        <w:tc>
          <w:tcPr>
            <w:tcW w:w="1585" w:type="dxa"/>
            <w:tcBorders>
              <w:bottom w:val="single" w:sz="4" w:space="0" w:color="auto"/>
            </w:tcBorders>
            <w:vAlign w:val="bottom"/>
          </w:tcPr>
          <w:p w14:paraId="1FC7D100" w14:textId="77777777" w:rsidR="00356313" w:rsidRPr="002E06AF" w:rsidRDefault="00356313"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2E06AF">
              <w:rPr>
                <w:rFonts w:ascii="Arial" w:hAnsi="Arial" w:cs="Arial"/>
                <w:szCs w:val="20"/>
              </w:rPr>
              <w:t>600,000</w:t>
            </w:r>
          </w:p>
        </w:tc>
        <w:tc>
          <w:tcPr>
            <w:tcW w:w="1585" w:type="dxa"/>
            <w:tcBorders>
              <w:bottom w:val="single" w:sz="4" w:space="0" w:color="auto"/>
            </w:tcBorders>
            <w:vAlign w:val="bottom"/>
          </w:tcPr>
          <w:p w14:paraId="4FA9B801" w14:textId="77777777" w:rsidR="00356313" w:rsidRPr="006D4677" w:rsidRDefault="00356313" w:rsidP="00EE4151">
            <w:pPr>
              <w:tabs>
                <w:tab w:val="left" w:pos="7272"/>
                <w:tab w:val="decimal" w:pos="8136"/>
                <w:tab w:val="left" w:pos="8496"/>
                <w:tab w:val="decimal" w:pos="9360"/>
              </w:tabs>
              <w:spacing w:after="0" w:line="240" w:lineRule="auto"/>
              <w:ind w:right="52"/>
              <w:jc w:val="right"/>
              <w:rPr>
                <w:rFonts w:ascii="Arial" w:hAnsi="Arial" w:cs="Arial"/>
                <w:szCs w:val="20"/>
              </w:rPr>
            </w:pPr>
            <w:r w:rsidRPr="002E06AF">
              <w:rPr>
                <w:rFonts w:ascii="Arial" w:hAnsi="Arial" w:cs="Arial"/>
                <w:szCs w:val="20"/>
              </w:rPr>
              <w:t>–</w:t>
            </w:r>
          </w:p>
        </w:tc>
      </w:tr>
      <w:tr w:rsidR="00356313" w:rsidRPr="006D4677" w14:paraId="0C4332FD" w14:textId="77777777" w:rsidTr="00EE4151">
        <w:tc>
          <w:tcPr>
            <w:tcW w:w="5760" w:type="dxa"/>
            <w:tcBorders>
              <w:top w:val="single" w:sz="4" w:space="0" w:color="auto"/>
              <w:bottom w:val="single" w:sz="12" w:space="0" w:color="auto"/>
            </w:tcBorders>
            <w:vAlign w:val="bottom"/>
          </w:tcPr>
          <w:p w14:paraId="288C184F" w14:textId="0EA440C2" w:rsidR="00356313" w:rsidRPr="00356313" w:rsidRDefault="00356313" w:rsidP="00EE4151">
            <w:pPr>
              <w:tabs>
                <w:tab w:val="left" w:pos="7272"/>
                <w:tab w:val="decimal" w:pos="8136"/>
                <w:tab w:val="left" w:pos="8496"/>
                <w:tab w:val="decimal" w:pos="9360"/>
              </w:tabs>
              <w:spacing w:before="120" w:after="0" w:line="240" w:lineRule="auto"/>
              <w:ind w:left="144"/>
              <w:rPr>
                <w:rFonts w:ascii="Arial" w:hAnsi="Arial" w:cs="Arial"/>
                <w:szCs w:val="20"/>
              </w:rPr>
            </w:pPr>
          </w:p>
        </w:tc>
        <w:tc>
          <w:tcPr>
            <w:tcW w:w="1585" w:type="dxa"/>
            <w:tcBorders>
              <w:top w:val="single" w:sz="4" w:space="0" w:color="auto"/>
              <w:bottom w:val="single" w:sz="12" w:space="0" w:color="auto"/>
            </w:tcBorders>
            <w:vAlign w:val="bottom"/>
          </w:tcPr>
          <w:p w14:paraId="218D59A1" w14:textId="285E177E" w:rsidR="00356313" w:rsidRPr="00EE4151" w:rsidRDefault="0049787F" w:rsidP="00EE4151">
            <w:pPr>
              <w:tabs>
                <w:tab w:val="left" w:pos="1170"/>
                <w:tab w:val="left" w:pos="7272"/>
                <w:tab w:val="decimal" w:pos="8136"/>
                <w:tab w:val="left" w:pos="8496"/>
                <w:tab w:val="decimal" w:pos="9360"/>
              </w:tabs>
              <w:spacing w:before="120" w:after="0" w:line="240" w:lineRule="auto"/>
              <w:ind w:right="29"/>
              <w:jc w:val="right"/>
              <w:rPr>
                <w:rFonts w:ascii="Arial" w:hAnsi="Arial" w:cs="Arial"/>
                <w:szCs w:val="20"/>
              </w:rPr>
            </w:pPr>
            <w:r>
              <w:rPr>
                <w:rFonts w:ascii="Arial" w:hAnsi="Arial" w:cs="Arial"/>
                <w:szCs w:val="20"/>
              </w:rPr>
              <w:t>1,737,958</w:t>
            </w:r>
          </w:p>
        </w:tc>
        <w:tc>
          <w:tcPr>
            <w:tcW w:w="1585" w:type="dxa"/>
            <w:tcBorders>
              <w:top w:val="single" w:sz="4" w:space="0" w:color="auto"/>
              <w:bottom w:val="single" w:sz="12" w:space="0" w:color="auto"/>
            </w:tcBorders>
            <w:vAlign w:val="bottom"/>
          </w:tcPr>
          <w:p w14:paraId="46B4418A" w14:textId="12A3335A" w:rsidR="00356313" w:rsidRPr="006D4677" w:rsidRDefault="0049787F" w:rsidP="00EE4151">
            <w:pPr>
              <w:tabs>
                <w:tab w:val="left" w:pos="7272"/>
                <w:tab w:val="decimal" w:pos="8136"/>
                <w:tab w:val="left" w:pos="8496"/>
                <w:tab w:val="decimal" w:pos="9360"/>
              </w:tabs>
              <w:spacing w:before="120" w:after="0" w:line="240" w:lineRule="auto"/>
              <w:ind w:right="52"/>
              <w:jc w:val="right"/>
              <w:rPr>
                <w:rFonts w:ascii="Arial" w:hAnsi="Arial" w:cs="Arial"/>
                <w:szCs w:val="20"/>
              </w:rPr>
            </w:pPr>
            <w:r>
              <w:rPr>
                <w:rFonts w:ascii="Arial" w:hAnsi="Arial" w:cs="Arial"/>
                <w:szCs w:val="20"/>
              </w:rPr>
              <w:t>45,414</w:t>
            </w:r>
          </w:p>
        </w:tc>
      </w:tr>
    </w:tbl>
    <w:p w14:paraId="33473E8F" w14:textId="77777777" w:rsidR="00356313" w:rsidRDefault="00356313" w:rsidP="00167857">
      <w:pPr>
        <w:spacing w:after="0" w:line="240" w:lineRule="auto"/>
        <w:rPr>
          <w:rFonts w:ascii="Arial" w:hAnsi="Arial" w:cs="Arial"/>
          <w:bCs/>
          <w:szCs w:val="20"/>
        </w:rPr>
      </w:pPr>
    </w:p>
    <w:tbl>
      <w:tblPr>
        <w:tblW w:w="8930" w:type="dxa"/>
        <w:tblInd w:w="450" w:type="dxa"/>
        <w:tblLayout w:type="fixed"/>
        <w:tblCellMar>
          <w:left w:w="0" w:type="dxa"/>
          <w:bottom w:w="29" w:type="dxa"/>
          <w:right w:w="0" w:type="dxa"/>
        </w:tblCellMar>
        <w:tblLook w:val="0000" w:firstRow="0" w:lastRow="0" w:firstColumn="0" w:lastColumn="0" w:noHBand="0" w:noVBand="0"/>
      </w:tblPr>
      <w:tblGrid>
        <w:gridCol w:w="5760"/>
        <w:gridCol w:w="1585"/>
        <w:gridCol w:w="1585"/>
      </w:tblGrid>
      <w:tr w:rsidR="00253061" w:rsidRPr="006D4677" w14:paraId="23FCE58A" w14:textId="77777777" w:rsidTr="00AF3DD7">
        <w:tc>
          <w:tcPr>
            <w:tcW w:w="5760" w:type="dxa"/>
            <w:tcBorders>
              <w:bottom w:val="single" w:sz="2" w:space="0" w:color="auto"/>
            </w:tcBorders>
            <w:vAlign w:val="bottom"/>
          </w:tcPr>
          <w:p w14:paraId="6702BA9C" w14:textId="77777777" w:rsidR="00253061" w:rsidRPr="006D4677" w:rsidRDefault="00253061" w:rsidP="00253061">
            <w:pPr>
              <w:tabs>
                <w:tab w:val="left" w:pos="7272"/>
                <w:tab w:val="decimal" w:pos="8136"/>
                <w:tab w:val="left" w:pos="8496"/>
                <w:tab w:val="decimal" w:pos="9360"/>
              </w:tabs>
              <w:spacing w:after="0" w:line="240" w:lineRule="auto"/>
              <w:rPr>
                <w:rFonts w:ascii="Arial" w:hAnsi="Arial" w:cs="Arial"/>
                <w:szCs w:val="20"/>
              </w:rPr>
            </w:pPr>
          </w:p>
        </w:tc>
        <w:tc>
          <w:tcPr>
            <w:tcW w:w="1585" w:type="dxa"/>
            <w:tcBorders>
              <w:bottom w:val="single" w:sz="2" w:space="0" w:color="auto"/>
            </w:tcBorders>
            <w:vAlign w:val="bottom"/>
          </w:tcPr>
          <w:p w14:paraId="7E5FD986" w14:textId="77777777" w:rsidR="00253061" w:rsidRPr="00094538" w:rsidRDefault="00253061" w:rsidP="00253061">
            <w:pPr>
              <w:spacing w:after="0" w:line="240" w:lineRule="auto"/>
              <w:jc w:val="center"/>
              <w:rPr>
                <w:rFonts w:ascii="Arial" w:hAnsi="Arial" w:cs="Arial"/>
                <w:szCs w:val="20"/>
              </w:rPr>
            </w:pPr>
            <w:r w:rsidRPr="00094538">
              <w:rPr>
                <w:rFonts w:ascii="Arial" w:hAnsi="Arial" w:cs="Arial"/>
                <w:szCs w:val="20"/>
              </w:rPr>
              <w:t>April 30,</w:t>
            </w:r>
          </w:p>
          <w:p w14:paraId="3E28EEC1" w14:textId="77777777" w:rsidR="00253061" w:rsidRPr="00094538" w:rsidRDefault="00253061" w:rsidP="00253061">
            <w:pPr>
              <w:spacing w:after="0" w:line="240" w:lineRule="auto"/>
              <w:jc w:val="center"/>
              <w:rPr>
                <w:rFonts w:ascii="Arial" w:hAnsi="Arial" w:cs="Arial"/>
                <w:szCs w:val="20"/>
              </w:rPr>
            </w:pPr>
            <w:r w:rsidRPr="00094538">
              <w:rPr>
                <w:rFonts w:ascii="Arial" w:hAnsi="Arial" w:cs="Arial"/>
                <w:szCs w:val="20"/>
              </w:rPr>
              <w:t>2020</w:t>
            </w:r>
          </w:p>
          <w:p w14:paraId="306C5526" w14:textId="435C2C5E" w:rsidR="00253061" w:rsidRPr="00094538" w:rsidRDefault="00253061" w:rsidP="00253061">
            <w:pPr>
              <w:tabs>
                <w:tab w:val="left" w:pos="7272"/>
                <w:tab w:val="decimal" w:pos="8136"/>
                <w:tab w:val="left" w:pos="8496"/>
                <w:tab w:val="decimal" w:pos="9360"/>
              </w:tabs>
              <w:spacing w:after="0" w:line="240" w:lineRule="auto"/>
              <w:ind w:right="29"/>
              <w:jc w:val="center"/>
              <w:rPr>
                <w:rFonts w:ascii="Arial" w:hAnsi="Arial" w:cs="Arial"/>
                <w:szCs w:val="20"/>
              </w:rPr>
            </w:pPr>
            <w:r w:rsidRPr="00094538">
              <w:rPr>
                <w:rFonts w:ascii="Arial" w:hAnsi="Arial" w:cs="Arial"/>
                <w:szCs w:val="20"/>
              </w:rPr>
              <w:t>$</w:t>
            </w:r>
          </w:p>
        </w:tc>
        <w:tc>
          <w:tcPr>
            <w:tcW w:w="1585" w:type="dxa"/>
            <w:tcBorders>
              <w:bottom w:val="single" w:sz="2" w:space="0" w:color="auto"/>
            </w:tcBorders>
            <w:vAlign w:val="bottom"/>
          </w:tcPr>
          <w:p w14:paraId="3758BA32" w14:textId="77777777" w:rsidR="00253061" w:rsidRPr="00094538" w:rsidRDefault="00253061" w:rsidP="00253061">
            <w:pPr>
              <w:spacing w:after="0" w:line="240" w:lineRule="auto"/>
              <w:jc w:val="center"/>
              <w:rPr>
                <w:rFonts w:ascii="Arial" w:hAnsi="Arial" w:cs="Arial"/>
                <w:szCs w:val="20"/>
              </w:rPr>
            </w:pPr>
            <w:r w:rsidRPr="00094538">
              <w:rPr>
                <w:rFonts w:ascii="Arial" w:hAnsi="Arial" w:cs="Arial"/>
                <w:szCs w:val="20"/>
              </w:rPr>
              <w:t>April 30,</w:t>
            </w:r>
          </w:p>
          <w:p w14:paraId="61EBDD30" w14:textId="77777777" w:rsidR="00253061" w:rsidRPr="00094538" w:rsidRDefault="00253061" w:rsidP="00253061">
            <w:pPr>
              <w:spacing w:after="0" w:line="240" w:lineRule="auto"/>
              <w:jc w:val="center"/>
              <w:rPr>
                <w:rFonts w:ascii="Arial" w:hAnsi="Arial" w:cs="Arial"/>
                <w:szCs w:val="20"/>
              </w:rPr>
            </w:pPr>
            <w:r w:rsidRPr="00094538">
              <w:rPr>
                <w:rFonts w:ascii="Arial" w:hAnsi="Arial" w:cs="Arial"/>
                <w:szCs w:val="20"/>
              </w:rPr>
              <w:t>2019</w:t>
            </w:r>
          </w:p>
          <w:p w14:paraId="77B6342F" w14:textId="30917027" w:rsidR="00253061" w:rsidRPr="00094538" w:rsidRDefault="00253061" w:rsidP="00253061">
            <w:pPr>
              <w:tabs>
                <w:tab w:val="left" w:pos="7272"/>
                <w:tab w:val="decimal" w:pos="8136"/>
                <w:tab w:val="left" w:pos="8496"/>
                <w:tab w:val="decimal" w:pos="9360"/>
              </w:tabs>
              <w:spacing w:after="0" w:line="240" w:lineRule="auto"/>
              <w:ind w:right="29"/>
              <w:jc w:val="center"/>
              <w:rPr>
                <w:rFonts w:ascii="Arial" w:hAnsi="Arial" w:cs="Arial"/>
                <w:szCs w:val="20"/>
              </w:rPr>
            </w:pPr>
            <w:r w:rsidRPr="00094538">
              <w:rPr>
                <w:rFonts w:ascii="Arial" w:hAnsi="Arial" w:cs="Arial"/>
                <w:szCs w:val="20"/>
              </w:rPr>
              <w:t>$</w:t>
            </w:r>
          </w:p>
        </w:tc>
      </w:tr>
      <w:tr w:rsidR="008E2C02" w:rsidRPr="006D4677" w14:paraId="20182AE6" w14:textId="77777777" w:rsidTr="00AF3DD7">
        <w:tc>
          <w:tcPr>
            <w:tcW w:w="5760" w:type="dxa"/>
            <w:tcBorders>
              <w:top w:val="single" w:sz="2" w:space="0" w:color="auto"/>
            </w:tcBorders>
            <w:vAlign w:val="bottom"/>
          </w:tcPr>
          <w:p w14:paraId="37FE995A" w14:textId="77777777" w:rsidR="008E2C02" w:rsidRPr="006D4677" w:rsidRDefault="008E2C02" w:rsidP="00EE4151">
            <w:pPr>
              <w:tabs>
                <w:tab w:val="left" w:pos="7272"/>
                <w:tab w:val="decimal" w:pos="8136"/>
                <w:tab w:val="left" w:pos="8496"/>
                <w:tab w:val="decimal" w:pos="9360"/>
              </w:tabs>
              <w:spacing w:before="120" w:after="0" w:line="240" w:lineRule="auto"/>
              <w:rPr>
                <w:rFonts w:ascii="Arial" w:hAnsi="Arial" w:cs="Arial"/>
                <w:szCs w:val="20"/>
              </w:rPr>
            </w:pPr>
            <w:r w:rsidRPr="006D4677">
              <w:rPr>
                <w:rFonts w:ascii="Arial" w:hAnsi="Arial" w:cs="Arial"/>
                <w:szCs w:val="20"/>
              </w:rPr>
              <w:t>Supplemental disclosures:</w:t>
            </w:r>
          </w:p>
        </w:tc>
        <w:tc>
          <w:tcPr>
            <w:tcW w:w="1585" w:type="dxa"/>
            <w:tcBorders>
              <w:top w:val="single" w:sz="2" w:space="0" w:color="auto"/>
            </w:tcBorders>
          </w:tcPr>
          <w:p w14:paraId="3D4DF0B4" w14:textId="77777777" w:rsidR="008E2C02" w:rsidRPr="00EE4151" w:rsidRDefault="008E2C02" w:rsidP="00EE4151">
            <w:pPr>
              <w:tabs>
                <w:tab w:val="left" w:pos="7272"/>
                <w:tab w:val="decimal" w:pos="8136"/>
                <w:tab w:val="left" w:pos="8496"/>
                <w:tab w:val="decimal" w:pos="9360"/>
              </w:tabs>
              <w:spacing w:before="120" w:after="0" w:line="240" w:lineRule="auto"/>
              <w:ind w:right="29"/>
              <w:jc w:val="right"/>
              <w:rPr>
                <w:rFonts w:ascii="Arial" w:hAnsi="Arial" w:cs="Arial"/>
                <w:szCs w:val="20"/>
              </w:rPr>
            </w:pPr>
          </w:p>
        </w:tc>
        <w:tc>
          <w:tcPr>
            <w:tcW w:w="1585" w:type="dxa"/>
            <w:tcBorders>
              <w:top w:val="single" w:sz="2" w:space="0" w:color="auto"/>
            </w:tcBorders>
          </w:tcPr>
          <w:p w14:paraId="72180F84" w14:textId="77777777" w:rsidR="008E2C02" w:rsidRPr="006D4677" w:rsidRDefault="008E2C02" w:rsidP="00EE4151">
            <w:pPr>
              <w:tabs>
                <w:tab w:val="left" w:pos="7272"/>
                <w:tab w:val="decimal" w:pos="8136"/>
                <w:tab w:val="left" w:pos="8496"/>
                <w:tab w:val="decimal" w:pos="9360"/>
              </w:tabs>
              <w:spacing w:before="120" w:after="0" w:line="240" w:lineRule="auto"/>
              <w:ind w:right="29"/>
              <w:jc w:val="right"/>
              <w:rPr>
                <w:rFonts w:ascii="Arial" w:hAnsi="Arial" w:cs="Arial"/>
                <w:szCs w:val="20"/>
              </w:rPr>
            </w:pPr>
          </w:p>
        </w:tc>
      </w:tr>
      <w:tr w:rsidR="00AF3DD7" w:rsidRPr="006D4677" w14:paraId="352BC3B0" w14:textId="77777777" w:rsidTr="001638A2">
        <w:tc>
          <w:tcPr>
            <w:tcW w:w="5760" w:type="dxa"/>
            <w:vAlign w:val="bottom"/>
          </w:tcPr>
          <w:p w14:paraId="5A327B6A" w14:textId="77777777" w:rsidR="00AF3DD7" w:rsidRPr="006D4677" w:rsidRDefault="00AF3DD7" w:rsidP="00EE4151">
            <w:pPr>
              <w:tabs>
                <w:tab w:val="left" w:pos="7272"/>
                <w:tab w:val="decimal" w:pos="8136"/>
                <w:tab w:val="left" w:pos="8496"/>
                <w:tab w:val="decimal" w:pos="9360"/>
              </w:tabs>
              <w:spacing w:after="0" w:line="240" w:lineRule="auto"/>
              <w:ind w:left="144"/>
              <w:rPr>
                <w:rFonts w:ascii="Arial" w:hAnsi="Arial" w:cs="Arial"/>
                <w:szCs w:val="20"/>
              </w:rPr>
            </w:pPr>
            <w:r w:rsidRPr="006D4677">
              <w:rPr>
                <w:rFonts w:ascii="Arial" w:hAnsi="Arial" w:cs="Arial"/>
                <w:szCs w:val="20"/>
              </w:rPr>
              <w:t>Interest paid</w:t>
            </w:r>
          </w:p>
        </w:tc>
        <w:tc>
          <w:tcPr>
            <w:tcW w:w="1585" w:type="dxa"/>
            <w:vAlign w:val="bottom"/>
          </w:tcPr>
          <w:p w14:paraId="5DB584BF" w14:textId="6EB5FAFE" w:rsidR="00AF3DD7" w:rsidRPr="00E12D65" w:rsidRDefault="00E12D65"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12D65">
              <w:rPr>
                <w:rFonts w:ascii="Arial" w:hAnsi="Arial" w:cs="Arial"/>
                <w:szCs w:val="20"/>
              </w:rPr>
              <w:t>167,358</w:t>
            </w:r>
          </w:p>
        </w:tc>
        <w:tc>
          <w:tcPr>
            <w:tcW w:w="1585" w:type="dxa"/>
            <w:shd w:val="clear" w:color="auto" w:fill="auto"/>
            <w:vAlign w:val="bottom"/>
          </w:tcPr>
          <w:p w14:paraId="17B27B2A" w14:textId="4E7687B7" w:rsidR="00AF3DD7" w:rsidRPr="00E12D65" w:rsidRDefault="001638A2" w:rsidP="00EE4151">
            <w:pPr>
              <w:tabs>
                <w:tab w:val="left" w:pos="7272"/>
                <w:tab w:val="decimal" w:pos="8136"/>
                <w:tab w:val="left" w:pos="8496"/>
                <w:tab w:val="decimal" w:pos="9360"/>
              </w:tabs>
              <w:spacing w:after="0" w:line="240" w:lineRule="auto"/>
              <w:ind w:right="52"/>
              <w:jc w:val="right"/>
              <w:rPr>
                <w:rFonts w:ascii="Arial" w:hAnsi="Arial" w:cs="Arial"/>
                <w:szCs w:val="20"/>
              </w:rPr>
            </w:pPr>
            <w:r w:rsidRPr="00E12D65">
              <w:rPr>
                <w:rFonts w:ascii="Arial" w:hAnsi="Arial" w:cs="Arial"/>
                <w:szCs w:val="20"/>
              </w:rPr>
              <w:t>119,885</w:t>
            </w:r>
          </w:p>
        </w:tc>
      </w:tr>
      <w:tr w:rsidR="00AF3DD7" w:rsidRPr="006D4677" w14:paraId="6780080A" w14:textId="77777777" w:rsidTr="00AF3DD7">
        <w:tc>
          <w:tcPr>
            <w:tcW w:w="5760" w:type="dxa"/>
            <w:vAlign w:val="bottom"/>
          </w:tcPr>
          <w:p w14:paraId="6AFF1113" w14:textId="77777777" w:rsidR="00AF3DD7" w:rsidRPr="006D4677" w:rsidRDefault="00AF3DD7" w:rsidP="00EE4151">
            <w:pPr>
              <w:tabs>
                <w:tab w:val="left" w:pos="7272"/>
                <w:tab w:val="decimal" w:pos="8136"/>
                <w:tab w:val="left" w:pos="8496"/>
                <w:tab w:val="decimal" w:pos="9360"/>
              </w:tabs>
              <w:spacing w:after="0" w:line="240" w:lineRule="auto"/>
              <w:ind w:left="144"/>
              <w:rPr>
                <w:rFonts w:ascii="Arial" w:hAnsi="Arial" w:cs="Arial"/>
                <w:szCs w:val="20"/>
              </w:rPr>
            </w:pPr>
            <w:r w:rsidRPr="006D4677">
              <w:rPr>
                <w:rFonts w:ascii="Arial" w:hAnsi="Arial" w:cs="Arial"/>
                <w:szCs w:val="20"/>
              </w:rPr>
              <w:t>Income tax paid</w:t>
            </w:r>
          </w:p>
        </w:tc>
        <w:tc>
          <w:tcPr>
            <w:tcW w:w="1585" w:type="dxa"/>
            <w:vAlign w:val="bottom"/>
          </w:tcPr>
          <w:p w14:paraId="563EF372" w14:textId="77777777" w:rsidR="00AF3DD7" w:rsidRPr="00EE4151" w:rsidRDefault="00AF3DD7"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E4151">
              <w:rPr>
                <w:rFonts w:ascii="Arial" w:hAnsi="Arial" w:cs="Arial"/>
                <w:szCs w:val="20"/>
              </w:rPr>
              <w:t>–</w:t>
            </w:r>
          </w:p>
        </w:tc>
        <w:tc>
          <w:tcPr>
            <w:tcW w:w="1585" w:type="dxa"/>
            <w:vAlign w:val="bottom"/>
          </w:tcPr>
          <w:p w14:paraId="480E4BD5" w14:textId="79C0EEA3" w:rsidR="00AF3DD7" w:rsidRPr="006D4677" w:rsidRDefault="00AF3DD7" w:rsidP="00EE4151">
            <w:pPr>
              <w:tabs>
                <w:tab w:val="left" w:pos="7272"/>
                <w:tab w:val="decimal" w:pos="8136"/>
                <w:tab w:val="left" w:pos="8496"/>
                <w:tab w:val="decimal" w:pos="9360"/>
              </w:tabs>
              <w:spacing w:after="0" w:line="240" w:lineRule="auto"/>
              <w:ind w:right="52"/>
              <w:jc w:val="right"/>
              <w:rPr>
                <w:rFonts w:ascii="Arial" w:hAnsi="Arial" w:cs="Arial"/>
                <w:szCs w:val="20"/>
              </w:rPr>
            </w:pPr>
            <w:r w:rsidRPr="006D4677">
              <w:rPr>
                <w:rFonts w:ascii="Arial" w:hAnsi="Arial" w:cs="Arial"/>
                <w:szCs w:val="20"/>
              </w:rPr>
              <w:t>–</w:t>
            </w:r>
          </w:p>
        </w:tc>
      </w:tr>
      <w:tr w:rsidR="00AF3DD7" w:rsidRPr="006D4677" w14:paraId="5695303C" w14:textId="77777777" w:rsidTr="00AF3DD7">
        <w:tc>
          <w:tcPr>
            <w:tcW w:w="5760" w:type="dxa"/>
            <w:vAlign w:val="bottom"/>
          </w:tcPr>
          <w:p w14:paraId="35C1436C" w14:textId="77777777" w:rsidR="00AF3DD7" w:rsidRPr="006D4677" w:rsidRDefault="00AF3DD7" w:rsidP="00EE4151">
            <w:pPr>
              <w:tabs>
                <w:tab w:val="left" w:pos="7272"/>
                <w:tab w:val="decimal" w:pos="8136"/>
                <w:tab w:val="left" w:pos="8496"/>
                <w:tab w:val="decimal" w:pos="9360"/>
              </w:tabs>
              <w:spacing w:after="0" w:line="240" w:lineRule="auto"/>
              <w:rPr>
                <w:rFonts w:ascii="Arial" w:hAnsi="Arial" w:cs="Arial"/>
                <w:szCs w:val="20"/>
              </w:rPr>
            </w:pPr>
            <w:r w:rsidRPr="006D4677">
              <w:rPr>
                <w:rFonts w:ascii="Arial" w:hAnsi="Arial" w:cs="Arial"/>
                <w:szCs w:val="20"/>
              </w:rPr>
              <w:t>Non-cash investing and financing activities:</w:t>
            </w:r>
          </w:p>
        </w:tc>
        <w:tc>
          <w:tcPr>
            <w:tcW w:w="1585" w:type="dxa"/>
          </w:tcPr>
          <w:p w14:paraId="52444D44" w14:textId="77777777" w:rsidR="00AF3DD7" w:rsidRPr="00EE4151" w:rsidRDefault="00AF3DD7" w:rsidP="00EE4151">
            <w:pPr>
              <w:tabs>
                <w:tab w:val="left" w:pos="7272"/>
                <w:tab w:val="decimal" w:pos="8136"/>
                <w:tab w:val="left" w:pos="8496"/>
                <w:tab w:val="decimal" w:pos="9360"/>
              </w:tabs>
              <w:spacing w:after="0" w:line="240" w:lineRule="auto"/>
              <w:ind w:right="29"/>
              <w:jc w:val="right"/>
              <w:rPr>
                <w:rFonts w:ascii="Arial" w:hAnsi="Arial" w:cs="Arial"/>
                <w:szCs w:val="20"/>
              </w:rPr>
            </w:pPr>
          </w:p>
        </w:tc>
        <w:tc>
          <w:tcPr>
            <w:tcW w:w="1585" w:type="dxa"/>
          </w:tcPr>
          <w:p w14:paraId="21550B0A" w14:textId="77777777" w:rsidR="00AF3DD7" w:rsidRPr="006D4677" w:rsidRDefault="00AF3DD7" w:rsidP="00EE4151">
            <w:pPr>
              <w:tabs>
                <w:tab w:val="left" w:pos="7272"/>
                <w:tab w:val="decimal" w:pos="8136"/>
                <w:tab w:val="left" w:pos="8496"/>
                <w:tab w:val="decimal" w:pos="9360"/>
              </w:tabs>
              <w:spacing w:after="0" w:line="240" w:lineRule="auto"/>
              <w:ind w:right="29"/>
              <w:jc w:val="right"/>
              <w:rPr>
                <w:rFonts w:ascii="Arial" w:hAnsi="Arial" w:cs="Arial"/>
                <w:szCs w:val="20"/>
              </w:rPr>
            </w:pPr>
          </w:p>
        </w:tc>
      </w:tr>
      <w:tr w:rsidR="00EC4ECB" w:rsidRPr="00EC4ECB" w14:paraId="23167356" w14:textId="77777777" w:rsidTr="00EC4ECB">
        <w:tc>
          <w:tcPr>
            <w:tcW w:w="5760" w:type="dxa"/>
          </w:tcPr>
          <w:p w14:paraId="34685114" w14:textId="27BA6DF3" w:rsidR="00EC4ECB" w:rsidRPr="00EC4ECB" w:rsidRDefault="00EC4ECB" w:rsidP="00EE4151">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Common shares</w:t>
            </w:r>
            <w:r w:rsidRPr="00EC4ECB">
              <w:rPr>
                <w:rFonts w:ascii="Arial" w:hAnsi="Arial" w:cs="Arial"/>
              </w:rPr>
              <w:t xml:space="preserve"> issued for services</w:t>
            </w:r>
          </w:p>
        </w:tc>
        <w:tc>
          <w:tcPr>
            <w:tcW w:w="1585" w:type="dxa"/>
            <w:vAlign w:val="bottom"/>
          </w:tcPr>
          <w:p w14:paraId="20FB3998" w14:textId="73ACE2B4" w:rsidR="00EC4ECB" w:rsidRPr="00EE4151" w:rsidRDefault="006456C0"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Pr>
                <w:rFonts w:ascii="Arial" w:hAnsi="Arial" w:cs="Arial"/>
                <w:szCs w:val="20"/>
              </w:rPr>
              <w:t>2,154</w:t>
            </w:r>
          </w:p>
        </w:tc>
        <w:tc>
          <w:tcPr>
            <w:tcW w:w="1585" w:type="dxa"/>
            <w:vAlign w:val="bottom"/>
          </w:tcPr>
          <w:p w14:paraId="60DD4114" w14:textId="2C7F82CD" w:rsidR="00EC4ECB" w:rsidRPr="00EC4ECB" w:rsidRDefault="001638A2" w:rsidP="00EE4151">
            <w:pPr>
              <w:tabs>
                <w:tab w:val="left" w:pos="7272"/>
                <w:tab w:val="decimal" w:pos="8136"/>
                <w:tab w:val="left" w:pos="8496"/>
                <w:tab w:val="decimal" w:pos="9360"/>
              </w:tabs>
              <w:spacing w:after="0" w:line="240" w:lineRule="auto"/>
              <w:ind w:right="52"/>
              <w:jc w:val="right"/>
              <w:rPr>
                <w:rFonts w:ascii="Arial" w:hAnsi="Arial" w:cs="Arial"/>
                <w:szCs w:val="20"/>
              </w:rPr>
            </w:pPr>
            <w:r>
              <w:rPr>
                <w:rFonts w:ascii="Arial" w:hAnsi="Arial" w:cs="Arial"/>
                <w:szCs w:val="20"/>
              </w:rPr>
              <w:t>15</w:t>
            </w:r>
            <w:r w:rsidR="006456C0">
              <w:rPr>
                <w:rFonts w:ascii="Arial" w:hAnsi="Arial" w:cs="Arial"/>
                <w:szCs w:val="20"/>
              </w:rPr>
              <w:t>,129</w:t>
            </w:r>
          </w:p>
        </w:tc>
      </w:tr>
      <w:tr w:rsidR="00444871" w:rsidRPr="00EC4ECB" w14:paraId="6A300717" w14:textId="77777777" w:rsidTr="00562405">
        <w:tc>
          <w:tcPr>
            <w:tcW w:w="5760" w:type="dxa"/>
          </w:tcPr>
          <w:p w14:paraId="6A98C6AE" w14:textId="77777777" w:rsidR="00444871" w:rsidRDefault="00444871" w:rsidP="00EE4151">
            <w:pPr>
              <w:tabs>
                <w:tab w:val="left" w:pos="7272"/>
                <w:tab w:val="decimal" w:pos="8136"/>
                <w:tab w:val="left" w:pos="8496"/>
                <w:tab w:val="decimal" w:pos="9360"/>
              </w:tabs>
              <w:spacing w:after="0" w:line="240" w:lineRule="auto"/>
              <w:ind w:left="144"/>
              <w:rPr>
                <w:rFonts w:ascii="Arial" w:hAnsi="Arial" w:cs="Arial"/>
              </w:rPr>
            </w:pPr>
            <w:r>
              <w:rPr>
                <w:rFonts w:ascii="Arial" w:hAnsi="Arial" w:cs="Arial"/>
              </w:rPr>
              <w:t>Common shares issued for settlement of accounts payable</w:t>
            </w:r>
          </w:p>
        </w:tc>
        <w:tc>
          <w:tcPr>
            <w:tcW w:w="1585" w:type="dxa"/>
            <w:vAlign w:val="bottom"/>
          </w:tcPr>
          <w:p w14:paraId="020AEE3C" w14:textId="198675E8" w:rsidR="00444871" w:rsidRPr="00EE4151" w:rsidRDefault="00094538"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E4151">
              <w:rPr>
                <w:rFonts w:ascii="Arial" w:hAnsi="Arial" w:cs="Arial"/>
                <w:szCs w:val="20"/>
              </w:rPr>
              <w:t>–</w:t>
            </w:r>
          </w:p>
        </w:tc>
        <w:tc>
          <w:tcPr>
            <w:tcW w:w="1585" w:type="dxa"/>
            <w:vAlign w:val="bottom"/>
          </w:tcPr>
          <w:p w14:paraId="78623249" w14:textId="31CF5564" w:rsidR="00444871" w:rsidRDefault="006456C0" w:rsidP="00EE4151">
            <w:pPr>
              <w:tabs>
                <w:tab w:val="left" w:pos="7272"/>
                <w:tab w:val="decimal" w:pos="8136"/>
                <w:tab w:val="left" w:pos="8496"/>
                <w:tab w:val="decimal" w:pos="9360"/>
              </w:tabs>
              <w:spacing w:after="0" w:line="240" w:lineRule="auto"/>
              <w:ind w:right="52"/>
              <w:jc w:val="right"/>
              <w:rPr>
                <w:rFonts w:ascii="Arial" w:hAnsi="Arial" w:cs="Arial"/>
                <w:szCs w:val="20"/>
              </w:rPr>
            </w:pPr>
            <w:r w:rsidRPr="00EE4151">
              <w:rPr>
                <w:rFonts w:ascii="Arial" w:hAnsi="Arial" w:cs="Arial"/>
                <w:szCs w:val="20"/>
              </w:rPr>
              <w:t>338,06</w:t>
            </w:r>
            <w:r>
              <w:rPr>
                <w:rFonts w:ascii="Arial" w:hAnsi="Arial" w:cs="Arial"/>
                <w:szCs w:val="20"/>
              </w:rPr>
              <w:t>5</w:t>
            </w:r>
          </w:p>
        </w:tc>
      </w:tr>
      <w:tr w:rsidR="00444871" w:rsidRPr="00EC4ECB" w14:paraId="72686BD3" w14:textId="77777777" w:rsidTr="00562405">
        <w:tc>
          <w:tcPr>
            <w:tcW w:w="5760" w:type="dxa"/>
          </w:tcPr>
          <w:p w14:paraId="3772E2AC" w14:textId="77777777" w:rsidR="00444871" w:rsidRDefault="00444871" w:rsidP="00EE4151">
            <w:pPr>
              <w:tabs>
                <w:tab w:val="left" w:pos="7272"/>
                <w:tab w:val="decimal" w:pos="8136"/>
                <w:tab w:val="left" w:pos="8496"/>
                <w:tab w:val="decimal" w:pos="9360"/>
              </w:tabs>
              <w:spacing w:after="0" w:line="240" w:lineRule="auto"/>
              <w:ind w:left="144"/>
              <w:rPr>
                <w:rFonts w:ascii="Arial" w:hAnsi="Arial" w:cs="Arial"/>
              </w:rPr>
            </w:pPr>
            <w:r>
              <w:rPr>
                <w:rFonts w:ascii="Arial" w:hAnsi="Arial" w:cs="Arial"/>
              </w:rPr>
              <w:t>Common shares issued for loan origination fees</w:t>
            </w:r>
          </w:p>
        </w:tc>
        <w:tc>
          <w:tcPr>
            <w:tcW w:w="1585" w:type="dxa"/>
            <w:vAlign w:val="bottom"/>
          </w:tcPr>
          <w:p w14:paraId="4D6EBF45" w14:textId="22668C3E" w:rsidR="00444871" w:rsidRPr="00EE4151" w:rsidRDefault="00094538"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E4151">
              <w:rPr>
                <w:rFonts w:ascii="Arial" w:hAnsi="Arial" w:cs="Arial"/>
                <w:szCs w:val="20"/>
              </w:rPr>
              <w:t>–</w:t>
            </w:r>
          </w:p>
        </w:tc>
        <w:tc>
          <w:tcPr>
            <w:tcW w:w="1585" w:type="dxa"/>
            <w:vAlign w:val="bottom"/>
          </w:tcPr>
          <w:p w14:paraId="2CAC8B4A" w14:textId="2A9A07B0" w:rsidR="00444871" w:rsidRDefault="006456C0" w:rsidP="00EE4151">
            <w:pPr>
              <w:tabs>
                <w:tab w:val="left" w:pos="7272"/>
                <w:tab w:val="decimal" w:pos="8136"/>
                <w:tab w:val="left" w:pos="8496"/>
                <w:tab w:val="decimal" w:pos="9360"/>
              </w:tabs>
              <w:spacing w:after="0" w:line="240" w:lineRule="auto"/>
              <w:ind w:right="52"/>
              <w:jc w:val="right"/>
              <w:rPr>
                <w:rFonts w:ascii="Arial" w:hAnsi="Arial" w:cs="Arial"/>
                <w:szCs w:val="20"/>
              </w:rPr>
            </w:pPr>
            <w:r>
              <w:rPr>
                <w:rFonts w:ascii="Arial" w:hAnsi="Arial" w:cs="Arial"/>
                <w:szCs w:val="20"/>
              </w:rPr>
              <w:t>20,000</w:t>
            </w:r>
          </w:p>
        </w:tc>
      </w:tr>
      <w:tr w:rsidR="00444871" w:rsidRPr="00EC4ECB" w14:paraId="62C3680E" w14:textId="77777777" w:rsidTr="00562405">
        <w:tc>
          <w:tcPr>
            <w:tcW w:w="5760" w:type="dxa"/>
          </w:tcPr>
          <w:p w14:paraId="7CE26324" w14:textId="658C9DE6" w:rsidR="00444871" w:rsidRDefault="00444871" w:rsidP="00EE4151">
            <w:pPr>
              <w:tabs>
                <w:tab w:val="left" w:pos="7272"/>
                <w:tab w:val="decimal" w:pos="8136"/>
                <w:tab w:val="left" w:pos="8496"/>
                <w:tab w:val="decimal" w:pos="9360"/>
              </w:tabs>
              <w:spacing w:after="0" w:line="240" w:lineRule="auto"/>
              <w:ind w:left="144"/>
              <w:rPr>
                <w:rFonts w:ascii="Arial" w:hAnsi="Arial" w:cs="Arial"/>
              </w:rPr>
            </w:pPr>
            <w:r>
              <w:rPr>
                <w:rFonts w:ascii="Arial" w:hAnsi="Arial" w:cs="Arial"/>
              </w:rPr>
              <w:t xml:space="preserve">Common shares issued </w:t>
            </w:r>
            <w:r w:rsidR="00246349">
              <w:rPr>
                <w:rFonts w:ascii="Arial" w:hAnsi="Arial" w:cs="Arial"/>
              </w:rPr>
              <w:t>as share issue costs</w:t>
            </w:r>
          </w:p>
        </w:tc>
        <w:tc>
          <w:tcPr>
            <w:tcW w:w="1585" w:type="dxa"/>
            <w:vAlign w:val="bottom"/>
          </w:tcPr>
          <w:p w14:paraId="140245BB" w14:textId="5B6FDE19" w:rsidR="00444871" w:rsidRPr="00EE4151" w:rsidRDefault="00094538"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E4151">
              <w:rPr>
                <w:rFonts w:ascii="Arial" w:hAnsi="Arial" w:cs="Arial"/>
                <w:szCs w:val="20"/>
              </w:rPr>
              <w:t>–</w:t>
            </w:r>
          </w:p>
        </w:tc>
        <w:tc>
          <w:tcPr>
            <w:tcW w:w="1585" w:type="dxa"/>
            <w:vAlign w:val="bottom"/>
          </w:tcPr>
          <w:p w14:paraId="3639CEE8" w14:textId="38D105F0" w:rsidR="00444871" w:rsidRDefault="006456C0" w:rsidP="00EE4151">
            <w:pPr>
              <w:tabs>
                <w:tab w:val="left" w:pos="7272"/>
                <w:tab w:val="decimal" w:pos="8136"/>
                <w:tab w:val="left" w:pos="8496"/>
                <w:tab w:val="decimal" w:pos="9360"/>
              </w:tabs>
              <w:spacing w:after="0" w:line="240" w:lineRule="auto"/>
              <w:ind w:right="52"/>
              <w:jc w:val="right"/>
              <w:rPr>
                <w:rFonts w:ascii="Arial" w:hAnsi="Arial" w:cs="Arial"/>
                <w:szCs w:val="20"/>
              </w:rPr>
            </w:pPr>
            <w:r>
              <w:rPr>
                <w:rFonts w:ascii="Arial" w:hAnsi="Arial" w:cs="Arial"/>
                <w:szCs w:val="20"/>
              </w:rPr>
              <w:t>127,000</w:t>
            </w:r>
          </w:p>
        </w:tc>
      </w:tr>
      <w:tr w:rsidR="00EC4ECB" w:rsidRPr="00EC4ECB" w14:paraId="2ED89E32" w14:textId="77777777" w:rsidTr="006456C0">
        <w:tc>
          <w:tcPr>
            <w:tcW w:w="5760" w:type="dxa"/>
            <w:tcBorders>
              <w:bottom w:val="single" w:sz="4" w:space="0" w:color="auto"/>
            </w:tcBorders>
          </w:tcPr>
          <w:p w14:paraId="3A52CDB1" w14:textId="25C4457D" w:rsidR="00EC4ECB" w:rsidRPr="00EC4ECB" w:rsidRDefault="00EC4ECB" w:rsidP="00EE4151">
            <w:pPr>
              <w:tabs>
                <w:tab w:val="left" w:pos="7272"/>
                <w:tab w:val="decimal" w:pos="8136"/>
                <w:tab w:val="left" w:pos="8496"/>
                <w:tab w:val="decimal" w:pos="9360"/>
              </w:tabs>
              <w:spacing w:after="0" w:line="240" w:lineRule="auto"/>
              <w:ind w:left="144"/>
              <w:rPr>
                <w:rFonts w:ascii="Arial" w:hAnsi="Arial" w:cs="Arial"/>
                <w:szCs w:val="20"/>
              </w:rPr>
            </w:pPr>
            <w:r w:rsidRPr="00EC4ECB">
              <w:rPr>
                <w:rFonts w:ascii="Arial" w:hAnsi="Arial" w:cs="Arial"/>
              </w:rPr>
              <w:t xml:space="preserve">Warrants </w:t>
            </w:r>
            <w:r w:rsidR="00D214C7">
              <w:rPr>
                <w:rFonts w:ascii="Arial" w:hAnsi="Arial" w:cs="Arial"/>
              </w:rPr>
              <w:t>issued</w:t>
            </w:r>
            <w:r w:rsidR="004A2908">
              <w:rPr>
                <w:rFonts w:ascii="Arial" w:hAnsi="Arial" w:cs="Arial"/>
              </w:rPr>
              <w:t xml:space="preserve"> for finder’s fee</w:t>
            </w:r>
          </w:p>
        </w:tc>
        <w:tc>
          <w:tcPr>
            <w:tcW w:w="1585" w:type="dxa"/>
            <w:tcBorders>
              <w:bottom w:val="single" w:sz="4" w:space="0" w:color="auto"/>
            </w:tcBorders>
            <w:vAlign w:val="bottom"/>
          </w:tcPr>
          <w:p w14:paraId="15A9C8A9" w14:textId="6B9988DC" w:rsidR="00EC4ECB" w:rsidRPr="00EE4151" w:rsidRDefault="00094538" w:rsidP="00EE4151">
            <w:pPr>
              <w:tabs>
                <w:tab w:val="left" w:pos="1170"/>
                <w:tab w:val="left" w:pos="7272"/>
                <w:tab w:val="decimal" w:pos="8136"/>
                <w:tab w:val="left" w:pos="8496"/>
                <w:tab w:val="decimal" w:pos="9360"/>
              </w:tabs>
              <w:spacing w:after="0" w:line="240" w:lineRule="auto"/>
              <w:ind w:right="29"/>
              <w:jc w:val="right"/>
              <w:rPr>
                <w:rFonts w:ascii="Arial" w:hAnsi="Arial" w:cs="Arial"/>
                <w:szCs w:val="20"/>
              </w:rPr>
            </w:pPr>
            <w:r w:rsidRPr="00EE4151">
              <w:rPr>
                <w:rFonts w:ascii="Arial" w:hAnsi="Arial" w:cs="Arial"/>
                <w:szCs w:val="20"/>
              </w:rPr>
              <w:t>–</w:t>
            </w:r>
          </w:p>
        </w:tc>
        <w:tc>
          <w:tcPr>
            <w:tcW w:w="1585" w:type="dxa"/>
            <w:tcBorders>
              <w:bottom w:val="single" w:sz="4" w:space="0" w:color="auto"/>
            </w:tcBorders>
            <w:vAlign w:val="bottom"/>
          </w:tcPr>
          <w:p w14:paraId="2D83A834" w14:textId="4A23F324" w:rsidR="00EC4ECB" w:rsidRPr="00EC4ECB" w:rsidRDefault="006456C0" w:rsidP="00EE4151">
            <w:pPr>
              <w:tabs>
                <w:tab w:val="left" w:pos="7272"/>
                <w:tab w:val="decimal" w:pos="8136"/>
                <w:tab w:val="left" w:pos="8496"/>
                <w:tab w:val="decimal" w:pos="9360"/>
              </w:tabs>
              <w:spacing w:after="0" w:line="240" w:lineRule="auto"/>
              <w:ind w:right="52"/>
              <w:jc w:val="right"/>
              <w:rPr>
                <w:rFonts w:ascii="Arial" w:hAnsi="Arial" w:cs="Arial"/>
                <w:szCs w:val="20"/>
              </w:rPr>
            </w:pPr>
            <w:r>
              <w:rPr>
                <w:rFonts w:ascii="Arial" w:hAnsi="Arial" w:cs="Arial"/>
                <w:szCs w:val="20"/>
              </w:rPr>
              <w:t>19,804</w:t>
            </w:r>
          </w:p>
        </w:tc>
      </w:tr>
    </w:tbl>
    <w:p w14:paraId="6855D3B0" w14:textId="77777777" w:rsidR="00AF3DD7" w:rsidRDefault="00AF3DD7">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5E44854D" w14:textId="4FD4E940" w:rsidR="00790828" w:rsidRPr="00F60034"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r w:rsidRPr="003F7A39">
        <w:rPr>
          <w:rFonts w:ascii="Arial" w:hAnsi="Arial" w:cs="Arial"/>
          <w:b/>
          <w:bCs/>
          <w:szCs w:val="20"/>
        </w:rPr>
        <w:t>1</w:t>
      </w:r>
      <w:r w:rsidR="00605477">
        <w:rPr>
          <w:rFonts w:ascii="Arial" w:hAnsi="Arial" w:cs="Arial"/>
          <w:b/>
          <w:bCs/>
          <w:szCs w:val="20"/>
        </w:rPr>
        <w:t>5</w:t>
      </w:r>
      <w:r w:rsidR="00790828" w:rsidRPr="003F7A39">
        <w:rPr>
          <w:rFonts w:ascii="Arial" w:hAnsi="Arial" w:cs="Arial"/>
          <w:b/>
          <w:bCs/>
          <w:szCs w:val="20"/>
        </w:rPr>
        <w:t>.</w:t>
      </w:r>
      <w:r w:rsidR="00790828" w:rsidRPr="003F7A39">
        <w:rPr>
          <w:rFonts w:ascii="Arial" w:hAnsi="Arial" w:cs="Arial"/>
          <w:b/>
          <w:bCs/>
          <w:szCs w:val="20"/>
        </w:rPr>
        <w:tab/>
      </w:r>
      <w:r w:rsidR="00790828" w:rsidRPr="00EE4151">
        <w:rPr>
          <w:rFonts w:ascii="Arial" w:hAnsi="Arial" w:cs="Arial"/>
          <w:b/>
          <w:bCs/>
          <w:szCs w:val="20"/>
        </w:rPr>
        <w:t>Related Party Transactions</w:t>
      </w:r>
    </w:p>
    <w:p w14:paraId="7446C6DC" w14:textId="77777777" w:rsidR="00AF3DD7" w:rsidRDefault="00AF3DD7" w:rsidP="00AF3DD7">
      <w:pPr>
        <w:tabs>
          <w:tab w:val="left" w:pos="432"/>
          <w:tab w:val="left" w:pos="792"/>
        </w:tabs>
        <w:autoSpaceDE w:val="0"/>
        <w:autoSpaceDN w:val="0"/>
        <w:adjustRightInd w:val="0"/>
        <w:spacing w:after="0" w:line="240" w:lineRule="auto"/>
        <w:ind w:left="788"/>
        <w:jc w:val="both"/>
        <w:rPr>
          <w:rFonts w:ascii="Arial" w:hAnsi="Arial" w:cs="Arial"/>
          <w:szCs w:val="20"/>
        </w:rPr>
      </w:pPr>
    </w:p>
    <w:p w14:paraId="7638286A" w14:textId="736F4414" w:rsidR="002943F8" w:rsidRPr="002943F8" w:rsidRDefault="002943F8" w:rsidP="00605477">
      <w:pPr>
        <w:pStyle w:val="ListParagraph"/>
        <w:tabs>
          <w:tab w:val="left" w:pos="432"/>
        </w:tabs>
        <w:autoSpaceDE w:val="0"/>
        <w:autoSpaceDN w:val="0"/>
        <w:adjustRightInd w:val="0"/>
        <w:spacing w:after="0" w:line="240" w:lineRule="auto"/>
        <w:ind w:left="450"/>
        <w:jc w:val="both"/>
        <w:rPr>
          <w:rFonts w:ascii="Arial" w:hAnsi="Arial" w:cs="Arial"/>
          <w:szCs w:val="20"/>
        </w:rPr>
      </w:pPr>
      <w:bookmarkStart w:id="4" w:name="_Hlk27385671"/>
      <w:r>
        <w:rPr>
          <w:rFonts w:ascii="Arial" w:hAnsi="Arial" w:cs="Arial"/>
          <w:szCs w:val="20"/>
        </w:rPr>
        <w:t xml:space="preserve">During the </w:t>
      </w:r>
      <w:r w:rsidR="00605477">
        <w:rPr>
          <w:rFonts w:ascii="Arial" w:hAnsi="Arial" w:cs="Arial"/>
          <w:szCs w:val="20"/>
        </w:rPr>
        <w:t>three months</w:t>
      </w:r>
      <w:r w:rsidR="007E6159">
        <w:rPr>
          <w:rFonts w:ascii="Arial" w:hAnsi="Arial" w:cs="Arial"/>
          <w:szCs w:val="20"/>
        </w:rPr>
        <w:t xml:space="preserve"> ended </w:t>
      </w:r>
      <w:r w:rsidR="00605477">
        <w:rPr>
          <w:rFonts w:ascii="Arial" w:hAnsi="Arial" w:cs="Arial"/>
          <w:szCs w:val="20"/>
        </w:rPr>
        <w:t>April 30, 2020</w:t>
      </w:r>
      <w:r>
        <w:rPr>
          <w:rFonts w:ascii="Arial" w:hAnsi="Arial" w:cs="Arial"/>
          <w:szCs w:val="20"/>
        </w:rPr>
        <w:t>, compensation of key management and directors</w:t>
      </w:r>
      <w:r w:rsidR="00482EFC">
        <w:rPr>
          <w:rFonts w:ascii="Arial" w:hAnsi="Arial" w:cs="Arial"/>
          <w:szCs w:val="20"/>
        </w:rPr>
        <w:t>, including former key management and directors,</w:t>
      </w:r>
      <w:r>
        <w:rPr>
          <w:rFonts w:ascii="Arial" w:hAnsi="Arial" w:cs="Arial"/>
          <w:szCs w:val="20"/>
        </w:rPr>
        <w:t xml:space="preserve"> of the Company totaled $</w:t>
      </w:r>
      <w:r w:rsidR="004F5396">
        <w:rPr>
          <w:rFonts w:ascii="Arial" w:hAnsi="Arial" w:cs="Arial"/>
          <w:szCs w:val="20"/>
        </w:rPr>
        <w:t>161,217</w:t>
      </w:r>
      <w:r w:rsidRPr="00254400">
        <w:rPr>
          <w:rFonts w:ascii="Arial" w:hAnsi="Arial" w:cs="Arial"/>
          <w:szCs w:val="20"/>
        </w:rPr>
        <w:t xml:space="preserve"> (</w:t>
      </w:r>
      <w:r w:rsidR="007E6159">
        <w:rPr>
          <w:rFonts w:ascii="Arial" w:hAnsi="Arial" w:cs="Arial"/>
          <w:szCs w:val="20"/>
        </w:rPr>
        <w:t>2019 - $</w:t>
      </w:r>
      <w:r w:rsidR="00C83098">
        <w:rPr>
          <w:rFonts w:ascii="Arial" w:hAnsi="Arial" w:cs="Arial"/>
          <w:szCs w:val="20"/>
        </w:rPr>
        <w:t>391,445</w:t>
      </w:r>
      <w:r>
        <w:rPr>
          <w:rFonts w:ascii="Arial" w:hAnsi="Arial" w:cs="Arial"/>
          <w:szCs w:val="20"/>
        </w:rPr>
        <w:t>), and consisted of salaries</w:t>
      </w:r>
      <w:r w:rsidR="004F5396">
        <w:rPr>
          <w:rFonts w:ascii="Arial" w:hAnsi="Arial" w:cs="Arial"/>
          <w:szCs w:val="20"/>
        </w:rPr>
        <w:t xml:space="preserve">, directors’ </w:t>
      </w:r>
      <w:proofErr w:type="gramStart"/>
      <w:r w:rsidR="004F5396">
        <w:rPr>
          <w:rFonts w:ascii="Arial" w:hAnsi="Arial" w:cs="Arial"/>
          <w:szCs w:val="20"/>
        </w:rPr>
        <w:t>fees</w:t>
      </w:r>
      <w:proofErr w:type="gramEnd"/>
      <w:r w:rsidR="004F5396">
        <w:rPr>
          <w:rFonts w:ascii="Arial" w:hAnsi="Arial" w:cs="Arial"/>
          <w:szCs w:val="20"/>
        </w:rPr>
        <w:t xml:space="preserve"> and share-based payments</w:t>
      </w:r>
      <w:r>
        <w:rPr>
          <w:rFonts w:ascii="Arial" w:hAnsi="Arial" w:cs="Arial"/>
          <w:szCs w:val="20"/>
        </w:rPr>
        <w:t>.</w:t>
      </w:r>
      <w:r w:rsidR="00482EFC">
        <w:rPr>
          <w:rFonts w:ascii="Arial" w:hAnsi="Arial" w:cs="Arial"/>
          <w:szCs w:val="20"/>
        </w:rPr>
        <w:t xml:space="preserve">  </w:t>
      </w:r>
      <w:proofErr w:type="gramStart"/>
      <w:r w:rsidR="00431D86">
        <w:rPr>
          <w:rFonts w:ascii="Arial" w:hAnsi="Arial" w:cs="Arial"/>
          <w:szCs w:val="20"/>
        </w:rPr>
        <w:t>Also</w:t>
      </w:r>
      <w:proofErr w:type="gramEnd"/>
      <w:r w:rsidR="00431D86">
        <w:rPr>
          <w:rFonts w:ascii="Arial" w:hAnsi="Arial" w:cs="Arial"/>
          <w:szCs w:val="20"/>
        </w:rPr>
        <w:t xml:space="preserve"> during the three months ended April 30, 2020, 200,000 stock options for a former officer was forfeited.  </w:t>
      </w:r>
      <w:r w:rsidR="00491BB3" w:rsidRPr="00491BB3">
        <w:rPr>
          <w:rFonts w:ascii="Arial" w:hAnsi="Arial" w:cs="Arial"/>
          <w:szCs w:val="20"/>
        </w:rPr>
        <w:t>Key management includes those persons having authority</w:t>
      </w:r>
      <w:r w:rsidR="00491BB3">
        <w:rPr>
          <w:rFonts w:ascii="Arial" w:hAnsi="Arial" w:cs="Arial"/>
          <w:szCs w:val="20"/>
        </w:rPr>
        <w:t xml:space="preserve"> </w:t>
      </w:r>
      <w:r w:rsidR="00491BB3" w:rsidRPr="00491BB3">
        <w:rPr>
          <w:rFonts w:ascii="Arial" w:hAnsi="Arial" w:cs="Arial"/>
          <w:szCs w:val="20"/>
        </w:rPr>
        <w:t xml:space="preserve">and responsibility for planning, </w:t>
      </w:r>
      <w:proofErr w:type="gramStart"/>
      <w:r w:rsidR="00491BB3" w:rsidRPr="00491BB3">
        <w:rPr>
          <w:rFonts w:ascii="Arial" w:hAnsi="Arial" w:cs="Arial"/>
          <w:szCs w:val="20"/>
        </w:rPr>
        <w:t>directing</w:t>
      </w:r>
      <w:proofErr w:type="gramEnd"/>
      <w:r w:rsidR="00491BB3" w:rsidRPr="00491BB3">
        <w:rPr>
          <w:rFonts w:ascii="Arial" w:hAnsi="Arial" w:cs="Arial"/>
          <w:szCs w:val="20"/>
        </w:rPr>
        <w:t xml:space="preserve"> and controlling the activities, directly or indirectly, of the</w:t>
      </w:r>
      <w:r w:rsidR="00491BB3">
        <w:rPr>
          <w:rFonts w:ascii="Arial" w:hAnsi="Arial" w:cs="Arial"/>
          <w:szCs w:val="20"/>
        </w:rPr>
        <w:t xml:space="preserve"> </w:t>
      </w:r>
      <w:r w:rsidR="00491BB3" w:rsidRPr="00491BB3">
        <w:rPr>
          <w:rFonts w:ascii="Arial" w:hAnsi="Arial" w:cs="Arial"/>
          <w:szCs w:val="20"/>
        </w:rPr>
        <w:t>Company</w:t>
      </w:r>
      <w:bookmarkEnd w:id="4"/>
      <w:r w:rsidR="00491BB3" w:rsidRPr="00491BB3">
        <w:rPr>
          <w:rFonts w:ascii="Arial" w:hAnsi="Arial" w:cs="Arial"/>
          <w:szCs w:val="20"/>
        </w:rPr>
        <w:t>.</w:t>
      </w:r>
    </w:p>
    <w:p w14:paraId="0654AF4E" w14:textId="77777777" w:rsidR="00AF3DD7" w:rsidRDefault="00AF3DD7" w:rsidP="00605477">
      <w:pPr>
        <w:tabs>
          <w:tab w:val="left" w:pos="432"/>
          <w:tab w:val="left" w:pos="792"/>
        </w:tabs>
        <w:autoSpaceDE w:val="0"/>
        <w:autoSpaceDN w:val="0"/>
        <w:adjustRightInd w:val="0"/>
        <w:spacing w:after="0" w:line="240" w:lineRule="auto"/>
        <w:ind w:left="450"/>
        <w:jc w:val="both"/>
        <w:rPr>
          <w:rFonts w:ascii="Arial" w:hAnsi="Arial" w:cs="Arial"/>
          <w:szCs w:val="20"/>
        </w:rPr>
      </w:pPr>
    </w:p>
    <w:p w14:paraId="31696719" w14:textId="09E96A54" w:rsidR="00420D51" w:rsidRDefault="000B70C3" w:rsidP="00605477">
      <w:pPr>
        <w:tabs>
          <w:tab w:val="left" w:pos="432"/>
          <w:tab w:val="left" w:pos="792"/>
        </w:tabs>
        <w:autoSpaceDE w:val="0"/>
        <w:autoSpaceDN w:val="0"/>
        <w:adjustRightInd w:val="0"/>
        <w:spacing w:after="0" w:line="240" w:lineRule="auto"/>
        <w:ind w:left="450"/>
        <w:jc w:val="both"/>
        <w:rPr>
          <w:rFonts w:ascii="Arial" w:hAnsi="Arial" w:cs="Arial"/>
          <w:lang w:val="en-CA"/>
        </w:rPr>
      </w:pPr>
      <w:bookmarkStart w:id="5" w:name="_Hlk43999213"/>
      <w:bookmarkStart w:id="6" w:name="_Hlk27385953"/>
      <w:r w:rsidRPr="000B70C3">
        <w:rPr>
          <w:rFonts w:ascii="Arial" w:hAnsi="Arial" w:cs="Arial"/>
          <w:bCs/>
          <w:szCs w:val="20"/>
        </w:rPr>
        <w:t xml:space="preserve">As at </w:t>
      </w:r>
      <w:r w:rsidR="00605477">
        <w:rPr>
          <w:rFonts w:ascii="Arial" w:hAnsi="Arial" w:cs="Arial"/>
          <w:bCs/>
          <w:szCs w:val="20"/>
        </w:rPr>
        <w:t>April 30</w:t>
      </w:r>
      <w:r w:rsidR="00931C45">
        <w:rPr>
          <w:rFonts w:ascii="Arial" w:hAnsi="Arial" w:cs="Arial"/>
          <w:bCs/>
          <w:szCs w:val="20"/>
        </w:rPr>
        <w:t>, 2020</w:t>
      </w:r>
      <w:r>
        <w:rPr>
          <w:rFonts w:ascii="Arial" w:hAnsi="Arial" w:cs="Arial"/>
          <w:bCs/>
          <w:szCs w:val="20"/>
        </w:rPr>
        <w:t>, the Company owed $</w:t>
      </w:r>
      <w:r w:rsidR="00605477">
        <w:rPr>
          <w:rFonts w:ascii="Arial" w:hAnsi="Arial" w:cs="Arial"/>
          <w:bCs/>
          <w:szCs w:val="20"/>
        </w:rPr>
        <w:t>3,53</w:t>
      </w:r>
      <w:r w:rsidR="00E93B94">
        <w:rPr>
          <w:rFonts w:ascii="Arial" w:hAnsi="Arial" w:cs="Arial"/>
          <w:bCs/>
          <w:szCs w:val="20"/>
        </w:rPr>
        <w:t>8</w:t>
      </w:r>
      <w:r>
        <w:rPr>
          <w:rFonts w:ascii="Arial" w:hAnsi="Arial" w:cs="Arial"/>
          <w:bCs/>
          <w:szCs w:val="20"/>
        </w:rPr>
        <w:t xml:space="preserve"> to key management and directors (January 31, </w:t>
      </w:r>
      <w:r w:rsidR="00605477">
        <w:rPr>
          <w:rFonts w:ascii="Arial" w:hAnsi="Arial" w:cs="Arial"/>
          <w:bCs/>
          <w:szCs w:val="20"/>
        </w:rPr>
        <w:t>2020</w:t>
      </w:r>
      <w:r>
        <w:rPr>
          <w:rFonts w:ascii="Arial" w:hAnsi="Arial" w:cs="Arial"/>
          <w:bCs/>
          <w:szCs w:val="20"/>
        </w:rPr>
        <w:t xml:space="preserve"> - $</w:t>
      </w:r>
      <w:r w:rsidR="00605477">
        <w:rPr>
          <w:rFonts w:ascii="Arial" w:hAnsi="Arial" w:cs="Arial"/>
          <w:bCs/>
          <w:szCs w:val="20"/>
        </w:rPr>
        <w:t>16,647</w:t>
      </w:r>
      <w:bookmarkEnd w:id="5"/>
      <w:r w:rsidRPr="002E7911">
        <w:rPr>
          <w:rFonts w:ascii="Arial" w:hAnsi="Arial" w:cs="Arial"/>
          <w:lang w:val="en-CA"/>
        </w:rPr>
        <w:t>)</w:t>
      </w:r>
      <w:bookmarkEnd w:id="6"/>
      <w:r w:rsidRPr="002E7911">
        <w:rPr>
          <w:rFonts w:ascii="Arial" w:hAnsi="Arial" w:cs="Arial"/>
          <w:lang w:val="en-CA"/>
        </w:rPr>
        <w:t>.</w:t>
      </w:r>
    </w:p>
    <w:p w14:paraId="4EAA6BD8" w14:textId="77777777" w:rsidR="002578B6" w:rsidRDefault="002578B6" w:rsidP="00E22298">
      <w:pPr>
        <w:tabs>
          <w:tab w:val="left" w:pos="450"/>
        </w:tabs>
        <w:spacing w:after="0"/>
        <w:rPr>
          <w:rFonts w:ascii="Arial" w:hAnsi="Arial" w:cs="Arial"/>
          <w:b/>
          <w:szCs w:val="20"/>
        </w:rPr>
      </w:pPr>
    </w:p>
    <w:p w14:paraId="1E5950D3" w14:textId="4DBFB5B3" w:rsidR="00FF5082" w:rsidRDefault="00FF5082" w:rsidP="00E22298">
      <w:pPr>
        <w:tabs>
          <w:tab w:val="left" w:pos="450"/>
        </w:tabs>
        <w:spacing w:after="0"/>
        <w:rPr>
          <w:rFonts w:ascii="Arial" w:hAnsi="Arial" w:cs="Arial"/>
          <w:b/>
          <w:szCs w:val="20"/>
        </w:rPr>
      </w:pPr>
      <w:r w:rsidRPr="002C07FA">
        <w:rPr>
          <w:rFonts w:ascii="Arial" w:hAnsi="Arial" w:cs="Arial"/>
          <w:b/>
          <w:szCs w:val="20"/>
        </w:rPr>
        <w:t>1</w:t>
      </w:r>
      <w:r w:rsidR="00605477">
        <w:rPr>
          <w:rFonts w:ascii="Arial" w:hAnsi="Arial" w:cs="Arial"/>
          <w:b/>
          <w:szCs w:val="20"/>
        </w:rPr>
        <w:t>6</w:t>
      </w:r>
      <w:r w:rsidRPr="002C07FA">
        <w:rPr>
          <w:rFonts w:ascii="Arial" w:hAnsi="Arial" w:cs="Arial"/>
          <w:b/>
          <w:szCs w:val="20"/>
        </w:rPr>
        <w:t>.</w:t>
      </w:r>
      <w:r w:rsidRPr="002C07FA">
        <w:rPr>
          <w:rFonts w:ascii="Arial" w:hAnsi="Arial" w:cs="Arial"/>
          <w:b/>
          <w:szCs w:val="20"/>
        </w:rPr>
        <w:tab/>
      </w:r>
      <w:r>
        <w:rPr>
          <w:rFonts w:ascii="Arial" w:hAnsi="Arial" w:cs="Arial"/>
          <w:b/>
          <w:szCs w:val="20"/>
        </w:rPr>
        <w:t>Joint Venture</w:t>
      </w:r>
    </w:p>
    <w:p w14:paraId="637E663F"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C49ACF8" w14:textId="4DD6C297" w:rsidR="00AC7C3C"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 xml:space="preserve">On December 17, 2018, the Company </w:t>
      </w:r>
      <w:proofErr w:type="gramStart"/>
      <w:r w:rsidRPr="00FF5082">
        <w:rPr>
          <w:rFonts w:ascii="Arial" w:hAnsi="Arial" w:cs="Arial"/>
          <w:szCs w:val="20"/>
        </w:rPr>
        <w:t>entered into</w:t>
      </w:r>
      <w:proofErr w:type="gramEnd"/>
      <w:r w:rsidRPr="00FF5082">
        <w:rPr>
          <w:rFonts w:ascii="Arial" w:hAnsi="Arial" w:cs="Arial"/>
          <w:szCs w:val="20"/>
        </w:rPr>
        <w:t xml:space="preserve"> a joint venture arrangement whereby the Company holds 50% of the issued and outstanding shares of Pivot-Cartagena JV.  Pivot-Cartagena JV will develop and commercialize cannabis-infused non-alcoholic beverages using the industry expertise of its joint venture partner.  The Company and its joint venture partner each have 50%</w:t>
      </w:r>
      <w:r w:rsidR="0079605E">
        <w:rPr>
          <w:rFonts w:ascii="Arial" w:hAnsi="Arial" w:cs="Arial"/>
          <w:szCs w:val="20"/>
        </w:rPr>
        <w:t xml:space="preserve"> interest in the </w:t>
      </w:r>
      <w:r w:rsidRPr="00FF5082">
        <w:rPr>
          <w:rFonts w:ascii="Arial" w:hAnsi="Arial" w:cs="Arial"/>
          <w:szCs w:val="20"/>
        </w:rPr>
        <w:t xml:space="preserve">net assets and net income or loss of Pivot-Cartagena JV.  </w:t>
      </w:r>
    </w:p>
    <w:p w14:paraId="572435B3" w14:textId="77777777" w:rsidR="00AC7C3C" w:rsidRDefault="00AC7C3C"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0325768D" w14:textId="1E5B70E1"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 xml:space="preserve">As of </w:t>
      </w:r>
      <w:r w:rsidR="00605477">
        <w:rPr>
          <w:rFonts w:ascii="Arial" w:hAnsi="Arial" w:cs="Arial"/>
          <w:szCs w:val="20"/>
        </w:rPr>
        <w:t>April 30</w:t>
      </w:r>
      <w:r w:rsidR="003F7A39">
        <w:rPr>
          <w:rFonts w:ascii="Arial" w:hAnsi="Arial" w:cs="Arial"/>
          <w:szCs w:val="20"/>
        </w:rPr>
        <w:t>, 2020</w:t>
      </w:r>
      <w:r w:rsidRPr="00FF5082">
        <w:rPr>
          <w:rFonts w:ascii="Arial" w:hAnsi="Arial" w:cs="Arial"/>
          <w:szCs w:val="20"/>
        </w:rPr>
        <w:t xml:space="preserve">, the Company has not made any investment related to Pivot-Cartagena JV. During the </w:t>
      </w:r>
      <w:r w:rsidR="00605477">
        <w:rPr>
          <w:rFonts w:ascii="Arial" w:hAnsi="Arial" w:cs="Arial"/>
          <w:szCs w:val="20"/>
        </w:rPr>
        <w:t>three months</w:t>
      </w:r>
      <w:r w:rsidR="003F7A39">
        <w:rPr>
          <w:rFonts w:ascii="Arial" w:hAnsi="Arial" w:cs="Arial"/>
          <w:szCs w:val="20"/>
        </w:rPr>
        <w:t xml:space="preserve"> ended </w:t>
      </w:r>
      <w:r w:rsidR="00605477">
        <w:rPr>
          <w:rFonts w:ascii="Arial" w:hAnsi="Arial" w:cs="Arial"/>
          <w:szCs w:val="20"/>
        </w:rPr>
        <w:t>April 30</w:t>
      </w:r>
      <w:r w:rsidR="003F7A39">
        <w:rPr>
          <w:rFonts w:ascii="Arial" w:hAnsi="Arial" w:cs="Arial"/>
          <w:szCs w:val="20"/>
        </w:rPr>
        <w:t>, 2020 and 2019</w:t>
      </w:r>
      <w:r w:rsidRPr="00FF5082">
        <w:rPr>
          <w:rFonts w:ascii="Arial" w:hAnsi="Arial" w:cs="Arial"/>
          <w:szCs w:val="20"/>
        </w:rPr>
        <w:t>, there were no balances or transaction</w:t>
      </w:r>
      <w:r>
        <w:rPr>
          <w:rFonts w:ascii="Arial" w:hAnsi="Arial" w:cs="Arial"/>
          <w:szCs w:val="20"/>
        </w:rPr>
        <w:t>s related to Pivot-Cartagena JV.</w:t>
      </w:r>
    </w:p>
    <w:p w14:paraId="6B4DDE81" w14:textId="77777777" w:rsidR="00FF5082" w:rsidRDefault="00FF508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9F68B22" w14:textId="77777777" w:rsidR="002578B6" w:rsidRDefault="002578B6"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337B5BB8" w14:textId="77777777" w:rsidR="002578B6" w:rsidRDefault="002578B6"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1316FF2" w14:textId="22445B9D" w:rsidR="00FF5082" w:rsidRDefault="00605477"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lastRenderedPageBreak/>
        <w:t>17</w:t>
      </w:r>
      <w:r w:rsidR="00FF5082" w:rsidRPr="002C07FA">
        <w:rPr>
          <w:rFonts w:ascii="Arial" w:hAnsi="Arial" w:cs="Arial"/>
          <w:b/>
          <w:szCs w:val="20"/>
        </w:rPr>
        <w:t>.</w:t>
      </w:r>
      <w:r w:rsidR="00FF5082" w:rsidRPr="002C07FA">
        <w:rPr>
          <w:rFonts w:ascii="Arial" w:hAnsi="Arial" w:cs="Arial"/>
          <w:b/>
          <w:szCs w:val="20"/>
        </w:rPr>
        <w:tab/>
      </w:r>
      <w:r w:rsidR="00FF5082" w:rsidRPr="00EE4151">
        <w:rPr>
          <w:rFonts w:ascii="Arial" w:hAnsi="Arial" w:cs="Arial"/>
          <w:b/>
          <w:szCs w:val="20"/>
        </w:rPr>
        <w:t>Commitments and Contingencies</w:t>
      </w:r>
    </w:p>
    <w:p w14:paraId="10A0995E"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592A9DE" w14:textId="4A9793C6" w:rsidR="00620114" w:rsidRPr="003F7A39" w:rsidRDefault="00620114" w:rsidP="003F7A39">
      <w:pPr>
        <w:pStyle w:val="ListParagraph"/>
        <w:numPr>
          <w:ilvl w:val="0"/>
          <w:numId w:val="4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3F7A39">
        <w:rPr>
          <w:rFonts w:ascii="Arial" w:hAnsi="Arial" w:cs="Arial"/>
          <w:szCs w:val="20"/>
        </w:rPr>
        <w:t>In September 2019, the Company was served with a claim from Green Stream Botanicals Corp. (“GSB”) for a finder’s fee in the amount of $600,000 in relation to non-brokered private placements totaling $15 million</w:t>
      </w:r>
      <w:r w:rsidR="0049787F">
        <w:rPr>
          <w:rFonts w:ascii="Arial" w:hAnsi="Arial" w:cs="Arial"/>
          <w:szCs w:val="20"/>
        </w:rPr>
        <w:t xml:space="preserve"> completed in May 2019</w:t>
      </w:r>
      <w:r w:rsidRPr="003F7A39">
        <w:rPr>
          <w:rFonts w:ascii="Arial" w:hAnsi="Arial" w:cs="Arial"/>
          <w:szCs w:val="20"/>
        </w:rPr>
        <w:t xml:space="preserve">.  </w:t>
      </w:r>
      <w:r w:rsidR="00156322" w:rsidRPr="00156322">
        <w:rPr>
          <w:rFonts w:ascii="Arial" w:hAnsi="Arial" w:cs="Arial"/>
          <w:szCs w:val="20"/>
        </w:rPr>
        <w:t>The Company believes no service was performed by GSB and intends to vigorously defend these claims</w:t>
      </w:r>
      <w:r w:rsidR="00156322">
        <w:rPr>
          <w:rFonts w:ascii="Arial" w:hAnsi="Arial" w:cs="Arial"/>
          <w:szCs w:val="20"/>
        </w:rPr>
        <w:t>.</w:t>
      </w:r>
      <w:r w:rsidR="00156322" w:rsidRPr="00156322">
        <w:rPr>
          <w:rFonts w:ascii="Arial" w:hAnsi="Arial" w:cs="Arial"/>
          <w:szCs w:val="20"/>
        </w:rPr>
        <w:t xml:space="preserve"> </w:t>
      </w:r>
      <w:r w:rsidRPr="003F7A39">
        <w:rPr>
          <w:rFonts w:ascii="Arial" w:hAnsi="Arial" w:cs="Arial"/>
          <w:szCs w:val="20"/>
        </w:rPr>
        <w:t xml:space="preserve">The Company has not accrued this amount as of </w:t>
      </w:r>
      <w:r w:rsidR="00605477">
        <w:rPr>
          <w:rFonts w:ascii="Arial" w:hAnsi="Arial" w:cs="Arial"/>
          <w:szCs w:val="20"/>
        </w:rPr>
        <w:t>April 30</w:t>
      </w:r>
      <w:r w:rsidR="003F7A39" w:rsidRPr="003F7A39">
        <w:rPr>
          <w:rFonts w:ascii="Arial" w:hAnsi="Arial" w:cs="Arial"/>
          <w:szCs w:val="20"/>
        </w:rPr>
        <w:t>, 2020</w:t>
      </w:r>
      <w:r w:rsidRPr="003F7A39">
        <w:rPr>
          <w:rFonts w:ascii="Arial" w:hAnsi="Arial" w:cs="Arial"/>
          <w:szCs w:val="20"/>
        </w:rPr>
        <w:t xml:space="preserve"> as management is not able to assess the likelihood of payment.</w:t>
      </w:r>
    </w:p>
    <w:p w14:paraId="6D88E55D" w14:textId="37D40F74" w:rsidR="001761C7" w:rsidRDefault="001761C7"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5D61B9EB" w14:textId="07420E2B" w:rsidR="001761C7" w:rsidRPr="003F7A39" w:rsidRDefault="001761C7" w:rsidP="003F7A39">
      <w:pPr>
        <w:pStyle w:val="ListParagraph"/>
        <w:numPr>
          <w:ilvl w:val="0"/>
          <w:numId w:val="4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3F7A39">
        <w:rPr>
          <w:rFonts w:ascii="Arial" w:hAnsi="Arial" w:cs="Arial"/>
          <w:szCs w:val="20"/>
        </w:rPr>
        <w:t xml:space="preserve">In November 2019, the Company’s former Chief Executive Officer filed an originating application with the Superior Court in the province of Quebec for damages stemming from a termination of employment.  </w:t>
      </w:r>
      <w:r w:rsidR="006B4EEE">
        <w:rPr>
          <w:rFonts w:ascii="Arial" w:hAnsi="Arial" w:cs="Arial"/>
          <w:szCs w:val="20"/>
        </w:rPr>
        <w:t xml:space="preserve">The former Chief Executive Officer is seeking payment of amounts totaling approximately $1 million, exercisability of his stock options until the original expiry dates, issuance of </w:t>
      </w:r>
      <w:r w:rsidR="00167857">
        <w:rPr>
          <w:rFonts w:ascii="Arial" w:hAnsi="Arial" w:cs="Arial"/>
          <w:szCs w:val="20"/>
        </w:rPr>
        <w:t>600,000</w:t>
      </w:r>
      <w:r w:rsidR="006B4EEE">
        <w:rPr>
          <w:rFonts w:ascii="Arial" w:hAnsi="Arial" w:cs="Arial"/>
          <w:szCs w:val="20"/>
        </w:rPr>
        <w:t xml:space="preserve"> stock options and an order that the Company not issue further common shares.  </w:t>
      </w:r>
      <w:r w:rsidR="00156322">
        <w:rPr>
          <w:rFonts w:ascii="Arial" w:hAnsi="Arial" w:cs="Arial"/>
          <w:szCs w:val="20"/>
        </w:rPr>
        <w:t xml:space="preserve">The Company believes the claim is unfounded and intends to vigorously defend these claims.  </w:t>
      </w:r>
      <w:r w:rsidR="006B4EEE">
        <w:rPr>
          <w:rFonts w:ascii="Arial" w:hAnsi="Arial" w:cs="Arial"/>
          <w:szCs w:val="20"/>
        </w:rPr>
        <w:t xml:space="preserve">The Company has </w:t>
      </w:r>
      <w:r w:rsidR="0081162B">
        <w:rPr>
          <w:rFonts w:ascii="Arial" w:hAnsi="Arial" w:cs="Arial"/>
          <w:szCs w:val="20"/>
        </w:rPr>
        <w:t>not accrued any amounts</w:t>
      </w:r>
      <w:r w:rsidR="00E27539">
        <w:rPr>
          <w:rFonts w:ascii="Arial" w:hAnsi="Arial" w:cs="Arial"/>
          <w:szCs w:val="20"/>
        </w:rPr>
        <w:t xml:space="preserve"> as of </w:t>
      </w:r>
      <w:r w:rsidR="00875E72">
        <w:rPr>
          <w:rFonts w:ascii="Arial" w:hAnsi="Arial" w:cs="Arial"/>
          <w:szCs w:val="20"/>
        </w:rPr>
        <w:t>April 30</w:t>
      </w:r>
      <w:r w:rsidR="00E27539">
        <w:rPr>
          <w:rFonts w:ascii="Arial" w:hAnsi="Arial" w:cs="Arial"/>
          <w:szCs w:val="20"/>
        </w:rPr>
        <w:t>, 2020 as management is not able to assess the likelihood of payment.</w:t>
      </w:r>
    </w:p>
    <w:p w14:paraId="53168E88" w14:textId="70767DD0" w:rsidR="00881AC2" w:rsidRDefault="00881AC2" w:rsidP="00E2753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55DE650" w14:textId="79F5EE00" w:rsidR="00FF5082" w:rsidRPr="00E27539" w:rsidRDefault="00E27539" w:rsidP="00E27539">
      <w:pPr>
        <w:pStyle w:val="ListParagraph"/>
        <w:numPr>
          <w:ilvl w:val="0"/>
          <w:numId w:val="4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bookmarkStart w:id="7" w:name="_Hlk40991631"/>
      <w:r w:rsidRPr="00E27539">
        <w:rPr>
          <w:rFonts w:ascii="Arial" w:hAnsi="Arial" w:cs="Arial"/>
          <w:szCs w:val="20"/>
        </w:rPr>
        <w:t xml:space="preserve">In </w:t>
      </w:r>
      <w:r>
        <w:rPr>
          <w:rFonts w:ascii="Arial" w:hAnsi="Arial" w:cs="Arial"/>
          <w:szCs w:val="20"/>
        </w:rPr>
        <w:t>January 2020</w:t>
      </w:r>
      <w:r w:rsidRPr="00E27539">
        <w:rPr>
          <w:rFonts w:ascii="Arial" w:hAnsi="Arial" w:cs="Arial"/>
          <w:szCs w:val="20"/>
        </w:rPr>
        <w:t>, an injunction was filed against the Company in the Superior Court of</w:t>
      </w:r>
      <w:r>
        <w:rPr>
          <w:rFonts w:ascii="Arial" w:hAnsi="Arial" w:cs="Arial"/>
          <w:szCs w:val="20"/>
        </w:rPr>
        <w:t xml:space="preserve"> </w:t>
      </w:r>
      <w:r w:rsidRPr="00E27539">
        <w:rPr>
          <w:rFonts w:ascii="Arial" w:hAnsi="Arial" w:cs="Arial"/>
          <w:szCs w:val="20"/>
        </w:rPr>
        <w:t>Quebec</w:t>
      </w:r>
      <w:r>
        <w:rPr>
          <w:rFonts w:ascii="Arial" w:hAnsi="Arial" w:cs="Arial"/>
          <w:szCs w:val="20"/>
        </w:rPr>
        <w:t xml:space="preserve"> by Bio V Pharma Inc. (“</w:t>
      </w:r>
      <w:proofErr w:type="spellStart"/>
      <w:r>
        <w:rPr>
          <w:rFonts w:ascii="Arial" w:hAnsi="Arial" w:cs="Arial"/>
          <w:szCs w:val="20"/>
        </w:rPr>
        <w:t>BioV</w:t>
      </w:r>
      <w:proofErr w:type="spellEnd"/>
      <w:r>
        <w:rPr>
          <w:rFonts w:ascii="Arial" w:hAnsi="Arial" w:cs="Arial"/>
          <w:szCs w:val="20"/>
        </w:rPr>
        <w:t xml:space="preserve">”) seeking provisional orders in respect of the premises sub-leased at 285 </w:t>
      </w:r>
      <w:proofErr w:type="spellStart"/>
      <w:r>
        <w:rPr>
          <w:rFonts w:ascii="Arial" w:hAnsi="Arial" w:cs="Arial"/>
          <w:szCs w:val="20"/>
        </w:rPr>
        <w:t>Kesmark</w:t>
      </w:r>
      <w:proofErr w:type="spellEnd"/>
      <w:r>
        <w:rPr>
          <w:rFonts w:ascii="Arial" w:hAnsi="Arial" w:cs="Arial"/>
          <w:szCs w:val="20"/>
        </w:rPr>
        <w:t xml:space="preserve"> Street </w:t>
      </w:r>
      <w:r w:rsidR="00270D97">
        <w:rPr>
          <w:rFonts w:ascii="Arial" w:hAnsi="Arial" w:cs="Arial"/>
          <w:szCs w:val="20"/>
        </w:rPr>
        <w:t xml:space="preserve">(Note </w:t>
      </w:r>
      <w:r w:rsidR="00156322">
        <w:rPr>
          <w:rFonts w:ascii="Arial" w:hAnsi="Arial" w:cs="Arial"/>
          <w:szCs w:val="20"/>
        </w:rPr>
        <w:t>9</w:t>
      </w:r>
      <w:r w:rsidR="00270D97">
        <w:rPr>
          <w:rFonts w:ascii="Arial" w:hAnsi="Arial" w:cs="Arial"/>
          <w:szCs w:val="20"/>
        </w:rPr>
        <w:t xml:space="preserve">) </w:t>
      </w:r>
      <w:r>
        <w:rPr>
          <w:rFonts w:ascii="Arial" w:hAnsi="Arial" w:cs="Arial"/>
          <w:szCs w:val="20"/>
        </w:rPr>
        <w:t>and damages of approximately $395,000</w:t>
      </w:r>
      <w:r w:rsidR="00156322">
        <w:rPr>
          <w:rFonts w:ascii="Arial" w:hAnsi="Arial" w:cs="Arial"/>
          <w:szCs w:val="20"/>
        </w:rPr>
        <w:t>, which the Company intends on defending</w:t>
      </w:r>
      <w:r>
        <w:rPr>
          <w:rFonts w:ascii="Arial" w:hAnsi="Arial" w:cs="Arial"/>
          <w:szCs w:val="20"/>
        </w:rPr>
        <w:t xml:space="preserve">.  The Company and </w:t>
      </w:r>
      <w:proofErr w:type="spellStart"/>
      <w:r>
        <w:rPr>
          <w:rFonts w:ascii="Arial" w:hAnsi="Arial" w:cs="Arial"/>
          <w:szCs w:val="20"/>
        </w:rPr>
        <w:t>BioV</w:t>
      </w:r>
      <w:proofErr w:type="spellEnd"/>
      <w:r>
        <w:rPr>
          <w:rFonts w:ascii="Arial" w:hAnsi="Arial" w:cs="Arial"/>
          <w:szCs w:val="20"/>
        </w:rPr>
        <w:t xml:space="preserve"> have, without prejudice or admission, settled the provisional injunction</w:t>
      </w:r>
      <w:r w:rsidR="00270D97">
        <w:rPr>
          <w:rFonts w:ascii="Arial" w:hAnsi="Arial" w:cs="Arial"/>
          <w:szCs w:val="20"/>
        </w:rPr>
        <w:t xml:space="preserve"> portion of the application while reserving their respective rights on interlocutory injunction and on the merits of the application.  The Company has not accrued this amount as of </w:t>
      </w:r>
      <w:r w:rsidR="00875E72">
        <w:rPr>
          <w:rFonts w:ascii="Arial" w:hAnsi="Arial" w:cs="Arial"/>
          <w:szCs w:val="20"/>
        </w:rPr>
        <w:t>April 30</w:t>
      </w:r>
      <w:r w:rsidR="00270D97">
        <w:rPr>
          <w:rFonts w:ascii="Arial" w:hAnsi="Arial" w:cs="Arial"/>
          <w:szCs w:val="20"/>
        </w:rPr>
        <w:t>, 2020 as management is not able to assess the likelihood of payment.</w:t>
      </w:r>
    </w:p>
    <w:bookmarkEnd w:id="7"/>
    <w:p w14:paraId="63F10A05" w14:textId="1E7A78D6" w:rsidR="006D135B" w:rsidRDefault="006D135B" w:rsidP="002578B6">
      <w:pPr>
        <w:spacing w:after="0"/>
        <w:rPr>
          <w:rFonts w:ascii="Arial" w:hAnsi="Arial" w:cs="Arial"/>
          <w:b/>
          <w:szCs w:val="20"/>
        </w:rPr>
      </w:pPr>
    </w:p>
    <w:p w14:paraId="4CE75A3C" w14:textId="3453D2D1" w:rsidR="00BD31CE" w:rsidRDefault="00875E7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t>18</w:t>
      </w:r>
      <w:r w:rsidR="00BD31CE" w:rsidRPr="00141AEB">
        <w:rPr>
          <w:rFonts w:ascii="Arial" w:hAnsi="Arial" w:cs="Arial"/>
          <w:b/>
          <w:szCs w:val="20"/>
        </w:rPr>
        <w:t>.</w:t>
      </w:r>
      <w:r w:rsidR="00BD31CE" w:rsidRPr="00141AEB">
        <w:rPr>
          <w:rFonts w:ascii="Arial" w:hAnsi="Arial" w:cs="Arial"/>
          <w:b/>
          <w:szCs w:val="20"/>
        </w:rPr>
        <w:tab/>
      </w:r>
      <w:r w:rsidR="00BD31CE" w:rsidRPr="00EE4151">
        <w:rPr>
          <w:rFonts w:ascii="Arial" w:hAnsi="Arial" w:cs="Arial"/>
          <w:b/>
          <w:szCs w:val="20"/>
        </w:rPr>
        <w:t>Operating Segment</w:t>
      </w:r>
    </w:p>
    <w:p w14:paraId="627D9C11" w14:textId="77777777"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307C76B1" w14:textId="2BD9BDE5"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The Company operates in one industry segment</w:t>
      </w:r>
      <w:r w:rsidR="00734E91">
        <w:rPr>
          <w:rFonts w:ascii="Arial" w:hAnsi="Arial" w:cs="Arial"/>
          <w:szCs w:val="20"/>
        </w:rPr>
        <w:t xml:space="preserve">, </w:t>
      </w:r>
      <w:r w:rsidR="00734E91" w:rsidRPr="00180BA0">
        <w:rPr>
          <w:rFonts w:ascii="Arial" w:hAnsi="Arial" w:cs="Arial"/>
          <w:szCs w:val="20"/>
        </w:rPr>
        <w:t xml:space="preserve">development and commercialization of patented, </w:t>
      </w:r>
      <w:proofErr w:type="gramStart"/>
      <w:r w:rsidR="00734E91" w:rsidRPr="00180BA0">
        <w:rPr>
          <w:rFonts w:ascii="Arial" w:hAnsi="Arial" w:cs="Arial"/>
          <w:szCs w:val="20"/>
        </w:rPr>
        <w:t>differentiated</w:t>
      </w:r>
      <w:proofErr w:type="gramEnd"/>
      <w:r w:rsidR="00734E91" w:rsidRPr="00180BA0">
        <w:rPr>
          <w:rFonts w:ascii="Arial" w:hAnsi="Arial" w:cs="Arial"/>
          <w:szCs w:val="20"/>
        </w:rPr>
        <w:t xml:space="preserve"> and premium quality nutraceuticals and pharmaceuticals</w:t>
      </w:r>
      <w:r w:rsidR="00734E91">
        <w:rPr>
          <w:rFonts w:ascii="Arial" w:hAnsi="Arial" w:cs="Arial"/>
          <w:szCs w:val="20"/>
        </w:rPr>
        <w:t>,</w:t>
      </w:r>
      <w:r>
        <w:rPr>
          <w:rFonts w:ascii="Arial" w:hAnsi="Arial" w:cs="Arial"/>
          <w:szCs w:val="20"/>
        </w:rPr>
        <w:t xml:space="preserve"> within </w:t>
      </w:r>
      <w:r w:rsidR="00027230">
        <w:rPr>
          <w:rFonts w:ascii="Arial" w:hAnsi="Arial" w:cs="Arial"/>
          <w:szCs w:val="20"/>
        </w:rPr>
        <w:t>three</w:t>
      </w:r>
      <w:r>
        <w:rPr>
          <w:rFonts w:ascii="Arial" w:hAnsi="Arial" w:cs="Arial"/>
          <w:szCs w:val="20"/>
        </w:rPr>
        <w:t xml:space="preserve"> geographical areas, Canada</w:t>
      </w:r>
      <w:r w:rsidR="00027230">
        <w:rPr>
          <w:rFonts w:ascii="Arial" w:hAnsi="Arial" w:cs="Arial"/>
          <w:szCs w:val="20"/>
        </w:rPr>
        <w:t>, U.S</w:t>
      </w:r>
      <w:r>
        <w:rPr>
          <w:rFonts w:ascii="Arial" w:hAnsi="Arial" w:cs="Arial"/>
          <w:szCs w:val="20"/>
        </w:rPr>
        <w:t xml:space="preserve"> and the </w:t>
      </w:r>
      <w:r w:rsidR="00027230">
        <w:rPr>
          <w:rFonts w:ascii="Arial" w:hAnsi="Arial" w:cs="Arial"/>
          <w:szCs w:val="20"/>
        </w:rPr>
        <w:t>E.U</w:t>
      </w:r>
      <w:r>
        <w:rPr>
          <w:rFonts w:ascii="Arial" w:hAnsi="Arial" w:cs="Arial"/>
          <w:szCs w:val="20"/>
        </w:rPr>
        <w:t>.</w:t>
      </w:r>
    </w:p>
    <w:p w14:paraId="78D2BBAF" w14:textId="77777777" w:rsidR="00850E6C" w:rsidRDefault="00850E6C"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tbl>
      <w:tblPr>
        <w:tblW w:w="8820" w:type="dxa"/>
        <w:tblInd w:w="540" w:type="dxa"/>
        <w:tblLayout w:type="fixed"/>
        <w:tblCellMar>
          <w:left w:w="0" w:type="dxa"/>
          <w:right w:w="0" w:type="dxa"/>
        </w:tblCellMar>
        <w:tblLook w:val="0000" w:firstRow="0" w:lastRow="0" w:firstColumn="0" w:lastColumn="0" w:noHBand="0" w:noVBand="0"/>
      </w:tblPr>
      <w:tblGrid>
        <w:gridCol w:w="2790"/>
        <w:gridCol w:w="1530"/>
        <w:gridCol w:w="1440"/>
        <w:gridCol w:w="1440"/>
        <w:gridCol w:w="1620"/>
      </w:tblGrid>
      <w:tr w:rsidR="00EE3C0A" w:rsidRPr="00F60034" w14:paraId="565C124D" w14:textId="77777777" w:rsidTr="00EE4151">
        <w:tc>
          <w:tcPr>
            <w:tcW w:w="2790" w:type="dxa"/>
            <w:tcBorders>
              <w:bottom w:val="single" w:sz="4" w:space="0" w:color="auto"/>
            </w:tcBorders>
            <w:vAlign w:val="bottom"/>
          </w:tcPr>
          <w:p w14:paraId="78CD7BD3" w14:textId="77777777" w:rsidR="00027230" w:rsidRPr="00F60034" w:rsidRDefault="00027230" w:rsidP="008F39E2">
            <w:pPr>
              <w:spacing w:after="0" w:line="240" w:lineRule="auto"/>
              <w:jc w:val="center"/>
              <w:rPr>
                <w:rStyle w:val="HeadNoteTitle"/>
                <w:rFonts w:cs="Arial"/>
                <w:b w:val="0"/>
                <w:bCs/>
                <w:sz w:val="20"/>
                <w:szCs w:val="20"/>
              </w:rPr>
            </w:pPr>
            <w:r w:rsidRPr="00F60034">
              <w:rPr>
                <w:rFonts w:ascii="Arial" w:hAnsi="Arial" w:cs="Arial"/>
                <w:szCs w:val="20"/>
              </w:rPr>
              <w:fldChar w:fldCharType="begin"/>
            </w:r>
            <w:r w:rsidRPr="00F60034">
              <w:rPr>
                <w:rFonts w:ascii="Arial" w:hAnsi="Arial" w:cs="Arial"/>
                <w:szCs w:val="20"/>
              </w:rPr>
              <w:instrText>ADVANCE \d 5</w:instrText>
            </w:r>
            <w:r w:rsidRPr="00F60034">
              <w:rPr>
                <w:rFonts w:ascii="Arial" w:hAnsi="Arial" w:cs="Arial"/>
                <w:szCs w:val="20"/>
              </w:rPr>
              <w:fldChar w:fldCharType="end"/>
            </w:r>
          </w:p>
        </w:tc>
        <w:tc>
          <w:tcPr>
            <w:tcW w:w="1530" w:type="dxa"/>
            <w:tcBorders>
              <w:bottom w:val="single" w:sz="4" w:space="0" w:color="auto"/>
            </w:tcBorders>
          </w:tcPr>
          <w:p w14:paraId="35D237BC" w14:textId="77777777" w:rsidR="00027230" w:rsidRDefault="00027230" w:rsidP="008F39E2">
            <w:pPr>
              <w:spacing w:after="0" w:line="240" w:lineRule="auto"/>
              <w:jc w:val="center"/>
              <w:rPr>
                <w:rFonts w:ascii="Arial" w:hAnsi="Arial" w:cs="Arial"/>
              </w:rPr>
            </w:pPr>
            <w:r w:rsidRPr="004620AD">
              <w:rPr>
                <w:rFonts w:ascii="Arial" w:hAnsi="Arial" w:cs="Arial"/>
              </w:rPr>
              <w:t>Canada</w:t>
            </w:r>
          </w:p>
          <w:p w14:paraId="7E1455DE" w14:textId="5CB0F406"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440" w:type="dxa"/>
            <w:tcBorders>
              <w:bottom w:val="single" w:sz="4" w:space="0" w:color="auto"/>
            </w:tcBorders>
            <w:tcMar>
              <w:left w:w="0" w:type="dxa"/>
              <w:right w:w="0" w:type="dxa"/>
            </w:tcMar>
          </w:tcPr>
          <w:p w14:paraId="0B8E6406" w14:textId="77777777" w:rsidR="00027230" w:rsidRDefault="00027230" w:rsidP="008F39E2">
            <w:pPr>
              <w:spacing w:after="0" w:line="240" w:lineRule="auto"/>
              <w:jc w:val="center"/>
              <w:rPr>
                <w:rFonts w:ascii="Arial" w:hAnsi="Arial" w:cs="Arial"/>
              </w:rPr>
            </w:pPr>
            <w:r w:rsidRPr="004620AD">
              <w:rPr>
                <w:rFonts w:ascii="Arial" w:hAnsi="Arial" w:cs="Arial"/>
              </w:rPr>
              <w:t>U.S.</w:t>
            </w:r>
          </w:p>
          <w:p w14:paraId="6D2F2E8A" w14:textId="709FE57C"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440" w:type="dxa"/>
            <w:tcBorders>
              <w:bottom w:val="single" w:sz="4" w:space="0" w:color="auto"/>
            </w:tcBorders>
          </w:tcPr>
          <w:p w14:paraId="47DE80D0" w14:textId="77777777" w:rsidR="00027230" w:rsidRDefault="00027230" w:rsidP="008F39E2">
            <w:pPr>
              <w:spacing w:after="0" w:line="240" w:lineRule="auto"/>
              <w:jc w:val="center"/>
              <w:rPr>
                <w:rFonts w:ascii="Arial" w:hAnsi="Arial" w:cs="Arial"/>
                <w:szCs w:val="20"/>
              </w:rPr>
            </w:pPr>
            <w:r>
              <w:rPr>
                <w:rFonts w:ascii="Arial" w:hAnsi="Arial" w:cs="Arial"/>
                <w:szCs w:val="20"/>
              </w:rPr>
              <w:t>E.U.</w:t>
            </w:r>
          </w:p>
          <w:p w14:paraId="39AFA04E" w14:textId="3E008494" w:rsidR="00DE27B3" w:rsidRDefault="00DE27B3" w:rsidP="008F39E2">
            <w:pPr>
              <w:spacing w:after="0" w:line="240" w:lineRule="auto"/>
              <w:jc w:val="center"/>
              <w:rPr>
                <w:rFonts w:ascii="Arial" w:hAnsi="Arial" w:cs="Arial"/>
                <w:szCs w:val="20"/>
              </w:rPr>
            </w:pPr>
            <w:r>
              <w:rPr>
                <w:rFonts w:ascii="Arial" w:hAnsi="Arial" w:cs="Arial"/>
                <w:szCs w:val="20"/>
              </w:rPr>
              <w:t>$</w:t>
            </w:r>
          </w:p>
        </w:tc>
        <w:tc>
          <w:tcPr>
            <w:tcW w:w="1620" w:type="dxa"/>
            <w:tcBorders>
              <w:bottom w:val="single" w:sz="4" w:space="0" w:color="auto"/>
            </w:tcBorders>
          </w:tcPr>
          <w:p w14:paraId="4133C5CD" w14:textId="05020612" w:rsidR="00027230" w:rsidRDefault="00027230" w:rsidP="008F39E2">
            <w:pPr>
              <w:spacing w:after="0" w:line="240" w:lineRule="auto"/>
              <w:jc w:val="center"/>
              <w:rPr>
                <w:rFonts w:ascii="Arial" w:hAnsi="Arial" w:cs="Arial"/>
                <w:szCs w:val="20"/>
              </w:rPr>
            </w:pPr>
            <w:r>
              <w:rPr>
                <w:rFonts w:ascii="Arial" w:hAnsi="Arial" w:cs="Arial"/>
                <w:szCs w:val="20"/>
              </w:rPr>
              <w:t>Total</w:t>
            </w:r>
          </w:p>
          <w:p w14:paraId="46195EF1" w14:textId="7A3817C5" w:rsidR="00027230" w:rsidRPr="00F60034" w:rsidRDefault="00027230" w:rsidP="008F39E2">
            <w:pPr>
              <w:spacing w:after="0" w:line="240" w:lineRule="auto"/>
              <w:jc w:val="center"/>
              <w:rPr>
                <w:rFonts w:ascii="Arial" w:hAnsi="Arial" w:cs="Arial"/>
                <w:szCs w:val="20"/>
              </w:rPr>
            </w:pPr>
            <w:r>
              <w:rPr>
                <w:rFonts w:ascii="Arial" w:hAnsi="Arial" w:cs="Arial"/>
                <w:szCs w:val="20"/>
              </w:rPr>
              <w:t>$</w:t>
            </w:r>
          </w:p>
        </w:tc>
      </w:tr>
      <w:tr w:rsidR="00EE3C0A" w:rsidRPr="00F60034" w14:paraId="7911EC80" w14:textId="77777777" w:rsidTr="00EE4151">
        <w:trPr>
          <w:trHeight w:hRule="exact" w:val="115"/>
        </w:trPr>
        <w:tc>
          <w:tcPr>
            <w:tcW w:w="2790" w:type="dxa"/>
            <w:tcBorders>
              <w:top w:val="single" w:sz="4" w:space="0" w:color="auto"/>
            </w:tcBorders>
          </w:tcPr>
          <w:p w14:paraId="2536EA24" w14:textId="77777777" w:rsidR="00027230" w:rsidRPr="00F60034" w:rsidRDefault="00027230" w:rsidP="008F39E2">
            <w:pPr>
              <w:spacing w:after="0" w:line="240" w:lineRule="auto"/>
              <w:rPr>
                <w:rFonts w:ascii="Arial" w:hAnsi="Arial" w:cs="Arial"/>
                <w:szCs w:val="20"/>
              </w:rPr>
            </w:pPr>
          </w:p>
        </w:tc>
        <w:tc>
          <w:tcPr>
            <w:tcW w:w="1530" w:type="dxa"/>
            <w:tcBorders>
              <w:top w:val="single" w:sz="4" w:space="0" w:color="auto"/>
            </w:tcBorders>
          </w:tcPr>
          <w:p w14:paraId="46C13C92"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top w:val="single" w:sz="4" w:space="0" w:color="auto"/>
            </w:tcBorders>
          </w:tcPr>
          <w:p w14:paraId="7E3D908A"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top w:val="single" w:sz="4" w:space="0" w:color="auto"/>
            </w:tcBorders>
          </w:tcPr>
          <w:p w14:paraId="690E8E15"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1ADF06BB" w14:textId="21A599EB" w:rsidR="00027230" w:rsidRPr="00F60034" w:rsidRDefault="00027230" w:rsidP="008F39E2">
            <w:pPr>
              <w:spacing w:after="0" w:line="240" w:lineRule="auto"/>
              <w:ind w:right="29"/>
              <w:jc w:val="right"/>
              <w:rPr>
                <w:rStyle w:val="HeadNoteTitle"/>
                <w:rFonts w:cs="Arial"/>
                <w:b w:val="0"/>
                <w:bCs/>
                <w:sz w:val="20"/>
                <w:szCs w:val="20"/>
              </w:rPr>
            </w:pPr>
          </w:p>
        </w:tc>
      </w:tr>
      <w:tr w:rsidR="00EE3C0A" w:rsidRPr="00F60034" w14:paraId="7A6D2313" w14:textId="77777777" w:rsidTr="00EE4151">
        <w:tc>
          <w:tcPr>
            <w:tcW w:w="2790" w:type="dxa"/>
          </w:tcPr>
          <w:p w14:paraId="66C689F4" w14:textId="77777777" w:rsidR="00875E72" w:rsidRPr="00A072AC" w:rsidRDefault="00875E72" w:rsidP="00040621">
            <w:pPr>
              <w:spacing w:after="0" w:line="240" w:lineRule="auto"/>
              <w:rPr>
                <w:rFonts w:ascii="Arial" w:hAnsi="Arial" w:cs="Arial"/>
                <w:b/>
                <w:szCs w:val="20"/>
              </w:rPr>
            </w:pPr>
            <w:r w:rsidRPr="00A072AC">
              <w:rPr>
                <w:rFonts w:ascii="Arial" w:hAnsi="Arial" w:cs="Arial"/>
                <w:b/>
                <w:szCs w:val="20"/>
              </w:rPr>
              <w:t>Three months ended</w:t>
            </w:r>
          </w:p>
          <w:p w14:paraId="4833DB62" w14:textId="5B1C466C" w:rsidR="00027230" w:rsidRPr="00A072AC" w:rsidRDefault="00875E72" w:rsidP="00040621">
            <w:pPr>
              <w:spacing w:after="0" w:line="240" w:lineRule="auto"/>
              <w:rPr>
                <w:rFonts w:ascii="Arial" w:hAnsi="Arial" w:cs="Arial"/>
                <w:b/>
                <w:szCs w:val="20"/>
              </w:rPr>
            </w:pPr>
            <w:r w:rsidRPr="00A072AC">
              <w:rPr>
                <w:rFonts w:ascii="Arial" w:hAnsi="Arial" w:cs="Arial"/>
                <w:b/>
                <w:szCs w:val="20"/>
              </w:rPr>
              <w:t>April 30</w:t>
            </w:r>
            <w:r w:rsidR="00270D97" w:rsidRPr="00A072AC">
              <w:rPr>
                <w:rFonts w:ascii="Arial" w:hAnsi="Arial" w:cs="Arial"/>
                <w:b/>
                <w:szCs w:val="20"/>
              </w:rPr>
              <w:t>, 2020</w:t>
            </w:r>
          </w:p>
        </w:tc>
        <w:tc>
          <w:tcPr>
            <w:tcW w:w="1530" w:type="dxa"/>
            <w:vAlign w:val="bottom"/>
          </w:tcPr>
          <w:p w14:paraId="08741A64" w14:textId="77777777" w:rsidR="00027230" w:rsidRPr="00A072AC" w:rsidRDefault="00027230" w:rsidP="00040621">
            <w:pPr>
              <w:pStyle w:val="Header"/>
              <w:tabs>
                <w:tab w:val="left" w:pos="990"/>
              </w:tabs>
              <w:ind w:left="86" w:right="90" w:hanging="86"/>
              <w:jc w:val="right"/>
              <w:rPr>
                <w:rFonts w:ascii="Arial" w:hAnsi="Arial" w:cs="Arial"/>
                <w:szCs w:val="20"/>
              </w:rPr>
            </w:pPr>
          </w:p>
        </w:tc>
        <w:tc>
          <w:tcPr>
            <w:tcW w:w="1440" w:type="dxa"/>
            <w:vAlign w:val="bottom"/>
          </w:tcPr>
          <w:p w14:paraId="6925355C" w14:textId="77777777" w:rsidR="00027230" w:rsidRPr="00F60034" w:rsidRDefault="00027230" w:rsidP="00040621">
            <w:pPr>
              <w:pStyle w:val="Header"/>
              <w:ind w:left="86" w:right="180" w:hanging="86"/>
              <w:jc w:val="right"/>
              <w:rPr>
                <w:rFonts w:ascii="Arial" w:hAnsi="Arial" w:cs="Arial"/>
                <w:szCs w:val="20"/>
              </w:rPr>
            </w:pPr>
          </w:p>
        </w:tc>
        <w:tc>
          <w:tcPr>
            <w:tcW w:w="1440" w:type="dxa"/>
          </w:tcPr>
          <w:p w14:paraId="7EC3BA7A" w14:textId="77777777" w:rsidR="00027230" w:rsidRPr="00F60034" w:rsidRDefault="00027230" w:rsidP="00040621">
            <w:pPr>
              <w:pStyle w:val="Header"/>
              <w:ind w:left="86" w:right="288" w:hanging="86"/>
              <w:jc w:val="right"/>
              <w:rPr>
                <w:rFonts w:ascii="Arial" w:hAnsi="Arial" w:cs="Arial"/>
                <w:szCs w:val="20"/>
              </w:rPr>
            </w:pPr>
          </w:p>
        </w:tc>
        <w:tc>
          <w:tcPr>
            <w:tcW w:w="1620" w:type="dxa"/>
            <w:vAlign w:val="bottom"/>
          </w:tcPr>
          <w:p w14:paraId="537CEBC1" w14:textId="6E6DA0EE" w:rsidR="00027230" w:rsidRPr="00F60034" w:rsidRDefault="00027230" w:rsidP="00040621">
            <w:pPr>
              <w:pStyle w:val="Header"/>
              <w:ind w:left="86" w:right="288" w:hanging="86"/>
              <w:jc w:val="right"/>
              <w:rPr>
                <w:rFonts w:ascii="Arial" w:hAnsi="Arial" w:cs="Arial"/>
                <w:szCs w:val="20"/>
              </w:rPr>
            </w:pPr>
          </w:p>
        </w:tc>
      </w:tr>
      <w:tr w:rsidR="00EE3C0A" w:rsidRPr="00F60034" w14:paraId="5EB2226F" w14:textId="77777777" w:rsidTr="00EE4151">
        <w:tc>
          <w:tcPr>
            <w:tcW w:w="2790" w:type="dxa"/>
          </w:tcPr>
          <w:p w14:paraId="47E7998C" w14:textId="77777777" w:rsidR="00027230" w:rsidRPr="00A072AC" w:rsidRDefault="00027230" w:rsidP="00040621">
            <w:pPr>
              <w:spacing w:after="0" w:line="240" w:lineRule="auto"/>
              <w:ind w:left="180"/>
              <w:rPr>
                <w:rFonts w:ascii="Arial" w:hAnsi="Arial" w:cs="Arial"/>
                <w:szCs w:val="20"/>
              </w:rPr>
            </w:pPr>
            <w:r w:rsidRPr="00A072AC">
              <w:rPr>
                <w:rFonts w:ascii="Arial" w:hAnsi="Arial" w:cs="Arial"/>
                <w:szCs w:val="20"/>
              </w:rPr>
              <w:t>Revenue</w:t>
            </w:r>
          </w:p>
        </w:tc>
        <w:tc>
          <w:tcPr>
            <w:tcW w:w="1530" w:type="dxa"/>
            <w:vAlign w:val="bottom"/>
          </w:tcPr>
          <w:p w14:paraId="1AFA5D43" w14:textId="77777777" w:rsidR="00027230" w:rsidRPr="00A072AC" w:rsidRDefault="00027230" w:rsidP="00040621">
            <w:pPr>
              <w:pStyle w:val="Header"/>
              <w:tabs>
                <w:tab w:val="left" w:pos="990"/>
              </w:tabs>
              <w:ind w:left="86" w:right="90" w:hanging="86"/>
              <w:jc w:val="right"/>
              <w:rPr>
                <w:rFonts w:ascii="Arial" w:hAnsi="Arial" w:cs="Arial"/>
                <w:szCs w:val="20"/>
              </w:rPr>
            </w:pPr>
            <w:r w:rsidRPr="00A072AC">
              <w:rPr>
                <w:rFonts w:ascii="Arial" w:hAnsi="Arial" w:cs="Arial"/>
                <w:szCs w:val="20"/>
              </w:rPr>
              <w:t>–</w:t>
            </w:r>
          </w:p>
        </w:tc>
        <w:tc>
          <w:tcPr>
            <w:tcW w:w="1440" w:type="dxa"/>
            <w:vAlign w:val="bottom"/>
          </w:tcPr>
          <w:p w14:paraId="11D89F2C" w14:textId="77777777" w:rsidR="00027230" w:rsidRPr="00DE27B3" w:rsidRDefault="00027230" w:rsidP="00040621">
            <w:pPr>
              <w:pStyle w:val="Header"/>
              <w:ind w:left="86" w:right="180" w:hanging="86"/>
              <w:jc w:val="right"/>
              <w:rPr>
                <w:rFonts w:ascii="Arial" w:hAnsi="Arial" w:cs="Arial"/>
                <w:szCs w:val="20"/>
              </w:rPr>
            </w:pPr>
            <w:r w:rsidRPr="00DE27B3">
              <w:rPr>
                <w:rFonts w:ascii="Arial" w:hAnsi="Arial" w:cs="Arial"/>
                <w:szCs w:val="20"/>
              </w:rPr>
              <w:t>–</w:t>
            </w:r>
          </w:p>
        </w:tc>
        <w:tc>
          <w:tcPr>
            <w:tcW w:w="1440" w:type="dxa"/>
          </w:tcPr>
          <w:p w14:paraId="659DB5E9" w14:textId="31DC910D" w:rsidR="00027230" w:rsidRPr="00DE27B3" w:rsidRDefault="00027230" w:rsidP="00040621">
            <w:pPr>
              <w:pStyle w:val="Header"/>
              <w:ind w:left="86" w:right="288" w:hanging="86"/>
              <w:jc w:val="right"/>
              <w:rPr>
                <w:rFonts w:ascii="Arial" w:hAnsi="Arial" w:cs="Arial"/>
                <w:szCs w:val="20"/>
              </w:rPr>
            </w:pPr>
            <w:r w:rsidRPr="00DE27B3">
              <w:rPr>
                <w:rFonts w:ascii="Arial" w:hAnsi="Arial" w:cs="Arial"/>
                <w:szCs w:val="20"/>
              </w:rPr>
              <w:t>–</w:t>
            </w:r>
          </w:p>
        </w:tc>
        <w:tc>
          <w:tcPr>
            <w:tcW w:w="1620" w:type="dxa"/>
            <w:vAlign w:val="bottom"/>
          </w:tcPr>
          <w:p w14:paraId="3E5F0791" w14:textId="35D5C971" w:rsidR="00027230" w:rsidRPr="00DE27B3" w:rsidRDefault="00027230" w:rsidP="00040621">
            <w:pPr>
              <w:pStyle w:val="Header"/>
              <w:ind w:left="86" w:right="288" w:hanging="86"/>
              <w:jc w:val="right"/>
              <w:rPr>
                <w:rFonts w:ascii="Arial" w:hAnsi="Arial" w:cs="Arial"/>
                <w:szCs w:val="20"/>
              </w:rPr>
            </w:pPr>
            <w:r w:rsidRPr="00DE27B3">
              <w:rPr>
                <w:rFonts w:ascii="Arial" w:hAnsi="Arial" w:cs="Arial"/>
                <w:szCs w:val="20"/>
              </w:rPr>
              <w:t>–</w:t>
            </w:r>
          </w:p>
        </w:tc>
      </w:tr>
      <w:tr w:rsidR="00EE3C0A" w:rsidRPr="00F60034" w14:paraId="4EB44390" w14:textId="77777777" w:rsidTr="00EE4151">
        <w:tc>
          <w:tcPr>
            <w:tcW w:w="2790" w:type="dxa"/>
          </w:tcPr>
          <w:p w14:paraId="72DFF794" w14:textId="000D72BD" w:rsidR="00027230" w:rsidRPr="00A072AC" w:rsidRDefault="00027230" w:rsidP="00040621">
            <w:pPr>
              <w:spacing w:after="0" w:line="240" w:lineRule="auto"/>
              <w:ind w:left="180"/>
              <w:rPr>
                <w:rFonts w:ascii="Arial" w:hAnsi="Arial" w:cs="Arial"/>
                <w:szCs w:val="20"/>
              </w:rPr>
            </w:pPr>
            <w:r w:rsidRPr="00A072AC">
              <w:rPr>
                <w:rFonts w:ascii="Arial" w:hAnsi="Arial" w:cs="Arial"/>
                <w:szCs w:val="20"/>
              </w:rPr>
              <w:t xml:space="preserve">Net </w:t>
            </w:r>
            <w:r w:rsidR="00A072AC" w:rsidRPr="00A072AC">
              <w:rPr>
                <w:rFonts w:ascii="Arial" w:hAnsi="Arial" w:cs="Arial"/>
                <w:szCs w:val="20"/>
              </w:rPr>
              <w:t>income (</w:t>
            </w:r>
            <w:r w:rsidRPr="00A072AC">
              <w:rPr>
                <w:rFonts w:ascii="Arial" w:hAnsi="Arial" w:cs="Arial"/>
                <w:szCs w:val="20"/>
              </w:rPr>
              <w:t>loss</w:t>
            </w:r>
            <w:r w:rsidR="00A072AC" w:rsidRPr="00A072AC">
              <w:rPr>
                <w:rFonts w:ascii="Arial" w:hAnsi="Arial" w:cs="Arial"/>
                <w:szCs w:val="20"/>
              </w:rPr>
              <w:t>)</w:t>
            </w:r>
          </w:p>
        </w:tc>
        <w:tc>
          <w:tcPr>
            <w:tcW w:w="1530" w:type="dxa"/>
            <w:vAlign w:val="bottom"/>
          </w:tcPr>
          <w:p w14:paraId="1529E141" w14:textId="764AA987" w:rsidR="00027230" w:rsidRPr="00A072AC" w:rsidRDefault="00A072AC" w:rsidP="00A24C4A">
            <w:pPr>
              <w:pStyle w:val="Header"/>
              <w:tabs>
                <w:tab w:val="left" w:pos="990"/>
              </w:tabs>
              <w:ind w:left="86" w:right="90" w:hanging="86"/>
              <w:jc w:val="right"/>
              <w:rPr>
                <w:rFonts w:ascii="Arial" w:hAnsi="Arial" w:cs="Arial"/>
                <w:szCs w:val="20"/>
              </w:rPr>
            </w:pPr>
            <w:r w:rsidRPr="00A072AC">
              <w:rPr>
                <w:rFonts w:ascii="Arial" w:hAnsi="Arial" w:cs="Arial"/>
                <w:szCs w:val="20"/>
              </w:rPr>
              <w:t>(793,775)</w:t>
            </w:r>
          </w:p>
        </w:tc>
        <w:tc>
          <w:tcPr>
            <w:tcW w:w="1440" w:type="dxa"/>
            <w:vAlign w:val="bottom"/>
          </w:tcPr>
          <w:p w14:paraId="02B33117" w14:textId="6DA91137" w:rsidR="00027230" w:rsidRPr="00F9075E" w:rsidRDefault="00A072AC" w:rsidP="00040621">
            <w:pPr>
              <w:pStyle w:val="Header"/>
              <w:ind w:left="86" w:right="180" w:hanging="86"/>
              <w:jc w:val="right"/>
              <w:rPr>
                <w:rFonts w:ascii="Arial" w:hAnsi="Arial" w:cs="Arial"/>
                <w:szCs w:val="20"/>
              </w:rPr>
            </w:pPr>
            <w:r>
              <w:rPr>
                <w:rFonts w:ascii="Arial" w:hAnsi="Arial" w:cs="Arial"/>
                <w:szCs w:val="20"/>
              </w:rPr>
              <w:t>1,355,592</w:t>
            </w:r>
          </w:p>
        </w:tc>
        <w:tc>
          <w:tcPr>
            <w:tcW w:w="1440" w:type="dxa"/>
          </w:tcPr>
          <w:p w14:paraId="58D42BE0" w14:textId="38B4F8DF" w:rsidR="00027230" w:rsidRPr="00F9075E" w:rsidRDefault="00A072AC" w:rsidP="00040621">
            <w:pPr>
              <w:pStyle w:val="Header"/>
              <w:ind w:left="86" w:right="288" w:hanging="86"/>
              <w:jc w:val="right"/>
              <w:rPr>
                <w:rFonts w:ascii="Arial" w:hAnsi="Arial" w:cs="Arial"/>
                <w:szCs w:val="20"/>
              </w:rPr>
            </w:pPr>
            <w:r>
              <w:rPr>
                <w:rFonts w:ascii="Arial" w:hAnsi="Arial" w:cs="Arial"/>
                <w:szCs w:val="20"/>
              </w:rPr>
              <w:t>(182,848)</w:t>
            </w:r>
          </w:p>
        </w:tc>
        <w:tc>
          <w:tcPr>
            <w:tcW w:w="1620" w:type="dxa"/>
            <w:vAlign w:val="bottom"/>
          </w:tcPr>
          <w:p w14:paraId="2F6EF4DB" w14:textId="4AD59032" w:rsidR="00027230" w:rsidRPr="00F9075E" w:rsidRDefault="00A072AC" w:rsidP="00A072AC">
            <w:pPr>
              <w:pStyle w:val="Header"/>
              <w:ind w:left="86" w:right="270" w:hanging="86"/>
              <w:jc w:val="right"/>
              <w:rPr>
                <w:rFonts w:ascii="Arial" w:hAnsi="Arial" w:cs="Arial"/>
                <w:szCs w:val="20"/>
              </w:rPr>
            </w:pPr>
            <w:r>
              <w:rPr>
                <w:rFonts w:ascii="Arial" w:hAnsi="Arial" w:cs="Arial"/>
                <w:szCs w:val="20"/>
              </w:rPr>
              <w:t>378,969</w:t>
            </w:r>
          </w:p>
        </w:tc>
      </w:tr>
      <w:tr w:rsidR="00EE3C0A" w:rsidRPr="00F60034" w14:paraId="22410D27" w14:textId="77777777" w:rsidTr="00EE4151">
        <w:trPr>
          <w:trHeight w:hRule="exact" w:val="115"/>
        </w:trPr>
        <w:tc>
          <w:tcPr>
            <w:tcW w:w="2790" w:type="dxa"/>
          </w:tcPr>
          <w:p w14:paraId="7490B929" w14:textId="77777777" w:rsidR="00027230" w:rsidRPr="00875E72" w:rsidRDefault="00027230" w:rsidP="00040621">
            <w:pPr>
              <w:spacing w:after="0" w:line="240" w:lineRule="auto"/>
              <w:rPr>
                <w:rFonts w:ascii="Arial" w:hAnsi="Arial" w:cs="Arial"/>
                <w:szCs w:val="20"/>
                <w:highlight w:val="yellow"/>
              </w:rPr>
            </w:pPr>
          </w:p>
        </w:tc>
        <w:tc>
          <w:tcPr>
            <w:tcW w:w="1530" w:type="dxa"/>
          </w:tcPr>
          <w:p w14:paraId="6F1C4F88"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440" w:type="dxa"/>
          </w:tcPr>
          <w:p w14:paraId="2C23F524"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440" w:type="dxa"/>
          </w:tcPr>
          <w:p w14:paraId="5975CBA1"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620" w:type="dxa"/>
          </w:tcPr>
          <w:p w14:paraId="7A802CBB" w14:textId="5EA4203E" w:rsidR="00027230" w:rsidRPr="00F9075E" w:rsidRDefault="00027230" w:rsidP="00040621">
            <w:pPr>
              <w:spacing w:after="0" w:line="240" w:lineRule="auto"/>
              <w:ind w:right="29"/>
              <w:jc w:val="right"/>
              <w:rPr>
                <w:rStyle w:val="HeadNoteTitle"/>
                <w:rFonts w:cs="Arial"/>
                <w:b w:val="0"/>
                <w:bCs/>
                <w:sz w:val="20"/>
                <w:szCs w:val="20"/>
              </w:rPr>
            </w:pPr>
          </w:p>
        </w:tc>
      </w:tr>
      <w:tr w:rsidR="00EE3C0A" w:rsidRPr="00F60034" w14:paraId="47E0BD64" w14:textId="77777777" w:rsidTr="00EE4151">
        <w:tc>
          <w:tcPr>
            <w:tcW w:w="2790" w:type="dxa"/>
          </w:tcPr>
          <w:p w14:paraId="66C32D55" w14:textId="77777777" w:rsidR="00875E72" w:rsidRPr="007F1322" w:rsidRDefault="00875E72" w:rsidP="00040621">
            <w:pPr>
              <w:spacing w:after="0" w:line="240" w:lineRule="auto"/>
              <w:rPr>
                <w:rFonts w:ascii="Arial" w:hAnsi="Arial" w:cs="Arial"/>
                <w:b/>
                <w:szCs w:val="20"/>
              </w:rPr>
            </w:pPr>
            <w:r w:rsidRPr="007F1322">
              <w:rPr>
                <w:rFonts w:ascii="Arial" w:hAnsi="Arial" w:cs="Arial"/>
                <w:b/>
                <w:szCs w:val="20"/>
              </w:rPr>
              <w:t>Three months ended</w:t>
            </w:r>
          </w:p>
          <w:p w14:paraId="34A25787" w14:textId="01A68D83" w:rsidR="00027230" w:rsidRPr="007F1322" w:rsidRDefault="00875E72" w:rsidP="00040621">
            <w:pPr>
              <w:spacing w:after="0" w:line="240" w:lineRule="auto"/>
              <w:rPr>
                <w:rFonts w:ascii="Arial" w:hAnsi="Arial" w:cs="Arial"/>
                <w:b/>
                <w:szCs w:val="20"/>
              </w:rPr>
            </w:pPr>
            <w:r w:rsidRPr="007F1322">
              <w:rPr>
                <w:rFonts w:ascii="Arial" w:hAnsi="Arial" w:cs="Arial"/>
                <w:b/>
                <w:szCs w:val="20"/>
              </w:rPr>
              <w:t>April 30</w:t>
            </w:r>
            <w:r w:rsidR="00270D97" w:rsidRPr="007F1322">
              <w:rPr>
                <w:rFonts w:ascii="Arial" w:hAnsi="Arial" w:cs="Arial"/>
                <w:b/>
                <w:szCs w:val="20"/>
              </w:rPr>
              <w:t>, 2019</w:t>
            </w:r>
          </w:p>
        </w:tc>
        <w:tc>
          <w:tcPr>
            <w:tcW w:w="1530" w:type="dxa"/>
            <w:vAlign w:val="bottom"/>
          </w:tcPr>
          <w:p w14:paraId="53049F06" w14:textId="77777777" w:rsidR="00027230" w:rsidRPr="00F9075E" w:rsidRDefault="00027230" w:rsidP="00040621">
            <w:pPr>
              <w:pStyle w:val="Header"/>
              <w:tabs>
                <w:tab w:val="left" w:pos="990"/>
              </w:tabs>
              <w:ind w:left="86" w:right="90" w:hanging="86"/>
              <w:jc w:val="right"/>
              <w:rPr>
                <w:rFonts w:ascii="Arial" w:hAnsi="Arial" w:cs="Arial"/>
                <w:szCs w:val="20"/>
              </w:rPr>
            </w:pPr>
          </w:p>
        </w:tc>
        <w:tc>
          <w:tcPr>
            <w:tcW w:w="1440" w:type="dxa"/>
            <w:vAlign w:val="bottom"/>
          </w:tcPr>
          <w:p w14:paraId="73557FDE" w14:textId="77777777" w:rsidR="00027230" w:rsidRPr="00F9075E" w:rsidRDefault="00027230" w:rsidP="00040621">
            <w:pPr>
              <w:pStyle w:val="Header"/>
              <w:ind w:left="86" w:right="180" w:hanging="86"/>
              <w:jc w:val="right"/>
              <w:rPr>
                <w:rFonts w:ascii="Arial" w:hAnsi="Arial" w:cs="Arial"/>
                <w:szCs w:val="20"/>
              </w:rPr>
            </w:pPr>
          </w:p>
        </w:tc>
        <w:tc>
          <w:tcPr>
            <w:tcW w:w="1440" w:type="dxa"/>
          </w:tcPr>
          <w:p w14:paraId="2055824A" w14:textId="77777777" w:rsidR="00027230" w:rsidRPr="00F9075E" w:rsidRDefault="00027230" w:rsidP="00040621">
            <w:pPr>
              <w:pStyle w:val="Header"/>
              <w:ind w:left="86" w:right="288" w:hanging="86"/>
              <w:jc w:val="right"/>
              <w:rPr>
                <w:rFonts w:ascii="Arial" w:hAnsi="Arial" w:cs="Arial"/>
                <w:szCs w:val="20"/>
              </w:rPr>
            </w:pPr>
          </w:p>
        </w:tc>
        <w:tc>
          <w:tcPr>
            <w:tcW w:w="1620" w:type="dxa"/>
            <w:vAlign w:val="bottom"/>
          </w:tcPr>
          <w:p w14:paraId="32176DEC" w14:textId="1711C8EA" w:rsidR="00027230" w:rsidRPr="00F9075E" w:rsidRDefault="00027230" w:rsidP="00040621">
            <w:pPr>
              <w:pStyle w:val="Header"/>
              <w:ind w:left="86" w:right="288" w:hanging="86"/>
              <w:jc w:val="right"/>
              <w:rPr>
                <w:rFonts w:ascii="Arial" w:hAnsi="Arial" w:cs="Arial"/>
                <w:szCs w:val="20"/>
              </w:rPr>
            </w:pPr>
          </w:p>
        </w:tc>
      </w:tr>
      <w:tr w:rsidR="00EE3C0A" w:rsidRPr="00F60034" w14:paraId="3250190C" w14:textId="77777777" w:rsidTr="00EE4151">
        <w:tc>
          <w:tcPr>
            <w:tcW w:w="2790" w:type="dxa"/>
          </w:tcPr>
          <w:p w14:paraId="13CE8A2F" w14:textId="77777777" w:rsidR="00027230" w:rsidRPr="007F1322" w:rsidRDefault="00027230" w:rsidP="00040621">
            <w:pPr>
              <w:spacing w:after="0" w:line="240" w:lineRule="auto"/>
              <w:ind w:left="180"/>
              <w:rPr>
                <w:rFonts w:ascii="Arial" w:hAnsi="Arial" w:cs="Arial"/>
                <w:szCs w:val="20"/>
              </w:rPr>
            </w:pPr>
            <w:r w:rsidRPr="007F1322">
              <w:rPr>
                <w:rFonts w:ascii="Arial" w:hAnsi="Arial" w:cs="Arial"/>
                <w:szCs w:val="20"/>
              </w:rPr>
              <w:t>Revenue</w:t>
            </w:r>
          </w:p>
        </w:tc>
        <w:tc>
          <w:tcPr>
            <w:tcW w:w="1530" w:type="dxa"/>
            <w:vAlign w:val="bottom"/>
          </w:tcPr>
          <w:p w14:paraId="7597F347" w14:textId="77777777" w:rsidR="00027230" w:rsidRPr="00F9075E" w:rsidRDefault="00027230" w:rsidP="00040621">
            <w:pPr>
              <w:pStyle w:val="Header"/>
              <w:tabs>
                <w:tab w:val="left" w:pos="990"/>
              </w:tabs>
              <w:ind w:left="86" w:right="90" w:hanging="86"/>
              <w:jc w:val="right"/>
              <w:rPr>
                <w:rFonts w:ascii="Arial" w:hAnsi="Arial" w:cs="Arial"/>
                <w:szCs w:val="20"/>
              </w:rPr>
            </w:pPr>
            <w:r w:rsidRPr="00F9075E">
              <w:rPr>
                <w:rFonts w:ascii="Arial" w:hAnsi="Arial" w:cs="Arial"/>
                <w:szCs w:val="20"/>
              </w:rPr>
              <w:t>–</w:t>
            </w:r>
          </w:p>
        </w:tc>
        <w:tc>
          <w:tcPr>
            <w:tcW w:w="1440" w:type="dxa"/>
            <w:vAlign w:val="bottom"/>
          </w:tcPr>
          <w:p w14:paraId="615CF290" w14:textId="77777777" w:rsidR="00027230" w:rsidRPr="00F9075E" w:rsidRDefault="00027230" w:rsidP="00040621">
            <w:pPr>
              <w:pStyle w:val="Header"/>
              <w:ind w:left="86" w:right="180" w:hanging="86"/>
              <w:jc w:val="right"/>
              <w:rPr>
                <w:rFonts w:ascii="Arial" w:hAnsi="Arial" w:cs="Arial"/>
                <w:szCs w:val="20"/>
              </w:rPr>
            </w:pPr>
            <w:r w:rsidRPr="00F9075E">
              <w:rPr>
                <w:rFonts w:ascii="Arial" w:hAnsi="Arial" w:cs="Arial"/>
                <w:szCs w:val="20"/>
              </w:rPr>
              <w:t>–</w:t>
            </w:r>
          </w:p>
        </w:tc>
        <w:tc>
          <w:tcPr>
            <w:tcW w:w="1440" w:type="dxa"/>
          </w:tcPr>
          <w:p w14:paraId="008CA46C" w14:textId="498A6E96" w:rsidR="00027230" w:rsidRPr="00F9075E" w:rsidRDefault="00027230" w:rsidP="00040621">
            <w:pPr>
              <w:pStyle w:val="Header"/>
              <w:ind w:left="86" w:right="288" w:hanging="86"/>
              <w:jc w:val="right"/>
              <w:rPr>
                <w:rFonts w:ascii="Arial" w:hAnsi="Arial" w:cs="Arial"/>
                <w:szCs w:val="20"/>
              </w:rPr>
            </w:pPr>
            <w:r w:rsidRPr="00F9075E">
              <w:rPr>
                <w:rFonts w:ascii="Arial" w:hAnsi="Arial" w:cs="Arial"/>
                <w:szCs w:val="20"/>
              </w:rPr>
              <w:t>–</w:t>
            </w:r>
          </w:p>
        </w:tc>
        <w:tc>
          <w:tcPr>
            <w:tcW w:w="1620" w:type="dxa"/>
            <w:vAlign w:val="bottom"/>
          </w:tcPr>
          <w:p w14:paraId="45D25D3F" w14:textId="0B741D17" w:rsidR="00027230" w:rsidRPr="00F9075E" w:rsidRDefault="00027230" w:rsidP="00040621">
            <w:pPr>
              <w:pStyle w:val="Header"/>
              <w:ind w:left="86" w:right="288" w:hanging="86"/>
              <w:jc w:val="right"/>
              <w:rPr>
                <w:rFonts w:ascii="Arial" w:hAnsi="Arial" w:cs="Arial"/>
                <w:szCs w:val="20"/>
              </w:rPr>
            </w:pPr>
            <w:r w:rsidRPr="00F9075E">
              <w:rPr>
                <w:rFonts w:ascii="Arial" w:hAnsi="Arial" w:cs="Arial"/>
                <w:szCs w:val="20"/>
              </w:rPr>
              <w:t>–</w:t>
            </w:r>
          </w:p>
        </w:tc>
      </w:tr>
      <w:tr w:rsidR="00EE3C0A" w:rsidRPr="00F60034" w14:paraId="76C35E8E" w14:textId="77777777" w:rsidTr="00EE4151">
        <w:tc>
          <w:tcPr>
            <w:tcW w:w="2790" w:type="dxa"/>
          </w:tcPr>
          <w:p w14:paraId="45DDAF0F" w14:textId="77777777" w:rsidR="00027230" w:rsidRPr="007F1322" w:rsidRDefault="00027230" w:rsidP="00040621">
            <w:pPr>
              <w:spacing w:after="0" w:line="240" w:lineRule="auto"/>
              <w:ind w:left="180"/>
              <w:rPr>
                <w:rFonts w:ascii="Arial" w:hAnsi="Arial" w:cs="Arial"/>
                <w:szCs w:val="20"/>
              </w:rPr>
            </w:pPr>
            <w:r w:rsidRPr="007F1322">
              <w:rPr>
                <w:rFonts w:ascii="Arial" w:hAnsi="Arial" w:cs="Arial"/>
                <w:szCs w:val="20"/>
              </w:rPr>
              <w:t>Net loss</w:t>
            </w:r>
          </w:p>
        </w:tc>
        <w:tc>
          <w:tcPr>
            <w:tcW w:w="1530" w:type="dxa"/>
            <w:vAlign w:val="bottom"/>
          </w:tcPr>
          <w:p w14:paraId="6491BA26" w14:textId="0191B201" w:rsidR="00027230" w:rsidRPr="00F9075E" w:rsidRDefault="007F1322" w:rsidP="00A24C4A">
            <w:pPr>
              <w:pStyle w:val="Header"/>
              <w:tabs>
                <w:tab w:val="left" w:pos="990"/>
              </w:tabs>
              <w:ind w:left="86" w:right="90" w:hanging="86"/>
              <w:jc w:val="right"/>
              <w:rPr>
                <w:rFonts w:ascii="Arial" w:hAnsi="Arial" w:cs="Arial"/>
                <w:szCs w:val="20"/>
              </w:rPr>
            </w:pPr>
            <w:r>
              <w:rPr>
                <w:rFonts w:ascii="Arial" w:hAnsi="Arial" w:cs="Arial"/>
                <w:szCs w:val="20"/>
              </w:rPr>
              <w:t>(1,426,045)</w:t>
            </w:r>
          </w:p>
        </w:tc>
        <w:tc>
          <w:tcPr>
            <w:tcW w:w="1440" w:type="dxa"/>
            <w:vAlign w:val="bottom"/>
          </w:tcPr>
          <w:p w14:paraId="459F2CA1" w14:textId="40E1D8C6" w:rsidR="00027230" w:rsidRPr="00F9075E" w:rsidRDefault="007F1322" w:rsidP="00BA67BA">
            <w:pPr>
              <w:pStyle w:val="Header"/>
              <w:ind w:left="86" w:right="180" w:hanging="86"/>
              <w:jc w:val="right"/>
              <w:rPr>
                <w:rFonts w:ascii="Arial" w:hAnsi="Arial" w:cs="Arial"/>
                <w:szCs w:val="20"/>
              </w:rPr>
            </w:pPr>
            <w:r>
              <w:rPr>
                <w:rFonts w:ascii="Arial" w:hAnsi="Arial" w:cs="Arial"/>
                <w:szCs w:val="20"/>
              </w:rPr>
              <w:t>(519,499)</w:t>
            </w:r>
          </w:p>
        </w:tc>
        <w:tc>
          <w:tcPr>
            <w:tcW w:w="1440" w:type="dxa"/>
          </w:tcPr>
          <w:p w14:paraId="5B0C944F" w14:textId="5EC144A3" w:rsidR="00027230" w:rsidRPr="00F9075E" w:rsidRDefault="00027230" w:rsidP="00040621">
            <w:pPr>
              <w:pStyle w:val="Header"/>
              <w:ind w:left="86" w:right="288" w:hanging="86"/>
              <w:jc w:val="right"/>
              <w:rPr>
                <w:rFonts w:ascii="Arial" w:hAnsi="Arial" w:cs="Arial"/>
                <w:szCs w:val="20"/>
              </w:rPr>
            </w:pPr>
            <w:r w:rsidRPr="00F9075E">
              <w:rPr>
                <w:rFonts w:ascii="Arial" w:hAnsi="Arial" w:cs="Arial"/>
                <w:szCs w:val="20"/>
              </w:rPr>
              <w:t>–</w:t>
            </w:r>
          </w:p>
        </w:tc>
        <w:tc>
          <w:tcPr>
            <w:tcW w:w="1620" w:type="dxa"/>
            <w:vAlign w:val="bottom"/>
          </w:tcPr>
          <w:p w14:paraId="067FFAC0" w14:textId="4E18E904" w:rsidR="00027230" w:rsidRPr="00F9075E" w:rsidRDefault="007F1322" w:rsidP="00A24C4A">
            <w:pPr>
              <w:pStyle w:val="Header"/>
              <w:ind w:left="86" w:right="288" w:hanging="86"/>
              <w:jc w:val="right"/>
              <w:rPr>
                <w:rFonts w:ascii="Arial" w:hAnsi="Arial" w:cs="Arial"/>
                <w:szCs w:val="20"/>
              </w:rPr>
            </w:pPr>
            <w:r>
              <w:rPr>
                <w:rFonts w:ascii="Arial" w:hAnsi="Arial" w:cs="Arial"/>
                <w:szCs w:val="20"/>
              </w:rPr>
              <w:t>(1,945,544)</w:t>
            </w:r>
          </w:p>
        </w:tc>
      </w:tr>
      <w:tr w:rsidR="00EE3C0A" w:rsidRPr="00F60034" w14:paraId="0DE29F91" w14:textId="77777777" w:rsidTr="00EE4151">
        <w:trPr>
          <w:trHeight w:hRule="exact" w:val="115"/>
        </w:trPr>
        <w:tc>
          <w:tcPr>
            <w:tcW w:w="2790" w:type="dxa"/>
          </w:tcPr>
          <w:p w14:paraId="400F6060" w14:textId="77777777" w:rsidR="00027230" w:rsidRPr="00F60034" w:rsidRDefault="00027230" w:rsidP="00040621">
            <w:pPr>
              <w:spacing w:after="0" w:line="240" w:lineRule="auto"/>
              <w:rPr>
                <w:rFonts w:ascii="Arial" w:hAnsi="Arial" w:cs="Arial"/>
                <w:szCs w:val="20"/>
              </w:rPr>
            </w:pPr>
          </w:p>
        </w:tc>
        <w:tc>
          <w:tcPr>
            <w:tcW w:w="1530" w:type="dxa"/>
          </w:tcPr>
          <w:p w14:paraId="28F12735"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440" w:type="dxa"/>
          </w:tcPr>
          <w:p w14:paraId="4679D80C"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440" w:type="dxa"/>
          </w:tcPr>
          <w:p w14:paraId="530B097D" w14:textId="77777777" w:rsidR="00027230" w:rsidRPr="00F9075E" w:rsidRDefault="00027230" w:rsidP="00040621">
            <w:pPr>
              <w:spacing w:after="0" w:line="240" w:lineRule="auto"/>
              <w:ind w:right="29"/>
              <w:jc w:val="right"/>
              <w:rPr>
                <w:rStyle w:val="HeadNoteTitle"/>
                <w:rFonts w:cs="Arial"/>
                <w:b w:val="0"/>
                <w:bCs/>
                <w:sz w:val="20"/>
                <w:szCs w:val="20"/>
              </w:rPr>
            </w:pPr>
          </w:p>
        </w:tc>
        <w:tc>
          <w:tcPr>
            <w:tcW w:w="1620" w:type="dxa"/>
          </w:tcPr>
          <w:p w14:paraId="4B621C40" w14:textId="0CA28D15" w:rsidR="00027230" w:rsidRPr="00F9075E" w:rsidRDefault="00027230" w:rsidP="00040621">
            <w:pPr>
              <w:spacing w:after="0" w:line="240" w:lineRule="auto"/>
              <w:ind w:right="29"/>
              <w:jc w:val="right"/>
              <w:rPr>
                <w:rStyle w:val="HeadNoteTitle"/>
                <w:rFonts w:cs="Arial"/>
                <w:b w:val="0"/>
                <w:bCs/>
                <w:sz w:val="20"/>
                <w:szCs w:val="20"/>
              </w:rPr>
            </w:pPr>
          </w:p>
        </w:tc>
      </w:tr>
      <w:tr w:rsidR="00EE3C0A" w:rsidRPr="00F60034" w14:paraId="05978CCC" w14:textId="77777777" w:rsidTr="00EE4151">
        <w:tc>
          <w:tcPr>
            <w:tcW w:w="2790" w:type="dxa"/>
          </w:tcPr>
          <w:p w14:paraId="56541378" w14:textId="7C19CF0C" w:rsidR="00027230" w:rsidRPr="004620AD" w:rsidRDefault="00027230" w:rsidP="006E41F5">
            <w:pPr>
              <w:spacing w:after="0" w:line="240" w:lineRule="auto"/>
              <w:rPr>
                <w:rFonts w:ascii="Arial" w:hAnsi="Arial" w:cs="Arial"/>
                <w:b/>
                <w:szCs w:val="20"/>
              </w:rPr>
            </w:pPr>
            <w:r w:rsidRPr="00027230">
              <w:rPr>
                <w:rFonts w:ascii="Arial" w:hAnsi="Arial" w:cs="Arial"/>
                <w:b/>
                <w:szCs w:val="20"/>
              </w:rPr>
              <w:t xml:space="preserve">As at </w:t>
            </w:r>
            <w:r w:rsidR="00875E72">
              <w:rPr>
                <w:rFonts w:ascii="Arial" w:hAnsi="Arial" w:cs="Arial"/>
                <w:b/>
                <w:szCs w:val="20"/>
              </w:rPr>
              <w:t>April 30</w:t>
            </w:r>
            <w:r w:rsidR="00270D97">
              <w:rPr>
                <w:rFonts w:ascii="Arial" w:hAnsi="Arial" w:cs="Arial"/>
                <w:b/>
                <w:szCs w:val="20"/>
              </w:rPr>
              <w:t>, 2020</w:t>
            </w:r>
          </w:p>
        </w:tc>
        <w:tc>
          <w:tcPr>
            <w:tcW w:w="1530" w:type="dxa"/>
            <w:vAlign w:val="bottom"/>
          </w:tcPr>
          <w:p w14:paraId="727BD827" w14:textId="77777777" w:rsidR="00027230" w:rsidRPr="00F9075E" w:rsidRDefault="00027230" w:rsidP="00824168">
            <w:pPr>
              <w:pStyle w:val="Header"/>
              <w:tabs>
                <w:tab w:val="left" w:pos="990"/>
              </w:tabs>
              <w:ind w:left="86" w:right="90" w:hanging="86"/>
              <w:jc w:val="right"/>
              <w:rPr>
                <w:rFonts w:ascii="Arial" w:hAnsi="Arial" w:cs="Arial"/>
                <w:szCs w:val="20"/>
              </w:rPr>
            </w:pPr>
          </w:p>
        </w:tc>
        <w:tc>
          <w:tcPr>
            <w:tcW w:w="1440" w:type="dxa"/>
            <w:vAlign w:val="bottom"/>
          </w:tcPr>
          <w:p w14:paraId="14205026" w14:textId="77777777" w:rsidR="00027230" w:rsidRPr="00F9075E" w:rsidRDefault="00027230" w:rsidP="00824168">
            <w:pPr>
              <w:pStyle w:val="Header"/>
              <w:ind w:left="86" w:right="180" w:hanging="86"/>
              <w:jc w:val="right"/>
              <w:rPr>
                <w:rFonts w:ascii="Arial" w:hAnsi="Arial" w:cs="Arial"/>
                <w:szCs w:val="20"/>
              </w:rPr>
            </w:pPr>
          </w:p>
        </w:tc>
        <w:tc>
          <w:tcPr>
            <w:tcW w:w="1440" w:type="dxa"/>
          </w:tcPr>
          <w:p w14:paraId="0C4E402A" w14:textId="77777777" w:rsidR="00027230" w:rsidRPr="00F9075E" w:rsidRDefault="00027230" w:rsidP="00824168">
            <w:pPr>
              <w:pStyle w:val="Header"/>
              <w:ind w:left="86" w:right="288" w:hanging="86"/>
              <w:jc w:val="right"/>
              <w:rPr>
                <w:rFonts w:ascii="Arial" w:hAnsi="Arial" w:cs="Arial"/>
                <w:szCs w:val="20"/>
              </w:rPr>
            </w:pPr>
          </w:p>
        </w:tc>
        <w:tc>
          <w:tcPr>
            <w:tcW w:w="1620" w:type="dxa"/>
            <w:vAlign w:val="bottom"/>
          </w:tcPr>
          <w:p w14:paraId="36AF7E93" w14:textId="195FD3D5" w:rsidR="00027230" w:rsidRPr="00F9075E" w:rsidRDefault="00027230" w:rsidP="00824168">
            <w:pPr>
              <w:pStyle w:val="Header"/>
              <w:ind w:left="86" w:right="288" w:hanging="86"/>
              <w:jc w:val="right"/>
              <w:rPr>
                <w:rFonts w:ascii="Arial" w:hAnsi="Arial" w:cs="Arial"/>
                <w:szCs w:val="20"/>
              </w:rPr>
            </w:pPr>
          </w:p>
        </w:tc>
      </w:tr>
      <w:tr w:rsidR="00EE3C0A" w:rsidRPr="00F60034" w14:paraId="7EB50F6D" w14:textId="77777777" w:rsidTr="00EE4151">
        <w:tc>
          <w:tcPr>
            <w:tcW w:w="2790" w:type="dxa"/>
          </w:tcPr>
          <w:p w14:paraId="220114D9"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assets</w:t>
            </w:r>
          </w:p>
        </w:tc>
        <w:tc>
          <w:tcPr>
            <w:tcW w:w="1530" w:type="dxa"/>
            <w:vAlign w:val="bottom"/>
          </w:tcPr>
          <w:p w14:paraId="1E899F27" w14:textId="0F2EAC27" w:rsidR="00027230" w:rsidRPr="00F9075E" w:rsidRDefault="00A072AC" w:rsidP="00EC1BCE">
            <w:pPr>
              <w:pStyle w:val="Header"/>
              <w:tabs>
                <w:tab w:val="left" w:pos="990"/>
              </w:tabs>
              <w:ind w:left="86" w:right="90" w:hanging="86"/>
              <w:jc w:val="right"/>
              <w:rPr>
                <w:rFonts w:ascii="Arial" w:hAnsi="Arial" w:cs="Arial"/>
                <w:szCs w:val="20"/>
              </w:rPr>
            </w:pPr>
            <w:r>
              <w:rPr>
                <w:rFonts w:ascii="Arial" w:hAnsi="Arial" w:cs="Arial"/>
                <w:szCs w:val="20"/>
              </w:rPr>
              <w:t>6,515,403</w:t>
            </w:r>
          </w:p>
        </w:tc>
        <w:tc>
          <w:tcPr>
            <w:tcW w:w="1440" w:type="dxa"/>
            <w:vAlign w:val="bottom"/>
          </w:tcPr>
          <w:p w14:paraId="20AB583D" w14:textId="2B4E0404" w:rsidR="00027230" w:rsidRPr="00F9075E" w:rsidRDefault="00A072AC" w:rsidP="00EC1BCE">
            <w:pPr>
              <w:pStyle w:val="Header"/>
              <w:ind w:left="86" w:right="180" w:hanging="86"/>
              <w:jc w:val="right"/>
              <w:rPr>
                <w:rFonts w:ascii="Arial" w:hAnsi="Arial" w:cs="Arial"/>
                <w:szCs w:val="20"/>
              </w:rPr>
            </w:pPr>
            <w:r>
              <w:rPr>
                <w:rFonts w:ascii="Arial" w:hAnsi="Arial" w:cs="Arial"/>
                <w:szCs w:val="20"/>
              </w:rPr>
              <w:t>188,114</w:t>
            </w:r>
          </w:p>
        </w:tc>
        <w:tc>
          <w:tcPr>
            <w:tcW w:w="1440" w:type="dxa"/>
          </w:tcPr>
          <w:p w14:paraId="7159A521" w14:textId="63EFFA16" w:rsidR="00027230" w:rsidRPr="00F9075E" w:rsidRDefault="00A072AC" w:rsidP="00824168">
            <w:pPr>
              <w:pStyle w:val="Header"/>
              <w:ind w:left="86" w:right="288" w:hanging="86"/>
              <w:jc w:val="right"/>
              <w:rPr>
                <w:rFonts w:ascii="Arial" w:hAnsi="Arial" w:cs="Arial"/>
                <w:szCs w:val="20"/>
              </w:rPr>
            </w:pPr>
            <w:r>
              <w:rPr>
                <w:rFonts w:ascii="Arial" w:hAnsi="Arial" w:cs="Arial"/>
                <w:szCs w:val="20"/>
              </w:rPr>
              <w:t>84,604</w:t>
            </w:r>
          </w:p>
        </w:tc>
        <w:tc>
          <w:tcPr>
            <w:tcW w:w="1620" w:type="dxa"/>
            <w:vAlign w:val="bottom"/>
          </w:tcPr>
          <w:p w14:paraId="6864D10F" w14:textId="06385D89" w:rsidR="00027230" w:rsidRPr="00F9075E" w:rsidRDefault="00A072AC" w:rsidP="00EC1BCE">
            <w:pPr>
              <w:pStyle w:val="Header"/>
              <w:ind w:left="86" w:right="288" w:hanging="86"/>
              <w:jc w:val="right"/>
              <w:rPr>
                <w:rFonts w:ascii="Arial" w:hAnsi="Arial" w:cs="Arial"/>
                <w:szCs w:val="20"/>
              </w:rPr>
            </w:pPr>
            <w:r>
              <w:rPr>
                <w:rFonts w:ascii="Arial" w:hAnsi="Arial" w:cs="Arial"/>
                <w:szCs w:val="20"/>
              </w:rPr>
              <w:t>6,788,121</w:t>
            </w:r>
          </w:p>
        </w:tc>
      </w:tr>
      <w:tr w:rsidR="00EE3C0A" w:rsidRPr="00F60034" w14:paraId="300B7A65" w14:textId="77777777" w:rsidTr="00EE4151">
        <w:tc>
          <w:tcPr>
            <w:tcW w:w="2790" w:type="dxa"/>
          </w:tcPr>
          <w:p w14:paraId="031DC6C8"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liabilities</w:t>
            </w:r>
          </w:p>
        </w:tc>
        <w:tc>
          <w:tcPr>
            <w:tcW w:w="1530" w:type="dxa"/>
            <w:vAlign w:val="bottom"/>
          </w:tcPr>
          <w:p w14:paraId="285F95A3" w14:textId="507952D0" w:rsidR="00027230" w:rsidRPr="00F9075E" w:rsidRDefault="00A072AC" w:rsidP="00824168">
            <w:pPr>
              <w:pStyle w:val="Header"/>
              <w:tabs>
                <w:tab w:val="left" w:pos="990"/>
              </w:tabs>
              <w:ind w:left="86" w:right="90" w:hanging="86"/>
              <w:jc w:val="right"/>
              <w:rPr>
                <w:rFonts w:ascii="Arial" w:hAnsi="Arial" w:cs="Arial"/>
                <w:szCs w:val="20"/>
              </w:rPr>
            </w:pPr>
            <w:r>
              <w:rPr>
                <w:rFonts w:ascii="Arial" w:hAnsi="Arial" w:cs="Arial"/>
                <w:szCs w:val="20"/>
              </w:rPr>
              <w:t>3,787,351</w:t>
            </w:r>
          </w:p>
        </w:tc>
        <w:tc>
          <w:tcPr>
            <w:tcW w:w="1440" w:type="dxa"/>
            <w:vAlign w:val="bottom"/>
          </w:tcPr>
          <w:p w14:paraId="75FC63C8" w14:textId="7394BE26" w:rsidR="00027230" w:rsidRPr="00F9075E" w:rsidRDefault="00A072AC" w:rsidP="00824168">
            <w:pPr>
              <w:pStyle w:val="Header"/>
              <w:ind w:left="86" w:right="180" w:hanging="86"/>
              <w:jc w:val="right"/>
              <w:rPr>
                <w:rFonts w:ascii="Arial" w:hAnsi="Arial" w:cs="Arial"/>
                <w:szCs w:val="20"/>
              </w:rPr>
            </w:pPr>
            <w:r>
              <w:rPr>
                <w:rFonts w:ascii="Arial" w:hAnsi="Arial" w:cs="Arial"/>
                <w:szCs w:val="20"/>
              </w:rPr>
              <w:t>12,157</w:t>
            </w:r>
          </w:p>
        </w:tc>
        <w:tc>
          <w:tcPr>
            <w:tcW w:w="1440" w:type="dxa"/>
          </w:tcPr>
          <w:p w14:paraId="63768372" w14:textId="45C0A197" w:rsidR="00027230" w:rsidRPr="00F9075E" w:rsidRDefault="00A072AC" w:rsidP="00824168">
            <w:pPr>
              <w:pStyle w:val="Header"/>
              <w:ind w:left="86" w:right="288" w:hanging="86"/>
              <w:jc w:val="right"/>
              <w:rPr>
                <w:rFonts w:ascii="Arial" w:hAnsi="Arial" w:cs="Arial"/>
                <w:szCs w:val="20"/>
              </w:rPr>
            </w:pPr>
            <w:r>
              <w:rPr>
                <w:rFonts w:ascii="Arial" w:hAnsi="Arial" w:cs="Arial"/>
                <w:szCs w:val="20"/>
              </w:rPr>
              <w:t>13,2</w:t>
            </w:r>
            <w:r w:rsidR="00960CA4">
              <w:rPr>
                <w:rFonts w:ascii="Arial" w:hAnsi="Arial" w:cs="Arial"/>
                <w:szCs w:val="20"/>
              </w:rPr>
              <w:t>20</w:t>
            </w:r>
          </w:p>
        </w:tc>
        <w:tc>
          <w:tcPr>
            <w:tcW w:w="1620" w:type="dxa"/>
            <w:vAlign w:val="bottom"/>
          </w:tcPr>
          <w:p w14:paraId="6E8CF121" w14:textId="5508BBEC" w:rsidR="00027230" w:rsidRPr="00F9075E" w:rsidRDefault="00A072AC" w:rsidP="00824168">
            <w:pPr>
              <w:pStyle w:val="Header"/>
              <w:ind w:left="86" w:right="288" w:hanging="86"/>
              <w:jc w:val="right"/>
              <w:rPr>
                <w:rFonts w:ascii="Arial" w:hAnsi="Arial" w:cs="Arial"/>
                <w:szCs w:val="20"/>
              </w:rPr>
            </w:pPr>
            <w:r>
              <w:rPr>
                <w:rFonts w:ascii="Arial" w:hAnsi="Arial" w:cs="Arial"/>
                <w:szCs w:val="20"/>
              </w:rPr>
              <w:t>3,812,72</w:t>
            </w:r>
            <w:r w:rsidR="00960CA4">
              <w:rPr>
                <w:rFonts w:ascii="Arial" w:hAnsi="Arial" w:cs="Arial"/>
                <w:szCs w:val="20"/>
              </w:rPr>
              <w:t>8</w:t>
            </w:r>
          </w:p>
        </w:tc>
      </w:tr>
      <w:tr w:rsidR="00EE3C0A" w:rsidRPr="00F60034" w14:paraId="64D73C41" w14:textId="77777777" w:rsidTr="00EE4151">
        <w:trPr>
          <w:trHeight w:hRule="exact" w:val="115"/>
        </w:trPr>
        <w:tc>
          <w:tcPr>
            <w:tcW w:w="2790" w:type="dxa"/>
          </w:tcPr>
          <w:p w14:paraId="57F57D20" w14:textId="77777777" w:rsidR="00027230" w:rsidRPr="00F60034" w:rsidRDefault="00027230" w:rsidP="00824168">
            <w:pPr>
              <w:spacing w:after="0" w:line="240" w:lineRule="auto"/>
              <w:rPr>
                <w:rFonts w:ascii="Arial" w:hAnsi="Arial" w:cs="Arial"/>
                <w:szCs w:val="20"/>
              </w:rPr>
            </w:pPr>
          </w:p>
        </w:tc>
        <w:tc>
          <w:tcPr>
            <w:tcW w:w="1530" w:type="dxa"/>
          </w:tcPr>
          <w:p w14:paraId="7FCE205E" w14:textId="77777777" w:rsidR="00027230" w:rsidRPr="00DE27B3" w:rsidRDefault="00027230" w:rsidP="00824168">
            <w:pPr>
              <w:spacing w:after="0" w:line="240" w:lineRule="auto"/>
              <w:ind w:right="29"/>
              <w:jc w:val="right"/>
              <w:rPr>
                <w:rStyle w:val="HeadNoteTitle"/>
                <w:rFonts w:cs="Arial"/>
                <w:b w:val="0"/>
                <w:bCs/>
                <w:sz w:val="20"/>
                <w:szCs w:val="20"/>
              </w:rPr>
            </w:pPr>
          </w:p>
        </w:tc>
        <w:tc>
          <w:tcPr>
            <w:tcW w:w="1440" w:type="dxa"/>
          </w:tcPr>
          <w:p w14:paraId="21BCBDFF" w14:textId="77777777" w:rsidR="00027230" w:rsidRPr="00DE27B3" w:rsidRDefault="00027230" w:rsidP="00824168">
            <w:pPr>
              <w:spacing w:after="0" w:line="240" w:lineRule="auto"/>
              <w:ind w:right="29"/>
              <w:jc w:val="right"/>
              <w:rPr>
                <w:rStyle w:val="HeadNoteTitle"/>
                <w:rFonts w:cs="Arial"/>
                <w:b w:val="0"/>
                <w:bCs/>
                <w:sz w:val="20"/>
                <w:szCs w:val="20"/>
              </w:rPr>
            </w:pPr>
          </w:p>
        </w:tc>
        <w:tc>
          <w:tcPr>
            <w:tcW w:w="1440" w:type="dxa"/>
          </w:tcPr>
          <w:p w14:paraId="3CD7BEE5" w14:textId="77777777" w:rsidR="00027230" w:rsidRPr="00DE27B3" w:rsidRDefault="00027230" w:rsidP="00824168">
            <w:pPr>
              <w:spacing w:after="0" w:line="240" w:lineRule="auto"/>
              <w:ind w:right="29"/>
              <w:jc w:val="right"/>
              <w:rPr>
                <w:rStyle w:val="HeadNoteTitle"/>
                <w:rFonts w:cs="Arial"/>
                <w:b w:val="0"/>
                <w:bCs/>
                <w:sz w:val="20"/>
                <w:szCs w:val="20"/>
              </w:rPr>
            </w:pPr>
          </w:p>
        </w:tc>
        <w:tc>
          <w:tcPr>
            <w:tcW w:w="1620" w:type="dxa"/>
          </w:tcPr>
          <w:p w14:paraId="60D19F40" w14:textId="549D97DC" w:rsidR="00027230" w:rsidRPr="00DE27B3" w:rsidRDefault="00027230" w:rsidP="00824168">
            <w:pPr>
              <w:spacing w:after="0" w:line="240" w:lineRule="auto"/>
              <w:ind w:right="29"/>
              <w:jc w:val="right"/>
              <w:rPr>
                <w:rStyle w:val="HeadNoteTitle"/>
                <w:rFonts w:cs="Arial"/>
                <w:b w:val="0"/>
                <w:bCs/>
                <w:sz w:val="20"/>
                <w:szCs w:val="20"/>
              </w:rPr>
            </w:pPr>
          </w:p>
        </w:tc>
      </w:tr>
      <w:tr w:rsidR="00875E72" w:rsidRPr="00F60034" w14:paraId="0DD14A84" w14:textId="77777777" w:rsidTr="009E6977">
        <w:tc>
          <w:tcPr>
            <w:tcW w:w="2790" w:type="dxa"/>
          </w:tcPr>
          <w:p w14:paraId="27A32D30" w14:textId="77777777" w:rsidR="00875E72" w:rsidRPr="004620AD" w:rsidRDefault="00875E72" w:rsidP="009E6977">
            <w:pPr>
              <w:spacing w:after="0" w:line="240" w:lineRule="auto"/>
              <w:rPr>
                <w:rFonts w:ascii="Arial" w:hAnsi="Arial" w:cs="Arial"/>
                <w:b/>
                <w:szCs w:val="20"/>
              </w:rPr>
            </w:pPr>
            <w:r w:rsidRPr="00027230">
              <w:rPr>
                <w:rFonts w:ascii="Arial" w:hAnsi="Arial" w:cs="Arial"/>
                <w:b/>
                <w:szCs w:val="20"/>
              </w:rPr>
              <w:t xml:space="preserve">As at </w:t>
            </w:r>
            <w:r>
              <w:rPr>
                <w:rFonts w:ascii="Arial" w:hAnsi="Arial" w:cs="Arial"/>
                <w:b/>
                <w:szCs w:val="20"/>
              </w:rPr>
              <w:t>January 31, 2020</w:t>
            </w:r>
          </w:p>
        </w:tc>
        <w:tc>
          <w:tcPr>
            <w:tcW w:w="1530" w:type="dxa"/>
            <w:vAlign w:val="bottom"/>
          </w:tcPr>
          <w:p w14:paraId="3A094A0D" w14:textId="77777777" w:rsidR="00875E72" w:rsidRPr="00F9075E" w:rsidRDefault="00875E72" w:rsidP="009E6977">
            <w:pPr>
              <w:pStyle w:val="Header"/>
              <w:tabs>
                <w:tab w:val="left" w:pos="990"/>
              </w:tabs>
              <w:ind w:left="86" w:right="90" w:hanging="86"/>
              <w:jc w:val="right"/>
              <w:rPr>
                <w:rFonts w:ascii="Arial" w:hAnsi="Arial" w:cs="Arial"/>
                <w:szCs w:val="20"/>
              </w:rPr>
            </w:pPr>
          </w:p>
        </w:tc>
        <w:tc>
          <w:tcPr>
            <w:tcW w:w="1440" w:type="dxa"/>
            <w:vAlign w:val="bottom"/>
          </w:tcPr>
          <w:p w14:paraId="116AB6BB" w14:textId="77777777" w:rsidR="00875E72" w:rsidRPr="00F9075E" w:rsidRDefault="00875E72" w:rsidP="009E6977">
            <w:pPr>
              <w:pStyle w:val="Header"/>
              <w:ind w:left="86" w:right="180" w:hanging="86"/>
              <w:jc w:val="right"/>
              <w:rPr>
                <w:rFonts w:ascii="Arial" w:hAnsi="Arial" w:cs="Arial"/>
                <w:szCs w:val="20"/>
              </w:rPr>
            </w:pPr>
          </w:p>
        </w:tc>
        <w:tc>
          <w:tcPr>
            <w:tcW w:w="1440" w:type="dxa"/>
          </w:tcPr>
          <w:p w14:paraId="45F0EDE3" w14:textId="77777777" w:rsidR="00875E72" w:rsidRPr="00F9075E" w:rsidRDefault="00875E72" w:rsidP="009E6977">
            <w:pPr>
              <w:pStyle w:val="Header"/>
              <w:ind w:left="86" w:right="288" w:hanging="86"/>
              <w:jc w:val="right"/>
              <w:rPr>
                <w:rFonts w:ascii="Arial" w:hAnsi="Arial" w:cs="Arial"/>
                <w:szCs w:val="20"/>
              </w:rPr>
            </w:pPr>
          </w:p>
        </w:tc>
        <w:tc>
          <w:tcPr>
            <w:tcW w:w="1620" w:type="dxa"/>
            <w:vAlign w:val="bottom"/>
          </w:tcPr>
          <w:p w14:paraId="46E30205" w14:textId="77777777" w:rsidR="00875E72" w:rsidRPr="00F9075E" w:rsidRDefault="00875E72" w:rsidP="009E6977">
            <w:pPr>
              <w:pStyle w:val="Header"/>
              <w:ind w:left="86" w:right="288" w:hanging="86"/>
              <w:jc w:val="right"/>
              <w:rPr>
                <w:rFonts w:ascii="Arial" w:hAnsi="Arial" w:cs="Arial"/>
                <w:szCs w:val="20"/>
              </w:rPr>
            </w:pPr>
          </w:p>
        </w:tc>
      </w:tr>
      <w:tr w:rsidR="00875E72" w:rsidRPr="00F60034" w14:paraId="47A120CF" w14:textId="77777777" w:rsidTr="009E6977">
        <w:tc>
          <w:tcPr>
            <w:tcW w:w="2790" w:type="dxa"/>
          </w:tcPr>
          <w:p w14:paraId="3124757B" w14:textId="77777777" w:rsidR="00875E72" w:rsidRPr="00F60034" w:rsidRDefault="00875E72" w:rsidP="009E6977">
            <w:pPr>
              <w:spacing w:after="0" w:line="240" w:lineRule="auto"/>
              <w:ind w:left="180"/>
              <w:rPr>
                <w:rFonts w:ascii="Arial" w:hAnsi="Arial" w:cs="Arial"/>
                <w:szCs w:val="20"/>
              </w:rPr>
            </w:pPr>
            <w:r>
              <w:rPr>
                <w:rFonts w:ascii="Arial" w:hAnsi="Arial" w:cs="Arial"/>
                <w:szCs w:val="20"/>
              </w:rPr>
              <w:t>Total assets</w:t>
            </w:r>
          </w:p>
        </w:tc>
        <w:tc>
          <w:tcPr>
            <w:tcW w:w="1530" w:type="dxa"/>
            <w:vAlign w:val="bottom"/>
          </w:tcPr>
          <w:p w14:paraId="5EBBCD1E" w14:textId="77777777" w:rsidR="00875E72" w:rsidRPr="00F9075E" w:rsidRDefault="00875E72" w:rsidP="009E6977">
            <w:pPr>
              <w:pStyle w:val="Header"/>
              <w:tabs>
                <w:tab w:val="left" w:pos="990"/>
              </w:tabs>
              <w:ind w:left="86" w:right="90" w:hanging="86"/>
              <w:jc w:val="right"/>
              <w:rPr>
                <w:rFonts w:ascii="Arial" w:hAnsi="Arial" w:cs="Arial"/>
                <w:szCs w:val="20"/>
              </w:rPr>
            </w:pPr>
            <w:r w:rsidRPr="00F9075E">
              <w:rPr>
                <w:rFonts w:ascii="Arial" w:hAnsi="Arial" w:cs="Arial"/>
                <w:szCs w:val="20"/>
              </w:rPr>
              <w:t>8,</w:t>
            </w:r>
            <w:r>
              <w:rPr>
                <w:rFonts w:ascii="Arial" w:hAnsi="Arial" w:cs="Arial"/>
                <w:szCs w:val="20"/>
              </w:rPr>
              <w:t>068,874</w:t>
            </w:r>
          </w:p>
        </w:tc>
        <w:tc>
          <w:tcPr>
            <w:tcW w:w="1440" w:type="dxa"/>
            <w:vAlign w:val="bottom"/>
          </w:tcPr>
          <w:p w14:paraId="65B8E524" w14:textId="77777777" w:rsidR="00875E72" w:rsidRPr="00F9075E" w:rsidRDefault="00875E72" w:rsidP="009E6977">
            <w:pPr>
              <w:pStyle w:val="Header"/>
              <w:ind w:left="86" w:right="180" w:hanging="86"/>
              <w:jc w:val="right"/>
              <w:rPr>
                <w:rFonts w:ascii="Arial" w:hAnsi="Arial" w:cs="Arial"/>
                <w:szCs w:val="20"/>
              </w:rPr>
            </w:pPr>
            <w:r>
              <w:rPr>
                <w:rFonts w:ascii="Arial" w:hAnsi="Arial" w:cs="Arial"/>
                <w:szCs w:val="20"/>
              </w:rPr>
              <w:t>68,875</w:t>
            </w:r>
          </w:p>
        </w:tc>
        <w:tc>
          <w:tcPr>
            <w:tcW w:w="1440" w:type="dxa"/>
          </w:tcPr>
          <w:p w14:paraId="013B8FD7" w14:textId="77777777" w:rsidR="00875E72" w:rsidRPr="00F9075E" w:rsidRDefault="00875E72" w:rsidP="009E6977">
            <w:pPr>
              <w:pStyle w:val="Header"/>
              <w:ind w:left="86" w:right="288" w:hanging="86"/>
              <w:jc w:val="right"/>
              <w:rPr>
                <w:rFonts w:ascii="Arial" w:hAnsi="Arial" w:cs="Arial"/>
                <w:szCs w:val="20"/>
              </w:rPr>
            </w:pPr>
            <w:r w:rsidRPr="00F9075E">
              <w:rPr>
                <w:rFonts w:ascii="Arial" w:hAnsi="Arial" w:cs="Arial"/>
                <w:szCs w:val="20"/>
              </w:rPr>
              <w:t>113,030</w:t>
            </w:r>
          </w:p>
        </w:tc>
        <w:tc>
          <w:tcPr>
            <w:tcW w:w="1620" w:type="dxa"/>
            <w:vAlign w:val="bottom"/>
          </w:tcPr>
          <w:p w14:paraId="6509E4F3" w14:textId="77777777" w:rsidR="00875E72" w:rsidRPr="00F9075E" w:rsidRDefault="00875E72" w:rsidP="009E6977">
            <w:pPr>
              <w:pStyle w:val="Header"/>
              <w:ind w:left="86" w:right="288" w:hanging="86"/>
              <w:jc w:val="right"/>
              <w:rPr>
                <w:rFonts w:ascii="Arial" w:hAnsi="Arial" w:cs="Arial"/>
                <w:szCs w:val="20"/>
              </w:rPr>
            </w:pPr>
            <w:r>
              <w:rPr>
                <w:rFonts w:ascii="Arial" w:hAnsi="Arial" w:cs="Arial"/>
                <w:szCs w:val="20"/>
              </w:rPr>
              <w:t>8,250,779</w:t>
            </w:r>
          </w:p>
        </w:tc>
      </w:tr>
      <w:tr w:rsidR="00875E72" w:rsidRPr="00F60034" w14:paraId="0841D1C8" w14:textId="77777777" w:rsidTr="009E6977">
        <w:tc>
          <w:tcPr>
            <w:tcW w:w="2790" w:type="dxa"/>
          </w:tcPr>
          <w:p w14:paraId="0B748509" w14:textId="77777777" w:rsidR="00875E72" w:rsidRPr="00F60034" w:rsidRDefault="00875E72" w:rsidP="009E6977">
            <w:pPr>
              <w:spacing w:after="0" w:line="240" w:lineRule="auto"/>
              <w:ind w:left="180"/>
              <w:rPr>
                <w:rFonts w:ascii="Arial" w:hAnsi="Arial" w:cs="Arial"/>
                <w:szCs w:val="20"/>
              </w:rPr>
            </w:pPr>
            <w:r>
              <w:rPr>
                <w:rFonts w:ascii="Arial" w:hAnsi="Arial" w:cs="Arial"/>
                <w:szCs w:val="20"/>
              </w:rPr>
              <w:t>Total liabilities</w:t>
            </w:r>
          </w:p>
        </w:tc>
        <w:tc>
          <w:tcPr>
            <w:tcW w:w="1530" w:type="dxa"/>
            <w:vAlign w:val="bottom"/>
          </w:tcPr>
          <w:p w14:paraId="102069F6" w14:textId="77777777" w:rsidR="00875E72" w:rsidRPr="00F9075E" w:rsidRDefault="00875E72" w:rsidP="009E6977">
            <w:pPr>
              <w:pStyle w:val="Header"/>
              <w:tabs>
                <w:tab w:val="left" w:pos="990"/>
              </w:tabs>
              <w:ind w:left="86" w:right="90" w:hanging="86"/>
              <w:jc w:val="right"/>
              <w:rPr>
                <w:rFonts w:ascii="Arial" w:hAnsi="Arial" w:cs="Arial"/>
                <w:szCs w:val="20"/>
              </w:rPr>
            </w:pPr>
            <w:r w:rsidRPr="00F9075E">
              <w:rPr>
                <w:rFonts w:ascii="Arial" w:hAnsi="Arial" w:cs="Arial"/>
                <w:szCs w:val="20"/>
              </w:rPr>
              <w:t>4,130,53</w:t>
            </w:r>
            <w:r>
              <w:rPr>
                <w:rFonts w:ascii="Arial" w:hAnsi="Arial" w:cs="Arial"/>
                <w:szCs w:val="20"/>
              </w:rPr>
              <w:t>6</w:t>
            </w:r>
          </w:p>
        </w:tc>
        <w:tc>
          <w:tcPr>
            <w:tcW w:w="1440" w:type="dxa"/>
            <w:vAlign w:val="bottom"/>
          </w:tcPr>
          <w:p w14:paraId="468DC4FA" w14:textId="77777777" w:rsidR="00875E72" w:rsidRPr="00F9075E" w:rsidRDefault="00875E72" w:rsidP="009E6977">
            <w:pPr>
              <w:pStyle w:val="Header"/>
              <w:ind w:left="86" w:right="180" w:hanging="86"/>
              <w:jc w:val="right"/>
              <w:rPr>
                <w:rFonts w:ascii="Arial" w:hAnsi="Arial" w:cs="Arial"/>
                <w:szCs w:val="20"/>
              </w:rPr>
            </w:pPr>
            <w:r w:rsidRPr="00F9075E">
              <w:rPr>
                <w:rFonts w:ascii="Arial" w:hAnsi="Arial" w:cs="Arial"/>
                <w:szCs w:val="20"/>
              </w:rPr>
              <w:t>1,451,06</w:t>
            </w:r>
            <w:r>
              <w:rPr>
                <w:rFonts w:ascii="Arial" w:hAnsi="Arial" w:cs="Arial"/>
                <w:szCs w:val="20"/>
              </w:rPr>
              <w:t>5</w:t>
            </w:r>
          </w:p>
        </w:tc>
        <w:tc>
          <w:tcPr>
            <w:tcW w:w="1440" w:type="dxa"/>
          </w:tcPr>
          <w:p w14:paraId="47CA9704" w14:textId="77777777" w:rsidR="00875E72" w:rsidRPr="00F9075E" w:rsidRDefault="00875E72" w:rsidP="009E6977">
            <w:pPr>
              <w:pStyle w:val="Header"/>
              <w:ind w:left="86" w:right="288" w:hanging="86"/>
              <w:jc w:val="right"/>
              <w:rPr>
                <w:rFonts w:ascii="Arial" w:hAnsi="Arial" w:cs="Arial"/>
                <w:szCs w:val="20"/>
              </w:rPr>
            </w:pPr>
            <w:r w:rsidRPr="00F9075E">
              <w:rPr>
                <w:rFonts w:ascii="Arial" w:hAnsi="Arial" w:cs="Arial"/>
                <w:szCs w:val="20"/>
              </w:rPr>
              <w:t>12,617</w:t>
            </w:r>
          </w:p>
        </w:tc>
        <w:tc>
          <w:tcPr>
            <w:tcW w:w="1620" w:type="dxa"/>
            <w:vAlign w:val="bottom"/>
          </w:tcPr>
          <w:p w14:paraId="42105962" w14:textId="77777777" w:rsidR="00875E72" w:rsidRPr="00F9075E" w:rsidRDefault="00875E72" w:rsidP="009E6977">
            <w:pPr>
              <w:pStyle w:val="Header"/>
              <w:ind w:left="86" w:right="288" w:hanging="86"/>
              <w:jc w:val="right"/>
              <w:rPr>
                <w:rFonts w:ascii="Arial" w:hAnsi="Arial" w:cs="Arial"/>
                <w:szCs w:val="20"/>
              </w:rPr>
            </w:pPr>
            <w:r w:rsidRPr="00F9075E">
              <w:rPr>
                <w:rFonts w:ascii="Arial" w:hAnsi="Arial" w:cs="Arial"/>
                <w:szCs w:val="20"/>
              </w:rPr>
              <w:t>5,594,21</w:t>
            </w:r>
            <w:r>
              <w:rPr>
                <w:rFonts w:ascii="Arial" w:hAnsi="Arial" w:cs="Arial"/>
                <w:szCs w:val="20"/>
              </w:rPr>
              <w:t>8</w:t>
            </w:r>
          </w:p>
        </w:tc>
      </w:tr>
      <w:tr w:rsidR="00EE3C0A" w:rsidRPr="00F60034" w14:paraId="707A89E6" w14:textId="77777777" w:rsidTr="00EE4151">
        <w:trPr>
          <w:trHeight w:hRule="exact" w:val="115"/>
        </w:trPr>
        <w:tc>
          <w:tcPr>
            <w:tcW w:w="2790" w:type="dxa"/>
            <w:tcBorders>
              <w:bottom w:val="single" w:sz="2" w:space="0" w:color="auto"/>
            </w:tcBorders>
          </w:tcPr>
          <w:p w14:paraId="740F6B21" w14:textId="77777777" w:rsidR="00027230" w:rsidRPr="00F60034" w:rsidRDefault="00027230" w:rsidP="008F39E2">
            <w:pPr>
              <w:spacing w:after="0" w:line="240" w:lineRule="auto"/>
              <w:rPr>
                <w:rFonts w:ascii="Arial" w:hAnsi="Arial" w:cs="Arial"/>
                <w:szCs w:val="20"/>
              </w:rPr>
            </w:pPr>
          </w:p>
        </w:tc>
        <w:tc>
          <w:tcPr>
            <w:tcW w:w="1530" w:type="dxa"/>
            <w:tcBorders>
              <w:bottom w:val="single" w:sz="2" w:space="0" w:color="auto"/>
            </w:tcBorders>
          </w:tcPr>
          <w:p w14:paraId="0E8DC7C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bottom w:val="single" w:sz="2" w:space="0" w:color="auto"/>
            </w:tcBorders>
          </w:tcPr>
          <w:p w14:paraId="7034E6D7"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bottom w:val="single" w:sz="2" w:space="0" w:color="auto"/>
            </w:tcBorders>
          </w:tcPr>
          <w:p w14:paraId="191FCE30"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620" w:type="dxa"/>
            <w:tcBorders>
              <w:bottom w:val="single" w:sz="2" w:space="0" w:color="auto"/>
            </w:tcBorders>
          </w:tcPr>
          <w:p w14:paraId="3888BAFF" w14:textId="07BA8227" w:rsidR="00027230" w:rsidRPr="00F60034" w:rsidRDefault="00027230" w:rsidP="008F39E2">
            <w:pPr>
              <w:spacing w:after="0" w:line="240" w:lineRule="auto"/>
              <w:ind w:right="29"/>
              <w:jc w:val="right"/>
              <w:rPr>
                <w:rStyle w:val="HeadNoteTitle"/>
                <w:rFonts w:cs="Arial"/>
                <w:b w:val="0"/>
                <w:bCs/>
                <w:sz w:val="20"/>
                <w:szCs w:val="20"/>
              </w:rPr>
            </w:pPr>
          </w:p>
        </w:tc>
      </w:tr>
    </w:tbl>
    <w:p w14:paraId="0853AA1B" w14:textId="77777777" w:rsidR="000627D9" w:rsidRDefault="000627D9" w:rsidP="00866C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B1DC678" w14:textId="77777777" w:rsidR="002578B6" w:rsidRDefault="002578B6">
      <w:pPr>
        <w:rPr>
          <w:rFonts w:ascii="Arial" w:hAnsi="Arial" w:cs="Arial"/>
          <w:b/>
          <w:szCs w:val="20"/>
        </w:rPr>
      </w:pPr>
      <w:r>
        <w:rPr>
          <w:rFonts w:ascii="Arial" w:hAnsi="Arial" w:cs="Arial"/>
          <w:b/>
          <w:szCs w:val="20"/>
        </w:rPr>
        <w:br w:type="page"/>
      </w:r>
    </w:p>
    <w:p w14:paraId="2C55DF21" w14:textId="48590B92" w:rsidR="00583729" w:rsidRDefault="00A072AC" w:rsidP="005837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lastRenderedPageBreak/>
        <w:t>19</w:t>
      </w:r>
      <w:r w:rsidR="00583729" w:rsidRPr="002C07FA">
        <w:rPr>
          <w:rFonts w:ascii="Arial" w:hAnsi="Arial" w:cs="Arial"/>
          <w:b/>
          <w:szCs w:val="20"/>
        </w:rPr>
        <w:t>.</w:t>
      </w:r>
      <w:r w:rsidR="00583729" w:rsidRPr="002C07FA">
        <w:rPr>
          <w:rFonts w:ascii="Arial" w:hAnsi="Arial" w:cs="Arial"/>
          <w:b/>
          <w:szCs w:val="20"/>
        </w:rPr>
        <w:tab/>
      </w:r>
      <w:r w:rsidR="00583729">
        <w:rPr>
          <w:rFonts w:ascii="Arial" w:hAnsi="Arial" w:cs="Arial"/>
          <w:b/>
          <w:szCs w:val="20"/>
        </w:rPr>
        <w:t>Fair Value Measurements</w:t>
      </w:r>
    </w:p>
    <w:p w14:paraId="553E8DE9" w14:textId="77777777" w:rsidR="00866C7A" w:rsidRDefault="00866C7A" w:rsidP="00866C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5BD709C5" w14:textId="6DD4814D" w:rsidR="00866C7A" w:rsidRDefault="00866C7A" w:rsidP="00866C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866C7A">
        <w:rPr>
          <w:rFonts w:ascii="Arial" w:hAnsi="Arial" w:cs="Arial"/>
          <w:szCs w:val="20"/>
        </w:rPr>
        <w:t>Financial assets and liabilities measured at fair value in the statement of financial position are grouped</w:t>
      </w:r>
      <w:r>
        <w:rPr>
          <w:rFonts w:ascii="Arial" w:hAnsi="Arial" w:cs="Arial"/>
          <w:szCs w:val="20"/>
        </w:rPr>
        <w:t xml:space="preserve"> </w:t>
      </w:r>
      <w:r w:rsidRPr="00866C7A">
        <w:rPr>
          <w:rFonts w:ascii="Arial" w:hAnsi="Arial" w:cs="Arial"/>
          <w:szCs w:val="20"/>
        </w:rPr>
        <w:t>into three levels of fair value hierarchy</w:t>
      </w:r>
      <w:r>
        <w:rPr>
          <w:rFonts w:ascii="Arial" w:hAnsi="Arial" w:cs="Arial"/>
          <w:szCs w:val="20"/>
        </w:rPr>
        <w:t xml:space="preserve">.  </w:t>
      </w:r>
      <w:r w:rsidRPr="00866C7A">
        <w:rPr>
          <w:rFonts w:ascii="Arial" w:hAnsi="Arial" w:cs="Arial"/>
          <w:szCs w:val="20"/>
        </w:rPr>
        <w:t>The three levels are defined based on the observability of the significant inputs to the measurement, as</w:t>
      </w:r>
      <w:r>
        <w:rPr>
          <w:rFonts w:ascii="Arial" w:hAnsi="Arial" w:cs="Arial"/>
          <w:szCs w:val="20"/>
        </w:rPr>
        <w:t xml:space="preserve"> </w:t>
      </w:r>
      <w:r w:rsidRPr="00866C7A">
        <w:rPr>
          <w:rFonts w:ascii="Arial" w:hAnsi="Arial" w:cs="Arial"/>
          <w:szCs w:val="20"/>
        </w:rPr>
        <w:t>follows:</w:t>
      </w:r>
    </w:p>
    <w:p w14:paraId="0C714E01" w14:textId="71CA268C" w:rsidR="00866C7A" w:rsidRDefault="00866C7A" w:rsidP="00866C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08202344" w14:textId="77777777" w:rsidR="00866C7A" w:rsidRPr="00F9075E" w:rsidRDefault="00866C7A" w:rsidP="00F9075E">
      <w:pPr>
        <w:pStyle w:val="ListParagraph"/>
        <w:numPr>
          <w:ilvl w:val="0"/>
          <w:numId w:val="5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F9075E">
        <w:rPr>
          <w:rFonts w:ascii="Arial" w:hAnsi="Arial" w:cs="Arial"/>
          <w:szCs w:val="20"/>
        </w:rPr>
        <w:t xml:space="preserve">Level 1: quoted prices (unadjusted) in active markets for identical assets or </w:t>
      </w:r>
      <w:proofErr w:type="gramStart"/>
      <w:r w:rsidRPr="00F9075E">
        <w:rPr>
          <w:rFonts w:ascii="Arial" w:hAnsi="Arial" w:cs="Arial"/>
          <w:szCs w:val="20"/>
        </w:rPr>
        <w:t>liabilities;</w:t>
      </w:r>
      <w:proofErr w:type="gramEnd"/>
    </w:p>
    <w:p w14:paraId="102C86F0" w14:textId="2F2FA261" w:rsidR="00866C7A" w:rsidRPr="00F9075E" w:rsidRDefault="00866C7A" w:rsidP="00F9075E">
      <w:pPr>
        <w:pStyle w:val="ListParagraph"/>
        <w:numPr>
          <w:ilvl w:val="0"/>
          <w:numId w:val="5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F9075E">
        <w:rPr>
          <w:rFonts w:ascii="Arial" w:hAnsi="Arial" w:cs="Arial"/>
          <w:szCs w:val="20"/>
        </w:rPr>
        <w:t>Level 2: inputs other than quoted prices included within Level 1 that are observable for the asset or</w:t>
      </w:r>
      <w:r>
        <w:rPr>
          <w:rFonts w:ascii="Arial" w:hAnsi="Arial" w:cs="Arial"/>
          <w:szCs w:val="20"/>
        </w:rPr>
        <w:t xml:space="preserve"> </w:t>
      </w:r>
      <w:r w:rsidRPr="00F9075E">
        <w:rPr>
          <w:rFonts w:ascii="Arial" w:hAnsi="Arial" w:cs="Arial"/>
          <w:szCs w:val="20"/>
        </w:rPr>
        <w:t>liability, either directly or indirectly; and,</w:t>
      </w:r>
    </w:p>
    <w:p w14:paraId="7335ACD0" w14:textId="51753FB3" w:rsidR="00866C7A" w:rsidRDefault="00866C7A" w:rsidP="00866C7A">
      <w:pPr>
        <w:pStyle w:val="ListParagraph"/>
        <w:numPr>
          <w:ilvl w:val="0"/>
          <w:numId w:val="5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F9075E">
        <w:rPr>
          <w:rFonts w:ascii="Arial" w:hAnsi="Arial" w:cs="Arial"/>
          <w:szCs w:val="20"/>
        </w:rPr>
        <w:t>Level 3: unobservable inputs for the assets or liabilities.</w:t>
      </w:r>
    </w:p>
    <w:p w14:paraId="1A19956A" w14:textId="378C005B" w:rsidR="00866C7A" w:rsidRDefault="00866C7A" w:rsidP="00866C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p>
    <w:p w14:paraId="10F678EE" w14:textId="457B4852" w:rsidR="00866C7A" w:rsidRPr="00C66262" w:rsidRDefault="002305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The Company does not have any financial instruments measured using Level 3 inputs.  The carrying amounts of cash, amounts receivable</w:t>
      </w:r>
      <w:r w:rsidR="00A40C2B">
        <w:rPr>
          <w:rFonts w:ascii="Arial" w:hAnsi="Arial" w:cs="Arial"/>
          <w:szCs w:val="20"/>
        </w:rPr>
        <w:t xml:space="preserve"> from its sub-lease of 285 </w:t>
      </w:r>
      <w:proofErr w:type="spellStart"/>
      <w:r w:rsidR="00A40C2B">
        <w:rPr>
          <w:rFonts w:ascii="Arial" w:hAnsi="Arial" w:cs="Arial"/>
          <w:szCs w:val="20"/>
        </w:rPr>
        <w:t>Kesmark</w:t>
      </w:r>
      <w:proofErr w:type="spellEnd"/>
      <w:r w:rsidR="00A40C2B">
        <w:rPr>
          <w:rFonts w:ascii="Arial" w:hAnsi="Arial" w:cs="Arial"/>
          <w:szCs w:val="20"/>
        </w:rPr>
        <w:t xml:space="preserve"> Street (Note 9)</w:t>
      </w:r>
      <w:r w:rsidR="00A072AC">
        <w:rPr>
          <w:rFonts w:ascii="Arial" w:hAnsi="Arial" w:cs="Arial"/>
          <w:szCs w:val="20"/>
        </w:rPr>
        <w:t xml:space="preserve"> and</w:t>
      </w:r>
      <w:r>
        <w:rPr>
          <w:rFonts w:ascii="Arial" w:hAnsi="Arial" w:cs="Arial"/>
          <w:szCs w:val="20"/>
        </w:rPr>
        <w:t xml:space="preserve"> accounts payable and accrued liabilities</w:t>
      </w:r>
      <w:r w:rsidR="00A072AC">
        <w:rPr>
          <w:rFonts w:ascii="Arial" w:hAnsi="Arial" w:cs="Arial"/>
          <w:szCs w:val="20"/>
        </w:rPr>
        <w:t xml:space="preserve"> </w:t>
      </w:r>
      <w:proofErr w:type="gramStart"/>
      <w:r>
        <w:rPr>
          <w:rFonts w:ascii="Arial" w:hAnsi="Arial" w:cs="Arial"/>
          <w:szCs w:val="20"/>
        </w:rPr>
        <w:t>are considered to be</w:t>
      </w:r>
      <w:proofErr w:type="gramEnd"/>
      <w:r>
        <w:rPr>
          <w:rFonts w:ascii="Arial" w:hAnsi="Arial" w:cs="Arial"/>
          <w:szCs w:val="20"/>
        </w:rPr>
        <w:t xml:space="preserve"> a reasonable </w:t>
      </w:r>
      <w:r w:rsidR="00A40C2B">
        <w:rPr>
          <w:rFonts w:ascii="Arial" w:hAnsi="Arial" w:cs="Arial"/>
          <w:szCs w:val="20"/>
        </w:rPr>
        <w:t xml:space="preserve">approximation </w:t>
      </w:r>
      <w:r>
        <w:rPr>
          <w:rFonts w:ascii="Arial" w:hAnsi="Arial" w:cs="Arial"/>
          <w:szCs w:val="20"/>
        </w:rPr>
        <w:t xml:space="preserve">of fair value because of the short-term maturity of these </w:t>
      </w:r>
      <w:r w:rsidRPr="00C66262">
        <w:rPr>
          <w:rFonts w:ascii="Arial" w:hAnsi="Arial" w:cs="Arial"/>
          <w:szCs w:val="20"/>
        </w:rPr>
        <w:t>instruments</w:t>
      </w:r>
      <w:r w:rsidR="00866C7A" w:rsidRPr="00C66262">
        <w:rPr>
          <w:rFonts w:ascii="Arial" w:hAnsi="Arial" w:cs="Arial"/>
          <w:szCs w:val="20"/>
        </w:rPr>
        <w:t>.</w:t>
      </w:r>
    </w:p>
    <w:p w14:paraId="57BCDEB3" w14:textId="6053A8AF" w:rsidR="006D135B" w:rsidRDefault="006D135B" w:rsidP="002578B6">
      <w:pPr>
        <w:spacing w:after="0"/>
        <w:rPr>
          <w:rFonts w:ascii="Arial" w:hAnsi="Arial" w:cs="Arial"/>
          <w:b/>
          <w:szCs w:val="20"/>
        </w:rPr>
      </w:pPr>
    </w:p>
    <w:p w14:paraId="743C8B5C" w14:textId="1D4A00DF" w:rsidR="00A219A1" w:rsidRDefault="00A072AC"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t>20</w:t>
      </w:r>
      <w:r w:rsidR="00A219A1" w:rsidRPr="00C66262">
        <w:rPr>
          <w:rFonts w:ascii="Arial" w:hAnsi="Arial" w:cs="Arial"/>
          <w:b/>
          <w:szCs w:val="20"/>
        </w:rPr>
        <w:t>.</w:t>
      </w:r>
      <w:r w:rsidR="00A219A1" w:rsidRPr="00C66262">
        <w:rPr>
          <w:rFonts w:ascii="Arial" w:hAnsi="Arial" w:cs="Arial"/>
          <w:b/>
          <w:szCs w:val="20"/>
        </w:rPr>
        <w:tab/>
      </w:r>
      <w:r w:rsidR="00A219A1" w:rsidRPr="00EE4151">
        <w:rPr>
          <w:rFonts w:ascii="Arial" w:hAnsi="Arial" w:cs="Arial"/>
          <w:b/>
          <w:szCs w:val="20"/>
        </w:rPr>
        <w:t>Management</w:t>
      </w:r>
      <w:r w:rsidR="00554D4C" w:rsidRPr="00EE4151">
        <w:rPr>
          <w:rFonts w:ascii="Arial" w:hAnsi="Arial" w:cs="Arial"/>
          <w:b/>
          <w:szCs w:val="20"/>
        </w:rPr>
        <w:t xml:space="preserve"> of Financial Risk</w:t>
      </w:r>
    </w:p>
    <w:p w14:paraId="65C9F139"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0E62685C" w14:textId="2BB0CB3D" w:rsidR="00554D4C"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Company’s financial instruments are exposed to certain risks, including credit risk, interest rate risk, liquidity risk and </w:t>
      </w:r>
      <w:r w:rsidR="00EA65FB">
        <w:rPr>
          <w:rFonts w:ascii="Arial" w:hAnsi="Arial" w:cs="Arial"/>
          <w:szCs w:val="20"/>
        </w:rPr>
        <w:t>currency</w:t>
      </w:r>
      <w:r>
        <w:rPr>
          <w:rFonts w:ascii="Arial" w:hAnsi="Arial" w:cs="Arial"/>
          <w:szCs w:val="20"/>
        </w:rPr>
        <w:t xml:space="preserve"> risk.</w:t>
      </w:r>
    </w:p>
    <w:p w14:paraId="76FB11DC" w14:textId="77777777" w:rsidR="00A93EB0"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42E8F24E" w14:textId="7CCB779E"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Credit risk</w:t>
      </w:r>
    </w:p>
    <w:p w14:paraId="6256296C"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5E65ADB8" w14:textId="49F8F332" w:rsidR="00DE7889" w:rsidRDefault="00DE7889" w:rsidP="00F9075E">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bookmarkStart w:id="8" w:name="_Hlk43999062"/>
      <w:r>
        <w:rPr>
          <w:rFonts w:ascii="Arial" w:hAnsi="Arial" w:cs="Arial"/>
          <w:szCs w:val="20"/>
        </w:rPr>
        <w:t xml:space="preserve">Credit risk is the risk of loss if a customer or third party to a financial instrument fails to meet its contractual obligations.  The Company’s cash is held through reputable financial institutions in Canada and the U.S.  The Company’s amounts receivable consists of receivables from its sub-lease of 285 </w:t>
      </w:r>
      <w:proofErr w:type="spellStart"/>
      <w:r>
        <w:rPr>
          <w:rFonts w:ascii="Arial" w:hAnsi="Arial" w:cs="Arial"/>
          <w:szCs w:val="20"/>
        </w:rPr>
        <w:t>Kesmark</w:t>
      </w:r>
      <w:proofErr w:type="spellEnd"/>
      <w:r>
        <w:rPr>
          <w:rFonts w:ascii="Arial" w:hAnsi="Arial" w:cs="Arial"/>
          <w:szCs w:val="20"/>
        </w:rPr>
        <w:t xml:space="preserve"> Street (Note </w:t>
      </w:r>
      <w:r w:rsidR="00A40C2B">
        <w:rPr>
          <w:rFonts w:ascii="Arial" w:hAnsi="Arial" w:cs="Arial"/>
          <w:szCs w:val="20"/>
        </w:rPr>
        <w:t>9</w:t>
      </w:r>
      <w:r>
        <w:rPr>
          <w:rFonts w:ascii="Arial" w:hAnsi="Arial" w:cs="Arial"/>
          <w:szCs w:val="20"/>
        </w:rPr>
        <w:t xml:space="preserve">). The carrying amount of cash and </w:t>
      </w:r>
      <w:r w:rsidRPr="00DB7415">
        <w:rPr>
          <w:rFonts w:ascii="Arial" w:hAnsi="Arial" w:cs="Arial"/>
          <w:szCs w:val="20"/>
        </w:rPr>
        <w:t>amounts</w:t>
      </w:r>
      <w:r>
        <w:rPr>
          <w:rFonts w:ascii="Arial" w:hAnsi="Arial" w:cs="Arial"/>
          <w:szCs w:val="20"/>
        </w:rPr>
        <w:t xml:space="preserve"> </w:t>
      </w:r>
      <w:r w:rsidRPr="00DB7415">
        <w:rPr>
          <w:rFonts w:ascii="Arial" w:hAnsi="Arial" w:cs="Arial"/>
          <w:szCs w:val="20"/>
        </w:rPr>
        <w:t xml:space="preserve">receivable represent the </w:t>
      </w:r>
      <w:r>
        <w:rPr>
          <w:rFonts w:ascii="Arial" w:hAnsi="Arial" w:cs="Arial"/>
          <w:szCs w:val="20"/>
        </w:rPr>
        <w:t>maximum exposure to credit risk.  A</w:t>
      </w:r>
      <w:r w:rsidRPr="00DB7415">
        <w:rPr>
          <w:rFonts w:ascii="Arial" w:hAnsi="Arial" w:cs="Arial"/>
          <w:szCs w:val="20"/>
        </w:rPr>
        <w:t xml:space="preserve">s at </w:t>
      </w:r>
      <w:r w:rsidR="00A072AC">
        <w:rPr>
          <w:rFonts w:ascii="Arial" w:hAnsi="Arial" w:cs="Arial"/>
          <w:szCs w:val="20"/>
        </w:rPr>
        <w:t>April 30</w:t>
      </w:r>
      <w:r>
        <w:rPr>
          <w:rFonts w:ascii="Arial" w:hAnsi="Arial" w:cs="Arial"/>
          <w:szCs w:val="20"/>
        </w:rPr>
        <w:t>, 2020</w:t>
      </w:r>
      <w:r w:rsidRPr="00DB7415">
        <w:rPr>
          <w:rFonts w:ascii="Arial" w:hAnsi="Arial" w:cs="Arial"/>
          <w:szCs w:val="20"/>
        </w:rPr>
        <w:t xml:space="preserve">, this amounted to </w:t>
      </w:r>
      <w:r w:rsidRPr="00C66262">
        <w:rPr>
          <w:rFonts w:ascii="Arial" w:hAnsi="Arial" w:cs="Arial"/>
          <w:szCs w:val="20"/>
        </w:rPr>
        <w:t>$</w:t>
      </w:r>
      <w:r w:rsidR="00A072AC">
        <w:rPr>
          <w:rFonts w:ascii="Arial" w:hAnsi="Arial" w:cs="Arial"/>
          <w:szCs w:val="20"/>
        </w:rPr>
        <w:t>1,768,740</w:t>
      </w:r>
      <w:r w:rsidDel="0081162B">
        <w:rPr>
          <w:rFonts w:ascii="Arial" w:hAnsi="Arial" w:cs="Arial"/>
          <w:szCs w:val="20"/>
        </w:rPr>
        <w:t xml:space="preserve"> </w:t>
      </w:r>
      <w:r>
        <w:rPr>
          <w:rFonts w:ascii="Arial" w:hAnsi="Arial" w:cs="Arial"/>
          <w:szCs w:val="20"/>
        </w:rPr>
        <w:t xml:space="preserve">(January 31, </w:t>
      </w:r>
      <w:r w:rsidR="00A072AC">
        <w:rPr>
          <w:rFonts w:ascii="Arial" w:hAnsi="Arial" w:cs="Arial"/>
          <w:szCs w:val="20"/>
        </w:rPr>
        <w:t>2020</w:t>
      </w:r>
      <w:r>
        <w:rPr>
          <w:rFonts w:ascii="Arial" w:hAnsi="Arial" w:cs="Arial"/>
          <w:szCs w:val="20"/>
        </w:rPr>
        <w:t xml:space="preserve"> - $</w:t>
      </w:r>
      <w:r w:rsidR="00A072AC" w:rsidRPr="00C66262">
        <w:rPr>
          <w:rFonts w:ascii="Arial" w:hAnsi="Arial" w:cs="Arial"/>
          <w:szCs w:val="20"/>
        </w:rPr>
        <w:t>3,303</w:t>
      </w:r>
      <w:r w:rsidR="00A072AC">
        <w:rPr>
          <w:rFonts w:ascii="Arial" w:hAnsi="Arial" w:cs="Arial"/>
          <w:szCs w:val="20"/>
        </w:rPr>
        <w:t>,002</w:t>
      </w:r>
      <w:bookmarkEnd w:id="8"/>
      <w:r>
        <w:rPr>
          <w:rFonts w:ascii="Arial" w:hAnsi="Arial" w:cs="Arial"/>
          <w:szCs w:val="20"/>
        </w:rPr>
        <w:t>).</w:t>
      </w:r>
    </w:p>
    <w:p w14:paraId="7DC643CE" w14:textId="77777777" w:rsidR="00DE7889" w:rsidRDefault="00DE7889" w:rsidP="00F9075E">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484417B6" w14:textId="60FB2466"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Interest rate risk</w:t>
      </w:r>
    </w:p>
    <w:p w14:paraId="1DB05697"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10F6AA29" w14:textId="702EB41E"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Interest rate risk is the risk that fair values of future cash flows of a financial instrument will fluctuate because of changes in market interest rates.  The Company is</w:t>
      </w:r>
      <w:r w:rsidR="00E60B54">
        <w:rPr>
          <w:rFonts w:ascii="Arial" w:hAnsi="Arial" w:cs="Arial"/>
          <w:szCs w:val="20"/>
        </w:rPr>
        <w:t xml:space="preserve"> not</w:t>
      </w:r>
      <w:r>
        <w:rPr>
          <w:rFonts w:ascii="Arial" w:hAnsi="Arial" w:cs="Arial"/>
          <w:szCs w:val="20"/>
        </w:rPr>
        <w:t xml:space="preserve"> exposed to interest rate risk</w:t>
      </w:r>
      <w:r w:rsidR="00AF3F1A">
        <w:rPr>
          <w:rFonts w:ascii="Arial" w:hAnsi="Arial" w:cs="Arial"/>
          <w:szCs w:val="20"/>
        </w:rPr>
        <w:t>.</w:t>
      </w:r>
    </w:p>
    <w:p w14:paraId="54555B4D" w14:textId="77777777" w:rsidR="00850E6C" w:rsidRDefault="00850E6C" w:rsidP="00D97D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0B045B6" w14:textId="6398E369" w:rsidR="00AF3F1A" w:rsidRDefault="00AF3F1A"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Liquidity risk</w:t>
      </w:r>
    </w:p>
    <w:p w14:paraId="7269E591" w14:textId="77777777"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7B59172C" w14:textId="2FA0A095"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AF3F1A">
        <w:rPr>
          <w:rFonts w:ascii="Arial" w:hAnsi="Arial" w:cs="Arial"/>
          <w:szCs w:val="20"/>
        </w:rPr>
        <w:t xml:space="preserve">Liquidity risk is the risk that the Company will not be able to meet is financial obligations as they come due.  The Company </w:t>
      </w:r>
      <w:r>
        <w:rPr>
          <w:rFonts w:ascii="Arial" w:hAnsi="Arial" w:cs="Arial"/>
          <w:szCs w:val="20"/>
        </w:rPr>
        <w:t>manages liquidity risk through the management o</w:t>
      </w:r>
      <w:r w:rsidR="00E60B54">
        <w:rPr>
          <w:rFonts w:ascii="Arial" w:hAnsi="Arial" w:cs="Arial"/>
          <w:szCs w:val="20"/>
        </w:rPr>
        <w:t xml:space="preserve">f its capital structure (Note </w:t>
      </w:r>
      <w:r w:rsidR="00A072AC">
        <w:rPr>
          <w:rFonts w:ascii="Arial" w:hAnsi="Arial" w:cs="Arial"/>
          <w:szCs w:val="20"/>
        </w:rPr>
        <w:t>21</w:t>
      </w:r>
      <w:r>
        <w:rPr>
          <w:rFonts w:ascii="Arial" w:hAnsi="Arial" w:cs="Arial"/>
          <w:szCs w:val="20"/>
        </w:rPr>
        <w:t>)</w:t>
      </w:r>
      <w:r w:rsidRPr="00AF3F1A">
        <w:rPr>
          <w:rFonts w:ascii="Arial" w:hAnsi="Arial" w:cs="Arial"/>
          <w:szCs w:val="20"/>
        </w:rPr>
        <w:t>.</w:t>
      </w:r>
      <w:r>
        <w:rPr>
          <w:rFonts w:ascii="Arial" w:hAnsi="Arial" w:cs="Arial"/>
          <w:szCs w:val="20"/>
        </w:rPr>
        <w:t xml:space="preserve">  </w:t>
      </w:r>
      <w:r w:rsidRPr="00AF3F1A">
        <w:rPr>
          <w:rFonts w:ascii="Arial" w:hAnsi="Arial" w:cs="Arial"/>
          <w:szCs w:val="20"/>
        </w:rPr>
        <w:t>Accounts payable and accrued liabilities</w:t>
      </w:r>
      <w:r w:rsidR="00A6570E">
        <w:rPr>
          <w:rFonts w:ascii="Arial" w:hAnsi="Arial" w:cs="Arial"/>
          <w:szCs w:val="20"/>
        </w:rPr>
        <w:t xml:space="preserve">, </w:t>
      </w:r>
      <w:r w:rsidR="00E60B54">
        <w:rPr>
          <w:rFonts w:ascii="Arial" w:hAnsi="Arial" w:cs="Arial"/>
          <w:szCs w:val="20"/>
        </w:rPr>
        <w:t xml:space="preserve">due to related parties </w:t>
      </w:r>
      <w:r w:rsidR="00A3355E">
        <w:rPr>
          <w:rFonts w:ascii="Arial" w:hAnsi="Arial" w:cs="Arial"/>
          <w:szCs w:val="20"/>
        </w:rPr>
        <w:t xml:space="preserve">and the current portion of lease liabilities </w:t>
      </w:r>
      <w:r w:rsidRPr="00AF3F1A">
        <w:rPr>
          <w:rFonts w:ascii="Arial" w:hAnsi="Arial" w:cs="Arial"/>
          <w:szCs w:val="20"/>
        </w:rPr>
        <w:t>are due within the current operating period</w:t>
      </w:r>
      <w:r w:rsidR="00EA65FB">
        <w:rPr>
          <w:rFonts w:ascii="Arial" w:hAnsi="Arial" w:cs="Arial"/>
          <w:szCs w:val="20"/>
        </w:rPr>
        <w:t>.</w:t>
      </w:r>
    </w:p>
    <w:p w14:paraId="123E8E75" w14:textId="77777777" w:rsidR="00E92D5A" w:rsidRDefault="00E92D5A" w:rsidP="00E92D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9096073" w14:textId="05C4CBE4" w:rsidR="00EA65FB" w:rsidRDefault="00EA65FB"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Currency risk</w:t>
      </w:r>
    </w:p>
    <w:p w14:paraId="7210B38B" w14:textId="77777777"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69CEAEFC" w14:textId="2D745648"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EA65FB">
        <w:rPr>
          <w:rFonts w:ascii="Arial" w:hAnsi="Arial" w:cs="Arial"/>
          <w:szCs w:val="20"/>
        </w:rPr>
        <w:t>Currency risk is the risk of loss due to fluctuation of foreign exchange rates and the effects of these fluctuations on foreign currency denominated mon</w:t>
      </w:r>
      <w:r>
        <w:rPr>
          <w:rFonts w:ascii="Arial" w:hAnsi="Arial" w:cs="Arial"/>
          <w:szCs w:val="20"/>
        </w:rPr>
        <w:t xml:space="preserve">etary assets and liabilities.  </w:t>
      </w:r>
      <w:r w:rsidR="00F90260">
        <w:rPr>
          <w:rFonts w:ascii="Arial" w:hAnsi="Arial" w:cs="Arial"/>
          <w:szCs w:val="20"/>
        </w:rPr>
        <w:t>A 5% change in exchange rates will decrease the Company’s loss by approximately $1,</w:t>
      </w:r>
      <w:r w:rsidR="00A072AC">
        <w:rPr>
          <w:rFonts w:ascii="Arial" w:hAnsi="Arial" w:cs="Arial"/>
          <w:szCs w:val="20"/>
        </w:rPr>
        <w:t>700</w:t>
      </w:r>
      <w:r w:rsidR="00F90260">
        <w:rPr>
          <w:rFonts w:ascii="Arial" w:hAnsi="Arial" w:cs="Arial"/>
          <w:szCs w:val="20"/>
        </w:rPr>
        <w:t>.</w:t>
      </w:r>
      <w:r>
        <w:rPr>
          <w:rFonts w:ascii="Arial" w:hAnsi="Arial" w:cs="Arial"/>
          <w:szCs w:val="20"/>
        </w:rPr>
        <w:t xml:space="preserve">  The Company does not invest in derivatives to mitigate these risks.</w:t>
      </w:r>
      <w:r w:rsidR="005F6233">
        <w:rPr>
          <w:rFonts w:ascii="Arial" w:hAnsi="Arial" w:cs="Arial"/>
          <w:szCs w:val="20"/>
        </w:rPr>
        <w:t xml:space="preserve"> </w:t>
      </w:r>
    </w:p>
    <w:p w14:paraId="2C0CC91C" w14:textId="55A4CF2C" w:rsidR="00A219A1" w:rsidRDefault="00A219A1"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b/>
          <w:szCs w:val="20"/>
        </w:rPr>
      </w:pPr>
    </w:p>
    <w:p w14:paraId="7D3E2327" w14:textId="77777777" w:rsidR="002578B6" w:rsidRDefault="002578B6">
      <w:pPr>
        <w:rPr>
          <w:rFonts w:ascii="Arial" w:hAnsi="Arial" w:cs="Arial"/>
          <w:b/>
          <w:szCs w:val="20"/>
        </w:rPr>
      </w:pPr>
      <w:r>
        <w:rPr>
          <w:rFonts w:ascii="Arial" w:hAnsi="Arial" w:cs="Arial"/>
          <w:b/>
          <w:szCs w:val="20"/>
        </w:rPr>
        <w:br w:type="page"/>
      </w:r>
    </w:p>
    <w:p w14:paraId="34E8B9EA" w14:textId="1C4424A2" w:rsidR="00583729" w:rsidRDefault="00A072AC" w:rsidP="005837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lastRenderedPageBreak/>
        <w:t>21</w:t>
      </w:r>
      <w:r w:rsidR="00583729" w:rsidRPr="002C07FA">
        <w:rPr>
          <w:rFonts w:ascii="Arial" w:hAnsi="Arial" w:cs="Arial"/>
          <w:b/>
          <w:szCs w:val="20"/>
        </w:rPr>
        <w:t>.</w:t>
      </w:r>
      <w:r w:rsidR="00583729" w:rsidRPr="002C07FA">
        <w:rPr>
          <w:rFonts w:ascii="Arial" w:hAnsi="Arial" w:cs="Arial"/>
          <w:b/>
          <w:szCs w:val="20"/>
        </w:rPr>
        <w:tab/>
      </w:r>
      <w:r w:rsidR="00583729">
        <w:rPr>
          <w:rFonts w:ascii="Arial" w:hAnsi="Arial" w:cs="Arial"/>
          <w:b/>
          <w:szCs w:val="20"/>
        </w:rPr>
        <w:t>Management of Capital</w:t>
      </w:r>
    </w:p>
    <w:p w14:paraId="4772D272"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44ADD817" w14:textId="190E5CCD" w:rsidR="00A219A1" w:rsidRDefault="007B5B1C" w:rsidP="00B14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46"/>
        <w:jc w:val="both"/>
        <w:rPr>
          <w:rFonts w:ascii="Arial" w:hAnsi="Arial" w:cs="Arial"/>
          <w:szCs w:val="20"/>
        </w:rPr>
      </w:pPr>
      <w:r>
        <w:rPr>
          <w:rFonts w:ascii="Arial" w:hAnsi="Arial" w:cs="Arial"/>
          <w:szCs w:val="20"/>
        </w:rPr>
        <w:t xml:space="preserve">The Company’s objectives when managing capital are to safeguard the Company’s ability to continue as a going concern in order to pursue the </w:t>
      </w:r>
      <w:r w:rsidRPr="007B5B1C">
        <w:rPr>
          <w:rFonts w:ascii="Arial" w:hAnsi="Arial" w:cs="Arial"/>
          <w:szCs w:val="20"/>
        </w:rPr>
        <w:t>de</w:t>
      </w:r>
      <w:r w:rsidR="0081162B" w:rsidRPr="00312261">
        <w:rPr>
          <w:rFonts w:ascii="Arial" w:hAnsi="Arial" w:cs="Arial"/>
          <w:szCs w:val="20"/>
          <w:lang w:val="en-CA"/>
        </w:rPr>
        <w:t>development and commercialization of patented, differentiated and premium quality nutraceuticals and pharmaceuticals</w:t>
      </w:r>
      <w:r>
        <w:rPr>
          <w:rFonts w:ascii="Arial" w:hAnsi="Arial" w:cs="Arial"/>
          <w:szCs w:val="20"/>
        </w:rPr>
        <w:t xml:space="preserve">, and to maintain a flexible capital structure.  The Company considers its capital to be its </w:t>
      </w:r>
      <w:r w:rsidR="00E60B54">
        <w:rPr>
          <w:rFonts w:ascii="Arial" w:hAnsi="Arial" w:cs="Arial"/>
          <w:szCs w:val="20"/>
        </w:rPr>
        <w:t>shareholders’</w:t>
      </w:r>
      <w:r>
        <w:rPr>
          <w:rFonts w:ascii="Arial" w:hAnsi="Arial" w:cs="Arial"/>
          <w:szCs w:val="20"/>
        </w:rPr>
        <w:t xml:space="preserve"> equity.</w:t>
      </w:r>
    </w:p>
    <w:p w14:paraId="5A839C1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55F7EFE5" w14:textId="0CBDD292"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 manages its capital structure and </w:t>
      </w:r>
      <w:proofErr w:type="gramStart"/>
      <w:r>
        <w:rPr>
          <w:rFonts w:ascii="Arial" w:hAnsi="Arial" w:cs="Arial"/>
          <w:szCs w:val="20"/>
        </w:rPr>
        <w:t>makes adjustments to</w:t>
      </w:r>
      <w:proofErr w:type="gramEnd"/>
      <w:r>
        <w:rPr>
          <w:rFonts w:ascii="Arial" w:hAnsi="Arial" w:cs="Arial"/>
          <w:szCs w:val="20"/>
        </w:rPr>
        <w:t xml:space="preserve"> it in light of changes in economic conditions and the risk characteristics of its assets.  To maintain or adjust its capital structure, the Company may issue new common </w:t>
      </w:r>
      <w:r w:rsidR="00F07391">
        <w:rPr>
          <w:rFonts w:ascii="Arial" w:hAnsi="Arial" w:cs="Arial"/>
          <w:szCs w:val="20"/>
        </w:rPr>
        <w:t>shares</w:t>
      </w:r>
      <w:r>
        <w:rPr>
          <w:rFonts w:ascii="Arial" w:hAnsi="Arial" w:cs="Arial"/>
          <w:szCs w:val="20"/>
        </w:rPr>
        <w:t xml:space="preserve"> or debenture, </w:t>
      </w:r>
      <w:proofErr w:type="gramStart"/>
      <w:r>
        <w:rPr>
          <w:rFonts w:ascii="Arial" w:hAnsi="Arial" w:cs="Arial"/>
          <w:szCs w:val="20"/>
        </w:rPr>
        <w:t>acquire</w:t>
      </w:r>
      <w:proofErr w:type="gramEnd"/>
      <w:r>
        <w:rPr>
          <w:rFonts w:ascii="Arial" w:hAnsi="Arial" w:cs="Arial"/>
          <w:szCs w:val="20"/>
        </w:rPr>
        <w:t xml:space="preserve"> or dispose of assets or adjust the amount of cash.</w:t>
      </w:r>
    </w:p>
    <w:p w14:paraId="1EBB900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1C900A26" w14:textId="211CBBD9" w:rsidR="007B5B1C" w:rsidRP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roofErr w:type="gramStart"/>
      <w:r w:rsidRPr="007B5B1C">
        <w:rPr>
          <w:rFonts w:ascii="Arial" w:hAnsi="Arial" w:cs="Arial"/>
          <w:szCs w:val="20"/>
        </w:rPr>
        <w:t>In order to</w:t>
      </w:r>
      <w:proofErr w:type="gramEnd"/>
      <w:r w:rsidRPr="007B5B1C">
        <w:rPr>
          <w:rFonts w:ascii="Arial" w:hAnsi="Arial" w:cs="Arial"/>
          <w:szCs w:val="20"/>
        </w:rPr>
        <w:t xml:space="preserve"> facilitate the management of its capital requirements, the Company prepares expenditure budgets that are updated as necessary depending on various factors, including successful capital deployment and general industry conditions.  </w:t>
      </w:r>
      <w:proofErr w:type="gramStart"/>
      <w:r w:rsidRPr="007B5B1C">
        <w:rPr>
          <w:rFonts w:ascii="Arial" w:hAnsi="Arial" w:cs="Arial"/>
          <w:szCs w:val="20"/>
        </w:rPr>
        <w:t>In order to</w:t>
      </w:r>
      <w:proofErr w:type="gramEnd"/>
      <w:r w:rsidRPr="007B5B1C">
        <w:rPr>
          <w:rFonts w:ascii="Arial" w:hAnsi="Arial" w:cs="Arial"/>
          <w:szCs w:val="20"/>
        </w:rPr>
        <w:t xml:space="preserve"> maximize ongoing development efforts, the Company does not pay out dividends.</w:t>
      </w:r>
      <w:r>
        <w:rPr>
          <w:rFonts w:ascii="Arial" w:hAnsi="Arial" w:cs="Arial"/>
          <w:szCs w:val="20"/>
        </w:rPr>
        <w:t xml:space="preserve"> There are no external restrictions on the Company’s capital.</w:t>
      </w:r>
    </w:p>
    <w:p w14:paraId="32FC5C5E" w14:textId="77777777" w:rsidR="00583729" w:rsidRDefault="00583729"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02A6993" w14:textId="212D6B9E" w:rsidR="00E3748C" w:rsidRPr="00CB1B9F" w:rsidRDefault="00BD31CE"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C751F9">
        <w:rPr>
          <w:rFonts w:ascii="Arial" w:hAnsi="Arial" w:cs="Arial"/>
          <w:b/>
          <w:szCs w:val="20"/>
        </w:rPr>
        <w:t>2</w:t>
      </w:r>
      <w:r w:rsidR="00AE2808">
        <w:rPr>
          <w:rFonts w:ascii="Arial" w:hAnsi="Arial" w:cs="Arial"/>
          <w:b/>
          <w:szCs w:val="20"/>
        </w:rPr>
        <w:t>2</w:t>
      </w:r>
      <w:r w:rsidR="00E3748C" w:rsidRPr="00C751F9">
        <w:rPr>
          <w:rFonts w:ascii="Arial" w:hAnsi="Arial" w:cs="Arial"/>
          <w:b/>
          <w:szCs w:val="20"/>
        </w:rPr>
        <w:t>.</w:t>
      </w:r>
      <w:r w:rsidR="00E3748C" w:rsidRPr="00C751F9">
        <w:rPr>
          <w:rFonts w:ascii="Arial" w:hAnsi="Arial" w:cs="Arial"/>
          <w:b/>
          <w:szCs w:val="20"/>
        </w:rPr>
        <w:tab/>
        <w:t>Events</w:t>
      </w:r>
      <w:r w:rsidR="00012E41" w:rsidRPr="00C751F9">
        <w:rPr>
          <w:rFonts w:ascii="Arial" w:hAnsi="Arial" w:cs="Arial"/>
          <w:b/>
          <w:szCs w:val="20"/>
        </w:rPr>
        <w:t xml:space="preserve"> After the Reporting Date</w:t>
      </w:r>
    </w:p>
    <w:p w14:paraId="27F56D8B" w14:textId="77777777" w:rsidR="00CB56D5" w:rsidRDefault="00CB56D5" w:rsidP="00B14849">
      <w:pPr>
        <w:pStyle w:val="ListParagraph"/>
        <w:spacing w:after="0" w:line="240" w:lineRule="auto"/>
        <w:ind w:left="810"/>
        <w:jc w:val="both"/>
        <w:rPr>
          <w:rFonts w:ascii="Arial" w:hAnsi="Arial" w:cs="Arial"/>
          <w:szCs w:val="20"/>
        </w:rPr>
      </w:pPr>
    </w:p>
    <w:p w14:paraId="16BC6B71" w14:textId="4C64784E" w:rsidR="005B2680" w:rsidRPr="006F7DD4" w:rsidRDefault="005B2680">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 xml:space="preserve">In May 2020, the Company acquired 100% of the outstanding common shares of </w:t>
      </w:r>
      <w:proofErr w:type="spellStart"/>
      <w:r>
        <w:rPr>
          <w:rFonts w:ascii="Arial" w:hAnsi="Arial" w:cs="Arial"/>
          <w:szCs w:val="20"/>
        </w:rPr>
        <w:t>Opes</w:t>
      </w:r>
      <w:proofErr w:type="spellEnd"/>
      <w:r>
        <w:rPr>
          <w:rFonts w:ascii="Arial" w:hAnsi="Arial" w:cs="Arial"/>
          <w:szCs w:val="20"/>
        </w:rPr>
        <w:t xml:space="preserve"> Pharmaceuticals Inc. (“</w:t>
      </w:r>
      <w:proofErr w:type="spellStart"/>
      <w:r>
        <w:rPr>
          <w:rFonts w:ascii="Arial" w:hAnsi="Arial" w:cs="Arial"/>
          <w:szCs w:val="20"/>
        </w:rPr>
        <w:t>Opes</w:t>
      </w:r>
      <w:proofErr w:type="spellEnd"/>
      <w:r>
        <w:rPr>
          <w:rFonts w:ascii="Arial" w:hAnsi="Arial" w:cs="Arial"/>
          <w:szCs w:val="20"/>
        </w:rPr>
        <w:t xml:space="preserve">”) from </w:t>
      </w:r>
      <w:proofErr w:type="spellStart"/>
      <w:r>
        <w:rPr>
          <w:rFonts w:ascii="Arial" w:hAnsi="Arial" w:cs="Arial"/>
          <w:szCs w:val="20"/>
        </w:rPr>
        <w:t>Altum</w:t>
      </w:r>
      <w:proofErr w:type="spellEnd"/>
      <w:r>
        <w:rPr>
          <w:rFonts w:ascii="Arial" w:hAnsi="Arial" w:cs="Arial"/>
          <w:szCs w:val="20"/>
        </w:rPr>
        <w:t xml:space="preserve">.  </w:t>
      </w:r>
      <w:proofErr w:type="gramStart"/>
      <w:r>
        <w:rPr>
          <w:rFonts w:ascii="Arial" w:hAnsi="Arial" w:cs="Arial"/>
          <w:szCs w:val="20"/>
        </w:rPr>
        <w:t>Subsequent to</w:t>
      </w:r>
      <w:proofErr w:type="gramEnd"/>
      <w:r>
        <w:rPr>
          <w:rFonts w:ascii="Arial" w:hAnsi="Arial" w:cs="Arial"/>
          <w:szCs w:val="20"/>
        </w:rPr>
        <w:t xml:space="preserve"> the acquisition, </w:t>
      </w:r>
      <w:proofErr w:type="spellStart"/>
      <w:r>
        <w:rPr>
          <w:rFonts w:ascii="Arial" w:hAnsi="Arial" w:cs="Arial"/>
          <w:szCs w:val="20"/>
        </w:rPr>
        <w:t>Opes</w:t>
      </w:r>
      <w:proofErr w:type="spellEnd"/>
      <w:r>
        <w:rPr>
          <w:rFonts w:ascii="Arial" w:hAnsi="Arial" w:cs="Arial"/>
          <w:szCs w:val="20"/>
        </w:rPr>
        <w:t xml:space="preserve"> was renamed </w:t>
      </w:r>
      <w:proofErr w:type="spellStart"/>
      <w:r>
        <w:rPr>
          <w:rFonts w:ascii="Arial" w:hAnsi="Arial" w:cs="Arial"/>
          <w:szCs w:val="20"/>
        </w:rPr>
        <w:t>Blife</w:t>
      </w:r>
      <w:proofErr w:type="spellEnd"/>
      <w:r>
        <w:rPr>
          <w:rFonts w:ascii="Arial" w:hAnsi="Arial" w:cs="Arial"/>
          <w:szCs w:val="20"/>
        </w:rPr>
        <w:t xml:space="preserve"> Therapeutics Inc.</w:t>
      </w:r>
    </w:p>
    <w:p w14:paraId="65E9538F" w14:textId="68CA9349" w:rsidR="00AF3C56" w:rsidRDefault="00AF3C56" w:rsidP="006D135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068368CE" w14:textId="66F1D23D" w:rsidR="00F60DF0" w:rsidRDefault="005B2680">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 xml:space="preserve">On May 6, 2020, the Company </w:t>
      </w:r>
      <w:r w:rsidRPr="005B2680">
        <w:rPr>
          <w:rFonts w:ascii="Arial" w:hAnsi="Arial" w:cs="Arial"/>
          <w:szCs w:val="20"/>
        </w:rPr>
        <w:t xml:space="preserve">entered into </w:t>
      </w:r>
      <w:r>
        <w:rPr>
          <w:rFonts w:ascii="Arial" w:hAnsi="Arial" w:cs="Arial"/>
          <w:szCs w:val="20"/>
        </w:rPr>
        <w:t>binding letter of intent</w:t>
      </w:r>
      <w:r w:rsidRPr="005B2680">
        <w:rPr>
          <w:rFonts w:ascii="Arial" w:hAnsi="Arial" w:cs="Arial"/>
          <w:szCs w:val="20"/>
        </w:rPr>
        <w:t xml:space="preserve"> to acquire worldwide rights (other than in Greater China, Japan and ASEAN countries) to commercialize and sell </w:t>
      </w:r>
      <w:r w:rsidR="00B62F67">
        <w:rPr>
          <w:rFonts w:ascii="Arial" w:hAnsi="Arial" w:cs="Arial"/>
          <w:szCs w:val="20"/>
        </w:rPr>
        <w:t>AP-003</w:t>
      </w:r>
      <w:r w:rsidRPr="005B2680">
        <w:rPr>
          <w:rFonts w:ascii="Arial" w:hAnsi="Arial" w:cs="Arial"/>
          <w:szCs w:val="20"/>
        </w:rPr>
        <w:t xml:space="preserve">, a potential COVID-19 treatment, from </w:t>
      </w:r>
      <w:proofErr w:type="spellStart"/>
      <w:r w:rsidRPr="005B2680">
        <w:rPr>
          <w:rFonts w:ascii="Arial" w:hAnsi="Arial" w:cs="Arial"/>
          <w:szCs w:val="20"/>
        </w:rPr>
        <w:t>Altum</w:t>
      </w:r>
      <w:proofErr w:type="spellEnd"/>
      <w:r w:rsidR="00FA2113">
        <w:rPr>
          <w:rFonts w:ascii="Arial" w:hAnsi="Arial" w:cs="Arial"/>
          <w:szCs w:val="20"/>
        </w:rPr>
        <w:t xml:space="preserve"> (the “Transaction”)</w:t>
      </w:r>
      <w:r w:rsidRPr="005B2680">
        <w:rPr>
          <w:rFonts w:ascii="Arial" w:hAnsi="Arial" w:cs="Arial"/>
          <w:szCs w:val="20"/>
        </w:rPr>
        <w:t>.</w:t>
      </w:r>
      <w:r>
        <w:rPr>
          <w:rFonts w:ascii="Arial" w:hAnsi="Arial" w:cs="Arial"/>
          <w:szCs w:val="20"/>
        </w:rPr>
        <w:t xml:space="preserve">  </w:t>
      </w:r>
      <w:proofErr w:type="spellStart"/>
      <w:r w:rsidRPr="005B2680">
        <w:rPr>
          <w:rFonts w:ascii="Arial" w:hAnsi="Arial" w:cs="Arial"/>
          <w:szCs w:val="20"/>
        </w:rPr>
        <w:t>Altum</w:t>
      </w:r>
      <w:proofErr w:type="spellEnd"/>
      <w:r w:rsidRPr="005B2680">
        <w:rPr>
          <w:rFonts w:ascii="Arial" w:hAnsi="Arial" w:cs="Arial"/>
          <w:szCs w:val="20"/>
        </w:rPr>
        <w:t xml:space="preserve"> is currently preparing protocol and application to conduct clinical trials in Australia</w:t>
      </w:r>
      <w:r>
        <w:rPr>
          <w:rFonts w:ascii="Arial" w:hAnsi="Arial" w:cs="Arial"/>
          <w:szCs w:val="20"/>
        </w:rPr>
        <w:t>.</w:t>
      </w:r>
      <w:r w:rsidRPr="005B2680">
        <w:rPr>
          <w:rFonts w:ascii="Arial" w:hAnsi="Arial" w:cs="Arial"/>
          <w:szCs w:val="20"/>
        </w:rPr>
        <w:t xml:space="preserve"> Under the terms of the </w:t>
      </w:r>
      <w:r w:rsidR="00FB604B">
        <w:rPr>
          <w:rFonts w:ascii="Arial" w:hAnsi="Arial" w:cs="Arial"/>
          <w:szCs w:val="20"/>
        </w:rPr>
        <w:t>T</w:t>
      </w:r>
      <w:r w:rsidRPr="005B2680">
        <w:rPr>
          <w:rFonts w:ascii="Arial" w:hAnsi="Arial" w:cs="Arial"/>
          <w:szCs w:val="20"/>
        </w:rPr>
        <w:t xml:space="preserve">ransaction, on closing </w:t>
      </w:r>
      <w:r>
        <w:rPr>
          <w:rFonts w:ascii="Arial" w:hAnsi="Arial" w:cs="Arial"/>
          <w:szCs w:val="20"/>
        </w:rPr>
        <w:t>the Company</w:t>
      </w:r>
      <w:r w:rsidRPr="005B2680">
        <w:rPr>
          <w:rFonts w:ascii="Arial" w:hAnsi="Arial" w:cs="Arial"/>
          <w:szCs w:val="20"/>
        </w:rPr>
        <w:t xml:space="preserve"> will issue 1,000,000 common shares to </w:t>
      </w:r>
      <w:proofErr w:type="spellStart"/>
      <w:r w:rsidRPr="005B2680">
        <w:rPr>
          <w:rFonts w:ascii="Arial" w:hAnsi="Arial" w:cs="Arial"/>
          <w:szCs w:val="20"/>
        </w:rPr>
        <w:t>Altum</w:t>
      </w:r>
      <w:proofErr w:type="spellEnd"/>
      <w:r w:rsidRPr="005B2680">
        <w:rPr>
          <w:rFonts w:ascii="Arial" w:hAnsi="Arial" w:cs="Arial"/>
          <w:szCs w:val="20"/>
        </w:rPr>
        <w:t xml:space="preserve"> and grant to </w:t>
      </w:r>
      <w:proofErr w:type="spellStart"/>
      <w:r w:rsidRPr="005B2680">
        <w:rPr>
          <w:rFonts w:ascii="Arial" w:hAnsi="Arial" w:cs="Arial"/>
          <w:szCs w:val="20"/>
        </w:rPr>
        <w:t>Altum</w:t>
      </w:r>
      <w:proofErr w:type="spellEnd"/>
      <w:r w:rsidRPr="005B2680">
        <w:rPr>
          <w:rFonts w:ascii="Arial" w:hAnsi="Arial" w:cs="Arial"/>
          <w:szCs w:val="20"/>
        </w:rPr>
        <w:t xml:space="preserve"> 500,000 warrants to acquire an equivalent number of common shares at a price of $</w:t>
      </w:r>
      <w:r w:rsidR="00F6465A">
        <w:rPr>
          <w:rFonts w:ascii="Arial" w:hAnsi="Arial" w:cs="Arial"/>
          <w:szCs w:val="20"/>
        </w:rPr>
        <w:t>1.90</w:t>
      </w:r>
      <w:r w:rsidRPr="005B2680">
        <w:rPr>
          <w:rFonts w:ascii="Arial" w:hAnsi="Arial" w:cs="Arial"/>
          <w:szCs w:val="20"/>
        </w:rPr>
        <w:t xml:space="preserve"> per common share. The </w:t>
      </w:r>
      <w:r>
        <w:rPr>
          <w:rFonts w:ascii="Arial" w:hAnsi="Arial" w:cs="Arial"/>
          <w:szCs w:val="20"/>
        </w:rPr>
        <w:t>w</w:t>
      </w:r>
      <w:r w:rsidRPr="005B2680">
        <w:rPr>
          <w:rFonts w:ascii="Arial" w:hAnsi="Arial" w:cs="Arial"/>
          <w:szCs w:val="20"/>
        </w:rPr>
        <w:t>arrants</w:t>
      </w:r>
      <w:r>
        <w:rPr>
          <w:rFonts w:ascii="Arial" w:hAnsi="Arial" w:cs="Arial"/>
          <w:szCs w:val="20"/>
        </w:rPr>
        <w:t xml:space="preserve"> will</w:t>
      </w:r>
      <w:r w:rsidRPr="005B2680">
        <w:rPr>
          <w:rFonts w:ascii="Arial" w:hAnsi="Arial" w:cs="Arial"/>
          <w:szCs w:val="20"/>
        </w:rPr>
        <w:t xml:space="preserve"> have a term of two years and are only exercisable upon successful completion of the </w:t>
      </w:r>
      <w:r w:rsidR="00FB604B">
        <w:rPr>
          <w:rFonts w:ascii="Arial" w:hAnsi="Arial" w:cs="Arial"/>
          <w:szCs w:val="20"/>
        </w:rPr>
        <w:t>clinical trials</w:t>
      </w:r>
      <w:r>
        <w:rPr>
          <w:rFonts w:ascii="Arial" w:hAnsi="Arial" w:cs="Arial"/>
          <w:szCs w:val="20"/>
        </w:rPr>
        <w:t xml:space="preserve">.  </w:t>
      </w:r>
      <w:r w:rsidRPr="005B2680">
        <w:rPr>
          <w:rFonts w:ascii="Arial" w:hAnsi="Arial" w:cs="Arial"/>
          <w:szCs w:val="20"/>
        </w:rPr>
        <w:t xml:space="preserve">In addition, subject to the satisfaction of certain conditions precedent, upon registration of the proposed product in a major market, </w:t>
      </w:r>
      <w:r>
        <w:rPr>
          <w:rFonts w:ascii="Arial" w:hAnsi="Arial" w:cs="Arial"/>
          <w:szCs w:val="20"/>
        </w:rPr>
        <w:t>the Company</w:t>
      </w:r>
      <w:r w:rsidRPr="005B2680">
        <w:rPr>
          <w:rFonts w:ascii="Arial" w:hAnsi="Arial" w:cs="Arial"/>
          <w:szCs w:val="20"/>
        </w:rPr>
        <w:t xml:space="preserve"> will pay $5,000,000 in cash to </w:t>
      </w:r>
      <w:proofErr w:type="spellStart"/>
      <w:r w:rsidRPr="005B2680">
        <w:rPr>
          <w:rFonts w:ascii="Arial" w:hAnsi="Arial" w:cs="Arial"/>
          <w:szCs w:val="20"/>
        </w:rPr>
        <w:t>Altum</w:t>
      </w:r>
      <w:proofErr w:type="spellEnd"/>
      <w:r w:rsidRPr="005B2680">
        <w:rPr>
          <w:rFonts w:ascii="Arial" w:hAnsi="Arial" w:cs="Arial"/>
          <w:szCs w:val="20"/>
        </w:rPr>
        <w:t xml:space="preserve"> and </w:t>
      </w:r>
      <w:proofErr w:type="spellStart"/>
      <w:r w:rsidRPr="005B2680">
        <w:rPr>
          <w:rFonts w:ascii="Arial" w:hAnsi="Arial" w:cs="Arial"/>
          <w:szCs w:val="20"/>
        </w:rPr>
        <w:t>Altum</w:t>
      </w:r>
      <w:proofErr w:type="spellEnd"/>
      <w:r w:rsidRPr="005B2680">
        <w:rPr>
          <w:rFonts w:ascii="Arial" w:hAnsi="Arial" w:cs="Arial"/>
          <w:szCs w:val="20"/>
        </w:rPr>
        <w:t xml:space="preserve"> will be entitled to a tiered royalty equal to 7% of net sales on the first </w:t>
      </w:r>
      <w:r>
        <w:rPr>
          <w:rFonts w:ascii="Arial" w:hAnsi="Arial" w:cs="Arial"/>
          <w:szCs w:val="20"/>
        </w:rPr>
        <w:t>US</w:t>
      </w:r>
      <w:r w:rsidRPr="005B2680">
        <w:rPr>
          <w:rFonts w:ascii="Arial" w:hAnsi="Arial" w:cs="Arial"/>
          <w:szCs w:val="20"/>
        </w:rPr>
        <w:t xml:space="preserve">$50,000,000 in a calendar year and a reduced royalty equal to 5% of net sales in any calendar year that are in excess of </w:t>
      </w:r>
      <w:r>
        <w:rPr>
          <w:rFonts w:ascii="Arial" w:hAnsi="Arial" w:cs="Arial"/>
          <w:szCs w:val="20"/>
        </w:rPr>
        <w:t>US</w:t>
      </w:r>
      <w:r w:rsidRPr="005B2680">
        <w:rPr>
          <w:rFonts w:ascii="Arial" w:hAnsi="Arial" w:cs="Arial"/>
          <w:szCs w:val="20"/>
        </w:rPr>
        <w:t>$50,000,000</w:t>
      </w:r>
      <w:r>
        <w:rPr>
          <w:rFonts w:ascii="Arial" w:hAnsi="Arial" w:cs="Arial"/>
          <w:szCs w:val="20"/>
        </w:rPr>
        <w:t xml:space="preserve">.  </w:t>
      </w:r>
      <w:r w:rsidRPr="005B2680">
        <w:rPr>
          <w:rFonts w:ascii="Arial" w:hAnsi="Arial" w:cs="Arial"/>
          <w:szCs w:val="20"/>
        </w:rPr>
        <w:t xml:space="preserve">Closing is contingent on, among other things, </w:t>
      </w:r>
      <w:r>
        <w:rPr>
          <w:rFonts w:ascii="Arial" w:hAnsi="Arial" w:cs="Arial"/>
          <w:szCs w:val="20"/>
        </w:rPr>
        <w:t>the Company</w:t>
      </w:r>
      <w:r w:rsidRPr="005B2680">
        <w:rPr>
          <w:rFonts w:ascii="Arial" w:hAnsi="Arial" w:cs="Arial"/>
          <w:szCs w:val="20"/>
        </w:rPr>
        <w:t xml:space="preserve"> undertaking an equity financing of at least US$5,000,000 and </w:t>
      </w:r>
      <w:proofErr w:type="spellStart"/>
      <w:r w:rsidRPr="005B2680">
        <w:rPr>
          <w:rFonts w:ascii="Arial" w:hAnsi="Arial" w:cs="Arial"/>
          <w:szCs w:val="20"/>
        </w:rPr>
        <w:t>Altum</w:t>
      </w:r>
      <w:proofErr w:type="spellEnd"/>
      <w:r w:rsidRPr="005B2680">
        <w:rPr>
          <w:rFonts w:ascii="Arial" w:hAnsi="Arial" w:cs="Arial"/>
          <w:szCs w:val="20"/>
        </w:rPr>
        <w:t xml:space="preserve"> obtaining an exclusive license with respect to certain intellectual property from </w:t>
      </w:r>
      <w:r w:rsidR="001250DF">
        <w:rPr>
          <w:rFonts w:ascii="Arial" w:hAnsi="Arial" w:cs="Arial"/>
          <w:szCs w:val="20"/>
        </w:rPr>
        <w:t xml:space="preserve">a </w:t>
      </w:r>
      <w:r w:rsidRPr="005B2680">
        <w:rPr>
          <w:rFonts w:ascii="Arial" w:hAnsi="Arial" w:cs="Arial"/>
          <w:szCs w:val="20"/>
        </w:rPr>
        <w:t>Canadian governmental research and technology organization</w:t>
      </w:r>
      <w:r>
        <w:rPr>
          <w:rFonts w:ascii="Arial" w:hAnsi="Arial" w:cs="Arial"/>
          <w:szCs w:val="20"/>
        </w:rPr>
        <w:t>.</w:t>
      </w:r>
    </w:p>
    <w:p w14:paraId="111449E8" w14:textId="77777777" w:rsidR="00C66262" w:rsidRDefault="00C66262">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52F323F0" w14:textId="713657B1" w:rsidR="00DE7889" w:rsidRDefault="00DE7889">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 xml:space="preserve">On May 7, 2020, the Company amended the exercise price of the following outstanding warrants that were issued pursuant to private placements completed in 2019:  </w:t>
      </w:r>
      <w:r w:rsidR="00F6465A">
        <w:rPr>
          <w:rFonts w:ascii="Arial" w:hAnsi="Arial" w:cs="Arial"/>
          <w:szCs w:val="20"/>
        </w:rPr>
        <w:t>1,386,800</w:t>
      </w:r>
      <w:r w:rsidRPr="005B2680">
        <w:rPr>
          <w:rFonts w:ascii="Arial" w:hAnsi="Arial" w:cs="Arial"/>
          <w:szCs w:val="20"/>
        </w:rPr>
        <w:t xml:space="preserve"> warrants issued on May 30, 2019 and expiring on May 29, 2021, </w:t>
      </w:r>
      <w:r w:rsidR="00F6465A">
        <w:rPr>
          <w:rFonts w:ascii="Arial" w:hAnsi="Arial" w:cs="Arial"/>
          <w:szCs w:val="20"/>
        </w:rPr>
        <w:t>4,613,200</w:t>
      </w:r>
      <w:r w:rsidRPr="005B2680">
        <w:rPr>
          <w:rFonts w:ascii="Arial" w:hAnsi="Arial" w:cs="Arial"/>
          <w:szCs w:val="20"/>
        </w:rPr>
        <w:t xml:space="preserve"> warrants issued on May 15, 2019 and expiring on May 14, 2021</w:t>
      </w:r>
      <w:r>
        <w:rPr>
          <w:rFonts w:ascii="Arial" w:hAnsi="Arial" w:cs="Arial"/>
          <w:szCs w:val="20"/>
        </w:rPr>
        <w:t xml:space="preserve"> </w:t>
      </w:r>
      <w:r w:rsidRPr="005B2680">
        <w:rPr>
          <w:rFonts w:ascii="Arial" w:hAnsi="Arial" w:cs="Arial"/>
          <w:szCs w:val="20"/>
        </w:rPr>
        <w:t xml:space="preserve">and </w:t>
      </w:r>
      <w:r w:rsidR="00F6465A">
        <w:rPr>
          <w:rFonts w:ascii="Arial" w:hAnsi="Arial" w:cs="Arial"/>
          <w:szCs w:val="20"/>
        </w:rPr>
        <w:t>695,000</w:t>
      </w:r>
      <w:r w:rsidRPr="005B2680">
        <w:rPr>
          <w:rFonts w:ascii="Arial" w:hAnsi="Arial" w:cs="Arial"/>
          <w:szCs w:val="20"/>
        </w:rPr>
        <w:t xml:space="preserve"> warrants issued on April 8, 2019 and expiring on March 16, 2022.</w:t>
      </w:r>
      <w:r>
        <w:rPr>
          <w:rFonts w:ascii="Arial" w:hAnsi="Arial" w:cs="Arial"/>
          <w:szCs w:val="20"/>
        </w:rPr>
        <w:t xml:space="preserve">  The exercise prices of these warrants have been amended to $</w:t>
      </w:r>
      <w:r w:rsidR="00F6465A">
        <w:rPr>
          <w:rFonts w:ascii="Arial" w:hAnsi="Arial" w:cs="Arial"/>
          <w:szCs w:val="20"/>
        </w:rPr>
        <w:t>2.50</w:t>
      </w:r>
      <w:r>
        <w:rPr>
          <w:rFonts w:ascii="Arial" w:hAnsi="Arial" w:cs="Arial"/>
          <w:szCs w:val="20"/>
        </w:rPr>
        <w:t xml:space="preserve"> per warrant.</w:t>
      </w:r>
    </w:p>
    <w:p w14:paraId="54B68900" w14:textId="77777777" w:rsidR="00DE7889" w:rsidRPr="005B2680" w:rsidRDefault="00DE7889" w:rsidP="00B14849">
      <w:pPr>
        <w:pStyle w:val="ListParagraph"/>
        <w:spacing w:after="0" w:line="240" w:lineRule="auto"/>
        <w:rPr>
          <w:rFonts w:ascii="Arial" w:hAnsi="Arial" w:cs="Arial"/>
          <w:szCs w:val="20"/>
        </w:rPr>
      </w:pPr>
    </w:p>
    <w:p w14:paraId="79B2A488" w14:textId="6E9FC87F" w:rsidR="00DE7889" w:rsidRDefault="00DE7889" w:rsidP="006D135B">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 xml:space="preserve">In May 2020, the Company granted </w:t>
      </w:r>
      <w:r w:rsidR="00F6465A">
        <w:rPr>
          <w:rFonts w:ascii="Arial" w:hAnsi="Arial" w:cs="Arial"/>
          <w:szCs w:val="20"/>
        </w:rPr>
        <w:t>290</w:t>
      </w:r>
      <w:r>
        <w:rPr>
          <w:rFonts w:ascii="Arial" w:hAnsi="Arial" w:cs="Arial"/>
          <w:szCs w:val="20"/>
        </w:rPr>
        <w:t xml:space="preserve">,000 stock options to directors, officers, </w:t>
      </w:r>
      <w:proofErr w:type="gramStart"/>
      <w:r>
        <w:rPr>
          <w:rFonts w:ascii="Arial" w:hAnsi="Arial" w:cs="Arial"/>
          <w:szCs w:val="20"/>
        </w:rPr>
        <w:t>consultants</w:t>
      </w:r>
      <w:proofErr w:type="gramEnd"/>
      <w:r>
        <w:rPr>
          <w:rFonts w:ascii="Arial" w:hAnsi="Arial" w:cs="Arial"/>
          <w:szCs w:val="20"/>
        </w:rPr>
        <w:t xml:space="preserve"> and key members of the </w:t>
      </w:r>
      <w:proofErr w:type="spellStart"/>
      <w:r>
        <w:rPr>
          <w:rFonts w:ascii="Arial" w:hAnsi="Arial" w:cs="Arial"/>
          <w:szCs w:val="20"/>
        </w:rPr>
        <w:t>Altum</w:t>
      </w:r>
      <w:proofErr w:type="spellEnd"/>
      <w:r>
        <w:rPr>
          <w:rFonts w:ascii="Arial" w:hAnsi="Arial" w:cs="Arial"/>
          <w:szCs w:val="20"/>
        </w:rPr>
        <w:t xml:space="preserve"> clinical trial team (Note 2</w:t>
      </w:r>
      <w:r w:rsidR="00AE2808">
        <w:rPr>
          <w:rFonts w:ascii="Arial" w:hAnsi="Arial" w:cs="Arial"/>
          <w:szCs w:val="20"/>
        </w:rPr>
        <w:t>2</w:t>
      </w:r>
      <w:r>
        <w:rPr>
          <w:rFonts w:ascii="Arial" w:hAnsi="Arial" w:cs="Arial"/>
          <w:szCs w:val="20"/>
        </w:rPr>
        <w:t>(</w:t>
      </w:r>
      <w:r w:rsidR="00AE2808">
        <w:rPr>
          <w:rFonts w:ascii="Arial" w:hAnsi="Arial" w:cs="Arial"/>
          <w:szCs w:val="20"/>
        </w:rPr>
        <w:t>b</w:t>
      </w:r>
      <w:r>
        <w:rPr>
          <w:rFonts w:ascii="Arial" w:hAnsi="Arial" w:cs="Arial"/>
          <w:szCs w:val="20"/>
        </w:rPr>
        <w:t>)) with exercise prices between $</w:t>
      </w:r>
      <w:r w:rsidR="00F6465A">
        <w:rPr>
          <w:rFonts w:ascii="Arial" w:hAnsi="Arial" w:cs="Arial"/>
          <w:szCs w:val="20"/>
        </w:rPr>
        <w:t>1.80</w:t>
      </w:r>
      <w:r>
        <w:rPr>
          <w:rFonts w:ascii="Arial" w:hAnsi="Arial" w:cs="Arial"/>
          <w:szCs w:val="20"/>
        </w:rPr>
        <w:t xml:space="preserve"> and $</w:t>
      </w:r>
      <w:r w:rsidR="00F6465A">
        <w:rPr>
          <w:rFonts w:ascii="Arial" w:hAnsi="Arial" w:cs="Arial"/>
          <w:szCs w:val="20"/>
        </w:rPr>
        <w:t>2.55</w:t>
      </w:r>
      <w:r>
        <w:rPr>
          <w:rFonts w:ascii="Arial" w:hAnsi="Arial" w:cs="Arial"/>
          <w:szCs w:val="20"/>
        </w:rPr>
        <w:t xml:space="preserve"> and terms of five years.  The Company also issued 20,000 RSUs with vesting over two years to an advisor.</w:t>
      </w:r>
    </w:p>
    <w:p w14:paraId="0D34B7E9" w14:textId="67790EEB" w:rsidR="00840AF4" w:rsidRDefault="00840AF4" w:rsidP="00B14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p>
    <w:p w14:paraId="1AA1AFB2" w14:textId="77777777" w:rsidR="002578B6" w:rsidRDefault="002578B6">
      <w:pPr>
        <w:rPr>
          <w:rFonts w:ascii="Arial" w:hAnsi="Arial" w:cs="Arial"/>
          <w:b/>
          <w:szCs w:val="20"/>
        </w:rPr>
      </w:pPr>
      <w:r>
        <w:rPr>
          <w:rFonts w:ascii="Arial" w:hAnsi="Arial" w:cs="Arial"/>
          <w:b/>
          <w:szCs w:val="20"/>
        </w:rPr>
        <w:br w:type="page"/>
      </w:r>
    </w:p>
    <w:p w14:paraId="2F393FDB" w14:textId="42538EFF" w:rsidR="002578B6" w:rsidRPr="00B10E2C" w:rsidRDefault="002578B6" w:rsidP="002578B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Cs/>
          <w:szCs w:val="20"/>
        </w:rPr>
      </w:pPr>
      <w:r w:rsidRPr="00B10E2C">
        <w:rPr>
          <w:rFonts w:ascii="Arial" w:hAnsi="Arial" w:cs="Arial"/>
          <w:b/>
          <w:szCs w:val="20"/>
        </w:rPr>
        <w:lastRenderedPageBreak/>
        <w:t>22.</w:t>
      </w:r>
      <w:r w:rsidRPr="00B10E2C">
        <w:rPr>
          <w:rFonts w:ascii="Arial" w:hAnsi="Arial" w:cs="Arial"/>
          <w:b/>
          <w:szCs w:val="20"/>
        </w:rPr>
        <w:tab/>
        <w:t>Events After the Reporting Date</w:t>
      </w:r>
      <w:r>
        <w:rPr>
          <w:rFonts w:ascii="Arial" w:hAnsi="Arial" w:cs="Arial"/>
          <w:b/>
          <w:szCs w:val="20"/>
        </w:rPr>
        <w:t xml:space="preserve"> </w:t>
      </w:r>
      <w:r>
        <w:rPr>
          <w:rFonts w:ascii="Arial" w:hAnsi="Arial" w:cs="Arial"/>
          <w:bCs/>
          <w:szCs w:val="20"/>
        </w:rPr>
        <w:t>(continued)</w:t>
      </w:r>
    </w:p>
    <w:p w14:paraId="2A3E330D" w14:textId="77777777" w:rsidR="002578B6" w:rsidRPr="00B14849" w:rsidRDefault="002578B6" w:rsidP="00B14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p>
    <w:p w14:paraId="1B310DB7" w14:textId="49B686E6" w:rsidR="00B60259" w:rsidRPr="001250DF" w:rsidRDefault="00FA2113" w:rsidP="00B60259">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FA2113">
        <w:rPr>
          <w:rFonts w:ascii="Arial" w:hAnsi="Arial" w:cs="Arial"/>
          <w:szCs w:val="20"/>
        </w:rPr>
        <w:t xml:space="preserve">In May 2020, the Company issued a promissory note of US$200,000 to </w:t>
      </w:r>
      <w:proofErr w:type="spellStart"/>
      <w:r w:rsidRPr="00FA2113">
        <w:rPr>
          <w:rFonts w:ascii="Arial" w:hAnsi="Arial" w:cs="Arial"/>
          <w:szCs w:val="20"/>
        </w:rPr>
        <w:t>Altum</w:t>
      </w:r>
      <w:proofErr w:type="spellEnd"/>
      <w:r w:rsidR="001250DF">
        <w:rPr>
          <w:rFonts w:ascii="Arial" w:hAnsi="Arial" w:cs="Arial"/>
          <w:szCs w:val="20"/>
        </w:rPr>
        <w:t>, of which US$189,500 was advanced,</w:t>
      </w:r>
      <w:r w:rsidRPr="00FA2113">
        <w:rPr>
          <w:rFonts w:ascii="Arial" w:hAnsi="Arial" w:cs="Arial"/>
          <w:szCs w:val="20"/>
        </w:rPr>
        <w:t xml:space="preserve"> to advance on </w:t>
      </w:r>
      <w:r w:rsidRPr="00830BA5">
        <w:rPr>
          <w:rFonts w:ascii="Arial" w:hAnsi="Arial" w:cs="Arial"/>
          <w:szCs w:val="20"/>
        </w:rPr>
        <w:t>clinical activities related to the clinical trials (Note 2</w:t>
      </w:r>
      <w:r w:rsidR="00AE2808" w:rsidRPr="00830BA5">
        <w:rPr>
          <w:rFonts w:ascii="Arial" w:hAnsi="Arial" w:cs="Arial"/>
          <w:szCs w:val="20"/>
        </w:rPr>
        <w:t>2</w:t>
      </w:r>
      <w:r w:rsidRPr="00830BA5">
        <w:rPr>
          <w:rFonts w:ascii="Arial" w:hAnsi="Arial" w:cs="Arial"/>
          <w:szCs w:val="20"/>
        </w:rPr>
        <w:t>(</w:t>
      </w:r>
      <w:r w:rsidR="00AE2808" w:rsidRPr="00830BA5">
        <w:rPr>
          <w:rFonts w:ascii="Arial" w:hAnsi="Arial" w:cs="Arial"/>
          <w:szCs w:val="20"/>
        </w:rPr>
        <w:t>b</w:t>
      </w:r>
      <w:r w:rsidRPr="00830BA5">
        <w:rPr>
          <w:rFonts w:ascii="Arial" w:hAnsi="Arial" w:cs="Arial"/>
          <w:szCs w:val="20"/>
        </w:rPr>
        <w:t>)).  The promissory note is due on the earlier of (</w:t>
      </w:r>
      <w:proofErr w:type="spellStart"/>
      <w:r w:rsidRPr="00830BA5">
        <w:rPr>
          <w:rFonts w:ascii="Arial" w:hAnsi="Arial" w:cs="Arial"/>
          <w:szCs w:val="20"/>
        </w:rPr>
        <w:t>i</w:t>
      </w:r>
      <w:proofErr w:type="spellEnd"/>
      <w:r w:rsidRPr="00830BA5">
        <w:rPr>
          <w:rFonts w:ascii="Arial" w:hAnsi="Arial" w:cs="Arial"/>
          <w:szCs w:val="20"/>
        </w:rPr>
        <w:t xml:space="preserve">) </w:t>
      </w:r>
      <w:r w:rsidR="00960CA4" w:rsidRPr="00830BA5">
        <w:rPr>
          <w:rFonts w:ascii="Arial" w:hAnsi="Arial" w:cs="Arial"/>
          <w:szCs w:val="20"/>
        </w:rPr>
        <w:t>July 31, 2020</w:t>
      </w:r>
      <w:r w:rsidR="00B10E2C" w:rsidRPr="00830BA5">
        <w:rPr>
          <w:rFonts w:ascii="Arial" w:hAnsi="Arial" w:cs="Arial"/>
          <w:szCs w:val="20"/>
        </w:rPr>
        <w:t xml:space="preserve"> (amended from J</w:t>
      </w:r>
      <w:r w:rsidRPr="00830BA5">
        <w:rPr>
          <w:rFonts w:ascii="Arial" w:hAnsi="Arial" w:cs="Arial"/>
          <w:szCs w:val="20"/>
        </w:rPr>
        <w:t>une 15, 2020</w:t>
      </w:r>
      <w:r w:rsidR="00B10E2C" w:rsidRPr="00830BA5">
        <w:rPr>
          <w:rFonts w:ascii="Arial" w:hAnsi="Arial" w:cs="Arial"/>
          <w:szCs w:val="20"/>
        </w:rPr>
        <w:t>)</w:t>
      </w:r>
      <w:r w:rsidRPr="00830BA5">
        <w:rPr>
          <w:rFonts w:ascii="Arial" w:hAnsi="Arial" w:cs="Arial"/>
          <w:szCs w:val="20"/>
        </w:rPr>
        <w:t>, (ii) the termination of the Transaction (Note 2</w:t>
      </w:r>
      <w:r w:rsidR="00681859" w:rsidRPr="00830BA5">
        <w:rPr>
          <w:rFonts w:ascii="Arial" w:hAnsi="Arial" w:cs="Arial"/>
          <w:szCs w:val="20"/>
        </w:rPr>
        <w:t>2</w:t>
      </w:r>
      <w:r w:rsidRPr="00830BA5">
        <w:rPr>
          <w:rFonts w:ascii="Arial" w:hAnsi="Arial" w:cs="Arial"/>
          <w:szCs w:val="20"/>
        </w:rPr>
        <w:t>(</w:t>
      </w:r>
      <w:r w:rsidR="00AE2808" w:rsidRPr="00830BA5">
        <w:rPr>
          <w:rFonts w:ascii="Arial" w:hAnsi="Arial" w:cs="Arial"/>
          <w:szCs w:val="20"/>
        </w:rPr>
        <w:t>b</w:t>
      </w:r>
      <w:r w:rsidRPr="00830BA5">
        <w:rPr>
          <w:rFonts w:ascii="Arial" w:hAnsi="Arial" w:cs="Arial"/>
          <w:szCs w:val="20"/>
        </w:rPr>
        <w:t>)) or (iii) the second business day following the date that the Company demands repayment</w:t>
      </w:r>
      <w:r w:rsidRPr="00FA2113">
        <w:rPr>
          <w:rFonts w:ascii="Arial" w:hAnsi="Arial" w:cs="Arial"/>
          <w:szCs w:val="20"/>
        </w:rPr>
        <w:t xml:space="preserve">.  If the Transaction is completed in accordance with its terms, </w:t>
      </w:r>
      <w:r>
        <w:rPr>
          <w:rFonts w:ascii="Arial" w:hAnsi="Arial" w:cs="Arial"/>
          <w:szCs w:val="20"/>
        </w:rPr>
        <w:t xml:space="preserve">the promissory note is non-interest bearing </w:t>
      </w:r>
      <w:r w:rsidRPr="00FA2113">
        <w:rPr>
          <w:rFonts w:ascii="Arial" w:hAnsi="Arial" w:cs="Arial"/>
          <w:szCs w:val="20"/>
        </w:rPr>
        <w:t xml:space="preserve">and the amounts outstanding shall offset (reduce) the amounts payable by </w:t>
      </w:r>
      <w:r>
        <w:rPr>
          <w:rFonts w:ascii="Arial" w:hAnsi="Arial" w:cs="Arial"/>
          <w:szCs w:val="20"/>
        </w:rPr>
        <w:t>the Company</w:t>
      </w:r>
      <w:r w:rsidRPr="00FA2113">
        <w:rPr>
          <w:rFonts w:ascii="Arial" w:hAnsi="Arial" w:cs="Arial"/>
          <w:szCs w:val="20"/>
        </w:rPr>
        <w:t xml:space="preserve"> under the Transaction.</w:t>
      </w:r>
      <w:r>
        <w:rPr>
          <w:rFonts w:ascii="Arial" w:hAnsi="Arial" w:cs="Arial"/>
          <w:szCs w:val="20"/>
        </w:rPr>
        <w:t xml:space="preserve">  </w:t>
      </w:r>
      <w:r w:rsidRPr="00FA2113">
        <w:rPr>
          <w:rFonts w:ascii="Arial" w:hAnsi="Arial" w:cs="Arial"/>
          <w:szCs w:val="20"/>
        </w:rPr>
        <w:t xml:space="preserve">If </w:t>
      </w:r>
      <w:r>
        <w:rPr>
          <w:rFonts w:ascii="Arial" w:hAnsi="Arial" w:cs="Arial"/>
          <w:szCs w:val="20"/>
        </w:rPr>
        <w:t>the</w:t>
      </w:r>
      <w:r w:rsidRPr="00FA2113">
        <w:rPr>
          <w:rFonts w:ascii="Arial" w:hAnsi="Arial" w:cs="Arial"/>
          <w:szCs w:val="20"/>
        </w:rPr>
        <w:t xml:space="preserve"> Transaction is not completed in accordance with its terms or if the Transaction is terminated,  </w:t>
      </w:r>
      <w:proofErr w:type="spellStart"/>
      <w:r>
        <w:rPr>
          <w:rFonts w:ascii="Arial" w:hAnsi="Arial" w:cs="Arial"/>
          <w:szCs w:val="20"/>
        </w:rPr>
        <w:t>Altum</w:t>
      </w:r>
      <w:proofErr w:type="spellEnd"/>
      <w:r w:rsidRPr="00FA2113">
        <w:rPr>
          <w:rFonts w:ascii="Arial" w:hAnsi="Arial" w:cs="Arial"/>
          <w:szCs w:val="20"/>
        </w:rPr>
        <w:t xml:space="preserve"> shall pay to </w:t>
      </w:r>
      <w:r>
        <w:rPr>
          <w:rFonts w:ascii="Arial" w:hAnsi="Arial" w:cs="Arial"/>
          <w:szCs w:val="20"/>
        </w:rPr>
        <w:t>the Company</w:t>
      </w:r>
      <w:r w:rsidRPr="00FA2113">
        <w:rPr>
          <w:rFonts w:ascii="Arial" w:hAnsi="Arial" w:cs="Arial"/>
          <w:szCs w:val="20"/>
        </w:rPr>
        <w:t xml:space="preserve"> interest on the </w:t>
      </w:r>
      <w:r w:rsidRPr="001250DF">
        <w:rPr>
          <w:rFonts w:ascii="Arial" w:hAnsi="Arial" w:cs="Arial"/>
          <w:szCs w:val="20"/>
        </w:rPr>
        <w:t>outstanding principal amount and on the amount of overdue interest thereon from time to time at the rate of 10% per annum.</w:t>
      </w:r>
    </w:p>
    <w:p w14:paraId="5C3CCD59" w14:textId="77777777" w:rsidR="00B60259" w:rsidRPr="001250DF" w:rsidRDefault="00B60259" w:rsidP="00EE4151">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24DD2DE5" w14:textId="39A0F521" w:rsidR="009C0359" w:rsidRPr="00AE2808" w:rsidRDefault="001250DF" w:rsidP="00EE4151">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pPr>
      <w:bookmarkStart w:id="9" w:name="_Hlk43999311"/>
      <w:r>
        <w:rPr>
          <w:rFonts w:ascii="Arial" w:hAnsi="Arial" w:cs="Arial"/>
          <w:szCs w:val="20"/>
        </w:rPr>
        <w:t>In May 2020</w:t>
      </w:r>
      <w:r w:rsidR="00B60259" w:rsidRPr="001250DF">
        <w:rPr>
          <w:rFonts w:ascii="Arial" w:hAnsi="Arial" w:cs="Arial"/>
          <w:szCs w:val="20"/>
        </w:rPr>
        <w:t xml:space="preserve">, the Company secured “hard” lock-up agreements from shareholders of </w:t>
      </w:r>
      <w:proofErr w:type="spellStart"/>
      <w:r w:rsidR="00B60259" w:rsidRPr="001250DF">
        <w:rPr>
          <w:rFonts w:ascii="Arial" w:hAnsi="Arial" w:cs="Arial"/>
          <w:szCs w:val="20"/>
        </w:rPr>
        <w:t>Altum</w:t>
      </w:r>
      <w:proofErr w:type="spellEnd"/>
      <w:r w:rsidR="00B60259" w:rsidRPr="001250DF">
        <w:rPr>
          <w:rFonts w:ascii="Arial" w:hAnsi="Arial" w:cs="Arial"/>
          <w:szCs w:val="20"/>
        </w:rPr>
        <w:t xml:space="preserve"> representing </w:t>
      </w:r>
      <w:r w:rsidR="00A02267">
        <w:rPr>
          <w:rFonts w:ascii="Arial" w:hAnsi="Arial" w:cs="Arial"/>
          <w:szCs w:val="20"/>
        </w:rPr>
        <w:t>67.45</w:t>
      </w:r>
      <w:r w:rsidR="00B60259" w:rsidRPr="00B14849">
        <w:rPr>
          <w:rFonts w:ascii="Arial" w:hAnsi="Arial" w:cs="Arial"/>
          <w:szCs w:val="20"/>
        </w:rPr>
        <w:t>%</w:t>
      </w:r>
      <w:r w:rsidR="00B60259" w:rsidRPr="001250DF">
        <w:rPr>
          <w:rFonts w:ascii="Arial" w:hAnsi="Arial" w:cs="Arial"/>
          <w:szCs w:val="20"/>
        </w:rPr>
        <w:t xml:space="preserve"> of the outstanding common shares of </w:t>
      </w:r>
      <w:proofErr w:type="spellStart"/>
      <w:r w:rsidR="00B60259" w:rsidRPr="001250DF">
        <w:rPr>
          <w:rFonts w:ascii="Arial" w:hAnsi="Arial" w:cs="Arial"/>
          <w:szCs w:val="20"/>
        </w:rPr>
        <w:t>Altum</w:t>
      </w:r>
      <w:proofErr w:type="spellEnd"/>
      <w:r w:rsidR="00B60259" w:rsidRPr="001250DF">
        <w:rPr>
          <w:rFonts w:ascii="Arial" w:hAnsi="Arial" w:cs="Arial"/>
          <w:szCs w:val="20"/>
        </w:rPr>
        <w:t xml:space="preserve">.  </w:t>
      </w:r>
      <w:bookmarkStart w:id="10" w:name="_Hlk43992774"/>
      <w:r w:rsidR="00AE2808">
        <w:rPr>
          <w:rFonts w:ascii="Arial" w:hAnsi="Arial" w:cs="Arial"/>
          <w:szCs w:val="20"/>
        </w:rPr>
        <w:t xml:space="preserve">Pursuant to these “hard” lock-up agreements, the Company </w:t>
      </w:r>
      <w:r w:rsidR="00AE2808" w:rsidRPr="00AE2808">
        <w:rPr>
          <w:rFonts w:ascii="Arial" w:hAnsi="Arial" w:cs="Arial"/>
          <w:szCs w:val="20"/>
        </w:rPr>
        <w:t xml:space="preserve">entered into an exclusivity agreement with </w:t>
      </w:r>
      <w:proofErr w:type="spellStart"/>
      <w:r w:rsidR="00AE2808" w:rsidRPr="00AE2808">
        <w:rPr>
          <w:rFonts w:ascii="Arial" w:hAnsi="Arial" w:cs="Arial"/>
          <w:szCs w:val="20"/>
        </w:rPr>
        <w:t>Altum</w:t>
      </w:r>
      <w:proofErr w:type="spellEnd"/>
      <w:r w:rsidR="00AE2808" w:rsidRPr="00AE2808">
        <w:rPr>
          <w:rFonts w:ascii="Arial" w:hAnsi="Arial" w:cs="Arial"/>
          <w:szCs w:val="20"/>
        </w:rPr>
        <w:t xml:space="preserve"> to work towards finalizing a mutually acceptable definitive agreement for the “merger of equals” transaction</w:t>
      </w:r>
      <w:bookmarkEnd w:id="9"/>
      <w:bookmarkEnd w:id="10"/>
      <w:r w:rsidR="00B60259" w:rsidRPr="001250DF">
        <w:rPr>
          <w:rFonts w:ascii="Arial" w:hAnsi="Arial" w:cs="Arial"/>
          <w:szCs w:val="20"/>
        </w:rPr>
        <w:t>.</w:t>
      </w:r>
    </w:p>
    <w:p w14:paraId="08A3F083" w14:textId="77777777" w:rsidR="00AE2808" w:rsidRDefault="00AE2808" w:rsidP="00AE2808">
      <w:pPr>
        <w:pStyle w:val="ListParagraph"/>
      </w:pPr>
    </w:p>
    <w:p w14:paraId="1DD17C8D" w14:textId="6EE8BEBD" w:rsidR="00AE2808" w:rsidRDefault="008B3E65" w:rsidP="00EE4151">
      <w:pPr>
        <w:pStyle w:val="ListParagraph"/>
        <w:numPr>
          <w:ilvl w:val="0"/>
          <w:numId w:val="4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rPr>
      </w:pPr>
      <w:bookmarkStart w:id="11" w:name="_Hlk43992547"/>
      <w:r>
        <w:rPr>
          <w:rFonts w:ascii="Arial" w:hAnsi="Arial" w:cs="Arial"/>
        </w:rPr>
        <w:t>In June 2020, t</w:t>
      </w:r>
      <w:r w:rsidR="00AE2808">
        <w:rPr>
          <w:rFonts w:ascii="Arial" w:hAnsi="Arial" w:cs="Arial"/>
        </w:rPr>
        <w:t xml:space="preserve">he Company </w:t>
      </w:r>
      <w:r>
        <w:rPr>
          <w:rFonts w:ascii="Arial" w:hAnsi="Arial" w:cs="Arial"/>
        </w:rPr>
        <w:t>effected</w:t>
      </w:r>
      <w:r w:rsidR="00AE2808">
        <w:rPr>
          <w:rFonts w:ascii="Arial" w:hAnsi="Arial" w:cs="Arial"/>
        </w:rPr>
        <w:t xml:space="preserve"> a consolidation of its</w:t>
      </w:r>
      <w:r>
        <w:rPr>
          <w:rFonts w:ascii="Arial" w:hAnsi="Arial" w:cs="Arial"/>
        </w:rPr>
        <w:t xml:space="preserve"> </w:t>
      </w:r>
      <w:r w:rsidRPr="00F60034">
        <w:rPr>
          <w:rFonts w:ascii="Arial" w:hAnsi="Arial" w:cs="Arial"/>
          <w:szCs w:val="20"/>
        </w:rPr>
        <w:t>issued and outstanding</w:t>
      </w:r>
      <w:r w:rsidR="00AE2808">
        <w:rPr>
          <w:rFonts w:ascii="Arial" w:hAnsi="Arial" w:cs="Arial"/>
        </w:rPr>
        <w:t xml:space="preserve"> common shares on a ten (10) old for one (1) new common share.</w:t>
      </w:r>
      <w:r>
        <w:rPr>
          <w:rFonts w:ascii="Arial" w:hAnsi="Arial" w:cs="Arial"/>
        </w:rPr>
        <w:t xml:space="preserve">  </w:t>
      </w:r>
      <w:r w:rsidRPr="008B3E65">
        <w:rPr>
          <w:rFonts w:ascii="Arial" w:hAnsi="Arial" w:cs="Arial"/>
        </w:rPr>
        <w:t>The exercise or conversion price and the number of common shares issuable under the Company's outstanding warrants</w:t>
      </w:r>
      <w:r>
        <w:rPr>
          <w:rFonts w:ascii="Arial" w:hAnsi="Arial" w:cs="Arial"/>
        </w:rPr>
        <w:t>, RSUs, PSUs</w:t>
      </w:r>
      <w:r w:rsidRPr="008B3E65">
        <w:rPr>
          <w:rFonts w:ascii="Arial" w:hAnsi="Arial" w:cs="Arial"/>
        </w:rPr>
        <w:t xml:space="preserve"> and options have been proportionately adjusted to reflect the </w:t>
      </w:r>
      <w:r>
        <w:rPr>
          <w:rFonts w:ascii="Arial" w:hAnsi="Arial" w:cs="Arial"/>
        </w:rPr>
        <w:t>c</w:t>
      </w:r>
      <w:r w:rsidRPr="008B3E65">
        <w:rPr>
          <w:rFonts w:ascii="Arial" w:hAnsi="Arial" w:cs="Arial"/>
        </w:rPr>
        <w:t>onsolidation</w:t>
      </w:r>
      <w:bookmarkEnd w:id="11"/>
      <w:r>
        <w:rPr>
          <w:rFonts w:ascii="Arial" w:hAnsi="Arial" w:cs="Arial"/>
        </w:rPr>
        <w:t>.</w:t>
      </w:r>
    </w:p>
    <w:p w14:paraId="755C046C" w14:textId="77777777" w:rsidR="00B10E2C" w:rsidRPr="00AE2808" w:rsidRDefault="00B10E2C" w:rsidP="00B10E2C">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rPr>
      </w:pPr>
    </w:p>
    <w:p w14:paraId="4F5408A2" w14:textId="11BECE14" w:rsidR="00012E41" w:rsidRPr="00012E41" w:rsidRDefault="00BD31CE"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3A3456">
        <w:rPr>
          <w:rFonts w:ascii="Arial" w:hAnsi="Arial" w:cs="Arial"/>
          <w:b/>
          <w:szCs w:val="20"/>
        </w:rPr>
        <w:t>2</w:t>
      </w:r>
      <w:r w:rsidR="00B10E2C">
        <w:rPr>
          <w:rFonts w:ascii="Arial" w:hAnsi="Arial" w:cs="Arial"/>
          <w:b/>
          <w:szCs w:val="20"/>
        </w:rPr>
        <w:t>3</w:t>
      </w:r>
      <w:r w:rsidR="00012E41" w:rsidRPr="003A3456">
        <w:rPr>
          <w:rFonts w:ascii="Arial" w:hAnsi="Arial" w:cs="Arial"/>
          <w:b/>
          <w:szCs w:val="20"/>
        </w:rPr>
        <w:t>.</w:t>
      </w:r>
      <w:r w:rsidR="00012E41" w:rsidRPr="003A3456">
        <w:rPr>
          <w:rFonts w:ascii="Arial" w:hAnsi="Arial" w:cs="Arial"/>
          <w:b/>
          <w:szCs w:val="20"/>
        </w:rPr>
        <w:tab/>
      </w:r>
      <w:r w:rsidR="00B10E2C">
        <w:rPr>
          <w:rFonts w:ascii="Arial" w:hAnsi="Arial" w:cs="Arial"/>
          <w:b/>
          <w:szCs w:val="20"/>
        </w:rPr>
        <w:t>Reconciliation from US GAAP</w:t>
      </w:r>
      <w:r w:rsidR="00012E41" w:rsidRPr="003A3456">
        <w:rPr>
          <w:rFonts w:ascii="Arial" w:hAnsi="Arial" w:cs="Arial"/>
          <w:b/>
          <w:szCs w:val="20"/>
        </w:rPr>
        <w:t xml:space="preserve"> to IFRS</w:t>
      </w:r>
    </w:p>
    <w:p w14:paraId="65DC0026" w14:textId="77777777" w:rsidR="00012E41" w:rsidRPr="00012E41" w:rsidRDefault="00012E41"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0A962C96" w14:textId="27466284" w:rsidR="00020199" w:rsidRDefault="002F423E" w:rsidP="007B5B1C">
      <w:pPr>
        <w:pStyle w:val="ListParagraph"/>
        <w:spacing w:after="0" w:line="240" w:lineRule="auto"/>
        <w:ind w:left="450" w:right="75"/>
        <w:jc w:val="both"/>
        <w:rPr>
          <w:rFonts w:ascii="Arial" w:hAnsi="Arial" w:cs="Arial"/>
          <w:szCs w:val="20"/>
        </w:rPr>
      </w:pPr>
      <w:r>
        <w:rPr>
          <w:rFonts w:ascii="Arial" w:hAnsi="Arial" w:cs="Arial"/>
          <w:szCs w:val="20"/>
        </w:rPr>
        <w:t xml:space="preserve">The Company’s first IFRS financial statements were prepared for the year ended January 31, 2020, which included an opening IFRS statement of financial position as at February 1, 2018 for the purposes of the transition to IFRS, as required by IFRS 1 “First-Time Adoption of International Financial Reporting Standards” (“IFRS 1”) and disclosures required for the impact of transition from </w:t>
      </w:r>
      <w:r w:rsidRPr="00843670">
        <w:rPr>
          <w:rFonts w:ascii="Arial" w:hAnsi="Arial" w:cs="Arial"/>
          <w:szCs w:val="20"/>
        </w:rPr>
        <w:t>United States Generally Accepted Accounting Principles</w:t>
      </w:r>
      <w:r>
        <w:rPr>
          <w:rFonts w:ascii="Arial" w:hAnsi="Arial" w:cs="Arial"/>
          <w:szCs w:val="20"/>
        </w:rPr>
        <w:t xml:space="preserve"> (“U.S. GAAP”) to IFRS.</w:t>
      </w:r>
    </w:p>
    <w:p w14:paraId="3FD520BF" w14:textId="77777777" w:rsidR="00020199" w:rsidRDefault="00020199" w:rsidP="007B5B1C">
      <w:pPr>
        <w:pStyle w:val="ListParagraph"/>
        <w:spacing w:after="0" w:line="240" w:lineRule="auto"/>
        <w:ind w:left="450" w:right="75"/>
        <w:jc w:val="both"/>
        <w:rPr>
          <w:rFonts w:ascii="Arial" w:hAnsi="Arial" w:cs="Arial"/>
          <w:szCs w:val="20"/>
        </w:rPr>
      </w:pPr>
    </w:p>
    <w:p w14:paraId="6E5614E1" w14:textId="68534607" w:rsidR="00020199" w:rsidRDefault="002F423E" w:rsidP="00020199">
      <w:pPr>
        <w:pStyle w:val="ListParagraph"/>
        <w:spacing w:after="0" w:line="240" w:lineRule="auto"/>
        <w:ind w:left="450" w:right="75"/>
        <w:jc w:val="both"/>
        <w:rPr>
          <w:rFonts w:ascii="Arial" w:hAnsi="Arial" w:cs="Arial"/>
          <w:szCs w:val="20"/>
        </w:rPr>
      </w:pPr>
      <w:r>
        <w:rPr>
          <w:rFonts w:ascii="Arial" w:hAnsi="Arial" w:cs="Arial"/>
          <w:szCs w:val="20"/>
        </w:rPr>
        <w:t>The Company’s</w:t>
      </w:r>
      <w:r w:rsidR="00830BA5">
        <w:rPr>
          <w:rFonts w:ascii="Arial" w:hAnsi="Arial" w:cs="Arial"/>
          <w:szCs w:val="20"/>
        </w:rPr>
        <w:t xml:space="preserve"> condensed</w:t>
      </w:r>
      <w:r>
        <w:rPr>
          <w:rFonts w:ascii="Arial" w:hAnsi="Arial" w:cs="Arial"/>
          <w:szCs w:val="20"/>
        </w:rPr>
        <w:t xml:space="preserve"> consolidated interim financial statements for the </w:t>
      </w:r>
      <w:r w:rsidR="008772F7">
        <w:rPr>
          <w:rFonts w:ascii="Arial" w:hAnsi="Arial" w:cs="Arial"/>
          <w:szCs w:val="20"/>
        </w:rPr>
        <w:t>period</w:t>
      </w:r>
      <w:r>
        <w:rPr>
          <w:rFonts w:ascii="Arial" w:hAnsi="Arial" w:cs="Arial"/>
          <w:szCs w:val="20"/>
        </w:rPr>
        <w:t xml:space="preserve"> ended April 30, 2019 were prepared under U</w:t>
      </w:r>
      <w:r w:rsidR="008772F7">
        <w:rPr>
          <w:rFonts w:ascii="Arial" w:hAnsi="Arial" w:cs="Arial"/>
          <w:szCs w:val="20"/>
        </w:rPr>
        <w:t>.</w:t>
      </w:r>
      <w:r>
        <w:rPr>
          <w:rFonts w:ascii="Arial" w:hAnsi="Arial" w:cs="Arial"/>
          <w:szCs w:val="20"/>
        </w:rPr>
        <w:t>S</w:t>
      </w:r>
      <w:r w:rsidR="008772F7">
        <w:rPr>
          <w:rFonts w:ascii="Arial" w:hAnsi="Arial" w:cs="Arial"/>
          <w:szCs w:val="20"/>
        </w:rPr>
        <w:t>.</w:t>
      </w:r>
      <w:r>
        <w:rPr>
          <w:rFonts w:ascii="Arial" w:hAnsi="Arial" w:cs="Arial"/>
          <w:szCs w:val="20"/>
        </w:rPr>
        <w:t xml:space="preserve"> GAAP</w:t>
      </w:r>
      <w:r w:rsidR="00020199" w:rsidRPr="00020199">
        <w:rPr>
          <w:rFonts w:ascii="Arial" w:hAnsi="Arial" w:cs="Arial"/>
          <w:szCs w:val="20"/>
        </w:rPr>
        <w:t>.</w:t>
      </w:r>
    </w:p>
    <w:p w14:paraId="2B57E201" w14:textId="65860F69" w:rsidR="002F423E" w:rsidRDefault="002F423E" w:rsidP="00020199">
      <w:pPr>
        <w:pStyle w:val="ListParagraph"/>
        <w:spacing w:after="0" w:line="240" w:lineRule="auto"/>
        <w:ind w:left="450" w:right="75"/>
        <w:jc w:val="both"/>
        <w:rPr>
          <w:rFonts w:ascii="Arial" w:hAnsi="Arial" w:cs="Arial"/>
          <w:szCs w:val="20"/>
        </w:rPr>
      </w:pPr>
    </w:p>
    <w:p w14:paraId="630A212F" w14:textId="1B90287F" w:rsidR="002F423E" w:rsidRDefault="002F423E" w:rsidP="00020199">
      <w:pPr>
        <w:pStyle w:val="ListParagraph"/>
        <w:spacing w:after="0" w:line="240" w:lineRule="auto"/>
        <w:ind w:left="450" w:right="75"/>
        <w:jc w:val="both"/>
        <w:rPr>
          <w:rFonts w:ascii="Arial" w:hAnsi="Arial" w:cs="Arial"/>
          <w:szCs w:val="20"/>
        </w:rPr>
      </w:pPr>
      <w:r>
        <w:rPr>
          <w:rFonts w:ascii="Arial" w:hAnsi="Arial" w:cs="Arial"/>
          <w:szCs w:val="20"/>
        </w:rPr>
        <w:t xml:space="preserve">The table below present </w:t>
      </w:r>
      <w:r w:rsidR="008772F7">
        <w:rPr>
          <w:rFonts w:ascii="Arial" w:hAnsi="Arial" w:cs="Arial"/>
          <w:szCs w:val="20"/>
        </w:rPr>
        <w:t xml:space="preserve">a </w:t>
      </w:r>
      <w:r>
        <w:rPr>
          <w:rFonts w:ascii="Arial" w:hAnsi="Arial" w:cs="Arial"/>
          <w:szCs w:val="20"/>
        </w:rPr>
        <w:t xml:space="preserve">reconciliation of comprehensive loss from the Company’s previously filed </w:t>
      </w:r>
      <w:r w:rsidR="008772F7">
        <w:rPr>
          <w:rFonts w:ascii="Arial" w:hAnsi="Arial" w:cs="Arial"/>
          <w:szCs w:val="20"/>
        </w:rPr>
        <w:t xml:space="preserve">U.S. GAAP </w:t>
      </w:r>
      <w:r w:rsidR="00830BA5">
        <w:rPr>
          <w:rFonts w:ascii="Arial" w:hAnsi="Arial" w:cs="Arial"/>
          <w:szCs w:val="20"/>
        </w:rPr>
        <w:t xml:space="preserve">condensed </w:t>
      </w:r>
      <w:r w:rsidR="008772F7">
        <w:rPr>
          <w:rFonts w:ascii="Arial" w:hAnsi="Arial" w:cs="Arial"/>
          <w:szCs w:val="20"/>
        </w:rPr>
        <w:t>consolidated interim financial statements for the period ended April 30, 2019:</w:t>
      </w:r>
    </w:p>
    <w:p w14:paraId="275CFDB0" w14:textId="77777777" w:rsidR="00020199" w:rsidRDefault="00020199" w:rsidP="00020199">
      <w:pPr>
        <w:pStyle w:val="ListParagraph"/>
        <w:spacing w:after="0" w:line="240" w:lineRule="auto"/>
        <w:ind w:left="450" w:right="75"/>
        <w:jc w:val="both"/>
        <w:rPr>
          <w:rFonts w:ascii="Arial" w:hAnsi="Arial" w:cs="Arial"/>
          <w:szCs w:val="20"/>
        </w:rPr>
      </w:pPr>
    </w:p>
    <w:tbl>
      <w:tblPr>
        <w:tblW w:w="8910" w:type="dxa"/>
        <w:tblInd w:w="450" w:type="dxa"/>
        <w:tblLayout w:type="fixed"/>
        <w:tblCellMar>
          <w:left w:w="0" w:type="dxa"/>
          <w:bottom w:w="29" w:type="dxa"/>
          <w:right w:w="0" w:type="dxa"/>
        </w:tblCellMar>
        <w:tblLook w:val="0000" w:firstRow="0" w:lastRow="0" w:firstColumn="0" w:lastColumn="0" w:noHBand="0" w:noVBand="0"/>
      </w:tblPr>
      <w:tblGrid>
        <w:gridCol w:w="4140"/>
        <w:gridCol w:w="1585"/>
        <w:gridCol w:w="1295"/>
        <w:gridCol w:w="1890"/>
      </w:tblGrid>
      <w:tr w:rsidR="008970CA" w:rsidRPr="006D4677" w14:paraId="27E09C0E" w14:textId="77777777" w:rsidTr="008772F7">
        <w:tc>
          <w:tcPr>
            <w:tcW w:w="4140" w:type="dxa"/>
            <w:tcBorders>
              <w:bottom w:val="single" w:sz="2" w:space="0" w:color="auto"/>
            </w:tcBorders>
            <w:vAlign w:val="bottom"/>
          </w:tcPr>
          <w:p w14:paraId="5ADD545C" w14:textId="77777777" w:rsidR="008970CA" w:rsidRPr="006D4677" w:rsidRDefault="008970CA" w:rsidP="008970CA">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47DA977D" w14:textId="5630B120" w:rsidR="008970CA" w:rsidRPr="00444871" w:rsidRDefault="008970CA" w:rsidP="008970CA">
            <w:pPr>
              <w:spacing w:after="0" w:line="240" w:lineRule="auto"/>
              <w:jc w:val="center"/>
              <w:rPr>
                <w:rFonts w:ascii="Arial" w:hAnsi="Arial" w:cs="Arial"/>
                <w:szCs w:val="20"/>
              </w:rPr>
            </w:pPr>
          </w:p>
        </w:tc>
        <w:tc>
          <w:tcPr>
            <w:tcW w:w="1295" w:type="dxa"/>
            <w:tcBorders>
              <w:bottom w:val="single" w:sz="2" w:space="0" w:color="auto"/>
            </w:tcBorders>
            <w:shd w:val="clear" w:color="auto" w:fill="auto"/>
            <w:vAlign w:val="bottom"/>
          </w:tcPr>
          <w:p w14:paraId="2077B182" w14:textId="2507F0BE" w:rsidR="008970CA" w:rsidRPr="00CE65C1" w:rsidRDefault="008970CA" w:rsidP="008970CA">
            <w:pPr>
              <w:tabs>
                <w:tab w:val="left" w:pos="7272"/>
                <w:tab w:val="decimal" w:pos="8136"/>
                <w:tab w:val="left" w:pos="8496"/>
                <w:tab w:val="decimal" w:pos="9360"/>
              </w:tabs>
              <w:spacing w:after="0"/>
              <w:ind w:right="29"/>
              <w:jc w:val="center"/>
              <w:rPr>
                <w:rFonts w:ascii="Arial" w:hAnsi="Arial" w:cs="Arial"/>
                <w:szCs w:val="20"/>
              </w:rPr>
            </w:pPr>
          </w:p>
        </w:tc>
        <w:tc>
          <w:tcPr>
            <w:tcW w:w="1890" w:type="dxa"/>
            <w:tcBorders>
              <w:bottom w:val="single" w:sz="2" w:space="0" w:color="auto"/>
            </w:tcBorders>
            <w:vAlign w:val="bottom"/>
          </w:tcPr>
          <w:p w14:paraId="172383BA" w14:textId="33954F96" w:rsidR="008970CA" w:rsidRDefault="008772F7" w:rsidP="008970CA">
            <w:pPr>
              <w:spacing w:after="0" w:line="240" w:lineRule="auto"/>
              <w:jc w:val="center"/>
              <w:rPr>
                <w:rFonts w:ascii="Arial" w:hAnsi="Arial" w:cs="Arial"/>
                <w:szCs w:val="20"/>
              </w:rPr>
            </w:pPr>
            <w:r>
              <w:rPr>
                <w:rFonts w:ascii="Arial" w:hAnsi="Arial" w:cs="Arial"/>
                <w:szCs w:val="20"/>
              </w:rPr>
              <w:t>Three Months</w:t>
            </w:r>
            <w:r w:rsidR="008970CA">
              <w:rPr>
                <w:rFonts w:ascii="Arial" w:hAnsi="Arial" w:cs="Arial"/>
                <w:szCs w:val="20"/>
              </w:rPr>
              <w:t xml:space="preserve"> Ended</w:t>
            </w:r>
          </w:p>
          <w:p w14:paraId="1D370B8B" w14:textId="13EBD25C" w:rsidR="008970CA" w:rsidRPr="00444871" w:rsidRDefault="008772F7" w:rsidP="008970CA">
            <w:pPr>
              <w:spacing w:after="0" w:line="240" w:lineRule="auto"/>
              <w:jc w:val="center"/>
              <w:rPr>
                <w:rFonts w:ascii="Arial" w:hAnsi="Arial" w:cs="Arial"/>
                <w:szCs w:val="20"/>
              </w:rPr>
            </w:pPr>
            <w:r>
              <w:rPr>
                <w:rFonts w:ascii="Arial" w:hAnsi="Arial" w:cs="Arial"/>
                <w:szCs w:val="20"/>
              </w:rPr>
              <w:t>April 30</w:t>
            </w:r>
            <w:r w:rsidR="008970CA" w:rsidRPr="00444871">
              <w:rPr>
                <w:rFonts w:ascii="Arial" w:hAnsi="Arial" w:cs="Arial"/>
                <w:szCs w:val="20"/>
              </w:rPr>
              <w:t>,</w:t>
            </w:r>
            <w:r>
              <w:rPr>
                <w:rFonts w:ascii="Arial" w:hAnsi="Arial" w:cs="Arial"/>
                <w:szCs w:val="20"/>
              </w:rPr>
              <w:t xml:space="preserve"> </w:t>
            </w:r>
            <w:r w:rsidR="008970CA" w:rsidRPr="00444871">
              <w:rPr>
                <w:rFonts w:ascii="Arial" w:hAnsi="Arial" w:cs="Arial"/>
                <w:szCs w:val="20"/>
              </w:rPr>
              <w:t>2019</w:t>
            </w:r>
          </w:p>
          <w:p w14:paraId="2E26CB6C" w14:textId="63C29C06" w:rsidR="008970CA" w:rsidRPr="00CE65C1" w:rsidRDefault="008970CA" w:rsidP="008970CA">
            <w:pPr>
              <w:spacing w:after="0" w:line="240" w:lineRule="auto"/>
              <w:jc w:val="center"/>
              <w:rPr>
                <w:rFonts w:ascii="Arial" w:hAnsi="Arial" w:cs="Arial"/>
                <w:szCs w:val="20"/>
              </w:rPr>
            </w:pPr>
            <w:r w:rsidRPr="00444871">
              <w:rPr>
                <w:rFonts w:ascii="Arial" w:hAnsi="Arial" w:cs="Arial"/>
                <w:szCs w:val="20"/>
              </w:rPr>
              <w:t>$</w:t>
            </w:r>
          </w:p>
        </w:tc>
      </w:tr>
      <w:tr w:rsidR="008970CA" w:rsidRPr="006D4677" w14:paraId="445436DA" w14:textId="77777777" w:rsidTr="008772F7">
        <w:tc>
          <w:tcPr>
            <w:tcW w:w="4140" w:type="dxa"/>
            <w:tcBorders>
              <w:top w:val="single" w:sz="2" w:space="0" w:color="auto"/>
            </w:tcBorders>
            <w:vAlign w:val="bottom"/>
          </w:tcPr>
          <w:p w14:paraId="6ECF80CD" w14:textId="03ED48C2" w:rsidR="008970CA" w:rsidRPr="006D4677" w:rsidRDefault="008970CA" w:rsidP="008970CA">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Comprehensive loss under U.S. GAAP</w:t>
            </w:r>
          </w:p>
        </w:tc>
        <w:tc>
          <w:tcPr>
            <w:tcW w:w="1585" w:type="dxa"/>
            <w:tcBorders>
              <w:top w:val="single" w:sz="2" w:space="0" w:color="auto"/>
            </w:tcBorders>
          </w:tcPr>
          <w:p w14:paraId="298D2FC3" w14:textId="3CAB73E1" w:rsidR="008970CA" w:rsidRPr="00444871" w:rsidRDefault="008970CA" w:rsidP="008970CA">
            <w:pPr>
              <w:tabs>
                <w:tab w:val="left" w:pos="7272"/>
                <w:tab w:val="decimal" w:pos="8136"/>
                <w:tab w:val="left" w:pos="8496"/>
                <w:tab w:val="decimal" w:pos="9360"/>
              </w:tabs>
              <w:spacing w:before="120" w:after="0"/>
              <w:ind w:right="29"/>
              <w:jc w:val="right"/>
              <w:rPr>
                <w:rFonts w:ascii="Arial" w:hAnsi="Arial" w:cs="Arial"/>
                <w:szCs w:val="20"/>
              </w:rPr>
            </w:pPr>
          </w:p>
        </w:tc>
        <w:tc>
          <w:tcPr>
            <w:tcW w:w="1295" w:type="dxa"/>
            <w:tcBorders>
              <w:top w:val="single" w:sz="2" w:space="0" w:color="auto"/>
            </w:tcBorders>
          </w:tcPr>
          <w:p w14:paraId="286E05E9" w14:textId="188943D3" w:rsidR="008970CA" w:rsidRPr="00444871" w:rsidRDefault="008970CA" w:rsidP="008970CA">
            <w:pPr>
              <w:tabs>
                <w:tab w:val="left" w:pos="7272"/>
                <w:tab w:val="decimal" w:pos="8136"/>
                <w:tab w:val="left" w:pos="8496"/>
                <w:tab w:val="decimal" w:pos="9360"/>
              </w:tabs>
              <w:spacing w:before="120" w:after="0"/>
              <w:ind w:right="29"/>
              <w:jc w:val="right"/>
              <w:rPr>
                <w:rFonts w:ascii="Arial" w:hAnsi="Arial" w:cs="Arial"/>
                <w:szCs w:val="20"/>
              </w:rPr>
            </w:pPr>
          </w:p>
        </w:tc>
        <w:tc>
          <w:tcPr>
            <w:tcW w:w="1890" w:type="dxa"/>
            <w:tcBorders>
              <w:top w:val="single" w:sz="2" w:space="0" w:color="auto"/>
            </w:tcBorders>
          </w:tcPr>
          <w:p w14:paraId="161E96EB" w14:textId="786BA6B7" w:rsidR="008970CA" w:rsidRDefault="00681859" w:rsidP="008970CA">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1,995,839</w:t>
            </w:r>
          </w:p>
        </w:tc>
      </w:tr>
      <w:tr w:rsidR="008970CA" w:rsidRPr="006D4677" w14:paraId="79E9F92C" w14:textId="77777777" w:rsidTr="008772F7">
        <w:tc>
          <w:tcPr>
            <w:tcW w:w="4140" w:type="dxa"/>
            <w:vAlign w:val="bottom"/>
          </w:tcPr>
          <w:p w14:paraId="6DC91206" w14:textId="3A383F5E" w:rsidR="008970CA" w:rsidRPr="006D4677" w:rsidRDefault="008970CA" w:rsidP="008970CA">
            <w:pPr>
              <w:tabs>
                <w:tab w:val="left" w:pos="7272"/>
                <w:tab w:val="decimal" w:pos="8136"/>
                <w:tab w:val="left" w:pos="8496"/>
                <w:tab w:val="decimal" w:pos="9360"/>
              </w:tabs>
              <w:spacing w:after="0"/>
              <w:rPr>
                <w:rFonts w:ascii="Arial" w:hAnsi="Arial" w:cs="Arial"/>
                <w:szCs w:val="20"/>
              </w:rPr>
            </w:pPr>
            <w:r>
              <w:rPr>
                <w:rFonts w:ascii="Arial" w:hAnsi="Arial" w:cs="Arial"/>
                <w:szCs w:val="20"/>
              </w:rPr>
              <w:t xml:space="preserve">IFRS adjustments to </w:t>
            </w:r>
            <w:r w:rsidR="00A3355E">
              <w:rPr>
                <w:rFonts w:ascii="Arial" w:hAnsi="Arial" w:cs="Arial"/>
                <w:szCs w:val="20"/>
              </w:rPr>
              <w:t>comprehensive loss</w:t>
            </w:r>
            <w:r w:rsidRPr="006D4677">
              <w:rPr>
                <w:rFonts w:ascii="Arial" w:hAnsi="Arial" w:cs="Arial"/>
                <w:szCs w:val="20"/>
              </w:rPr>
              <w:t>:</w:t>
            </w:r>
          </w:p>
        </w:tc>
        <w:tc>
          <w:tcPr>
            <w:tcW w:w="1585" w:type="dxa"/>
          </w:tcPr>
          <w:p w14:paraId="55C55F4C" w14:textId="77777777" w:rsidR="008970CA" w:rsidRPr="00444871" w:rsidRDefault="008970CA" w:rsidP="008970CA">
            <w:pPr>
              <w:tabs>
                <w:tab w:val="left" w:pos="7272"/>
                <w:tab w:val="decimal" w:pos="8136"/>
                <w:tab w:val="left" w:pos="8496"/>
                <w:tab w:val="decimal" w:pos="9360"/>
              </w:tabs>
              <w:spacing w:after="0"/>
              <w:ind w:right="29"/>
              <w:jc w:val="right"/>
              <w:rPr>
                <w:rFonts w:ascii="Arial" w:hAnsi="Arial" w:cs="Arial"/>
                <w:szCs w:val="20"/>
              </w:rPr>
            </w:pPr>
          </w:p>
        </w:tc>
        <w:tc>
          <w:tcPr>
            <w:tcW w:w="1295" w:type="dxa"/>
          </w:tcPr>
          <w:p w14:paraId="0FE5CED6" w14:textId="77777777" w:rsidR="008970CA" w:rsidRPr="00444871" w:rsidRDefault="008970CA" w:rsidP="008970CA">
            <w:pPr>
              <w:tabs>
                <w:tab w:val="left" w:pos="7272"/>
                <w:tab w:val="decimal" w:pos="8136"/>
                <w:tab w:val="left" w:pos="8496"/>
                <w:tab w:val="decimal" w:pos="9360"/>
              </w:tabs>
              <w:spacing w:after="0"/>
              <w:ind w:right="29"/>
              <w:jc w:val="right"/>
              <w:rPr>
                <w:rFonts w:ascii="Arial" w:hAnsi="Arial" w:cs="Arial"/>
                <w:szCs w:val="20"/>
              </w:rPr>
            </w:pPr>
          </w:p>
        </w:tc>
        <w:tc>
          <w:tcPr>
            <w:tcW w:w="1890" w:type="dxa"/>
          </w:tcPr>
          <w:p w14:paraId="7612F2FE" w14:textId="77777777" w:rsidR="008970CA" w:rsidRPr="006D4677" w:rsidRDefault="008970CA" w:rsidP="008970CA">
            <w:pPr>
              <w:tabs>
                <w:tab w:val="left" w:pos="7272"/>
                <w:tab w:val="decimal" w:pos="8136"/>
                <w:tab w:val="left" w:pos="8496"/>
                <w:tab w:val="decimal" w:pos="9360"/>
              </w:tabs>
              <w:spacing w:after="0"/>
              <w:ind w:right="29"/>
              <w:jc w:val="right"/>
              <w:rPr>
                <w:rFonts w:ascii="Arial" w:hAnsi="Arial" w:cs="Arial"/>
                <w:szCs w:val="20"/>
              </w:rPr>
            </w:pPr>
          </w:p>
        </w:tc>
      </w:tr>
      <w:tr w:rsidR="008970CA" w:rsidRPr="00EC4ECB" w14:paraId="085B4CA7" w14:textId="77777777" w:rsidTr="008772F7">
        <w:tc>
          <w:tcPr>
            <w:tcW w:w="4140" w:type="dxa"/>
          </w:tcPr>
          <w:p w14:paraId="2008FCDB" w14:textId="55678EF6" w:rsidR="008970CA" w:rsidRPr="00EC4ECB" w:rsidRDefault="008970CA" w:rsidP="008970CA">
            <w:pPr>
              <w:tabs>
                <w:tab w:val="left" w:pos="7272"/>
                <w:tab w:val="decimal" w:pos="8136"/>
                <w:tab w:val="left" w:pos="8496"/>
                <w:tab w:val="decimal" w:pos="9360"/>
              </w:tabs>
              <w:spacing w:after="0"/>
              <w:ind w:left="144"/>
              <w:rPr>
                <w:rFonts w:ascii="Arial" w:hAnsi="Arial" w:cs="Arial"/>
                <w:szCs w:val="20"/>
              </w:rPr>
            </w:pPr>
            <w:r>
              <w:rPr>
                <w:rFonts w:ascii="Arial" w:hAnsi="Arial" w:cs="Arial"/>
              </w:rPr>
              <w:t>Leases (Note 2</w:t>
            </w:r>
            <w:r w:rsidR="0074137C">
              <w:rPr>
                <w:rFonts w:ascii="Arial" w:hAnsi="Arial" w:cs="Arial"/>
              </w:rPr>
              <w:t>3</w:t>
            </w:r>
            <w:r>
              <w:rPr>
                <w:rFonts w:ascii="Arial" w:hAnsi="Arial" w:cs="Arial"/>
              </w:rPr>
              <w:t>(a))</w:t>
            </w:r>
          </w:p>
        </w:tc>
        <w:tc>
          <w:tcPr>
            <w:tcW w:w="1585" w:type="dxa"/>
            <w:vAlign w:val="bottom"/>
          </w:tcPr>
          <w:p w14:paraId="13D91861" w14:textId="64FBBB42" w:rsidR="008970CA" w:rsidRPr="00444871" w:rsidRDefault="008970CA" w:rsidP="008970CA">
            <w:pPr>
              <w:tabs>
                <w:tab w:val="left" w:pos="1170"/>
                <w:tab w:val="left" w:pos="7272"/>
                <w:tab w:val="decimal" w:pos="8136"/>
                <w:tab w:val="left" w:pos="8496"/>
                <w:tab w:val="decimal" w:pos="9360"/>
              </w:tabs>
              <w:spacing w:after="0"/>
              <w:ind w:right="29"/>
              <w:jc w:val="right"/>
              <w:rPr>
                <w:rFonts w:ascii="Arial" w:hAnsi="Arial" w:cs="Arial"/>
                <w:szCs w:val="20"/>
              </w:rPr>
            </w:pPr>
          </w:p>
        </w:tc>
        <w:tc>
          <w:tcPr>
            <w:tcW w:w="1295" w:type="dxa"/>
            <w:vAlign w:val="bottom"/>
          </w:tcPr>
          <w:p w14:paraId="0A890B45" w14:textId="284BC95D" w:rsidR="008970CA" w:rsidRPr="00444871" w:rsidRDefault="008970CA" w:rsidP="008970CA">
            <w:pPr>
              <w:tabs>
                <w:tab w:val="left" w:pos="1170"/>
                <w:tab w:val="left" w:pos="7272"/>
                <w:tab w:val="decimal" w:pos="8136"/>
                <w:tab w:val="left" w:pos="8496"/>
                <w:tab w:val="decimal" w:pos="9360"/>
              </w:tabs>
              <w:spacing w:after="0"/>
              <w:ind w:right="29"/>
              <w:jc w:val="right"/>
              <w:rPr>
                <w:rFonts w:ascii="Arial" w:hAnsi="Arial" w:cs="Arial"/>
                <w:szCs w:val="20"/>
              </w:rPr>
            </w:pPr>
          </w:p>
        </w:tc>
        <w:tc>
          <w:tcPr>
            <w:tcW w:w="1890" w:type="dxa"/>
            <w:vAlign w:val="bottom"/>
          </w:tcPr>
          <w:p w14:paraId="4D4BB209" w14:textId="33768F55" w:rsidR="008970CA" w:rsidRDefault="0074137C" w:rsidP="008970CA">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(222,107)</w:t>
            </w:r>
          </w:p>
        </w:tc>
      </w:tr>
      <w:tr w:rsidR="008970CA" w:rsidRPr="00EC4ECB" w14:paraId="669F0B45" w14:textId="77777777" w:rsidTr="008772F7">
        <w:tc>
          <w:tcPr>
            <w:tcW w:w="4140" w:type="dxa"/>
            <w:tcBorders>
              <w:bottom w:val="single" w:sz="4" w:space="0" w:color="auto"/>
            </w:tcBorders>
          </w:tcPr>
          <w:p w14:paraId="31984835" w14:textId="51AC3957" w:rsidR="008970CA" w:rsidRPr="00EC4ECB" w:rsidRDefault="008970CA" w:rsidP="008970CA">
            <w:pPr>
              <w:tabs>
                <w:tab w:val="left" w:pos="7272"/>
                <w:tab w:val="decimal" w:pos="8136"/>
                <w:tab w:val="left" w:pos="8496"/>
                <w:tab w:val="decimal" w:pos="9360"/>
              </w:tabs>
              <w:spacing w:after="0"/>
              <w:ind w:left="144"/>
              <w:rPr>
                <w:rFonts w:ascii="Arial" w:hAnsi="Arial" w:cs="Arial"/>
                <w:szCs w:val="20"/>
              </w:rPr>
            </w:pPr>
            <w:r>
              <w:rPr>
                <w:rFonts w:ascii="Arial" w:hAnsi="Arial" w:cs="Arial"/>
              </w:rPr>
              <w:t>Convertible debentures (Note 2</w:t>
            </w:r>
            <w:r w:rsidR="0074137C">
              <w:rPr>
                <w:rFonts w:ascii="Arial" w:hAnsi="Arial" w:cs="Arial"/>
              </w:rPr>
              <w:t>3</w:t>
            </w:r>
            <w:r>
              <w:rPr>
                <w:rFonts w:ascii="Arial" w:hAnsi="Arial" w:cs="Arial"/>
              </w:rPr>
              <w:t>(b))</w:t>
            </w:r>
          </w:p>
        </w:tc>
        <w:tc>
          <w:tcPr>
            <w:tcW w:w="1585" w:type="dxa"/>
            <w:tcBorders>
              <w:bottom w:val="single" w:sz="4" w:space="0" w:color="auto"/>
            </w:tcBorders>
            <w:vAlign w:val="bottom"/>
          </w:tcPr>
          <w:p w14:paraId="3A16F32B" w14:textId="7E78CE52" w:rsidR="008970CA" w:rsidRPr="00444871" w:rsidRDefault="008970CA" w:rsidP="008970CA">
            <w:pPr>
              <w:tabs>
                <w:tab w:val="left" w:pos="1170"/>
                <w:tab w:val="left" w:pos="7272"/>
                <w:tab w:val="decimal" w:pos="8136"/>
                <w:tab w:val="left" w:pos="8496"/>
                <w:tab w:val="decimal" w:pos="9360"/>
              </w:tabs>
              <w:spacing w:after="0"/>
              <w:ind w:right="29"/>
              <w:jc w:val="right"/>
              <w:rPr>
                <w:rFonts w:ascii="Arial" w:hAnsi="Arial" w:cs="Arial"/>
                <w:szCs w:val="20"/>
              </w:rPr>
            </w:pPr>
          </w:p>
        </w:tc>
        <w:tc>
          <w:tcPr>
            <w:tcW w:w="1295" w:type="dxa"/>
            <w:tcBorders>
              <w:bottom w:val="single" w:sz="4" w:space="0" w:color="auto"/>
            </w:tcBorders>
            <w:vAlign w:val="bottom"/>
          </w:tcPr>
          <w:p w14:paraId="1D7B9144" w14:textId="7B902250" w:rsidR="008970CA" w:rsidRPr="00444871" w:rsidRDefault="008970CA" w:rsidP="008970CA">
            <w:pPr>
              <w:tabs>
                <w:tab w:val="left" w:pos="1170"/>
                <w:tab w:val="left" w:pos="7272"/>
                <w:tab w:val="decimal" w:pos="8136"/>
                <w:tab w:val="left" w:pos="8496"/>
                <w:tab w:val="decimal" w:pos="9360"/>
              </w:tabs>
              <w:spacing w:after="0"/>
              <w:ind w:right="29"/>
              <w:jc w:val="right"/>
              <w:rPr>
                <w:rFonts w:ascii="Arial" w:hAnsi="Arial" w:cs="Arial"/>
                <w:szCs w:val="20"/>
              </w:rPr>
            </w:pPr>
          </w:p>
        </w:tc>
        <w:tc>
          <w:tcPr>
            <w:tcW w:w="1890" w:type="dxa"/>
            <w:tcBorders>
              <w:bottom w:val="single" w:sz="4" w:space="0" w:color="auto"/>
            </w:tcBorders>
            <w:vAlign w:val="bottom"/>
          </w:tcPr>
          <w:p w14:paraId="6AA4785A" w14:textId="3646BF57" w:rsidR="008970CA" w:rsidRDefault="0074137C" w:rsidP="008970CA">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51,107</w:t>
            </w:r>
          </w:p>
        </w:tc>
      </w:tr>
      <w:tr w:rsidR="008970CA" w:rsidRPr="006D4677" w14:paraId="45913635" w14:textId="77777777" w:rsidTr="008772F7">
        <w:tc>
          <w:tcPr>
            <w:tcW w:w="4140" w:type="dxa"/>
            <w:tcBorders>
              <w:top w:val="single" w:sz="4" w:space="0" w:color="auto"/>
              <w:bottom w:val="single" w:sz="4" w:space="0" w:color="auto"/>
            </w:tcBorders>
            <w:vAlign w:val="bottom"/>
          </w:tcPr>
          <w:p w14:paraId="7E8044A8" w14:textId="00CFB3B8" w:rsidR="008970CA" w:rsidRPr="006D4677" w:rsidRDefault="008970CA" w:rsidP="008970CA">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Total IFRS adjustments to comprehensive loss</w:t>
            </w:r>
          </w:p>
        </w:tc>
        <w:tc>
          <w:tcPr>
            <w:tcW w:w="1585" w:type="dxa"/>
            <w:tcBorders>
              <w:top w:val="single" w:sz="4" w:space="0" w:color="auto"/>
              <w:bottom w:val="single" w:sz="4" w:space="0" w:color="auto"/>
            </w:tcBorders>
          </w:tcPr>
          <w:p w14:paraId="19D6E522" w14:textId="63814116" w:rsidR="008970CA" w:rsidRPr="00444871" w:rsidRDefault="008970CA" w:rsidP="008970CA">
            <w:pPr>
              <w:tabs>
                <w:tab w:val="left" w:pos="7272"/>
                <w:tab w:val="decimal" w:pos="8136"/>
                <w:tab w:val="left" w:pos="8496"/>
                <w:tab w:val="decimal" w:pos="9360"/>
              </w:tabs>
              <w:spacing w:before="120" w:after="0"/>
              <w:ind w:right="29"/>
              <w:jc w:val="right"/>
              <w:rPr>
                <w:rFonts w:ascii="Arial" w:hAnsi="Arial" w:cs="Arial"/>
                <w:szCs w:val="20"/>
              </w:rPr>
            </w:pPr>
          </w:p>
        </w:tc>
        <w:tc>
          <w:tcPr>
            <w:tcW w:w="1295" w:type="dxa"/>
            <w:tcBorders>
              <w:top w:val="single" w:sz="4" w:space="0" w:color="auto"/>
              <w:bottom w:val="single" w:sz="4" w:space="0" w:color="auto"/>
            </w:tcBorders>
          </w:tcPr>
          <w:p w14:paraId="642105D1" w14:textId="70AAC3BA" w:rsidR="008970CA" w:rsidRPr="00444871" w:rsidRDefault="008970CA" w:rsidP="008970CA">
            <w:pPr>
              <w:tabs>
                <w:tab w:val="left" w:pos="7272"/>
                <w:tab w:val="decimal" w:pos="8136"/>
                <w:tab w:val="left" w:pos="8496"/>
                <w:tab w:val="decimal" w:pos="9360"/>
              </w:tabs>
              <w:spacing w:before="120" w:after="0"/>
              <w:ind w:right="29"/>
              <w:jc w:val="right"/>
              <w:rPr>
                <w:rFonts w:ascii="Arial" w:hAnsi="Arial" w:cs="Arial"/>
                <w:szCs w:val="20"/>
              </w:rPr>
            </w:pPr>
          </w:p>
        </w:tc>
        <w:tc>
          <w:tcPr>
            <w:tcW w:w="1890" w:type="dxa"/>
            <w:tcBorders>
              <w:top w:val="single" w:sz="4" w:space="0" w:color="auto"/>
              <w:bottom w:val="single" w:sz="4" w:space="0" w:color="auto"/>
            </w:tcBorders>
          </w:tcPr>
          <w:p w14:paraId="0F5B6AFA" w14:textId="5F83DE05" w:rsidR="008970CA" w:rsidRDefault="00960CA4" w:rsidP="008970CA">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w:t>
            </w:r>
            <w:r w:rsidR="0074137C">
              <w:rPr>
                <w:rFonts w:ascii="Arial" w:hAnsi="Arial" w:cs="Arial"/>
                <w:szCs w:val="20"/>
              </w:rPr>
              <w:t>171,000</w:t>
            </w:r>
            <w:r>
              <w:rPr>
                <w:rFonts w:ascii="Arial" w:hAnsi="Arial" w:cs="Arial"/>
                <w:szCs w:val="20"/>
              </w:rPr>
              <w:t>)</w:t>
            </w:r>
          </w:p>
        </w:tc>
      </w:tr>
      <w:tr w:rsidR="008970CA" w:rsidRPr="00EC4ECB" w14:paraId="3A49CF76" w14:textId="77777777" w:rsidTr="008772F7">
        <w:tc>
          <w:tcPr>
            <w:tcW w:w="4140" w:type="dxa"/>
            <w:tcBorders>
              <w:top w:val="single" w:sz="4" w:space="0" w:color="auto"/>
              <w:bottom w:val="single" w:sz="12" w:space="0" w:color="auto"/>
            </w:tcBorders>
          </w:tcPr>
          <w:p w14:paraId="6ED96412" w14:textId="38525A4C" w:rsidR="008970CA" w:rsidRPr="00EC4ECB" w:rsidRDefault="008970CA" w:rsidP="008970CA">
            <w:pPr>
              <w:tabs>
                <w:tab w:val="left" w:pos="7272"/>
                <w:tab w:val="decimal" w:pos="8136"/>
                <w:tab w:val="left" w:pos="8496"/>
                <w:tab w:val="decimal" w:pos="9360"/>
              </w:tabs>
              <w:spacing w:before="120" w:after="0"/>
              <w:rPr>
                <w:rFonts w:ascii="Arial" w:hAnsi="Arial" w:cs="Arial"/>
              </w:rPr>
            </w:pPr>
            <w:r>
              <w:rPr>
                <w:rFonts w:ascii="Arial" w:hAnsi="Arial" w:cs="Arial"/>
              </w:rPr>
              <w:t>Comprehensive loss under IFRS</w:t>
            </w:r>
          </w:p>
        </w:tc>
        <w:tc>
          <w:tcPr>
            <w:tcW w:w="1585" w:type="dxa"/>
            <w:tcBorders>
              <w:top w:val="single" w:sz="4" w:space="0" w:color="auto"/>
              <w:bottom w:val="single" w:sz="12" w:space="0" w:color="auto"/>
            </w:tcBorders>
            <w:vAlign w:val="bottom"/>
          </w:tcPr>
          <w:p w14:paraId="24E0F80F" w14:textId="6223B57F" w:rsidR="008970CA" w:rsidRPr="00444871" w:rsidRDefault="008970CA" w:rsidP="008970CA">
            <w:pPr>
              <w:tabs>
                <w:tab w:val="left" w:pos="1170"/>
                <w:tab w:val="left" w:pos="7272"/>
                <w:tab w:val="decimal" w:pos="8136"/>
                <w:tab w:val="left" w:pos="8496"/>
                <w:tab w:val="decimal" w:pos="9360"/>
              </w:tabs>
              <w:spacing w:before="120" w:after="0"/>
              <w:ind w:right="29"/>
              <w:jc w:val="right"/>
              <w:rPr>
                <w:rFonts w:ascii="Arial" w:hAnsi="Arial" w:cs="Arial"/>
                <w:szCs w:val="20"/>
              </w:rPr>
            </w:pPr>
          </w:p>
        </w:tc>
        <w:tc>
          <w:tcPr>
            <w:tcW w:w="1295" w:type="dxa"/>
            <w:tcBorders>
              <w:top w:val="single" w:sz="4" w:space="0" w:color="auto"/>
              <w:bottom w:val="single" w:sz="12" w:space="0" w:color="auto"/>
            </w:tcBorders>
            <w:vAlign w:val="bottom"/>
          </w:tcPr>
          <w:p w14:paraId="6599121E" w14:textId="0EF6BDF4" w:rsidR="008970CA" w:rsidRPr="00444871" w:rsidRDefault="008970CA" w:rsidP="008970CA">
            <w:pPr>
              <w:tabs>
                <w:tab w:val="left" w:pos="1170"/>
                <w:tab w:val="left" w:pos="7272"/>
                <w:tab w:val="decimal" w:pos="8136"/>
                <w:tab w:val="left" w:pos="8496"/>
                <w:tab w:val="decimal" w:pos="9360"/>
              </w:tabs>
              <w:spacing w:before="120" w:after="0"/>
              <w:ind w:right="29"/>
              <w:jc w:val="right"/>
              <w:rPr>
                <w:rFonts w:ascii="Arial" w:hAnsi="Arial" w:cs="Arial"/>
                <w:szCs w:val="20"/>
              </w:rPr>
            </w:pPr>
          </w:p>
        </w:tc>
        <w:tc>
          <w:tcPr>
            <w:tcW w:w="1890" w:type="dxa"/>
            <w:tcBorders>
              <w:top w:val="single" w:sz="4" w:space="0" w:color="auto"/>
              <w:bottom w:val="single" w:sz="12" w:space="0" w:color="auto"/>
            </w:tcBorders>
            <w:vAlign w:val="bottom"/>
          </w:tcPr>
          <w:p w14:paraId="0ED54576" w14:textId="7387F927" w:rsidR="008970CA" w:rsidRDefault="00681859" w:rsidP="008970CA">
            <w:pPr>
              <w:tabs>
                <w:tab w:val="left" w:pos="7272"/>
                <w:tab w:val="decimal" w:pos="8136"/>
                <w:tab w:val="left" w:pos="8496"/>
                <w:tab w:val="decimal" w:pos="9360"/>
              </w:tabs>
              <w:spacing w:before="120" w:after="0"/>
              <w:ind w:right="52"/>
              <w:jc w:val="right"/>
              <w:rPr>
                <w:rFonts w:ascii="Arial" w:hAnsi="Arial" w:cs="Arial"/>
                <w:szCs w:val="20"/>
              </w:rPr>
            </w:pPr>
            <w:r w:rsidRPr="00681859">
              <w:rPr>
                <w:rFonts w:ascii="Arial" w:hAnsi="Arial" w:cs="Arial"/>
                <w:szCs w:val="20"/>
              </w:rPr>
              <w:t>1,824,839</w:t>
            </w:r>
          </w:p>
        </w:tc>
      </w:tr>
    </w:tbl>
    <w:p w14:paraId="18AF78B7" w14:textId="29833537" w:rsidR="00241B10" w:rsidRDefault="00241B10" w:rsidP="007F24B8">
      <w:pPr>
        <w:spacing w:after="0" w:line="240" w:lineRule="auto"/>
        <w:ind w:left="450" w:right="75"/>
        <w:jc w:val="both"/>
        <w:rPr>
          <w:rFonts w:ascii="Arial" w:hAnsi="Arial" w:cs="Arial"/>
          <w:szCs w:val="20"/>
          <w:lang w:eastAsia="en-CA"/>
        </w:rPr>
      </w:pPr>
    </w:p>
    <w:p w14:paraId="13CFC8B0" w14:textId="1D545101" w:rsidR="002578B6" w:rsidRPr="002578B6" w:rsidRDefault="002578B6" w:rsidP="002578B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Cs/>
          <w:szCs w:val="20"/>
        </w:rPr>
      </w:pPr>
      <w:r w:rsidRPr="003A3456">
        <w:rPr>
          <w:rFonts w:ascii="Arial" w:hAnsi="Arial" w:cs="Arial"/>
          <w:b/>
          <w:szCs w:val="20"/>
        </w:rPr>
        <w:lastRenderedPageBreak/>
        <w:t>2</w:t>
      </w:r>
      <w:r>
        <w:rPr>
          <w:rFonts w:ascii="Arial" w:hAnsi="Arial" w:cs="Arial"/>
          <w:b/>
          <w:szCs w:val="20"/>
        </w:rPr>
        <w:t>3</w:t>
      </w:r>
      <w:r w:rsidRPr="003A3456">
        <w:rPr>
          <w:rFonts w:ascii="Arial" w:hAnsi="Arial" w:cs="Arial"/>
          <w:b/>
          <w:szCs w:val="20"/>
        </w:rPr>
        <w:t>.</w:t>
      </w:r>
      <w:r w:rsidRPr="003A3456">
        <w:rPr>
          <w:rFonts w:ascii="Arial" w:hAnsi="Arial" w:cs="Arial"/>
          <w:b/>
          <w:szCs w:val="20"/>
        </w:rPr>
        <w:tab/>
      </w:r>
      <w:r>
        <w:rPr>
          <w:rFonts w:ascii="Arial" w:hAnsi="Arial" w:cs="Arial"/>
          <w:b/>
          <w:szCs w:val="20"/>
        </w:rPr>
        <w:t>Reconciliation from US GAAP</w:t>
      </w:r>
      <w:r w:rsidRPr="003A3456">
        <w:rPr>
          <w:rFonts w:ascii="Arial" w:hAnsi="Arial" w:cs="Arial"/>
          <w:b/>
          <w:szCs w:val="20"/>
        </w:rPr>
        <w:t xml:space="preserve"> to IFRS</w:t>
      </w:r>
      <w:r>
        <w:rPr>
          <w:rFonts w:ascii="Arial" w:hAnsi="Arial" w:cs="Arial"/>
          <w:b/>
          <w:szCs w:val="20"/>
        </w:rPr>
        <w:t xml:space="preserve"> </w:t>
      </w:r>
      <w:r>
        <w:rPr>
          <w:rFonts w:ascii="Arial" w:hAnsi="Arial" w:cs="Arial"/>
          <w:bCs/>
          <w:szCs w:val="20"/>
        </w:rPr>
        <w:t>(continued)</w:t>
      </w:r>
    </w:p>
    <w:p w14:paraId="299D54ED" w14:textId="77777777" w:rsidR="002578B6" w:rsidRDefault="002578B6" w:rsidP="007F24B8">
      <w:pPr>
        <w:spacing w:after="0" w:line="240" w:lineRule="auto"/>
        <w:ind w:left="450" w:right="75"/>
        <w:jc w:val="both"/>
        <w:rPr>
          <w:rFonts w:ascii="Arial" w:hAnsi="Arial" w:cs="Arial"/>
          <w:szCs w:val="20"/>
          <w:lang w:eastAsia="en-CA"/>
        </w:rPr>
      </w:pPr>
    </w:p>
    <w:p w14:paraId="44BA4F3C" w14:textId="538A9FE9"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Leases</w:t>
      </w:r>
    </w:p>
    <w:p w14:paraId="004433F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3F8F0865" w14:textId="7CD2141D" w:rsidR="00210B4A" w:rsidRDefault="00210B4A" w:rsidP="00172BB0">
      <w:pPr>
        <w:pStyle w:val="ListParagraph"/>
        <w:spacing w:after="0" w:line="240" w:lineRule="auto"/>
        <w:ind w:left="810" w:right="75"/>
        <w:jc w:val="both"/>
        <w:rPr>
          <w:rFonts w:ascii="Arial" w:hAnsi="Arial" w:cs="Arial"/>
          <w:szCs w:val="20"/>
          <w:lang w:eastAsia="en-CA"/>
        </w:rPr>
      </w:pPr>
      <w:r w:rsidRPr="0074137C">
        <w:rPr>
          <w:rFonts w:ascii="Arial" w:hAnsi="Arial" w:cs="Arial"/>
          <w:szCs w:val="20"/>
          <w:lang w:eastAsia="en-CA"/>
        </w:rPr>
        <w:t xml:space="preserve">Under U.S. GAAP, the Company </w:t>
      </w:r>
      <w:r w:rsidR="004A2A4F" w:rsidRPr="0074137C">
        <w:rPr>
          <w:rFonts w:ascii="Arial" w:hAnsi="Arial" w:cs="Arial"/>
          <w:szCs w:val="20"/>
          <w:lang w:eastAsia="en-CA"/>
        </w:rPr>
        <w:t xml:space="preserve">adopted ASC 842, Leases, using the modified retrospective transition approach, which applies the provisions of the new guidance at the effective date without adjusting the comparative periods presented.  Under IFRS, the Company is required to recognize ROU assets and lease liabilities as at its </w:t>
      </w:r>
      <w:r w:rsidR="008772F7" w:rsidRPr="0074137C">
        <w:rPr>
          <w:rFonts w:ascii="Arial" w:hAnsi="Arial" w:cs="Arial"/>
          <w:szCs w:val="20"/>
          <w:lang w:eastAsia="en-CA"/>
        </w:rPr>
        <w:t>t</w:t>
      </w:r>
      <w:r w:rsidR="004A2A4F" w:rsidRPr="0074137C">
        <w:rPr>
          <w:rFonts w:ascii="Arial" w:hAnsi="Arial" w:cs="Arial"/>
          <w:szCs w:val="20"/>
          <w:lang w:eastAsia="en-CA"/>
        </w:rPr>
        <w:t xml:space="preserve">ransition </w:t>
      </w:r>
      <w:r w:rsidR="008772F7" w:rsidRPr="0074137C">
        <w:rPr>
          <w:rFonts w:ascii="Arial" w:hAnsi="Arial" w:cs="Arial"/>
          <w:szCs w:val="20"/>
          <w:lang w:eastAsia="en-CA"/>
        </w:rPr>
        <w:t>d</w:t>
      </w:r>
      <w:r w:rsidR="004A2A4F" w:rsidRPr="0074137C">
        <w:rPr>
          <w:rFonts w:ascii="Arial" w:hAnsi="Arial" w:cs="Arial"/>
          <w:szCs w:val="20"/>
          <w:lang w:eastAsia="en-CA"/>
        </w:rPr>
        <w:t>ate</w:t>
      </w:r>
      <w:r w:rsidR="008772F7" w:rsidRPr="0074137C">
        <w:rPr>
          <w:rFonts w:ascii="Arial" w:hAnsi="Arial" w:cs="Arial"/>
          <w:szCs w:val="20"/>
          <w:lang w:eastAsia="en-CA"/>
        </w:rPr>
        <w:t xml:space="preserve"> of February 1, 2018</w:t>
      </w:r>
      <w:r w:rsidR="004A2A4F" w:rsidRPr="0074137C">
        <w:rPr>
          <w:rFonts w:ascii="Arial" w:hAnsi="Arial" w:cs="Arial"/>
          <w:szCs w:val="20"/>
          <w:lang w:eastAsia="en-CA"/>
        </w:rPr>
        <w:t>.</w:t>
      </w:r>
      <w:r w:rsidR="004A2A4F">
        <w:rPr>
          <w:rFonts w:ascii="Arial" w:hAnsi="Arial" w:cs="Arial"/>
          <w:szCs w:val="20"/>
          <w:lang w:eastAsia="en-CA"/>
        </w:rPr>
        <w:t xml:space="preserve">   </w:t>
      </w:r>
    </w:p>
    <w:p w14:paraId="0825A04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2682F54D" w14:textId="1F14D6C5"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Convertible debentures</w:t>
      </w:r>
    </w:p>
    <w:p w14:paraId="21F069B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19334BD8" w14:textId="50DB482A" w:rsidR="004A2A4F" w:rsidRDefault="004A2A4F" w:rsidP="00172BB0">
      <w:pPr>
        <w:pStyle w:val="ListParagraph"/>
        <w:spacing w:after="0" w:line="240" w:lineRule="auto"/>
        <w:ind w:left="810" w:right="75"/>
        <w:jc w:val="both"/>
        <w:rPr>
          <w:rFonts w:ascii="Arial" w:hAnsi="Arial" w:cs="Arial"/>
          <w:szCs w:val="20"/>
          <w:lang w:eastAsia="en-CA"/>
        </w:rPr>
      </w:pPr>
      <w:r>
        <w:rPr>
          <w:rFonts w:ascii="Arial" w:hAnsi="Arial" w:cs="Arial"/>
          <w:szCs w:val="20"/>
          <w:lang w:eastAsia="en-CA"/>
        </w:rPr>
        <w:t xml:space="preserve">Under U.S. GAAP, the Company </w:t>
      </w:r>
      <w:r w:rsidR="00F8083D">
        <w:rPr>
          <w:rFonts w:ascii="Arial" w:hAnsi="Arial" w:cs="Arial"/>
          <w:szCs w:val="20"/>
          <w:lang w:eastAsia="en-CA"/>
        </w:rPr>
        <w:t xml:space="preserve">classified the balance of its convertible debentures as liabilities.  </w:t>
      </w:r>
      <w:r w:rsidR="00DC6304">
        <w:rPr>
          <w:rFonts w:ascii="Arial" w:hAnsi="Arial" w:cs="Arial"/>
          <w:szCs w:val="20"/>
          <w:lang w:eastAsia="en-CA"/>
        </w:rPr>
        <w:t>The Company evaluated its convertible debentures under IFRS and determined that a residual amount is required to be assigned to an equity component.</w:t>
      </w:r>
    </w:p>
    <w:sectPr w:rsidR="004A2A4F" w:rsidSect="00BD7C8A">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9694" w14:textId="77777777" w:rsidR="00BC0222" w:rsidRDefault="00BC0222" w:rsidP="00EC6AEA">
      <w:pPr>
        <w:spacing w:after="0" w:line="240" w:lineRule="auto"/>
      </w:pPr>
      <w:r>
        <w:separator/>
      </w:r>
    </w:p>
  </w:endnote>
  <w:endnote w:type="continuationSeparator" w:id="0">
    <w:p w14:paraId="6EBEC28A" w14:textId="77777777" w:rsidR="00BC0222" w:rsidRDefault="00BC0222" w:rsidP="00EC6AEA">
      <w:pPr>
        <w:spacing w:after="0" w:line="240" w:lineRule="auto"/>
      </w:pPr>
      <w:r>
        <w:continuationSeparator/>
      </w:r>
    </w:p>
  </w:endnote>
  <w:endnote w:type="continuationNotice" w:id="1">
    <w:p w14:paraId="7AEB56DA" w14:textId="77777777" w:rsidR="00BC0222" w:rsidRDefault="00BC0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717459"/>
      <w:docPartObj>
        <w:docPartGallery w:val="Page Numbers (Bottom of Page)"/>
        <w:docPartUnique/>
      </w:docPartObj>
    </w:sdtPr>
    <w:sdtEndPr>
      <w:rPr>
        <w:noProof/>
      </w:rPr>
    </w:sdtEndPr>
    <w:sdtContent>
      <w:p w14:paraId="4BBB99D9" w14:textId="77777777" w:rsidR="00C81CB8" w:rsidRDefault="00C81CB8">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7709FDEF" w14:textId="77777777" w:rsidR="00C81CB8" w:rsidRPr="00F01FF6" w:rsidRDefault="00C81CB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E7C1" w14:textId="77777777" w:rsidR="00BC0222" w:rsidRDefault="00BC0222" w:rsidP="00EC6AEA">
      <w:pPr>
        <w:spacing w:after="0" w:line="240" w:lineRule="auto"/>
        <w:rPr>
          <w:noProof/>
        </w:rPr>
      </w:pPr>
      <w:r>
        <w:rPr>
          <w:noProof/>
        </w:rPr>
        <w:separator/>
      </w:r>
    </w:p>
  </w:footnote>
  <w:footnote w:type="continuationSeparator" w:id="0">
    <w:p w14:paraId="7F99DE94" w14:textId="77777777" w:rsidR="00BC0222" w:rsidRDefault="00BC0222" w:rsidP="00EC6AEA">
      <w:pPr>
        <w:spacing w:after="0" w:line="240" w:lineRule="auto"/>
      </w:pPr>
      <w:r>
        <w:continuationSeparator/>
      </w:r>
    </w:p>
  </w:footnote>
  <w:footnote w:type="continuationNotice" w:id="1">
    <w:p w14:paraId="1C8769CF" w14:textId="77777777" w:rsidR="00BC0222" w:rsidRDefault="00BC0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8604" w14:textId="77777777" w:rsidR="00C81CB8" w:rsidRPr="00956F25" w:rsidRDefault="00C81CB8" w:rsidP="00790828">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DE00" w14:textId="77777777" w:rsidR="00C81CB8" w:rsidRPr="00431E7F" w:rsidRDefault="00C81CB8" w:rsidP="00790828">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1D90" w14:textId="77777777" w:rsidR="00C81CB8" w:rsidRPr="00431E7F" w:rsidRDefault="00C81CB8" w:rsidP="00790828">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DCB1" w14:textId="504D1779" w:rsidR="00C81CB8" w:rsidRPr="00F81AE0" w:rsidRDefault="00C81CB8"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 w:val="24"/>
        <w:szCs w:val="24"/>
      </w:rPr>
    </w:pPr>
    <w:r>
      <w:rPr>
        <w:rFonts w:ascii="Arial" w:hAnsi="Arial" w:cs="Arial"/>
        <w:b/>
        <w:bCs/>
        <w:sz w:val="24"/>
      </w:rPr>
      <w:t>BETTERLIFE PHARMA INC.</w:t>
    </w:r>
  </w:p>
  <w:p w14:paraId="54C429F9" w14:textId="5011943B" w:rsidR="00C81CB8" w:rsidRPr="00F81AE0" w:rsidRDefault="00C81CB8"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sidRPr="00F81AE0">
      <w:rPr>
        <w:rFonts w:ascii="Arial" w:hAnsi="Arial" w:cs="Arial"/>
        <w:bCs/>
        <w:szCs w:val="20"/>
      </w:rPr>
      <w:t>Notes to the</w:t>
    </w:r>
    <w:r>
      <w:rPr>
        <w:rFonts w:ascii="Arial" w:hAnsi="Arial" w:cs="Arial"/>
        <w:bCs/>
        <w:szCs w:val="20"/>
      </w:rPr>
      <w:t xml:space="preserve"> Condensed</w:t>
    </w:r>
    <w:r w:rsidRPr="00F81AE0">
      <w:rPr>
        <w:rFonts w:ascii="Arial" w:hAnsi="Arial" w:cs="Arial"/>
        <w:bCs/>
        <w:szCs w:val="20"/>
      </w:rPr>
      <w:t xml:space="preserve"> </w:t>
    </w:r>
    <w:r>
      <w:rPr>
        <w:rFonts w:ascii="Arial" w:hAnsi="Arial" w:cs="Arial"/>
        <w:bCs/>
        <w:szCs w:val="20"/>
      </w:rPr>
      <w:t xml:space="preserve">Consolidated Interim </w:t>
    </w:r>
    <w:r w:rsidRPr="00F81AE0">
      <w:rPr>
        <w:rFonts w:ascii="Arial" w:hAnsi="Arial" w:cs="Arial"/>
        <w:bCs/>
        <w:szCs w:val="20"/>
      </w:rPr>
      <w:t>Financial Statements</w:t>
    </w:r>
    <w:r>
      <w:rPr>
        <w:rFonts w:ascii="Arial" w:hAnsi="Arial" w:cs="Arial"/>
        <w:bCs/>
        <w:szCs w:val="20"/>
      </w:rPr>
      <w:t xml:space="preserve"> </w:t>
    </w:r>
  </w:p>
  <w:p w14:paraId="048B0DBA" w14:textId="2930411E" w:rsidR="00C81CB8" w:rsidRPr="00F81AE0" w:rsidRDefault="00C81CB8"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Pr>
        <w:rFonts w:ascii="Arial" w:hAnsi="Arial" w:cs="Arial"/>
        <w:bCs/>
        <w:szCs w:val="20"/>
      </w:rPr>
      <w:t>For the Three Months Ended April 30, 2020 and 2019</w:t>
    </w:r>
  </w:p>
  <w:p w14:paraId="659A4AFF" w14:textId="3B3EE2C8" w:rsidR="00C81CB8" w:rsidRDefault="00C81CB8" w:rsidP="00E138AF">
    <w:pPr>
      <w:pStyle w:val="Header"/>
      <w:rPr>
        <w:rFonts w:ascii="Arial" w:hAnsi="Arial" w:cs="Arial"/>
        <w:bCs/>
        <w:szCs w:val="20"/>
      </w:rPr>
    </w:pPr>
    <w:r w:rsidRPr="00F81AE0">
      <w:rPr>
        <w:rFonts w:ascii="Arial" w:hAnsi="Arial" w:cs="Arial"/>
        <w:bCs/>
        <w:szCs w:val="20"/>
      </w:rPr>
      <w:t xml:space="preserve">(Expressed in </w:t>
    </w:r>
    <w:r>
      <w:rPr>
        <w:rFonts w:ascii="Arial" w:hAnsi="Arial" w:cs="Arial"/>
        <w:bCs/>
        <w:szCs w:val="20"/>
      </w:rPr>
      <w:t>Canadian</w:t>
    </w:r>
    <w:r w:rsidRPr="00F81AE0">
      <w:rPr>
        <w:rFonts w:ascii="Arial" w:hAnsi="Arial" w:cs="Arial"/>
        <w:bCs/>
        <w:szCs w:val="20"/>
      </w:rPr>
      <w:t xml:space="preserve"> dollars)</w:t>
    </w:r>
  </w:p>
  <w:p w14:paraId="768EE60C" w14:textId="29697320" w:rsidR="00C81CB8" w:rsidRDefault="00C81CB8" w:rsidP="00E138AF">
    <w:pPr>
      <w:pStyle w:val="Header"/>
      <w:rPr>
        <w:rFonts w:ascii="Arial" w:hAnsi="Arial" w:cs="Arial"/>
        <w:bCs/>
        <w:szCs w:val="20"/>
      </w:rPr>
    </w:pPr>
    <w:r>
      <w:rPr>
        <w:rFonts w:ascii="Arial" w:hAnsi="Arial" w:cs="Arial"/>
        <w:bCs/>
        <w:szCs w:val="20"/>
      </w:rPr>
      <w:t>(Unaudited)</w:t>
    </w:r>
  </w:p>
  <w:p w14:paraId="1D2FE158" w14:textId="77777777" w:rsidR="00C81CB8" w:rsidRPr="00431E7F" w:rsidRDefault="00C81CB8" w:rsidP="00790828">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620E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514AC5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71C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2CCDB9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E2A83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9849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664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2DC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6C30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2E0E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5445"/>
    <w:multiLevelType w:val="hybridMultilevel"/>
    <w:tmpl w:val="758CE2D0"/>
    <w:lvl w:ilvl="0" w:tplc="872047D8">
      <w:start w:val="1"/>
      <w:numFmt w:val="lowerLetter"/>
      <w:lvlText w:val="(%1)"/>
      <w:lvlJc w:val="left"/>
      <w:pPr>
        <w:ind w:left="810" w:hanging="360"/>
      </w:pPr>
      <w:rPr>
        <w:rFonts w:eastAsia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ABC7A6E"/>
    <w:multiLevelType w:val="hybridMultilevel"/>
    <w:tmpl w:val="3F24D9CE"/>
    <w:lvl w:ilvl="0" w:tplc="6270F6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15:restartNumberingAfterBreak="0">
    <w:nsid w:val="0BCC4BC5"/>
    <w:multiLevelType w:val="hybridMultilevel"/>
    <w:tmpl w:val="68029ABA"/>
    <w:lvl w:ilvl="0" w:tplc="4F76EEEC">
      <w:start w:val="1"/>
      <w:numFmt w:val="lowerLetter"/>
      <w:lvlText w:val="(%1)"/>
      <w:lvlJc w:val="left"/>
      <w:pPr>
        <w:tabs>
          <w:tab w:val="num" w:pos="1170"/>
        </w:tabs>
        <w:ind w:left="1170" w:hanging="360"/>
      </w:pPr>
      <w:rPr>
        <w:rFonts w:cs="Times New Roman" w:hint="default"/>
      </w:rPr>
    </w:lvl>
    <w:lvl w:ilvl="1" w:tplc="A70AA5E8">
      <w:start w:val="10"/>
      <w:numFmt w:val="decimal"/>
      <w:lvlText w:val="%2."/>
      <w:lvlJc w:val="left"/>
      <w:pPr>
        <w:tabs>
          <w:tab w:val="num" w:pos="2052"/>
        </w:tabs>
        <w:ind w:left="2052" w:hanging="360"/>
      </w:pPr>
      <w:rPr>
        <w:rFonts w:cs="Times New Roman" w:hint="default"/>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3" w15:restartNumberingAfterBreak="0">
    <w:nsid w:val="0D785602"/>
    <w:multiLevelType w:val="hybridMultilevel"/>
    <w:tmpl w:val="642A358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4" w15:restartNumberingAfterBreak="0">
    <w:nsid w:val="0F607F56"/>
    <w:multiLevelType w:val="hybridMultilevel"/>
    <w:tmpl w:val="A2E00314"/>
    <w:lvl w:ilvl="0" w:tplc="B866B76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10774D65"/>
    <w:multiLevelType w:val="hybridMultilevel"/>
    <w:tmpl w:val="BDB20028"/>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6" w15:restartNumberingAfterBreak="0">
    <w:nsid w:val="17B53720"/>
    <w:multiLevelType w:val="hybridMultilevel"/>
    <w:tmpl w:val="FDFEC1C8"/>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1A17105F"/>
    <w:multiLevelType w:val="hybridMultilevel"/>
    <w:tmpl w:val="5D4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176A0"/>
    <w:multiLevelType w:val="hybridMultilevel"/>
    <w:tmpl w:val="91363390"/>
    <w:lvl w:ilvl="0" w:tplc="4FC00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E73499"/>
    <w:multiLevelType w:val="hybridMultilevel"/>
    <w:tmpl w:val="2A9C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3808FE"/>
    <w:multiLevelType w:val="hybridMultilevel"/>
    <w:tmpl w:val="4D4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718F7"/>
    <w:multiLevelType w:val="hybridMultilevel"/>
    <w:tmpl w:val="1F7A151A"/>
    <w:lvl w:ilvl="0" w:tplc="E138C9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3483165"/>
    <w:multiLevelType w:val="hybridMultilevel"/>
    <w:tmpl w:val="8224FED0"/>
    <w:lvl w:ilvl="0" w:tplc="B49069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8D407A9"/>
    <w:multiLevelType w:val="hybridMultilevel"/>
    <w:tmpl w:val="3B2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8152C"/>
    <w:multiLevelType w:val="hybridMultilevel"/>
    <w:tmpl w:val="E94CC8C8"/>
    <w:lvl w:ilvl="0" w:tplc="709A27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2A0376ED"/>
    <w:multiLevelType w:val="hybridMultilevel"/>
    <w:tmpl w:val="67CA0C4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213BD7"/>
    <w:multiLevelType w:val="hybridMultilevel"/>
    <w:tmpl w:val="12C0BEBA"/>
    <w:lvl w:ilvl="0" w:tplc="56FC8E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D70658D"/>
    <w:multiLevelType w:val="hybridMultilevel"/>
    <w:tmpl w:val="3FA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792DE1"/>
    <w:multiLevelType w:val="hybridMultilevel"/>
    <w:tmpl w:val="1FE0436A"/>
    <w:lvl w:ilvl="0" w:tplc="E144A7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0" w15:restartNumberingAfterBreak="0">
    <w:nsid w:val="31BA5E9E"/>
    <w:multiLevelType w:val="hybridMultilevel"/>
    <w:tmpl w:val="85D6E2B8"/>
    <w:lvl w:ilvl="0" w:tplc="C8DAEF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34067DCA"/>
    <w:multiLevelType w:val="hybridMultilevel"/>
    <w:tmpl w:val="9A8465C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32" w15:restartNumberingAfterBreak="0">
    <w:nsid w:val="378A7065"/>
    <w:multiLevelType w:val="hybridMultilevel"/>
    <w:tmpl w:val="334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D798E"/>
    <w:multiLevelType w:val="hybridMultilevel"/>
    <w:tmpl w:val="40C2A73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4" w15:restartNumberingAfterBreak="0">
    <w:nsid w:val="38D1632C"/>
    <w:multiLevelType w:val="hybridMultilevel"/>
    <w:tmpl w:val="01905F96"/>
    <w:lvl w:ilvl="0" w:tplc="DA24370E">
      <w:start w:val="5"/>
      <w:numFmt w:val="lowerLetter"/>
      <w:lvlText w:val="(%1)"/>
      <w:lvlJc w:val="left"/>
      <w:pPr>
        <w:ind w:left="792" w:hanging="360"/>
      </w:pPr>
      <w:rPr>
        <w:rFonts w:cs="Times New Roman" w:hint="default"/>
      </w:rPr>
    </w:lvl>
    <w:lvl w:ilvl="1" w:tplc="8042EE18">
      <w:start w:val="2"/>
      <w:numFmt w:val="lowerLetter"/>
      <w:lvlText w:val="%2."/>
      <w:lvlJc w:val="left"/>
      <w:pPr>
        <w:ind w:left="1440" w:hanging="360"/>
      </w:pPr>
      <w:rPr>
        <w:rFonts w:hint="default"/>
      </w:rPr>
    </w:lvl>
    <w:lvl w:ilvl="2" w:tplc="6128AF8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9CA2D8A"/>
    <w:multiLevelType w:val="hybridMultilevel"/>
    <w:tmpl w:val="A04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055D79"/>
    <w:multiLevelType w:val="hybridMultilevel"/>
    <w:tmpl w:val="8D36BDBC"/>
    <w:lvl w:ilvl="0" w:tplc="2DEE62C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7" w15:restartNumberingAfterBreak="0">
    <w:nsid w:val="3E922DAC"/>
    <w:multiLevelType w:val="hybridMultilevel"/>
    <w:tmpl w:val="4076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82BCA"/>
    <w:multiLevelType w:val="hybridMultilevel"/>
    <w:tmpl w:val="03842394"/>
    <w:lvl w:ilvl="0" w:tplc="E79CFC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821355"/>
    <w:multiLevelType w:val="hybridMultilevel"/>
    <w:tmpl w:val="EA94DEB0"/>
    <w:lvl w:ilvl="0" w:tplc="937A54C8">
      <w:start w:val="1"/>
      <w:numFmt w:val="lowerLetter"/>
      <w:lvlText w:val="(%1)"/>
      <w:lvlJc w:val="left"/>
      <w:pPr>
        <w:ind w:left="842" w:hanging="396"/>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4C1162C4"/>
    <w:multiLevelType w:val="hybridMultilevel"/>
    <w:tmpl w:val="E168E5DC"/>
    <w:lvl w:ilvl="0" w:tplc="E94ED2F2">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4F6236D9"/>
    <w:multiLevelType w:val="hybridMultilevel"/>
    <w:tmpl w:val="C58E8F8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2" w15:restartNumberingAfterBreak="0">
    <w:nsid w:val="513F31F4"/>
    <w:multiLevelType w:val="hybridMultilevel"/>
    <w:tmpl w:val="59662B1C"/>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3" w15:restartNumberingAfterBreak="0">
    <w:nsid w:val="515C0952"/>
    <w:multiLevelType w:val="hybridMultilevel"/>
    <w:tmpl w:val="7FD69FBC"/>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44" w15:restartNumberingAfterBreak="0">
    <w:nsid w:val="557128E4"/>
    <w:multiLevelType w:val="hybridMultilevel"/>
    <w:tmpl w:val="86D2CFC6"/>
    <w:lvl w:ilvl="0" w:tplc="E79AA1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5D60073E"/>
    <w:multiLevelType w:val="hybridMultilevel"/>
    <w:tmpl w:val="99EC93CE"/>
    <w:lvl w:ilvl="0" w:tplc="F634B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611282"/>
    <w:multiLevelType w:val="hybridMultilevel"/>
    <w:tmpl w:val="8BBACF16"/>
    <w:lvl w:ilvl="0" w:tplc="FFFADF5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7" w15:restartNumberingAfterBreak="0">
    <w:nsid w:val="714816DD"/>
    <w:multiLevelType w:val="hybridMultilevel"/>
    <w:tmpl w:val="26A6015A"/>
    <w:lvl w:ilvl="0" w:tplc="42C257F6">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4523B1D"/>
    <w:multiLevelType w:val="hybridMultilevel"/>
    <w:tmpl w:val="990E3D42"/>
    <w:lvl w:ilvl="0" w:tplc="E4CC16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9" w15:restartNumberingAfterBreak="0">
    <w:nsid w:val="74886420"/>
    <w:multiLevelType w:val="hybridMultilevel"/>
    <w:tmpl w:val="45AE99F8"/>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0" w15:restartNumberingAfterBreak="0">
    <w:nsid w:val="77857F26"/>
    <w:multiLevelType w:val="hybridMultilevel"/>
    <w:tmpl w:val="33467F14"/>
    <w:lvl w:ilvl="0" w:tplc="9612BC08">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1" w15:restartNumberingAfterBreak="0">
    <w:nsid w:val="7841339F"/>
    <w:multiLevelType w:val="hybridMultilevel"/>
    <w:tmpl w:val="49F00E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7D97623C"/>
    <w:multiLevelType w:val="hybridMultilevel"/>
    <w:tmpl w:val="B860F39E"/>
    <w:lvl w:ilvl="0" w:tplc="9BDCF4C6">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1"/>
  </w:num>
  <w:num w:numId="2">
    <w:abstractNumId w:val="38"/>
  </w:num>
  <w:num w:numId="3">
    <w:abstractNumId w:val="33"/>
  </w:num>
  <w:num w:numId="4">
    <w:abstractNumId w:val="48"/>
  </w:num>
  <w:num w:numId="5">
    <w:abstractNumId w:val="29"/>
  </w:num>
  <w:num w:numId="6">
    <w:abstractNumId w:val="50"/>
  </w:num>
  <w:num w:numId="7">
    <w:abstractNumId w:val="46"/>
  </w:num>
  <w:num w:numId="8">
    <w:abstractNumId w:val="36"/>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8"/>
  </w:num>
  <w:num w:numId="22">
    <w:abstractNumId w:val="37"/>
  </w:num>
  <w:num w:numId="23">
    <w:abstractNumId w:val="26"/>
  </w:num>
  <w:num w:numId="24">
    <w:abstractNumId w:val="35"/>
  </w:num>
  <w:num w:numId="25">
    <w:abstractNumId w:val="32"/>
  </w:num>
  <w:num w:numId="26">
    <w:abstractNumId w:val="23"/>
  </w:num>
  <w:num w:numId="27">
    <w:abstractNumId w:val="19"/>
  </w:num>
  <w:num w:numId="28">
    <w:abstractNumId w:val="17"/>
  </w:num>
  <w:num w:numId="29">
    <w:abstractNumId w:val="25"/>
  </w:num>
  <w:num w:numId="30">
    <w:abstractNumId w:val="41"/>
  </w:num>
  <w:num w:numId="31">
    <w:abstractNumId w:val="45"/>
  </w:num>
  <w:num w:numId="32">
    <w:abstractNumId w:val="21"/>
  </w:num>
  <w:num w:numId="33">
    <w:abstractNumId w:val="39"/>
  </w:num>
  <w:num w:numId="34">
    <w:abstractNumId w:val="18"/>
  </w:num>
  <w:num w:numId="35">
    <w:abstractNumId w:val="27"/>
  </w:num>
  <w:num w:numId="36">
    <w:abstractNumId w:val="49"/>
  </w:num>
  <w:num w:numId="37">
    <w:abstractNumId w:val="42"/>
  </w:num>
  <w:num w:numId="38">
    <w:abstractNumId w:val="34"/>
  </w:num>
  <w:num w:numId="39">
    <w:abstractNumId w:val="30"/>
  </w:num>
  <w:num w:numId="40">
    <w:abstractNumId w:val="20"/>
  </w:num>
  <w:num w:numId="41">
    <w:abstractNumId w:val="22"/>
  </w:num>
  <w:num w:numId="42">
    <w:abstractNumId w:val="24"/>
  </w:num>
  <w:num w:numId="43">
    <w:abstractNumId w:val="43"/>
  </w:num>
  <w:num w:numId="44">
    <w:abstractNumId w:val="15"/>
  </w:num>
  <w:num w:numId="45">
    <w:abstractNumId w:val="14"/>
  </w:num>
  <w:num w:numId="46">
    <w:abstractNumId w:val="10"/>
  </w:num>
  <w:num w:numId="47">
    <w:abstractNumId w:val="40"/>
  </w:num>
  <w:num w:numId="48">
    <w:abstractNumId w:val="47"/>
  </w:num>
  <w:num w:numId="49">
    <w:abstractNumId w:val="44"/>
  </w:num>
  <w:num w:numId="50">
    <w:abstractNumId w:val="51"/>
  </w:num>
  <w:num w:numId="51">
    <w:abstractNumId w:val="13"/>
  </w:num>
  <w:num w:numId="52">
    <w:abstractNumId w:val="31"/>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EA"/>
    <w:rsid w:val="00000339"/>
    <w:rsid w:val="0000091E"/>
    <w:rsid w:val="000030D9"/>
    <w:rsid w:val="00003A43"/>
    <w:rsid w:val="00004217"/>
    <w:rsid w:val="00005F13"/>
    <w:rsid w:val="00006301"/>
    <w:rsid w:val="00006861"/>
    <w:rsid w:val="00006C19"/>
    <w:rsid w:val="00007225"/>
    <w:rsid w:val="0000743E"/>
    <w:rsid w:val="00007823"/>
    <w:rsid w:val="00010277"/>
    <w:rsid w:val="000104E9"/>
    <w:rsid w:val="00011D39"/>
    <w:rsid w:val="00012E41"/>
    <w:rsid w:val="00015176"/>
    <w:rsid w:val="00016C6E"/>
    <w:rsid w:val="00020199"/>
    <w:rsid w:val="0002044C"/>
    <w:rsid w:val="00022108"/>
    <w:rsid w:val="00023502"/>
    <w:rsid w:val="00023821"/>
    <w:rsid w:val="00027230"/>
    <w:rsid w:val="00027448"/>
    <w:rsid w:val="00033D06"/>
    <w:rsid w:val="000359C6"/>
    <w:rsid w:val="00036EC0"/>
    <w:rsid w:val="00037515"/>
    <w:rsid w:val="00040621"/>
    <w:rsid w:val="0004100F"/>
    <w:rsid w:val="00044EC7"/>
    <w:rsid w:val="00045254"/>
    <w:rsid w:val="00046282"/>
    <w:rsid w:val="00046C6A"/>
    <w:rsid w:val="00050398"/>
    <w:rsid w:val="000503C5"/>
    <w:rsid w:val="000505C1"/>
    <w:rsid w:val="00050A32"/>
    <w:rsid w:val="000513BB"/>
    <w:rsid w:val="00052783"/>
    <w:rsid w:val="00052907"/>
    <w:rsid w:val="0005379A"/>
    <w:rsid w:val="0005598A"/>
    <w:rsid w:val="00056C41"/>
    <w:rsid w:val="000621E8"/>
    <w:rsid w:val="000627D9"/>
    <w:rsid w:val="000645D8"/>
    <w:rsid w:val="000649C4"/>
    <w:rsid w:val="00064E39"/>
    <w:rsid w:val="00065843"/>
    <w:rsid w:val="0006599E"/>
    <w:rsid w:val="00067D79"/>
    <w:rsid w:val="00070A04"/>
    <w:rsid w:val="0007122C"/>
    <w:rsid w:val="000714B2"/>
    <w:rsid w:val="000719ED"/>
    <w:rsid w:val="00072396"/>
    <w:rsid w:val="0007294D"/>
    <w:rsid w:val="000736C0"/>
    <w:rsid w:val="00073DC2"/>
    <w:rsid w:val="000745D5"/>
    <w:rsid w:val="00076864"/>
    <w:rsid w:val="00076E98"/>
    <w:rsid w:val="00080843"/>
    <w:rsid w:val="000809F5"/>
    <w:rsid w:val="00081A2B"/>
    <w:rsid w:val="00082D54"/>
    <w:rsid w:val="00082D5F"/>
    <w:rsid w:val="000857B2"/>
    <w:rsid w:val="00085DFA"/>
    <w:rsid w:val="000871B8"/>
    <w:rsid w:val="000879A7"/>
    <w:rsid w:val="00087D4F"/>
    <w:rsid w:val="000905CC"/>
    <w:rsid w:val="0009219F"/>
    <w:rsid w:val="00094538"/>
    <w:rsid w:val="000946C3"/>
    <w:rsid w:val="000946D1"/>
    <w:rsid w:val="00094D28"/>
    <w:rsid w:val="00097619"/>
    <w:rsid w:val="00097BC0"/>
    <w:rsid w:val="000A03D4"/>
    <w:rsid w:val="000A04A1"/>
    <w:rsid w:val="000A31FC"/>
    <w:rsid w:val="000A4591"/>
    <w:rsid w:val="000A512E"/>
    <w:rsid w:val="000A5F3F"/>
    <w:rsid w:val="000A6CA9"/>
    <w:rsid w:val="000A7712"/>
    <w:rsid w:val="000B086F"/>
    <w:rsid w:val="000B1002"/>
    <w:rsid w:val="000B32EB"/>
    <w:rsid w:val="000B4849"/>
    <w:rsid w:val="000B60E7"/>
    <w:rsid w:val="000B6283"/>
    <w:rsid w:val="000B70C3"/>
    <w:rsid w:val="000B735A"/>
    <w:rsid w:val="000B745C"/>
    <w:rsid w:val="000B7742"/>
    <w:rsid w:val="000B7BAD"/>
    <w:rsid w:val="000C0253"/>
    <w:rsid w:val="000C0A6F"/>
    <w:rsid w:val="000C1463"/>
    <w:rsid w:val="000C1791"/>
    <w:rsid w:val="000C1816"/>
    <w:rsid w:val="000C1ABF"/>
    <w:rsid w:val="000C2904"/>
    <w:rsid w:val="000C2D35"/>
    <w:rsid w:val="000C3F08"/>
    <w:rsid w:val="000C3F6E"/>
    <w:rsid w:val="000C3FBA"/>
    <w:rsid w:val="000C56E8"/>
    <w:rsid w:val="000C5D5D"/>
    <w:rsid w:val="000C652B"/>
    <w:rsid w:val="000C6772"/>
    <w:rsid w:val="000C7053"/>
    <w:rsid w:val="000C7C43"/>
    <w:rsid w:val="000D048F"/>
    <w:rsid w:val="000D067E"/>
    <w:rsid w:val="000D52F8"/>
    <w:rsid w:val="000D5591"/>
    <w:rsid w:val="000D6933"/>
    <w:rsid w:val="000D6DE6"/>
    <w:rsid w:val="000D7E8A"/>
    <w:rsid w:val="000E00BF"/>
    <w:rsid w:val="000E054E"/>
    <w:rsid w:val="000E1ED1"/>
    <w:rsid w:val="000E4AC4"/>
    <w:rsid w:val="000E4D35"/>
    <w:rsid w:val="000E65F4"/>
    <w:rsid w:val="000E772E"/>
    <w:rsid w:val="000F1B4E"/>
    <w:rsid w:val="000F26D9"/>
    <w:rsid w:val="000F2E3C"/>
    <w:rsid w:val="000F4278"/>
    <w:rsid w:val="000F4A2F"/>
    <w:rsid w:val="000F55D8"/>
    <w:rsid w:val="000F5611"/>
    <w:rsid w:val="000F62F7"/>
    <w:rsid w:val="000F6795"/>
    <w:rsid w:val="001005F3"/>
    <w:rsid w:val="00101C2E"/>
    <w:rsid w:val="001023AB"/>
    <w:rsid w:val="00106BAE"/>
    <w:rsid w:val="00111637"/>
    <w:rsid w:val="00111BE6"/>
    <w:rsid w:val="001127AD"/>
    <w:rsid w:val="001135F5"/>
    <w:rsid w:val="00113FDA"/>
    <w:rsid w:val="00114192"/>
    <w:rsid w:val="00114F87"/>
    <w:rsid w:val="00115CE0"/>
    <w:rsid w:val="00116C80"/>
    <w:rsid w:val="00116DA9"/>
    <w:rsid w:val="00120F4C"/>
    <w:rsid w:val="00121C26"/>
    <w:rsid w:val="00124321"/>
    <w:rsid w:val="0012455C"/>
    <w:rsid w:val="001250DF"/>
    <w:rsid w:val="00126145"/>
    <w:rsid w:val="0012713A"/>
    <w:rsid w:val="001276E2"/>
    <w:rsid w:val="00130402"/>
    <w:rsid w:val="001307BF"/>
    <w:rsid w:val="00132FF6"/>
    <w:rsid w:val="001345E5"/>
    <w:rsid w:val="00134BEE"/>
    <w:rsid w:val="00134CF6"/>
    <w:rsid w:val="00141AEB"/>
    <w:rsid w:val="00142D92"/>
    <w:rsid w:val="00143DFB"/>
    <w:rsid w:val="00144BB0"/>
    <w:rsid w:val="001460A2"/>
    <w:rsid w:val="001461A1"/>
    <w:rsid w:val="0014748B"/>
    <w:rsid w:val="001475D5"/>
    <w:rsid w:val="00150CAF"/>
    <w:rsid w:val="00150E99"/>
    <w:rsid w:val="00151122"/>
    <w:rsid w:val="00152DAC"/>
    <w:rsid w:val="00154604"/>
    <w:rsid w:val="0015486F"/>
    <w:rsid w:val="00156184"/>
    <w:rsid w:val="00156322"/>
    <w:rsid w:val="00157022"/>
    <w:rsid w:val="00157C2E"/>
    <w:rsid w:val="001600B5"/>
    <w:rsid w:val="00160540"/>
    <w:rsid w:val="00161751"/>
    <w:rsid w:val="0016277F"/>
    <w:rsid w:val="0016383B"/>
    <w:rsid w:val="001638A2"/>
    <w:rsid w:val="00163E9C"/>
    <w:rsid w:val="00166E1C"/>
    <w:rsid w:val="00167857"/>
    <w:rsid w:val="001704A9"/>
    <w:rsid w:val="00170927"/>
    <w:rsid w:val="001715A9"/>
    <w:rsid w:val="00172193"/>
    <w:rsid w:val="00172BB0"/>
    <w:rsid w:val="00174090"/>
    <w:rsid w:val="001741C2"/>
    <w:rsid w:val="0017508D"/>
    <w:rsid w:val="001760F7"/>
    <w:rsid w:val="001761C7"/>
    <w:rsid w:val="00176878"/>
    <w:rsid w:val="00180BA0"/>
    <w:rsid w:val="00180C0E"/>
    <w:rsid w:val="00181AEB"/>
    <w:rsid w:val="0018207D"/>
    <w:rsid w:val="00185473"/>
    <w:rsid w:val="0018633A"/>
    <w:rsid w:val="00186C74"/>
    <w:rsid w:val="00187785"/>
    <w:rsid w:val="00187A9A"/>
    <w:rsid w:val="00190BAA"/>
    <w:rsid w:val="0019133C"/>
    <w:rsid w:val="00192CBC"/>
    <w:rsid w:val="00193171"/>
    <w:rsid w:val="0019407B"/>
    <w:rsid w:val="00194A15"/>
    <w:rsid w:val="00196CF2"/>
    <w:rsid w:val="00197F66"/>
    <w:rsid w:val="001A051C"/>
    <w:rsid w:val="001A0D50"/>
    <w:rsid w:val="001A1300"/>
    <w:rsid w:val="001A131C"/>
    <w:rsid w:val="001A1A63"/>
    <w:rsid w:val="001A2022"/>
    <w:rsid w:val="001A230A"/>
    <w:rsid w:val="001A3B5B"/>
    <w:rsid w:val="001A588C"/>
    <w:rsid w:val="001A5DCA"/>
    <w:rsid w:val="001A7352"/>
    <w:rsid w:val="001B00F0"/>
    <w:rsid w:val="001B0842"/>
    <w:rsid w:val="001B2362"/>
    <w:rsid w:val="001B2D5E"/>
    <w:rsid w:val="001B321B"/>
    <w:rsid w:val="001B369C"/>
    <w:rsid w:val="001B4253"/>
    <w:rsid w:val="001B4793"/>
    <w:rsid w:val="001B5977"/>
    <w:rsid w:val="001B6EF5"/>
    <w:rsid w:val="001B791A"/>
    <w:rsid w:val="001B7B70"/>
    <w:rsid w:val="001C0B64"/>
    <w:rsid w:val="001C19D4"/>
    <w:rsid w:val="001C2047"/>
    <w:rsid w:val="001C41AF"/>
    <w:rsid w:val="001C50E4"/>
    <w:rsid w:val="001C5920"/>
    <w:rsid w:val="001C5CA7"/>
    <w:rsid w:val="001C5F07"/>
    <w:rsid w:val="001C70CD"/>
    <w:rsid w:val="001C754F"/>
    <w:rsid w:val="001D0259"/>
    <w:rsid w:val="001D0C05"/>
    <w:rsid w:val="001D1EF9"/>
    <w:rsid w:val="001D4C2A"/>
    <w:rsid w:val="001D529F"/>
    <w:rsid w:val="001D5728"/>
    <w:rsid w:val="001D5F51"/>
    <w:rsid w:val="001E2113"/>
    <w:rsid w:val="001E2D2E"/>
    <w:rsid w:val="001E3067"/>
    <w:rsid w:val="001E3D54"/>
    <w:rsid w:val="001E5A9A"/>
    <w:rsid w:val="001E6154"/>
    <w:rsid w:val="001E72CB"/>
    <w:rsid w:val="001E7D46"/>
    <w:rsid w:val="001F13E0"/>
    <w:rsid w:val="001F23CE"/>
    <w:rsid w:val="001F3110"/>
    <w:rsid w:val="001F3769"/>
    <w:rsid w:val="001F500E"/>
    <w:rsid w:val="0020050E"/>
    <w:rsid w:val="0020072D"/>
    <w:rsid w:val="00204897"/>
    <w:rsid w:val="002055A7"/>
    <w:rsid w:val="00206CFB"/>
    <w:rsid w:val="002079B5"/>
    <w:rsid w:val="00210B4A"/>
    <w:rsid w:val="00214D25"/>
    <w:rsid w:val="00214FD0"/>
    <w:rsid w:val="00215D5C"/>
    <w:rsid w:val="00215DB8"/>
    <w:rsid w:val="00216126"/>
    <w:rsid w:val="0022209A"/>
    <w:rsid w:val="0022262B"/>
    <w:rsid w:val="00222C69"/>
    <w:rsid w:val="002233ED"/>
    <w:rsid w:val="00223B26"/>
    <w:rsid w:val="00223D67"/>
    <w:rsid w:val="00224C63"/>
    <w:rsid w:val="00230583"/>
    <w:rsid w:val="00231071"/>
    <w:rsid w:val="00232BF1"/>
    <w:rsid w:val="0023343F"/>
    <w:rsid w:val="00234A13"/>
    <w:rsid w:val="00235786"/>
    <w:rsid w:val="0023615C"/>
    <w:rsid w:val="00240084"/>
    <w:rsid w:val="00240976"/>
    <w:rsid w:val="00241562"/>
    <w:rsid w:val="00241B10"/>
    <w:rsid w:val="00243230"/>
    <w:rsid w:val="002436F7"/>
    <w:rsid w:val="00244CAB"/>
    <w:rsid w:val="0024523C"/>
    <w:rsid w:val="00245FCC"/>
    <w:rsid w:val="002460B7"/>
    <w:rsid w:val="00246349"/>
    <w:rsid w:val="0024793E"/>
    <w:rsid w:val="00251406"/>
    <w:rsid w:val="002520DA"/>
    <w:rsid w:val="00253061"/>
    <w:rsid w:val="00253C0E"/>
    <w:rsid w:val="00254400"/>
    <w:rsid w:val="0025603D"/>
    <w:rsid w:val="002567AB"/>
    <w:rsid w:val="00257809"/>
    <w:rsid w:val="002578B6"/>
    <w:rsid w:val="002605DD"/>
    <w:rsid w:val="002605F4"/>
    <w:rsid w:val="00260697"/>
    <w:rsid w:val="00260A8B"/>
    <w:rsid w:val="00262405"/>
    <w:rsid w:val="002632E9"/>
    <w:rsid w:val="002638D5"/>
    <w:rsid w:val="00264AC4"/>
    <w:rsid w:val="002651F3"/>
    <w:rsid w:val="00265BCD"/>
    <w:rsid w:val="00266525"/>
    <w:rsid w:val="00267D4E"/>
    <w:rsid w:val="00270D97"/>
    <w:rsid w:val="00271193"/>
    <w:rsid w:val="00271367"/>
    <w:rsid w:val="00272E40"/>
    <w:rsid w:val="0027526D"/>
    <w:rsid w:val="0028265B"/>
    <w:rsid w:val="002839C5"/>
    <w:rsid w:val="00283E48"/>
    <w:rsid w:val="00284032"/>
    <w:rsid w:val="002864ED"/>
    <w:rsid w:val="00286CB9"/>
    <w:rsid w:val="002877D7"/>
    <w:rsid w:val="002903B8"/>
    <w:rsid w:val="002907A5"/>
    <w:rsid w:val="002910AC"/>
    <w:rsid w:val="0029273C"/>
    <w:rsid w:val="00292B0D"/>
    <w:rsid w:val="002930A5"/>
    <w:rsid w:val="00294022"/>
    <w:rsid w:val="0029433C"/>
    <w:rsid w:val="002943F8"/>
    <w:rsid w:val="00294CF3"/>
    <w:rsid w:val="002956D7"/>
    <w:rsid w:val="00295A51"/>
    <w:rsid w:val="002973ED"/>
    <w:rsid w:val="00297824"/>
    <w:rsid w:val="002A2FEE"/>
    <w:rsid w:val="002A3767"/>
    <w:rsid w:val="002A45FC"/>
    <w:rsid w:val="002A52EA"/>
    <w:rsid w:val="002A5577"/>
    <w:rsid w:val="002A6A1E"/>
    <w:rsid w:val="002A7D82"/>
    <w:rsid w:val="002A7FF5"/>
    <w:rsid w:val="002B17E4"/>
    <w:rsid w:val="002B1A73"/>
    <w:rsid w:val="002B2A75"/>
    <w:rsid w:val="002B3324"/>
    <w:rsid w:val="002B345F"/>
    <w:rsid w:val="002B3A93"/>
    <w:rsid w:val="002B3E36"/>
    <w:rsid w:val="002B4E7C"/>
    <w:rsid w:val="002B6B28"/>
    <w:rsid w:val="002B6CF6"/>
    <w:rsid w:val="002C05DE"/>
    <w:rsid w:val="002C07FA"/>
    <w:rsid w:val="002C27FB"/>
    <w:rsid w:val="002C29B0"/>
    <w:rsid w:val="002C6254"/>
    <w:rsid w:val="002C689B"/>
    <w:rsid w:val="002C6FD4"/>
    <w:rsid w:val="002C75FF"/>
    <w:rsid w:val="002C7CE1"/>
    <w:rsid w:val="002D1AA7"/>
    <w:rsid w:val="002D2039"/>
    <w:rsid w:val="002D2E70"/>
    <w:rsid w:val="002D2F9A"/>
    <w:rsid w:val="002D31F4"/>
    <w:rsid w:val="002D4C65"/>
    <w:rsid w:val="002D620A"/>
    <w:rsid w:val="002D6CBE"/>
    <w:rsid w:val="002D72CC"/>
    <w:rsid w:val="002D7A67"/>
    <w:rsid w:val="002E070C"/>
    <w:rsid w:val="002E1297"/>
    <w:rsid w:val="002E1CE9"/>
    <w:rsid w:val="002E1DC1"/>
    <w:rsid w:val="002E23AB"/>
    <w:rsid w:val="002E464B"/>
    <w:rsid w:val="002E4E43"/>
    <w:rsid w:val="002E64C0"/>
    <w:rsid w:val="002E6663"/>
    <w:rsid w:val="002E68AF"/>
    <w:rsid w:val="002E7161"/>
    <w:rsid w:val="002E7911"/>
    <w:rsid w:val="002E7FF0"/>
    <w:rsid w:val="002F1000"/>
    <w:rsid w:val="002F1A86"/>
    <w:rsid w:val="002F3675"/>
    <w:rsid w:val="002F423E"/>
    <w:rsid w:val="002F4983"/>
    <w:rsid w:val="002F6504"/>
    <w:rsid w:val="002F67B0"/>
    <w:rsid w:val="002F6967"/>
    <w:rsid w:val="002F7241"/>
    <w:rsid w:val="00300468"/>
    <w:rsid w:val="00301B70"/>
    <w:rsid w:val="00302750"/>
    <w:rsid w:val="0030276B"/>
    <w:rsid w:val="003029CF"/>
    <w:rsid w:val="00302F03"/>
    <w:rsid w:val="00303283"/>
    <w:rsid w:val="00303607"/>
    <w:rsid w:val="00305088"/>
    <w:rsid w:val="00307A7A"/>
    <w:rsid w:val="0031096E"/>
    <w:rsid w:val="00311BCA"/>
    <w:rsid w:val="00312261"/>
    <w:rsid w:val="0031268E"/>
    <w:rsid w:val="003131A7"/>
    <w:rsid w:val="00313492"/>
    <w:rsid w:val="00315B0D"/>
    <w:rsid w:val="0031658C"/>
    <w:rsid w:val="00316E9D"/>
    <w:rsid w:val="00320A49"/>
    <w:rsid w:val="00320D7D"/>
    <w:rsid w:val="00321182"/>
    <w:rsid w:val="003225E6"/>
    <w:rsid w:val="0032261B"/>
    <w:rsid w:val="00324652"/>
    <w:rsid w:val="003247F2"/>
    <w:rsid w:val="00324DBF"/>
    <w:rsid w:val="0032772B"/>
    <w:rsid w:val="00331322"/>
    <w:rsid w:val="00331DD0"/>
    <w:rsid w:val="00331E1E"/>
    <w:rsid w:val="003400A6"/>
    <w:rsid w:val="0034059E"/>
    <w:rsid w:val="00340EFD"/>
    <w:rsid w:val="003412A9"/>
    <w:rsid w:val="0034139B"/>
    <w:rsid w:val="00341411"/>
    <w:rsid w:val="00341942"/>
    <w:rsid w:val="00341EF3"/>
    <w:rsid w:val="00342F50"/>
    <w:rsid w:val="0034301C"/>
    <w:rsid w:val="00343874"/>
    <w:rsid w:val="00345447"/>
    <w:rsid w:val="0034568B"/>
    <w:rsid w:val="00345C28"/>
    <w:rsid w:val="00352D33"/>
    <w:rsid w:val="003546BF"/>
    <w:rsid w:val="00356313"/>
    <w:rsid w:val="00357C18"/>
    <w:rsid w:val="0036046A"/>
    <w:rsid w:val="00360B15"/>
    <w:rsid w:val="00360F78"/>
    <w:rsid w:val="0036401C"/>
    <w:rsid w:val="00364E20"/>
    <w:rsid w:val="003667AE"/>
    <w:rsid w:val="0037016A"/>
    <w:rsid w:val="00370DC7"/>
    <w:rsid w:val="00370EC4"/>
    <w:rsid w:val="003718F4"/>
    <w:rsid w:val="003723A3"/>
    <w:rsid w:val="00372FE1"/>
    <w:rsid w:val="00374BAF"/>
    <w:rsid w:val="0037534F"/>
    <w:rsid w:val="003753BF"/>
    <w:rsid w:val="0037662D"/>
    <w:rsid w:val="003815CD"/>
    <w:rsid w:val="00384122"/>
    <w:rsid w:val="00385742"/>
    <w:rsid w:val="00385FE5"/>
    <w:rsid w:val="003861B1"/>
    <w:rsid w:val="003868F0"/>
    <w:rsid w:val="00387E42"/>
    <w:rsid w:val="003920EF"/>
    <w:rsid w:val="00392C6B"/>
    <w:rsid w:val="00394535"/>
    <w:rsid w:val="00394C03"/>
    <w:rsid w:val="00395084"/>
    <w:rsid w:val="003957BB"/>
    <w:rsid w:val="00395B54"/>
    <w:rsid w:val="00395C2C"/>
    <w:rsid w:val="003961A5"/>
    <w:rsid w:val="00396C15"/>
    <w:rsid w:val="0039749D"/>
    <w:rsid w:val="00397EA0"/>
    <w:rsid w:val="00397EDD"/>
    <w:rsid w:val="003A01F2"/>
    <w:rsid w:val="003A0CC4"/>
    <w:rsid w:val="003A0E6B"/>
    <w:rsid w:val="003A1B9E"/>
    <w:rsid w:val="003A1CD6"/>
    <w:rsid w:val="003A3437"/>
    <w:rsid w:val="003A3456"/>
    <w:rsid w:val="003A3A45"/>
    <w:rsid w:val="003A3DEC"/>
    <w:rsid w:val="003A5289"/>
    <w:rsid w:val="003A5972"/>
    <w:rsid w:val="003A6471"/>
    <w:rsid w:val="003A7AED"/>
    <w:rsid w:val="003B06E0"/>
    <w:rsid w:val="003B1236"/>
    <w:rsid w:val="003B2037"/>
    <w:rsid w:val="003B2100"/>
    <w:rsid w:val="003B24BC"/>
    <w:rsid w:val="003B31FD"/>
    <w:rsid w:val="003B3721"/>
    <w:rsid w:val="003B3F36"/>
    <w:rsid w:val="003B4911"/>
    <w:rsid w:val="003B4BF1"/>
    <w:rsid w:val="003B5961"/>
    <w:rsid w:val="003B5BAA"/>
    <w:rsid w:val="003B5C21"/>
    <w:rsid w:val="003B5D19"/>
    <w:rsid w:val="003C037F"/>
    <w:rsid w:val="003C0B9C"/>
    <w:rsid w:val="003C0E77"/>
    <w:rsid w:val="003C2629"/>
    <w:rsid w:val="003C2EBF"/>
    <w:rsid w:val="003C2EF4"/>
    <w:rsid w:val="003C381F"/>
    <w:rsid w:val="003C420B"/>
    <w:rsid w:val="003C621C"/>
    <w:rsid w:val="003C6345"/>
    <w:rsid w:val="003C6FED"/>
    <w:rsid w:val="003D1A7F"/>
    <w:rsid w:val="003D40ED"/>
    <w:rsid w:val="003D43D8"/>
    <w:rsid w:val="003D4476"/>
    <w:rsid w:val="003D5206"/>
    <w:rsid w:val="003D5D40"/>
    <w:rsid w:val="003D61F8"/>
    <w:rsid w:val="003E0637"/>
    <w:rsid w:val="003E092E"/>
    <w:rsid w:val="003E1BD6"/>
    <w:rsid w:val="003E1DBC"/>
    <w:rsid w:val="003E2BCE"/>
    <w:rsid w:val="003E31AE"/>
    <w:rsid w:val="003E3602"/>
    <w:rsid w:val="003E4003"/>
    <w:rsid w:val="003E6446"/>
    <w:rsid w:val="003E7327"/>
    <w:rsid w:val="003E7448"/>
    <w:rsid w:val="003F0E70"/>
    <w:rsid w:val="003F33F4"/>
    <w:rsid w:val="003F3B26"/>
    <w:rsid w:val="003F632A"/>
    <w:rsid w:val="003F7A39"/>
    <w:rsid w:val="00402ACB"/>
    <w:rsid w:val="00402C76"/>
    <w:rsid w:val="00403313"/>
    <w:rsid w:val="00403BDC"/>
    <w:rsid w:val="00404408"/>
    <w:rsid w:val="00404DC6"/>
    <w:rsid w:val="004056B2"/>
    <w:rsid w:val="00406100"/>
    <w:rsid w:val="00407498"/>
    <w:rsid w:val="00410E8F"/>
    <w:rsid w:val="0041197B"/>
    <w:rsid w:val="00411C6A"/>
    <w:rsid w:val="00413445"/>
    <w:rsid w:val="004138D7"/>
    <w:rsid w:val="00420755"/>
    <w:rsid w:val="00420D51"/>
    <w:rsid w:val="00422076"/>
    <w:rsid w:val="0042228E"/>
    <w:rsid w:val="004222A4"/>
    <w:rsid w:val="00422D90"/>
    <w:rsid w:val="004238C2"/>
    <w:rsid w:val="00424813"/>
    <w:rsid w:val="004252DF"/>
    <w:rsid w:val="00425AC3"/>
    <w:rsid w:val="0043029C"/>
    <w:rsid w:val="00431D86"/>
    <w:rsid w:val="004327B3"/>
    <w:rsid w:val="00433008"/>
    <w:rsid w:val="00435246"/>
    <w:rsid w:val="004361C5"/>
    <w:rsid w:val="004417BD"/>
    <w:rsid w:val="00444871"/>
    <w:rsid w:val="0044517B"/>
    <w:rsid w:val="00445BA9"/>
    <w:rsid w:val="00445C11"/>
    <w:rsid w:val="0044681C"/>
    <w:rsid w:val="00446E47"/>
    <w:rsid w:val="00450193"/>
    <w:rsid w:val="0045032F"/>
    <w:rsid w:val="00450DF5"/>
    <w:rsid w:val="00450E9E"/>
    <w:rsid w:val="00452E02"/>
    <w:rsid w:val="00453961"/>
    <w:rsid w:val="00455009"/>
    <w:rsid w:val="0045723A"/>
    <w:rsid w:val="00457384"/>
    <w:rsid w:val="0045782B"/>
    <w:rsid w:val="00460F0E"/>
    <w:rsid w:val="0046105F"/>
    <w:rsid w:val="00461E57"/>
    <w:rsid w:val="004620AD"/>
    <w:rsid w:val="00462C06"/>
    <w:rsid w:val="00462EBD"/>
    <w:rsid w:val="004652D5"/>
    <w:rsid w:val="004670CE"/>
    <w:rsid w:val="00471DAB"/>
    <w:rsid w:val="00472163"/>
    <w:rsid w:val="00472772"/>
    <w:rsid w:val="00474113"/>
    <w:rsid w:val="004759B5"/>
    <w:rsid w:val="00476E9B"/>
    <w:rsid w:val="00477A22"/>
    <w:rsid w:val="00477BAF"/>
    <w:rsid w:val="00482EFC"/>
    <w:rsid w:val="0048403C"/>
    <w:rsid w:val="00484678"/>
    <w:rsid w:val="00484DEE"/>
    <w:rsid w:val="00485EAB"/>
    <w:rsid w:val="00491BB3"/>
    <w:rsid w:val="004934F9"/>
    <w:rsid w:val="00493AF3"/>
    <w:rsid w:val="00493E8E"/>
    <w:rsid w:val="00494A17"/>
    <w:rsid w:val="004956A3"/>
    <w:rsid w:val="00495B39"/>
    <w:rsid w:val="00496385"/>
    <w:rsid w:val="00497709"/>
    <w:rsid w:val="0049787F"/>
    <w:rsid w:val="004A00D4"/>
    <w:rsid w:val="004A171F"/>
    <w:rsid w:val="004A22F7"/>
    <w:rsid w:val="004A2908"/>
    <w:rsid w:val="004A2A4F"/>
    <w:rsid w:val="004A3127"/>
    <w:rsid w:val="004A379A"/>
    <w:rsid w:val="004A40E8"/>
    <w:rsid w:val="004A42EA"/>
    <w:rsid w:val="004A4A51"/>
    <w:rsid w:val="004A4C7B"/>
    <w:rsid w:val="004A4F80"/>
    <w:rsid w:val="004A5CC4"/>
    <w:rsid w:val="004A7297"/>
    <w:rsid w:val="004A733F"/>
    <w:rsid w:val="004B0073"/>
    <w:rsid w:val="004B01A5"/>
    <w:rsid w:val="004B1F41"/>
    <w:rsid w:val="004B6CC5"/>
    <w:rsid w:val="004B6EDB"/>
    <w:rsid w:val="004C11DF"/>
    <w:rsid w:val="004C1A67"/>
    <w:rsid w:val="004C4BD7"/>
    <w:rsid w:val="004C612C"/>
    <w:rsid w:val="004C644B"/>
    <w:rsid w:val="004C7DE6"/>
    <w:rsid w:val="004D0022"/>
    <w:rsid w:val="004D09F6"/>
    <w:rsid w:val="004D11B9"/>
    <w:rsid w:val="004D1EB1"/>
    <w:rsid w:val="004D3755"/>
    <w:rsid w:val="004D396C"/>
    <w:rsid w:val="004D4740"/>
    <w:rsid w:val="004D6B34"/>
    <w:rsid w:val="004D77AD"/>
    <w:rsid w:val="004D7D3E"/>
    <w:rsid w:val="004E53DF"/>
    <w:rsid w:val="004E594E"/>
    <w:rsid w:val="004E5AFC"/>
    <w:rsid w:val="004E7D66"/>
    <w:rsid w:val="004F1F64"/>
    <w:rsid w:val="004F1F79"/>
    <w:rsid w:val="004F51E9"/>
    <w:rsid w:val="004F5396"/>
    <w:rsid w:val="004F5A64"/>
    <w:rsid w:val="004F6910"/>
    <w:rsid w:val="004F7206"/>
    <w:rsid w:val="0050081F"/>
    <w:rsid w:val="00502401"/>
    <w:rsid w:val="00503CB4"/>
    <w:rsid w:val="00503CC5"/>
    <w:rsid w:val="005045E3"/>
    <w:rsid w:val="0050541C"/>
    <w:rsid w:val="005054A6"/>
    <w:rsid w:val="00506758"/>
    <w:rsid w:val="00506CF7"/>
    <w:rsid w:val="005104D4"/>
    <w:rsid w:val="00511CCF"/>
    <w:rsid w:val="00513496"/>
    <w:rsid w:val="00513759"/>
    <w:rsid w:val="00513FDA"/>
    <w:rsid w:val="0051490C"/>
    <w:rsid w:val="00514EA4"/>
    <w:rsid w:val="00514FCC"/>
    <w:rsid w:val="0051544E"/>
    <w:rsid w:val="00516896"/>
    <w:rsid w:val="00516B24"/>
    <w:rsid w:val="00516E17"/>
    <w:rsid w:val="00517DED"/>
    <w:rsid w:val="0052113E"/>
    <w:rsid w:val="00522A9F"/>
    <w:rsid w:val="00523241"/>
    <w:rsid w:val="00524166"/>
    <w:rsid w:val="005241D0"/>
    <w:rsid w:val="00524627"/>
    <w:rsid w:val="00525CC5"/>
    <w:rsid w:val="00527B79"/>
    <w:rsid w:val="00527C2A"/>
    <w:rsid w:val="005300FB"/>
    <w:rsid w:val="00530B99"/>
    <w:rsid w:val="0053178D"/>
    <w:rsid w:val="00532F4E"/>
    <w:rsid w:val="00533C3A"/>
    <w:rsid w:val="00535B7A"/>
    <w:rsid w:val="00535EBA"/>
    <w:rsid w:val="0053697F"/>
    <w:rsid w:val="0054049E"/>
    <w:rsid w:val="00540DEF"/>
    <w:rsid w:val="0054186A"/>
    <w:rsid w:val="00545D5B"/>
    <w:rsid w:val="0054646E"/>
    <w:rsid w:val="005464FE"/>
    <w:rsid w:val="0055499D"/>
    <w:rsid w:val="00554D4C"/>
    <w:rsid w:val="00554F43"/>
    <w:rsid w:val="00555018"/>
    <w:rsid w:val="00555362"/>
    <w:rsid w:val="005554B3"/>
    <w:rsid w:val="0055591C"/>
    <w:rsid w:val="00555DEA"/>
    <w:rsid w:val="0056098E"/>
    <w:rsid w:val="00562405"/>
    <w:rsid w:val="0056368C"/>
    <w:rsid w:val="005639E1"/>
    <w:rsid w:val="00564285"/>
    <w:rsid w:val="0056482A"/>
    <w:rsid w:val="00565487"/>
    <w:rsid w:val="00565A45"/>
    <w:rsid w:val="005703D6"/>
    <w:rsid w:val="005703EE"/>
    <w:rsid w:val="0057063C"/>
    <w:rsid w:val="005711BE"/>
    <w:rsid w:val="005713BE"/>
    <w:rsid w:val="005714D2"/>
    <w:rsid w:val="0057255B"/>
    <w:rsid w:val="00572DD0"/>
    <w:rsid w:val="00572F2E"/>
    <w:rsid w:val="00574DB0"/>
    <w:rsid w:val="0057608A"/>
    <w:rsid w:val="00577329"/>
    <w:rsid w:val="005778E8"/>
    <w:rsid w:val="00580723"/>
    <w:rsid w:val="00580C5C"/>
    <w:rsid w:val="0058159E"/>
    <w:rsid w:val="00582BB6"/>
    <w:rsid w:val="00583729"/>
    <w:rsid w:val="00583990"/>
    <w:rsid w:val="00586475"/>
    <w:rsid w:val="00586962"/>
    <w:rsid w:val="005870D5"/>
    <w:rsid w:val="00587B35"/>
    <w:rsid w:val="00590D01"/>
    <w:rsid w:val="00593156"/>
    <w:rsid w:val="00593478"/>
    <w:rsid w:val="0059369D"/>
    <w:rsid w:val="00594F90"/>
    <w:rsid w:val="005958EA"/>
    <w:rsid w:val="005959CC"/>
    <w:rsid w:val="00596259"/>
    <w:rsid w:val="00597328"/>
    <w:rsid w:val="005979B3"/>
    <w:rsid w:val="005A0619"/>
    <w:rsid w:val="005A0D79"/>
    <w:rsid w:val="005A2885"/>
    <w:rsid w:val="005A3624"/>
    <w:rsid w:val="005A404B"/>
    <w:rsid w:val="005A5201"/>
    <w:rsid w:val="005A56C1"/>
    <w:rsid w:val="005A62CA"/>
    <w:rsid w:val="005A75EF"/>
    <w:rsid w:val="005A7687"/>
    <w:rsid w:val="005B01B3"/>
    <w:rsid w:val="005B2329"/>
    <w:rsid w:val="005B2680"/>
    <w:rsid w:val="005B38D5"/>
    <w:rsid w:val="005B4DB3"/>
    <w:rsid w:val="005B6A90"/>
    <w:rsid w:val="005C278F"/>
    <w:rsid w:val="005C4628"/>
    <w:rsid w:val="005C6FC1"/>
    <w:rsid w:val="005D09A3"/>
    <w:rsid w:val="005D0A2B"/>
    <w:rsid w:val="005D1DE5"/>
    <w:rsid w:val="005D24AE"/>
    <w:rsid w:val="005D32E6"/>
    <w:rsid w:val="005D3D9E"/>
    <w:rsid w:val="005D3F93"/>
    <w:rsid w:val="005D4C7D"/>
    <w:rsid w:val="005D5605"/>
    <w:rsid w:val="005D5D4C"/>
    <w:rsid w:val="005E1695"/>
    <w:rsid w:val="005E589D"/>
    <w:rsid w:val="005E6343"/>
    <w:rsid w:val="005E7A4B"/>
    <w:rsid w:val="005E7F51"/>
    <w:rsid w:val="005F047C"/>
    <w:rsid w:val="005F3B6F"/>
    <w:rsid w:val="005F40A9"/>
    <w:rsid w:val="005F6233"/>
    <w:rsid w:val="005F6D78"/>
    <w:rsid w:val="005F79D2"/>
    <w:rsid w:val="006000E2"/>
    <w:rsid w:val="006001E6"/>
    <w:rsid w:val="00602051"/>
    <w:rsid w:val="006023CF"/>
    <w:rsid w:val="00605477"/>
    <w:rsid w:val="00605D90"/>
    <w:rsid w:val="00606BED"/>
    <w:rsid w:val="00606F5E"/>
    <w:rsid w:val="0061036C"/>
    <w:rsid w:val="006115A7"/>
    <w:rsid w:val="00611DA0"/>
    <w:rsid w:val="00612687"/>
    <w:rsid w:val="006156BF"/>
    <w:rsid w:val="00620114"/>
    <w:rsid w:val="006205FE"/>
    <w:rsid w:val="00623A81"/>
    <w:rsid w:val="00625239"/>
    <w:rsid w:val="006302B5"/>
    <w:rsid w:val="0063107F"/>
    <w:rsid w:val="006312E7"/>
    <w:rsid w:val="0063154E"/>
    <w:rsid w:val="00631D2B"/>
    <w:rsid w:val="00632F00"/>
    <w:rsid w:val="006359BD"/>
    <w:rsid w:val="00640699"/>
    <w:rsid w:val="006411C6"/>
    <w:rsid w:val="006429EF"/>
    <w:rsid w:val="00642A87"/>
    <w:rsid w:val="00642C03"/>
    <w:rsid w:val="00642D24"/>
    <w:rsid w:val="00642D88"/>
    <w:rsid w:val="00643996"/>
    <w:rsid w:val="006445F8"/>
    <w:rsid w:val="00644B97"/>
    <w:rsid w:val="006456C0"/>
    <w:rsid w:val="00646E7B"/>
    <w:rsid w:val="00647F67"/>
    <w:rsid w:val="00651D30"/>
    <w:rsid w:val="00653E66"/>
    <w:rsid w:val="006540B0"/>
    <w:rsid w:val="00656C85"/>
    <w:rsid w:val="00657E91"/>
    <w:rsid w:val="00660EBC"/>
    <w:rsid w:val="00660F61"/>
    <w:rsid w:val="00661D2E"/>
    <w:rsid w:val="00663157"/>
    <w:rsid w:val="00664E69"/>
    <w:rsid w:val="00665E66"/>
    <w:rsid w:val="00667EE2"/>
    <w:rsid w:val="00670337"/>
    <w:rsid w:val="00670467"/>
    <w:rsid w:val="006711D0"/>
    <w:rsid w:val="00671615"/>
    <w:rsid w:val="00672D4B"/>
    <w:rsid w:val="00673291"/>
    <w:rsid w:val="006743C8"/>
    <w:rsid w:val="00674B01"/>
    <w:rsid w:val="00674DA2"/>
    <w:rsid w:val="00675AE8"/>
    <w:rsid w:val="0067672B"/>
    <w:rsid w:val="00676829"/>
    <w:rsid w:val="00677109"/>
    <w:rsid w:val="00677113"/>
    <w:rsid w:val="00677435"/>
    <w:rsid w:val="00681427"/>
    <w:rsid w:val="00681859"/>
    <w:rsid w:val="00681D49"/>
    <w:rsid w:val="00682227"/>
    <w:rsid w:val="00682C3D"/>
    <w:rsid w:val="00683465"/>
    <w:rsid w:val="00683F87"/>
    <w:rsid w:val="00690095"/>
    <w:rsid w:val="0069275D"/>
    <w:rsid w:val="00692D89"/>
    <w:rsid w:val="00693D43"/>
    <w:rsid w:val="0069420D"/>
    <w:rsid w:val="00694BDE"/>
    <w:rsid w:val="00694CE2"/>
    <w:rsid w:val="0069516C"/>
    <w:rsid w:val="0069656F"/>
    <w:rsid w:val="00697A08"/>
    <w:rsid w:val="006A1EFE"/>
    <w:rsid w:val="006A20DB"/>
    <w:rsid w:val="006A342C"/>
    <w:rsid w:val="006A45A3"/>
    <w:rsid w:val="006A49BC"/>
    <w:rsid w:val="006A4B4B"/>
    <w:rsid w:val="006A5B48"/>
    <w:rsid w:val="006A5C30"/>
    <w:rsid w:val="006A60D9"/>
    <w:rsid w:val="006A62FC"/>
    <w:rsid w:val="006A7714"/>
    <w:rsid w:val="006A7FBA"/>
    <w:rsid w:val="006B025F"/>
    <w:rsid w:val="006B167C"/>
    <w:rsid w:val="006B1F31"/>
    <w:rsid w:val="006B3B01"/>
    <w:rsid w:val="006B4EEE"/>
    <w:rsid w:val="006B66DE"/>
    <w:rsid w:val="006B6DE2"/>
    <w:rsid w:val="006C2D6B"/>
    <w:rsid w:val="006C4211"/>
    <w:rsid w:val="006C6519"/>
    <w:rsid w:val="006C69B1"/>
    <w:rsid w:val="006C6EA8"/>
    <w:rsid w:val="006D06C6"/>
    <w:rsid w:val="006D090D"/>
    <w:rsid w:val="006D0E0C"/>
    <w:rsid w:val="006D135B"/>
    <w:rsid w:val="006D252E"/>
    <w:rsid w:val="006D2AE1"/>
    <w:rsid w:val="006D31E2"/>
    <w:rsid w:val="006D37F0"/>
    <w:rsid w:val="006D43F0"/>
    <w:rsid w:val="006D460E"/>
    <w:rsid w:val="006D4677"/>
    <w:rsid w:val="006D51E4"/>
    <w:rsid w:val="006D5927"/>
    <w:rsid w:val="006E0977"/>
    <w:rsid w:val="006E0A62"/>
    <w:rsid w:val="006E132F"/>
    <w:rsid w:val="006E3846"/>
    <w:rsid w:val="006E41F5"/>
    <w:rsid w:val="006E53A3"/>
    <w:rsid w:val="006E562B"/>
    <w:rsid w:val="006E6A6F"/>
    <w:rsid w:val="006E6BF8"/>
    <w:rsid w:val="006E7384"/>
    <w:rsid w:val="006E7B16"/>
    <w:rsid w:val="006F1C18"/>
    <w:rsid w:val="006F1E57"/>
    <w:rsid w:val="006F2161"/>
    <w:rsid w:val="006F2C52"/>
    <w:rsid w:val="006F321B"/>
    <w:rsid w:val="006F3E07"/>
    <w:rsid w:val="006F4590"/>
    <w:rsid w:val="006F46E8"/>
    <w:rsid w:val="006F4C0B"/>
    <w:rsid w:val="006F5BA4"/>
    <w:rsid w:val="006F6436"/>
    <w:rsid w:val="006F7479"/>
    <w:rsid w:val="006F7DD4"/>
    <w:rsid w:val="00700F14"/>
    <w:rsid w:val="0070129B"/>
    <w:rsid w:val="007019E2"/>
    <w:rsid w:val="00702982"/>
    <w:rsid w:val="00702F45"/>
    <w:rsid w:val="007059A3"/>
    <w:rsid w:val="00705A2C"/>
    <w:rsid w:val="00705A65"/>
    <w:rsid w:val="0070656C"/>
    <w:rsid w:val="00710303"/>
    <w:rsid w:val="00710430"/>
    <w:rsid w:val="0071111A"/>
    <w:rsid w:val="00712A8E"/>
    <w:rsid w:val="00713140"/>
    <w:rsid w:val="00714A27"/>
    <w:rsid w:val="00714B3F"/>
    <w:rsid w:val="007160C3"/>
    <w:rsid w:val="00716881"/>
    <w:rsid w:val="00716A93"/>
    <w:rsid w:val="007175D9"/>
    <w:rsid w:val="00720186"/>
    <w:rsid w:val="00722614"/>
    <w:rsid w:val="0072347F"/>
    <w:rsid w:val="00726904"/>
    <w:rsid w:val="00726B3F"/>
    <w:rsid w:val="007277DB"/>
    <w:rsid w:val="0073018E"/>
    <w:rsid w:val="007315E5"/>
    <w:rsid w:val="00731BC6"/>
    <w:rsid w:val="00731D7B"/>
    <w:rsid w:val="00732103"/>
    <w:rsid w:val="0073293C"/>
    <w:rsid w:val="0073421F"/>
    <w:rsid w:val="00734962"/>
    <w:rsid w:val="007349F0"/>
    <w:rsid w:val="00734E91"/>
    <w:rsid w:val="0073708C"/>
    <w:rsid w:val="00737529"/>
    <w:rsid w:val="00740DE9"/>
    <w:rsid w:val="0074133F"/>
    <w:rsid w:val="0074137C"/>
    <w:rsid w:val="007441B5"/>
    <w:rsid w:val="00744CF4"/>
    <w:rsid w:val="007452FD"/>
    <w:rsid w:val="007453A0"/>
    <w:rsid w:val="00745B10"/>
    <w:rsid w:val="007464E3"/>
    <w:rsid w:val="00747374"/>
    <w:rsid w:val="00752543"/>
    <w:rsid w:val="00752B27"/>
    <w:rsid w:val="00756C28"/>
    <w:rsid w:val="00757533"/>
    <w:rsid w:val="007579A3"/>
    <w:rsid w:val="0076087B"/>
    <w:rsid w:val="00760AFC"/>
    <w:rsid w:val="007619C6"/>
    <w:rsid w:val="00761C2B"/>
    <w:rsid w:val="00761F37"/>
    <w:rsid w:val="00765BEA"/>
    <w:rsid w:val="007704E5"/>
    <w:rsid w:val="007705ED"/>
    <w:rsid w:val="00770C01"/>
    <w:rsid w:val="00770F59"/>
    <w:rsid w:val="00771D71"/>
    <w:rsid w:val="00772195"/>
    <w:rsid w:val="007751E2"/>
    <w:rsid w:val="007754B3"/>
    <w:rsid w:val="007774E5"/>
    <w:rsid w:val="00777544"/>
    <w:rsid w:val="00781945"/>
    <w:rsid w:val="00781D03"/>
    <w:rsid w:val="00784916"/>
    <w:rsid w:val="007858FD"/>
    <w:rsid w:val="007874B5"/>
    <w:rsid w:val="00787613"/>
    <w:rsid w:val="00790828"/>
    <w:rsid w:val="0079093C"/>
    <w:rsid w:val="00791122"/>
    <w:rsid w:val="00792079"/>
    <w:rsid w:val="00792169"/>
    <w:rsid w:val="00794E9B"/>
    <w:rsid w:val="00795B15"/>
    <w:rsid w:val="0079605E"/>
    <w:rsid w:val="007975AC"/>
    <w:rsid w:val="00797DFA"/>
    <w:rsid w:val="007A088D"/>
    <w:rsid w:val="007A10B4"/>
    <w:rsid w:val="007A44BD"/>
    <w:rsid w:val="007A5C00"/>
    <w:rsid w:val="007A5CAC"/>
    <w:rsid w:val="007A72F6"/>
    <w:rsid w:val="007A778F"/>
    <w:rsid w:val="007A78C8"/>
    <w:rsid w:val="007B06B3"/>
    <w:rsid w:val="007B1E9D"/>
    <w:rsid w:val="007B24D9"/>
    <w:rsid w:val="007B4037"/>
    <w:rsid w:val="007B5092"/>
    <w:rsid w:val="007B5B1C"/>
    <w:rsid w:val="007B696A"/>
    <w:rsid w:val="007B6ECB"/>
    <w:rsid w:val="007C015C"/>
    <w:rsid w:val="007C09AB"/>
    <w:rsid w:val="007C0E97"/>
    <w:rsid w:val="007C0FF2"/>
    <w:rsid w:val="007C61F6"/>
    <w:rsid w:val="007D092B"/>
    <w:rsid w:val="007D0ABA"/>
    <w:rsid w:val="007D2503"/>
    <w:rsid w:val="007D3DF9"/>
    <w:rsid w:val="007D5845"/>
    <w:rsid w:val="007D64AD"/>
    <w:rsid w:val="007D67BA"/>
    <w:rsid w:val="007D7A5A"/>
    <w:rsid w:val="007E1951"/>
    <w:rsid w:val="007E341C"/>
    <w:rsid w:val="007E41F2"/>
    <w:rsid w:val="007E4DDA"/>
    <w:rsid w:val="007E6159"/>
    <w:rsid w:val="007E6179"/>
    <w:rsid w:val="007E6904"/>
    <w:rsid w:val="007F1322"/>
    <w:rsid w:val="007F1A74"/>
    <w:rsid w:val="007F24B8"/>
    <w:rsid w:val="007F2E91"/>
    <w:rsid w:val="007F3ABF"/>
    <w:rsid w:val="007F66A0"/>
    <w:rsid w:val="0080303F"/>
    <w:rsid w:val="0080444B"/>
    <w:rsid w:val="00805889"/>
    <w:rsid w:val="00805F91"/>
    <w:rsid w:val="00806FC3"/>
    <w:rsid w:val="008078DD"/>
    <w:rsid w:val="00810F54"/>
    <w:rsid w:val="0081162B"/>
    <w:rsid w:val="00811FD0"/>
    <w:rsid w:val="008122BD"/>
    <w:rsid w:val="00812BF8"/>
    <w:rsid w:val="00813C15"/>
    <w:rsid w:val="008141E9"/>
    <w:rsid w:val="00816155"/>
    <w:rsid w:val="0081697A"/>
    <w:rsid w:val="00817468"/>
    <w:rsid w:val="0082150A"/>
    <w:rsid w:val="00821B40"/>
    <w:rsid w:val="0082354A"/>
    <w:rsid w:val="00824168"/>
    <w:rsid w:val="00824EC0"/>
    <w:rsid w:val="00826396"/>
    <w:rsid w:val="0082773C"/>
    <w:rsid w:val="00830BA5"/>
    <w:rsid w:val="0083128A"/>
    <w:rsid w:val="00833CE1"/>
    <w:rsid w:val="00834EBC"/>
    <w:rsid w:val="00836E93"/>
    <w:rsid w:val="00837A02"/>
    <w:rsid w:val="00840854"/>
    <w:rsid w:val="00840AF4"/>
    <w:rsid w:val="00841294"/>
    <w:rsid w:val="00843670"/>
    <w:rsid w:val="00843FBB"/>
    <w:rsid w:val="008444E7"/>
    <w:rsid w:val="00846028"/>
    <w:rsid w:val="008467F4"/>
    <w:rsid w:val="00847138"/>
    <w:rsid w:val="00847420"/>
    <w:rsid w:val="008476F8"/>
    <w:rsid w:val="00850E6C"/>
    <w:rsid w:val="00852A77"/>
    <w:rsid w:val="00853DAA"/>
    <w:rsid w:val="00856618"/>
    <w:rsid w:val="008568A1"/>
    <w:rsid w:val="00860687"/>
    <w:rsid w:val="00860822"/>
    <w:rsid w:val="008614A7"/>
    <w:rsid w:val="008627E3"/>
    <w:rsid w:val="00862D99"/>
    <w:rsid w:val="00864115"/>
    <w:rsid w:val="0086532E"/>
    <w:rsid w:val="008653A8"/>
    <w:rsid w:val="00866C7A"/>
    <w:rsid w:val="00866D6E"/>
    <w:rsid w:val="00867219"/>
    <w:rsid w:val="00871308"/>
    <w:rsid w:val="008725DE"/>
    <w:rsid w:val="00873120"/>
    <w:rsid w:val="00873380"/>
    <w:rsid w:val="0087359E"/>
    <w:rsid w:val="00874039"/>
    <w:rsid w:val="0087441E"/>
    <w:rsid w:val="00875E72"/>
    <w:rsid w:val="008772F7"/>
    <w:rsid w:val="00880F0F"/>
    <w:rsid w:val="00881AC2"/>
    <w:rsid w:val="00882382"/>
    <w:rsid w:val="0088319F"/>
    <w:rsid w:val="00884C34"/>
    <w:rsid w:val="00886237"/>
    <w:rsid w:val="00886952"/>
    <w:rsid w:val="008879FC"/>
    <w:rsid w:val="00890A44"/>
    <w:rsid w:val="00891675"/>
    <w:rsid w:val="00891AC3"/>
    <w:rsid w:val="008920C4"/>
    <w:rsid w:val="008925E8"/>
    <w:rsid w:val="00894365"/>
    <w:rsid w:val="00894AEA"/>
    <w:rsid w:val="00894B5B"/>
    <w:rsid w:val="00894F02"/>
    <w:rsid w:val="0089508D"/>
    <w:rsid w:val="00896177"/>
    <w:rsid w:val="008970CA"/>
    <w:rsid w:val="00897369"/>
    <w:rsid w:val="008A0385"/>
    <w:rsid w:val="008A07DF"/>
    <w:rsid w:val="008A3848"/>
    <w:rsid w:val="008A3BDB"/>
    <w:rsid w:val="008A54C4"/>
    <w:rsid w:val="008A5808"/>
    <w:rsid w:val="008A59C6"/>
    <w:rsid w:val="008B1D74"/>
    <w:rsid w:val="008B2A71"/>
    <w:rsid w:val="008B346B"/>
    <w:rsid w:val="008B3E65"/>
    <w:rsid w:val="008B41B2"/>
    <w:rsid w:val="008B4AE2"/>
    <w:rsid w:val="008B60A3"/>
    <w:rsid w:val="008B680A"/>
    <w:rsid w:val="008B765A"/>
    <w:rsid w:val="008B790A"/>
    <w:rsid w:val="008B796F"/>
    <w:rsid w:val="008C08DD"/>
    <w:rsid w:val="008C20CE"/>
    <w:rsid w:val="008C28D9"/>
    <w:rsid w:val="008C2EE6"/>
    <w:rsid w:val="008C2FE3"/>
    <w:rsid w:val="008C4BFC"/>
    <w:rsid w:val="008C750E"/>
    <w:rsid w:val="008D0916"/>
    <w:rsid w:val="008D09DF"/>
    <w:rsid w:val="008D109A"/>
    <w:rsid w:val="008D1A09"/>
    <w:rsid w:val="008D203D"/>
    <w:rsid w:val="008D247F"/>
    <w:rsid w:val="008D2F66"/>
    <w:rsid w:val="008D393E"/>
    <w:rsid w:val="008D4D05"/>
    <w:rsid w:val="008D7E2C"/>
    <w:rsid w:val="008E0B92"/>
    <w:rsid w:val="008E2BE7"/>
    <w:rsid w:val="008E2C02"/>
    <w:rsid w:val="008E2E67"/>
    <w:rsid w:val="008E54EB"/>
    <w:rsid w:val="008E5D99"/>
    <w:rsid w:val="008E7C6B"/>
    <w:rsid w:val="008F1521"/>
    <w:rsid w:val="008F19B3"/>
    <w:rsid w:val="008F26A2"/>
    <w:rsid w:val="008F2B20"/>
    <w:rsid w:val="008F39E2"/>
    <w:rsid w:val="008F3B5C"/>
    <w:rsid w:val="008F5904"/>
    <w:rsid w:val="008F5B82"/>
    <w:rsid w:val="008F71AC"/>
    <w:rsid w:val="008F7CD3"/>
    <w:rsid w:val="00900307"/>
    <w:rsid w:val="00900ADD"/>
    <w:rsid w:val="00902DCB"/>
    <w:rsid w:val="00904B26"/>
    <w:rsid w:val="009055E5"/>
    <w:rsid w:val="00907587"/>
    <w:rsid w:val="0091030B"/>
    <w:rsid w:val="009114D1"/>
    <w:rsid w:val="009123B0"/>
    <w:rsid w:val="009129D8"/>
    <w:rsid w:val="0091336D"/>
    <w:rsid w:val="0091420C"/>
    <w:rsid w:val="009157AB"/>
    <w:rsid w:val="00915DE4"/>
    <w:rsid w:val="00916ED5"/>
    <w:rsid w:val="009177B9"/>
    <w:rsid w:val="0092260C"/>
    <w:rsid w:val="0092358E"/>
    <w:rsid w:val="009239C3"/>
    <w:rsid w:val="00925A93"/>
    <w:rsid w:val="00925D9E"/>
    <w:rsid w:val="009262C7"/>
    <w:rsid w:val="009311A9"/>
    <w:rsid w:val="0093147D"/>
    <w:rsid w:val="00931538"/>
    <w:rsid w:val="00931C45"/>
    <w:rsid w:val="00932A36"/>
    <w:rsid w:val="009336BE"/>
    <w:rsid w:val="00934406"/>
    <w:rsid w:val="009358AC"/>
    <w:rsid w:val="00935A84"/>
    <w:rsid w:val="0093678E"/>
    <w:rsid w:val="009408D2"/>
    <w:rsid w:val="00940941"/>
    <w:rsid w:val="00940D23"/>
    <w:rsid w:val="00943A46"/>
    <w:rsid w:val="00944358"/>
    <w:rsid w:val="00951DC9"/>
    <w:rsid w:val="00951E06"/>
    <w:rsid w:val="00952559"/>
    <w:rsid w:val="00952961"/>
    <w:rsid w:val="0095439B"/>
    <w:rsid w:val="0095449C"/>
    <w:rsid w:val="00954C03"/>
    <w:rsid w:val="00954E2C"/>
    <w:rsid w:val="0095501B"/>
    <w:rsid w:val="0095530B"/>
    <w:rsid w:val="009556AF"/>
    <w:rsid w:val="00955AE4"/>
    <w:rsid w:val="00956447"/>
    <w:rsid w:val="00960CA4"/>
    <w:rsid w:val="00962455"/>
    <w:rsid w:val="00962B04"/>
    <w:rsid w:val="00962F71"/>
    <w:rsid w:val="009630D4"/>
    <w:rsid w:val="00970592"/>
    <w:rsid w:val="0097118B"/>
    <w:rsid w:val="00971CE3"/>
    <w:rsid w:val="009727AD"/>
    <w:rsid w:val="00973A32"/>
    <w:rsid w:val="00974068"/>
    <w:rsid w:val="009757F2"/>
    <w:rsid w:val="009768E1"/>
    <w:rsid w:val="00981CF0"/>
    <w:rsid w:val="009833A0"/>
    <w:rsid w:val="00983DC2"/>
    <w:rsid w:val="00983F3F"/>
    <w:rsid w:val="009858B0"/>
    <w:rsid w:val="009859D7"/>
    <w:rsid w:val="00985FCA"/>
    <w:rsid w:val="009862B6"/>
    <w:rsid w:val="0098731C"/>
    <w:rsid w:val="00987A88"/>
    <w:rsid w:val="00987F17"/>
    <w:rsid w:val="00991E5D"/>
    <w:rsid w:val="00995E1A"/>
    <w:rsid w:val="009A08B3"/>
    <w:rsid w:val="009A1A95"/>
    <w:rsid w:val="009A3250"/>
    <w:rsid w:val="009A42BC"/>
    <w:rsid w:val="009A5CC8"/>
    <w:rsid w:val="009A7216"/>
    <w:rsid w:val="009B0C97"/>
    <w:rsid w:val="009B15FB"/>
    <w:rsid w:val="009B31E5"/>
    <w:rsid w:val="009B3244"/>
    <w:rsid w:val="009B3296"/>
    <w:rsid w:val="009B6E57"/>
    <w:rsid w:val="009B6F21"/>
    <w:rsid w:val="009B7F95"/>
    <w:rsid w:val="009C016B"/>
    <w:rsid w:val="009C0359"/>
    <w:rsid w:val="009C11EC"/>
    <w:rsid w:val="009C184A"/>
    <w:rsid w:val="009C23BE"/>
    <w:rsid w:val="009C2547"/>
    <w:rsid w:val="009C3D31"/>
    <w:rsid w:val="009C5E2C"/>
    <w:rsid w:val="009C6082"/>
    <w:rsid w:val="009C60FD"/>
    <w:rsid w:val="009C715B"/>
    <w:rsid w:val="009C771B"/>
    <w:rsid w:val="009D0506"/>
    <w:rsid w:val="009D40F3"/>
    <w:rsid w:val="009D4AE5"/>
    <w:rsid w:val="009D514A"/>
    <w:rsid w:val="009D5A2F"/>
    <w:rsid w:val="009D5ACB"/>
    <w:rsid w:val="009D70DA"/>
    <w:rsid w:val="009E0877"/>
    <w:rsid w:val="009E4CAD"/>
    <w:rsid w:val="009E591B"/>
    <w:rsid w:val="009E6759"/>
    <w:rsid w:val="009E6943"/>
    <w:rsid w:val="009E6977"/>
    <w:rsid w:val="009E6C52"/>
    <w:rsid w:val="009E7452"/>
    <w:rsid w:val="009F232E"/>
    <w:rsid w:val="009F3FA7"/>
    <w:rsid w:val="009F51CD"/>
    <w:rsid w:val="009F5892"/>
    <w:rsid w:val="009F6105"/>
    <w:rsid w:val="009F6503"/>
    <w:rsid w:val="009F7156"/>
    <w:rsid w:val="009F7170"/>
    <w:rsid w:val="009F77A7"/>
    <w:rsid w:val="009F7875"/>
    <w:rsid w:val="00A00BE3"/>
    <w:rsid w:val="00A02267"/>
    <w:rsid w:val="00A02721"/>
    <w:rsid w:val="00A0313B"/>
    <w:rsid w:val="00A04BF4"/>
    <w:rsid w:val="00A06F01"/>
    <w:rsid w:val="00A07070"/>
    <w:rsid w:val="00A072AC"/>
    <w:rsid w:val="00A07A8B"/>
    <w:rsid w:val="00A103FD"/>
    <w:rsid w:val="00A13032"/>
    <w:rsid w:val="00A13EED"/>
    <w:rsid w:val="00A148EA"/>
    <w:rsid w:val="00A14A61"/>
    <w:rsid w:val="00A16517"/>
    <w:rsid w:val="00A1756F"/>
    <w:rsid w:val="00A204B5"/>
    <w:rsid w:val="00A219A1"/>
    <w:rsid w:val="00A24C4A"/>
    <w:rsid w:val="00A27C03"/>
    <w:rsid w:val="00A30227"/>
    <w:rsid w:val="00A30C3D"/>
    <w:rsid w:val="00A30D0E"/>
    <w:rsid w:val="00A30EE5"/>
    <w:rsid w:val="00A322D9"/>
    <w:rsid w:val="00A326AF"/>
    <w:rsid w:val="00A32B84"/>
    <w:rsid w:val="00A3355E"/>
    <w:rsid w:val="00A33BC5"/>
    <w:rsid w:val="00A3406D"/>
    <w:rsid w:val="00A40C2B"/>
    <w:rsid w:val="00A443EE"/>
    <w:rsid w:val="00A44469"/>
    <w:rsid w:val="00A44919"/>
    <w:rsid w:val="00A4493F"/>
    <w:rsid w:val="00A4553B"/>
    <w:rsid w:val="00A503DB"/>
    <w:rsid w:val="00A514F4"/>
    <w:rsid w:val="00A5270C"/>
    <w:rsid w:val="00A53447"/>
    <w:rsid w:val="00A549E2"/>
    <w:rsid w:val="00A54D86"/>
    <w:rsid w:val="00A560B2"/>
    <w:rsid w:val="00A563FB"/>
    <w:rsid w:val="00A573EE"/>
    <w:rsid w:val="00A57DA7"/>
    <w:rsid w:val="00A6008E"/>
    <w:rsid w:val="00A61862"/>
    <w:rsid w:val="00A619C7"/>
    <w:rsid w:val="00A626A4"/>
    <w:rsid w:val="00A631F3"/>
    <w:rsid w:val="00A633BC"/>
    <w:rsid w:val="00A63D07"/>
    <w:rsid w:val="00A6570E"/>
    <w:rsid w:val="00A65BFE"/>
    <w:rsid w:val="00A72010"/>
    <w:rsid w:val="00A720BA"/>
    <w:rsid w:val="00A72F04"/>
    <w:rsid w:val="00A734F6"/>
    <w:rsid w:val="00A763F2"/>
    <w:rsid w:val="00A77D36"/>
    <w:rsid w:val="00A809F9"/>
    <w:rsid w:val="00A819BB"/>
    <w:rsid w:val="00A81BEF"/>
    <w:rsid w:val="00A81C39"/>
    <w:rsid w:val="00A8257C"/>
    <w:rsid w:val="00A82705"/>
    <w:rsid w:val="00A82E4E"/>
    <w:rsid w:val="00A841E0"/>
    <w:rsid w:val="00A85DA1"/>
    <w:rsid w:val="00A865BD"/>
    <w:rsid w:val="00A873F9"/>
    <w:rsid w:val="00A87668"/>
    <w:rsid w:val="00A914FC"/>
    <w:rsid w:val="00A9392E"/>
    <w:rsid w:val="00A93EB0"/>
    <w:rsid w:val="00A94D64"/>
    <w:rsid w:val="00A957CF"/>
    <w:rsid w:val="00A9635B"/>
    <w:rsid w:val="00A96E0A"/>
    <w:rsid w:val="00AA0C36"/>
    <w:rsid w:val="00AA34E4"/>
    <w:rsid w:val="00AA494E"/>
    <w:rsid w:val="00AA53D2"/>
    <w:rsid w:val="00AA5404"/>
    <w:rsid w:val="00AA57D9"/>
    <w:rsid w:val="00AA612E"/>
    <w:rsid w:val="00AA69A4"/>
    <w:rsid w:val="00AB15CB"/>
    <w:rsid w:val="00AB1BD4"/>
    <w:rsid w:val="00AB20CC"/>
    <w:rsid w:val="00AB3171"/>
    <w:rsid w:val="00AB620F"/>
    <w:rsid w:val="00AB6E4F"/>
    <w:rsid w:val="00AC0867"/>
    <w:rsid w:val="00AC21ED"/>
    <w:rsid w:val="00AC348C"/>
    <w:rsid w:val="00AC3730"/>
    <w:rsid w:val="00AC37B3"/>
    <w:rsid w:val="00AC3D88"/>
    <w:rsid w:val="00AC57D2"/>
    <w:rsid w:val="00AC664C"/>
    <w:rsid w:val="00AC6A22"/>
    <w:rsid w:val="00AC7C3C"/>
    <w:rsid w:val="00AD0713"/>
    <w:rsid w:val="00AD111C"/>
    <w:rsid w:val="00AD1251"/>
    <w:rsid w:val="00AD1E4D"/>
    <w:rsid w:val="00AD1F47"/>
    <w:rsid w:val="00AD220B"/>
    <w:rsid w:val="00AD24EE"/>
    <w:rsid w:val="00AD3335"/>
    <w:rsid w:val="00AD3813"/>
    <w:rsid w:val="00AD4C4F"/>
    <w:rsid w:val="00AD5E49"/>
    <w:rsid w:val="00AD623C"/>
    <w:rsid w:val="00AD7E4F"/>
    <w:rsid w:val="00AE2808"/>
    <w:rsid w:val="00AE5D26"/>
    <w:rsid w:val="00AE6CB4"/>
    <w:rsid w:val="00AF052F"/>
    <w:rsid w:val="00AF2B51"/>
    <w:rsid w:val="00AF38B9"/>
    <w:rsid w:val="00AF3C56"/>
    <w:rsid w:val="00AF3DD7"/>
    <w:rsid w:val="00AF3F1A"/>
    <w:rsid w:val="00AF484F"/>
    <w:rsid w:val="00AF6A72"/>
    <w:rsid w:val="00B0034C"/>
    <w:rsid w:val="00B00FF2"/>
    <w:rsid w:val="00B01DBB"/>
    <w:rsid w:val="00B02DF3"/>
    <w:rsid w:val="00B04051"/>
    <w:rsid w:val="00B061AA"/>
    <w:rsid w:val="00B07CA9"/>
    <w:rsid w:val="00B10E2C"/>
    <w:rsid w:val="00B11548"/>
    <w:rsid w:val="00B11840"/>
    <w:rsid w:val="00B11F9D"/>
    <w:rsid w:val="00B14849"/>
    <w:rsid w:val="00B15DC0"/>
    <w:rsid w:val="00B17EAF"/>
    <w:rsid w:val="00B20208"/>
    <w:rsid w:val="00B21B03"/>
    <w:rsid w:val="00B21C1E"/>
    <w:rsid w:val="00B21E0A"/>
    <w:rsid w:val="00B2247D"/>
    <w:rsid w:val="00B23045"/>
    <w:rsid w:val="00B2504F"/>
    <w:rsid w:val="00B2553D"/>
    <w:rsid w:val="00B256C2"/>
    <w:rsid w:val="00B26B41"/>
    <w:rsid w:val="00B2785F"/>
    <w:rsid w:val="00B304AA"/>
    <w:rsid w:val="00B31C91"/>
    <w:rsid w:val="00B32377"/>
    <w:rsid w:val="00B35340"/>
    <w:rsid w:val="00B3569C"/>
    <w:rsid w:val="00B35AC6"/>
    <w:rsid w:val="00B36FFC"/>
    <w:rsid w:val="00B420E5"/>
    <w:rsid w:val="00B43F48"/>
    <w:rsid w:val="00B44366"/>
    <w:rsid w:val="00B44CE2"/>
    <w:rsid w:val="00B44D03"/>
    <w:rsid w:val="00B451F3"/>
    <w:rsid w:val="00B46934"/>
    <w:rsid w:val="00B469AC"/>
    <w:rsid w:val="00B47B92"/>
    <w:rsid w:val="00B50D38"/>
    <w:rsid w:val="00B5181F"/>
    <w:rsid w:val="00B5493F"/>
    <w:rsid w:val="00B567AB"/>
    <w:rsid w:val="00B56FFD"/>
    <w:rsid w:val="00B60259"/>
    <w:rsid w:val="00B61911"/>
    <w:rsid w:val="00B61BE9"/>
    <w:rsid w:val="00B624E3"/>
    <w:rsid w:val="00B62F67"/>
    <w:rsid w:val="00B63408"/>
    <w:rsid w:val="00B636E4"/>
    <w:rsid w:val="00B63DE6"/>
    <w:rsid w:val="00B6456C"/>
    <w:rsid w:val="00B64AC9"/>
    <w:rsid w:val="00B6773D"/>
    <w:rsid w:val="00B67CF8"/>
    <w:rsid w:val="00B700F4"/>
    <w:rsid w:val="00B70AF5"/>
    <w:rsid w:val="00B7144B"/>
    <w:rsid w:val="00B7405F"/>
    <w:rsid w:val="00B7507C"/>
    <w:rsid w:val="00B819C3"/>
    <w:rsid w:val="00B81CCF"/>
    <w:rsid w:val="00B8215F"/>
    <w:rsid w:val="00B82428"/>
    <w:rsid w:val="00B83303"/>
    <w:rsid w:val="00B84C5B"/>
    <w:rsid w:val="00B8637C"/>
    <w:rsid w:val="00B8642C"/>
    <w:rsid w:val="00B878C5"/>
    <w:rsid w:val="00B904E4"/>
    <w:rsid w:val="00B92A61"/>
    <w:rsid w:val="00B94972"/>
    <w:rsid w:val="00B95198"/>
    <w:rsid w:val="00B95E24"/>
    <w:rsid w:val="00B9643D"/>
    <w:rsid w:val="00B9757F"/>
    <w:rsid w:val="00BA0832"/>
    <w:rsid w:val="00BA22EF"/>
    <w:rsid w:val="00BA252F"/>
    <w:rsid w:val="00BA285C"/>
    <w:rsid w:val="00BA4AE0"/>
    <w:rsid w:val="00BA56F7"/>
    <w:rsid w:val="00BA67BA"/>
    <w:rsid w:val="00BA6A0D"/>
    <w:rsid w:val="00BA76C2"/>
    <w:rsid w:val="00BB17FF"/>
    <w:rsid w:val="00BB2462"/>
    <w:rsid w:val="00BB39D1"/>
    <w:rsid w:val="00BB4629"/>
    <w:rsid w:val="00BB4C29"/>
    <w:rsid w:val="00BB63B0"/>
    <w:rsid w:val="00BB6430"/>
    <w:rsid w:val="00BC0222"/>
    <w:rsid w:val="00BC2D49"/>
    <w:rsid w:val="00BC2EB7"/>
    <w:rsid w:val="00BC3E90"/>
    <w:rsid w:val="00BC519C"/>
    <w:rsid w:val="00BC5829"/>
    <w:rsid w:val="00BC6800"/>
    <w:rsid w:val="00BC6B84"/>
    <w:rsid w:val="00BC7388"/>
    <w:rsid w:val="00BC793B"/>
    <w:rsid w:val="00BC7E4F"/>
    <w:rsid w:val="00BD07CE"/>
    <w:rsid w:val="00BD224E"/>
    <w:rsid w:val="00BD2CCC"/>
    <w:rsid w:val="00BD3189"/>
    <w:rsid w:val="00BD31CE"/>
    <w:rsid w:val="00BD40C6"/>
    <w:rsid w:val="00BD6D43"/>
    <w:rsid w:val="00BD6EC3"/>
    <w:rsid w:val="00BD7C8A"/>
    <w:rsid w:val="00BE28C7"/>
    <w:rsid w:val="00BE5624"/>
    <w:rsid w:val="00BE57AC"/>
    <w:rsid w:val="00BE6300"/>
    <w:rsid w:val="00BE6E79"/>
    <w:rsid w:val="00BE7245"/>
    <w:rsid w:val="00BF0C42"/>
    <w:rsid w:val="00BF1F22"/>
    <w:rsid w:val="00BF35C9"/>
    <w:rsid w:val="00BF4B07"/>
    <w:rsid w:val="00BF5183"/>
    <w:rsid w:val="00BF5312"/>
    <w:rsid w:val="00BF61D8"/>
    <w:rsid w:val="00BF7373"/>
    <w:rsid w:val="00BF7844"/>
    <w:rsid w:val="00C00DAC"/>
    <w:rsid w:val="00C050C2"/>
    <w:rsid w:val="00C06332"/>
    <w:rsid w:val="00C0729F"/>
    <w:rsid w:val="00C115EC"/>
    <w:rsid w:val="00C1180F"/>
    <w:rsid w:val="00C118CA"/>
    <w:rsid w:val="00C135E2"/>
    <w:rsid w:val="00C149A9"/>
    <w:rsid w:val="00C16911"/>
    <w:rsid w:val="00C16BBC"/>
    <w:rsid w:val="00C16C42"/>
    <w:rsid w:val="00C174F9"/>
    <w:rsid w:val="00C214EB"/>
    <w:rsid w:val="00C21621"/>
    <w:rsid w:val="00C21CCD"/>
    <w:rsid w:val="00C21FEB"/>
    <w:rsid w:val="00C226CC"/>
    <w:rsid w:val="00C23BFD"/>
    <w:rsid w:val="00C241ED"/>
    <w:rsid w:val="00C246A2"/>
    <w:rsid w:val="00C2516D"/>
    <w:rsid w:val="00C26917"/>
    <w:rsid w:val="00C2714A"/>
    <w:rsid w:val="00C27446"/>
    <w:rsid w:val="00C27BCB"/>
    <w:rsid w:val="00C30D1B"/>
    <w:rsid w:val="00C31151"/>
    <w:rsid w:val="00C324E2"/>
    <w:rsid w:val="00C34EE0"/>
    <w:rsid w:val="00C34FEE"/>
    <w:rsid w:val="00C3549A"/>
    <w:rsid w:val="00C35952"/>
    <w:rsid w:val="00C35C49"/>
    <w:rsid w:val="00C36440"/>
    <w:rsid w:val="00C3710E"/>
    <w:rsid w:val="00C37DE0"/>
    <w:rsid w:val="00C40205"/>
    <w:rsid w:val="00C409F0"/>
    <w:rsid w:val="00C41678"/>
    <w:rsid w:val="00C421E5"/>
    <w:rsid w:val="00C43756"/>
    <w:rsid w:val="00C46748"/>
    <w:rsid w:val="00C46934"/>
    <w:rsid w:val="00C47CBE"/>
    <w:rsid w:val="00C5228A"/>
    <w:rsid w:val="00C5307E"/>
    <w:rsid w:val="00C532FD"/>
    <w:rsid w:val="00C57BD3"/>
    <w:rsid w:val="00C60852"/>
    <w:rsid w:val="00C6313F"/>
    <w:rsid w:val="00C634FA"/>
    <w:rsid w:val="00C649B7"/>
    <w:rsid w:val="00C64D03"/>
    <w:rsid w:val="00C64D87"/>
    <w:rsid w:val="00C64E44"/>
    <w:rsid w:val="00C6517F"/>
    <w:rsid w:val="00C654F7"/>
    <w:rsid w:val="00C660F0"/>
    <w:rsid w:val="00C66262"/>
    <w:rsid w:val="00C66BB4"/>
    <w:rsid w:val="00C67938"/>
    <w:rsid w:val="00C67E13"/>
    <w:rsid w:val="00C67F7E"/>
    <w:rsid w:val="00C7024A"/>
    <w:rsid w:val="00C7081F"/>
    <w:rsid w:val="00C71250"/>
    <w:rsid w:val="00C71782"/>
    <w:rsid w:val="00C717FD"/>
    <w:rsid w:val="00C74354"/>
    <w:rsid w:val="00C75109"/>
    <w:rsid w:val="00C751F9"/>
    <w:rsid w:val="00C755FA"/>
    <w:rsid w:val="00C759CF"/>
    <w:rsid w:val="00C76B6E"/>
    <w:rsid w:val="00C76D48"/>
    <w:rsid w:val="00C812EF"/>
    <w:rsid w:val="00C819E3"/>
    <w:rsid w:val="00C81CB8"/>
    <w:rsid w:val="00C83098"/>
    <w:rsid w:val="00C83188"/>
    <w:rsid w:val="00C83768"/>
    <w:rsid w:val="00C83B76"/>
    <w:rsid w:val="00C83CD4"/>
    <w:rsid w:val="00C84131"/>
    <w:rsid w:val="00C8569E"/>
    <w:rsid w:val="00C8767B"/>
    <w:rsid w:val="00C87F23"/>
    <w:rsid w:val="00C93743"/>
    <w:rsid w:val="00C94484"/>
    <w:rsid w:val="00CA0AD2"/>
    <w:rsid w:val="00CA237E"/>
    <w:rsid w:val="00CA2D3D"/>
    <w:rsid w:val="00CA3E28"/>
    <w:rsid w:val="00CA43EC"/>
    <w:rsid w:val="00CA4544"/>
    <w:rsid w:val="00CA4953"/>
    <w:rsid w:val="00CA4B1D"/>
    <w:rsid w:val="00CA4E31"/>
    <w:rsid w:val="00CA5B02"/>
    <w:rsid w:val="00CA606A"/>
    <w:rsid w:val="00CA6268"/>
    <w:rsid w:val="00CA6670"/>
    <w:rsid w:val="00CA68B9"/>
    <w:rsid w:val="00CA69DA"/>
    <w:rsid w:val="00CA73A7"/>
    <w:rsid w:val="00CB02DC"/>
    <w:rsid w:val="00CB11F8"/>
    <w:rsid w:val="00CB1348"/>
    <w:rsid w:val="00CB1428"/>
    <w:rsid w:val="00CB18AA"/>
    <w:rsid w:val="00CB1A02"/>
    <w:rsid w:val="00CB1B9F"/>
    <w:rsid w:val="00CB346C"/>
    <w:rsid w:val="00CB3671"/>
    <w:rsid w:val="00CB3782"/>
    <w:rsid w:val="00CB3D3B"/>
    <w:rsid w:val="00CB3ED3"/>
    <w:rsid w:val="00CB4660"/>
    <w:rsid w:val="00CB56D5"/>
    <w:rsid w:val="00CB5CA6"/>
    <w:rsid w:val="00CB7642"/>
    <w:rsid w:val="00CC056F"/>
    <w:rsid w:val="00CC0852"/>
    <w:rsid w:val="00CC339C"/>
    <w:rsid w:val="00CC425A"/>
    <w:rsid w:val="00CC66CF"/>
    <w:rsid w:val="00CD11CD"/>
    <w:rsid w:val="00CD2111"/>
    <w:rsid w:val="00CD21AD"/>
    <w:rsid w:val="00CD3617"/>
    <w:rsid w:val="00CD5A4C"/>
    <w:rsid w:val="00CD5B40"/>
    <w:rsid w:val="00CD6733"/>
    <w:rsid w:val="00CD67B3"/>
    <w:rsid w:val="00CD6FB7"/>
    <w:rsid w:val="00CD70E7"/>
    <w:rsid w:val="00CD7244"/>
    <w:rsid w:val="00CD7526"/>
    <w:rsid w:val="00CD7559"/>
    <w:rsid w:val="00CE073D"/>
    <w:rsid w:val="00CE1266"/>
    <w:rsid w:val="00CE1344"/>
    <w:rsid w:val="00CE14F7"/>
    <w:rsid w:val="00CE1B9A"/>
    <w:rsid w:val="00CE1E4C"/>
    <w:rsid w:val="00CE2374"/>
    <w:rsid w:val="00CE3E4D"/>
    <w:rsid w:val="00CE4314"/>
    <w:rsid w:val="00CE5E98"/>
    <w:rsid w:val="00CE65C1"/>
    <w:rsid w:val="00CE682E"/>
    <w:rsid w:val="00CE6BA6"/>
    <w:rsid w:val="00CE7CC3"/>
    <w:rsid w:val="00CF0B48"/>
    <w:rsid w:val="00CF0D95"/>
    <w:rsid w:val="00CF1342"/>
    <w:rsid w:val="00CF1877"/>
    <w:rsid w:val="00CF1F57"/>
    <w:rsid w:val="00CF25B9"/>
    <w:rsid w:val="00CF3129"/>
    <w:rsid w:val="00CF5305"/>
    <w:rsid w:val="00CF5789"/>
    <w:rsid w:val="00CF5B6F"/>
    <w:rsid w:val="00CF6266"/>
    <w:rsid w:val="00D001F0"/>
    <w:rsid w:val="00D011D8"/>
    <w:rsid w:val="00D030B3"/>
    <w:rsid w:val="00D04156"/>
    <w:rsid w:val="00D04F76"/>
    <w:rsid w:val="00D05E2A"/>
    <w:rsid w:val="00D0623F"/>
    <w:rsid w:val="00D07AE4"/>
    <w:rsid w:val="00D10600"/>
    <w:rsid w:val="00D1225A"/>
    <w:rsid w:val="00D14270"/>
    <w:rsid w:val="00D14E03"/>
    <w:rsid w:val="00D15368"/>
    <w:rsid w:val="00D15856"/>
    <w:rsid w:val="00D15924"/>
    <w:rsid w:val="00D169A3"/>
    <w:rsid w:val="00D2021C"/>
    <w:rsid w:val="00D20BB4"/>
    <w:rsid w:val="00D2131E"/>
    <w:rsid w:val="00D214C7"/>
    <w:rsid w:val="00D23D47"/>
    <w:rsid w:val="00D24D7D"/>
    <w:rsid w:val="00D2525D"/>
    <w:rsid w:val="00D263D9"/>
    <w:rsid w:val="00D27277"/>
    <w:rsid w:val="00D27568"/>
    <w:rsid w:val="00D30068"/>
    <w:rsid w:val="00D30DC5"/>
    <w:rsid w:val="00D31233"/>
    <w:rsid w:val="00D322AA"/>
    <w:rsid w:val="00D32388"/>
    <w:rsid w:val="00D32874"/>
    <w:rsid w:val="00D33831"/>
    <w:rsid w:val="00D34626"/>
    <w:rsid w:val="00D352C6"/>
    <w:rsid w:val="00D355AD"/>
    <w:rsid w:val="00D362C1"/>
    <w:rsid w:val="00D3745A"/>
    <w:rsid w:val="00D40C41"/>
    <w:rsid w:val="00D413EF"/>
    <w:rsid w:val="00D41CEC"/>
    <w:rsid w:val="00D425F8"/>
    <w:rsid w:val="00D440CD"/>
    <w:rsid w:val="00D462FC"/>
    <w:rsid w:val="00D46560"/>
    <w:rsid w:val="00D46D1E"/>
    <w:rsid w:val="00D47FA5"/>
    <w:rsid w:val="00D50461"/>
    <w:rsid w:val="00D50507"/>
    <w:rsid w:val="00D52929"/>
    <w:rsid w:val="00D53CEF"/>
    <w:rsid w:val="00D53E3B"/>
    <w:rsid w:val="00D5439A"/>
    <w:rsid w:val="00D55C7A"/>
    <w:rsid w:val="00D56980"/>
    <w:rsid w:val="00D57F4E"/>
    <w:rsid w:val="00D60424"/>
    <w:rsid w:val="00D61549"/>
    <w:rsid w:val="00D6348C"/>
    <w:rsid w:val="00D637B4"/>
    <w:rsid w:val="00D63A71"/>
    <w:rsid w:val="00D63F27"/>
    <w:rsid w:val="00D64929"/>
    <w:rsid w:val="00D64D17"/>
    <w:rsid w:val="00D65584"/>
    <w:rsid w:val="00D70891"/>
    <w:rsid w:val="00D7474A"/>
    <w:rsid w:val="00D75CEB"/>
    <w:rsid w:val="00D75DB2"/>
    <w:rsid w:val="00D75E9D"/>
    <w:rsid w:val="00D7677F"/>
    <w:rsid w:val="00D77F82"/>
    <w:rsid w:val="00D801DF"/>
    <w:rsid w:val="00D803A5"/>
    <w:rsid w:val="00D82394"/>
    <w:rsid w:val="00D8374B"/>
    <w:rsid w:val="00D83F78"/>
    <w:rsid w:val="00D84ACB"/>
    <w:rsid w:val="00D86266"/>
    <w:rsid w:val="00D86EF0"/>
    <w:rsid w:val="00D90A45"/>
    <w:rsid w:val="00D92EC6"/>
    <w:rsid w:val="00D93354"/>
    <w:rsid w:val="00D936B8"/>
    <w:rsid w:val="00D9371D"/>
    <w:rsid w:val="00D93736"/>
    <w:rsid w:val="00D94334"/>
    <w:rsid w:val="00D94545"/>
    <w:rsid w:val="00D947D4"/>
    <w:rsid w:val="00D960D2"/>
    <w:rsid w:val="00D973FA"/>
    <w:rsid w:val="00D97CED"/>
    <w:rsid w:val="00D97DF6"/>
    <w:rsid w:val="00DA0E53"/>
    <w:rsid w:val="00DA0EDF"/>
    <w:rsid w:val="00DA2635"/>
    <w:rsid w:val="00DA4484"/>
    <w:rsid w:val="00DA4576"/>
    <w:rsid w:val="00DA53A9"/>
    <w:rsid w:val="00DA6D02"/>
    <w:rsid w:val="00DA73EC"/>
    <w:rsid w:val="00DB1C3C"/>
    <w:rsid w:val="00DB1F6E"/>
    <w:rsid w:val="00DB296E"/>
    <w:rsid w:val="00DB3C6D"/>
    <w:rsid w:val="00DB3EFB"/>
    <w:rsid w:val="00DB4046"/>
    <w:rsid w:val="00DB4111"/>
    <w:rsid w:val="00DB4D6F"/>
    <w:rsid w:val="00DB5BF7"/>
    <w:rsid w:val="00DB5D03"/>
    <w:rsid w:val="00DB6179"/>
    <w:rsid w:val="00DB7415"/>
    <w:rsid w:val="00DC183E"/>
    <w:rsid w:val="00DC2098"/>
    <w:rsid w:val="00DC2FC0"/>
    <w:rsid w:val="00DC3927"/>
    <w:rsid w:val="00DC39B7"/>
    <w:rsid w:val="00DC5F2C"/>
    <w:rsid w:val="00DC6304"/>
    <w:rsid w:val="00DC6B08"/>
    <w:rsid w:val="00DC7BB2"/>
    <w:rsid w:val="00DD04B8"/>
    <w:rsid w:val="00DD083F"/>
    <w:rsid w:val="00DD0DFF"/>
    <w:rsid w:val="00DD20F5"/>
    <w:rsid w:val="00DD2D64"/>
    <w:rsid w:val="00DD3BFE"/>
    <w:rsid w:val="00DD7567"/>
    <w:rsid w:val="00DD7661"/>
    <w:rsid w:val="00DD7DCE"/>
    <w:rsid w:val="00DE0C08"/>
    <w:rsid w:val="00DE1965"/>
    <w:rsid w:val="00DE27B3"/>
    <w:rsid w:val="00DE28B6"/>
    <w:rsid w:val="00DE2D61"/>
    <w:rsid w:val="00DE3076"/>
    <w:rsid w:val="00DE31EB"/>
    <w:rsid w:val="00DE38B0"/>
    <w:rsid w:val="00DE57B5"/>
    <w:rsid w:val="00DE6096"/>
    <w:rsid w:val="00DE65CB"/>
    <w:rsid w:val="00DE7889"/>
    <w:rsid w:val="00DF048C"/>
    <w:rsid w:val="00DF12B1"/>
    <w:rsid w:val="00DF2056"/>
    <w:rsid w:val="00DF2069"/>
    <w:rsid w:val="00DF3718"/>
    <w:rsid w:val="00DF3BCF"/>
    <w:rsid w:val="00DF3F28"/>
    <w:rsid w:val="00DF544C"/>
    <w:rsid w:val="00DF5969"/>
    <w:rsid w:val="00DF5A72"/>
    <w:rsid w:val="00DF61B4"/>
    <w:rsid w:val="00DF63D0"/>
    <w:rsid w:val="00DF6E05"/>
    <w:rsid w:val="00E00710"/>
    <w:rsid w:val="00E02B6E"/>
    <w:rsid w:val="00E04665"/>
    <w:rsid w:val="00E050EF"/>
    <w:rsid w:val="00E05AE9"/>
    <w:rsid w:val="00E06EB2"/>
    <w:rsid w:val="00E10C65"/>
    <w:rsid w:val="00E12D0E"/>
    <w:rsid w:val="00E12D65"/>
    <w:rsid w:val="00E1310E"/>
    <w:rsid w:val="00E138AF"/>
    <w:rsid w:val="00E139DF"/>
    <w:rsid w:val="00E13DC6"/>
    <w:rsid w:val="00E13F53"/>
    <w:rsid w:val="00E151F0"/>
    <w:rsid w:val="00E15CCA"/>
    <w:rsid w:val="00E15D4B"/>
    <w:rsid w:val="00E17358"/>
    <w:rsid w:val="00E1772A"/>
    <w:rsid w:val="00E20895"/>
    <w:rsid w:val="00E20A98"/>
    <w:rsid w:val="00E21410"/>
    <w:rsid w:val="00E21AE7"/>
    <w:rsid w:val="00E21F62"/>
    <w:rsid w:val="00E22298"/>
    <w:rsid w:val="00E24776"/>
    <w:rsid w:val="00E25448"/>
    <w:rsid w:val="00E2624C"/>
    <w:rsid w:val="00E26373"/>
    <w:rsid w:val="00E26400"/>
    <w:rsid w:val="00E27539"/>
    <w:rsid w:val="00E27E51"/>
    <w:rsid w:val="00E317A1"/>
    <w:rsid w:val="00E31A99"/>
    <w:rsid w:val="00E32477"/>
    <w:rsid w:val="00E32CC2"/>
    <w:rsid w:val="00E34E8E"/>
    <w:rsid w:val="00E35D6B"/>
    <w:rsid w:val="00E3748C"/>
    <w:rsid w:val="00E40138"/>
    <w:rsid w:val="00E41752"/>
    <w:rsid w:val="00E430D2"/>
    <w:rsid w:val="00E4453A"/>
    <w:rsid w:val="00E4485E"/>
    <w:rsid w:val="00E44DAE"/>
    <w:rsid w:val="00E45CBE"/>
    <w:rsid w:val="00E46B2D"/>
    <w:rsid w:val="00E470AA"/>
    <w:rsid w:val="00E504AC"/>
    <w:rsid w:val="00E53873"/>
    <w:rsid w:val="00E53E5C"/>
    <w:rsid w:val="00E53EC8"/>
    <w:rsid w:val="00E54527"/>
    <w:rsid w:val="00E54973"/>
    <w:rsid w:val="00E5497C"/>
    <w:rsid w:val="00E54C87"/>
    <w:rsid w:val="00E565BC"/>
    <w:rsid w:val="00E57109"/>
    <w:rsid w:val="00E574F9"/>
    <w:rsid w:val="00E57F36"/>
    <w:rsid w:val="00E6002E"/>
    <w:rsid w:val="00E6042B"/>
    <w:rsid w:val="00E60A82"/>
    <w:rsid w:val="00E60B54"/>
    <w:rsid w:val="00E60D82"/>
    <w:rsid w:val="00E615F1"/>
    <w:rsid w:val="00E61C78"/>
    <w:rsid w:val="00E61CEA"/>
    <w:rsid w:val="00E6221F"/>
    <w:rsid w:val="00E63993"/>
    <w:rsid w:val="00E65D25"/>
    <w:rsid w:val="00E66E5E"/>
    <w:rsid w:val="00E6701B"/>
    <w:rsid w:val="00E7012B"/>
    <w:rsid w:val="00E717F6"/>
    <w:rsid w:val="00E73338"/>
    <w:rsid w:val="00E73956"/>
    <w:rsid w:val="00E73C26"/>
    <w:rsid w:val="00E75B73"/>
    <w:rsid w:val="00E77024"/>
    <w:rsid w:val="00E77189"/>
    <w:rsid w:val="00E83163"/>
    <w:rsid w:val="00E831F9"/>
    <w:rsid w:val="00E85175"/>
    <w:rsid w:val="00E85470"/>
    <w:rsid w:val="00E86801"/>
    <w:rsid w:val="00E86C8F"/>
    <w:rsid w:val="00E90180"/>
    <w:rsid w:val="00E91B15"/>
    <w:rsid w:val="00E92D5A"/>
    <w:rsid w:val="00E93B94"/>
    <w:rsid w:val="00E9790A"/>
    <w:rsid w:val="00E97B5A"/>
    <w:rsid w:val="00EA15F5"/>
    <w:rsid w:val="00EA1905"/>
    <w:rsid w:val="00EA43A3"/>
    <w:rsid w:val="00EA4465"/>
    <w:rsid w:val="00EA4F44"/>
    <w:rsid w:val="00EA65FB"/>
    <w:rsid w:val="00EA7251"/>
    <w:rsid w:val="00EA7527"/>
    <w:rsid w:val="00EB0315"/>
    <w:rsid w:val="00EB25B2"/>
    <w:rsid w:val="00EB27D5"/>
    <w:rsid w:val="00EB3482"/>
    <w:rsid w:val="00EB462D"/>
    <w:rsid w:val="00EB4844"/>
    <w:rsid w:val="00EB7ABE"/>
    <w:rsid w:val="00EC0316"/>
    <w:rsid w:val="00EC052E"/>
    <w:rsid w:val="00EC09D8"/>
    <w:rsid w:val="00EC0F76"/>
    <w:rsid w:val="00EC1BCE"/>
    <w:rsid w:val="00EC2199"/>
    <w:rsid w:val="00EC29BE"/>
    <w:rsid w:val="00EC3BF6"/>
    <w:rsid w:val="00EC4ECB"/>
    <w:rsid w:val="00EC5911"/>
    <w:rsid w:val="00EC59D2"/>
    <w:rsid w:val="00EC6AEA"/>
    <w:rsid w:val="00ED06BA"/>
    <w:rsid w:val="00ED22C7"/>
    <w:rsid w:val="00ED2A86"/>
    <w:rsid w:val="00ED3B34"/>
    <w:rsid w:val="00ED429D"/>
    <w:rsid w:val="00ED6019"/>
    <w:rsid w:val="00ED7711"/>
    <w:rsid w:val="00ED7B37"/>
    <w:rsid w:val="00EE2FEB"/>
    <w:rsid w:val="00EE3C0A"/>
    <w:rsid w:val="00EE4151"/>
    <w:rsid w:val="00EE42F3"/>
    <w:rsid w:val="00EE47BA"/>
    <w:rsid w:val="00EE54DD"/>
    <w:rsid w:val="00EE5527"/>
    <w:rsid w:val="00EE6741"/>
    <w:rsid w:val="00EE6881"/>
    <w:rsid w:val="00EE7727"/>
    <w:rsid w:val="00EF01D5"/>
    <w:rsid w:val="00EF0D32"/>
    <w:rsid w:val="00EF2767"/>
    <w:rsid w:val="00EF2BF9"/>
    <w:rsid w:val="00EF3554"/>
    <w:rsid w:val="00EF4049"/>
    <w:rsid w:val="00EF43E4"/>
    <w:rsid w:val="00EF4C68"/>
    <w:rsid w:val="00F00E3A"/>
    <w:rsid w:val="00F00E81"/>
    <w:rsid w:val="00F010A8"/>
    <w:rsid w:val="00F01786"/>
    <w:rsid w:val="00F017A9"/>
    <w:rsid w:val="00F01FF6"/>
    <w:rsid w:val="00F034CA"/>
    <w:rsid w:val="00F03E0B"/>
    <w:rsid w:val="00F0480A"/>
    <w:rsid w:val="00F04C71"/>
    <w:rsid w:val="00F05FF4"/>
    <w:rsid w:val="00F0650A"/>
    <w:rsid w:val="00F07391"/>
    <w:rsid w:val="00F0774D"/>
    <w:rsid w:val="00F07991"/>
    <w:rsid w:val="00F14C8F"/>
    <w:rsid w:val="00F15B99"/>
    <w:rsid w:val="00F16062"/>
    <w:rsid w:val="00F1647D"/>
    <w:rsid w:val="00F206A0"/>
    <w:rsid w:val="00F20DE9"/>
    <w:rsid w:val="00F22515"/>
    <w:rsid w:val="00F22B35"/>
    <w:rsid w:val="00F237B9"/>
    <w:rsid w:val="00F2416C"/>
    <w:rsid w:val="00F259B3"/>
    <w:rsid w:val="00F25C86"/>
    <w:rsid w:val="00F25DE3"/>
    <w:rsid w:val="00F279A7"/>
    <w:rsid w:val="00F300A4"/>
    <w:rsid w:val="00F30631"/>
    <w:rsid w:val="00F314AC"/>
    <w:rsid w:val="00F31994"/>
    <w:rsid w:val="00F323F4"/>
    <w:rsid w:val="00F33F3D"/>
    <w:rsid w:val="00F35BE7"/>
    <w:rsid w:val="00F3688F"/>
    <w:rsid w:val="00F36B3E"/>
    <w:rsid w:val="00F37C1E"/>
    <w:rsid w:val="00F408E1"/>
    <w:rsid w:val="00F44010"/>
    <w:rsid w:val="00F44917"/>
    <w:rsid w:val="00F44F31"/>
    <w:rsid w:val="00F46233"/>
    <w:rsid w:val="00F47859"/>
    <w:rsid w:val="00F47867"/>
    <w:rsid w:val="00F50FAA"/>
    <w:rsid w:val="00F51BCC"/>
    <w:rsid w:val="00F52015"/>
    <w:rsid w:val="00F529D2"/>
    <w:rsid w:val="00F53473"/>
    <w:rsid w:val="00F5434C"/>
    <w:rsid w:val="00F546C6"/>
    <w:rsid w:val="00F54ACF"/>
    <w:rsid w:val="00F55A9C"/>
    <w:rsid w:val="00F55E29"/>
    <w:rsid w:val="00F56A88"/>
    <w:rsid w:val="00F60034"/>
    <w:rsid w:val="00F6035C"/>
    <w:rsid w:val="00F60AB1"/>
    <w:rsid w:val="00F60DF0"/>
    <w:rsid w:val="00F61583"/>
    <w:rsid w:val="00F61CE2"/>
    <w:rsid w:val="00F62008"/>
    <w:rsid w:val="00F6200F"/>
    <w:rsid w:val="00F627DB"/>
    <w:rsid w:val="00F62DC5"/>
    <w:rsid w:val="00F635F0"/>
    <w:rsid w:val="00F63FB0"/>
    <w:rsid w:val="00F642E0"/>
    <w:rsid w:val="00F6465A"/>
    <w:rsid w:val="00F6490F"/>
    <w:rsid w:val="00F65E70"/>
    <w:rsid w:val="00F6769F"/>
    <w:rsid w:val="00F70BF9"/>
    <w:rsid w:val="00F711D0"/>
    <w:rsid w:val="00F71257"/>
    <w:rsid w:val="00F80093"/>
    <w:rsid w:val="00F8083D"/>
    <w:rsid w:val="00F819D4"/>
    <w:rsid w:val="00F8593B"/>
    <w:rsid w:val="00F8692E"/>
    <w:rsid w:val="00F86952"/>
    <w:rsid w:val="00F86B66"/>
    <w:rsid w:val="00F870C2"/>
    <w:rsid w:val="00F90260"/>
    <w:rsid w:val="00F9075E"/>
    <w:rsid w:val="00F90D35"/>
    <w:rsid w:val="00F91D39"/>
    <w:rsid w:val="00F91E5F"/>
    <w:rsid w:val="00F930A1"/>
    <w:rsid w:val="00F94298"/>
    <w:rsid w:val="00F952E2"/>
    <w:rsid w:val="00FA0EBC"/>
    <w:rsid w:val="00FA0FD1"/>
    <w:rsid w:val="00FA1C25"/>
    <w:rsid w:val="00FA2113"/>
    <w:rsid w:val="00FA2B8C"/>
    <w:rsid w:val="00FA32F8"/>
    <w:rsid w:val="00FA3522"/>
    <w:rsid w:val="00FA39CC"/>
    <w:rsid w:val="00FA3B86"/>
    <w:rsid w:val="00FA4E58"/>
    <w:rsid w:val="00FA6A6E"/>
    <w:rsid w:val="00FB0476"/>
    <w:rsid w:val="00FB1E58"/>
    <w:rsid w:val="00FB3358"/>
    <w:rsid w:val="00FB3914"/>
    <w:rsid w:val="00FB4135"/>
    <w:rsid w:val="00FB4A31"/>
    <w:rsid w:val="00FB513F"/>
    <w:rsid w:val="00FB53F7"/>
    <w:rsid w:val="00FB5587"/>
    <w:rsid w:val="00FB5F7B"/>
    <w:rsid w:val="00FB604B"/>
    <w:rsid w:val="00FB6776"/>
    <w:rsid w:val="00FB7A2C"/>
    <w:rsid w:val="00FC0972"/>
    <w:rsid w:val="00FC0C52"/>
    <w:rsid w:val="00FC2197"/>
    <w:rsid w:val="00FC222C"/>
    <w:rsid w:val="00FC2FD9"/>
    <w:rsid w:val="00FC330C"/>
    <w:rsid w:val="00FC3565"/>
    <w:rsid w:val="00FC3DA8"/>
    <w:rsid w:val="00FC4DD3"/>
    <w:rsid w:val="00FC745C"/>
    <w:rsid w:val="00FC7923"/>
    <w:rsid w:val="00FC7E5F"/>
    <w:rsid w:val="00FD2109"/>
    <w:rsid w:val="00FD4E7E"/>
    <w:rsid w:val="00FD4F9F"/>
    <w:rsid w:val="00FD563A"/>
    <w:rsid w:val="00FD601B"/>
    <w:rsid w:val="00FD6080"/>
    <w:rsid w:val="00FD7572"/>
    <w:rsid w:val="00FE3577"/>
    <w:rsid w:val="00FE3DA3"/>
    <w:rsid w:val="00FE418D"/>
    <w:rsid w:val="00FE5095"/>
    <w:rsid w:val="00FE52DF"/>
    <w:rsid w:val="00FE539E"/>
    <w:rsid w:val="00FE6817"/>
    <w:rsid w:val="00FF5082"/>
    <w:rsid w:val="00FF6221"/>
    <w:rsid w:val="00FF7188"/>
    <w:rsid w:val="00FF78B9"/>
    <w:rsid w:val="00FF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51919"/>
  <w15:docId w15:val="{0B77585F-9EB3-4D09-9329-CF7BAAC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790828"/>
    <w:pPr>
      <w:keepNext/>
      <w:widowControl w:val="0"/>
      <w:autoSpaceDE w:val="0"/>
      <w:autoSpaceDN w:val="0"/>
      <w:adjustRightInd w:val="0"/>
      <w:spacing w:before="240" w:after="60" w:line="240" w:lineRule="auto"/>
      <w:outlineLvl w:val="3"/>
    </w:pPr>
    <w:rPr>
      <w:rFonts w:ascii="Calibri" w:eastAsia="Times New Roman" w:hAnsi="Calibri"/>
      <w:b/>
      <w:bCs/>
      <w:sz w:val="28"/>
      <w:szCs w:val="28"/>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39,Char,Char Char Char,Char Char Char Char Char Char,Char Char,Char Char Char Char,webb,Char1, webb,ClientStyle1"/>
    <w:basedOn w:val="Normal"/>
    <w:link w:val="NormalWebChar"/>
    <w:uiPriority w:val="99"/>
    <w:unhideWhenUsed/>
    <w:rsid w:val="00EC6AE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C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EA"/>
  </w:style>
  <w:style w:type="paragraph" w:styleId="Footer">
    <w:name w:val="footer"/>
    <w:basedOn w:val="Normal"/>
    <w:link w:val="FooterChar"/>
    <w:uiPriority w:val="99"/>
    <w:unhideWhenUsed/>
    <w:rsid w:val="00EC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EA"/>
  </w:style>
  <w:style w:type="paragraph" w:customStyle="1" w:styleId="CM22">
    <w:name w:val="CM22"/>
    <w:basedOn w:val="Normal"/>
    <w:next w:val="Normal"/>
    <w:uiPriority w:val="99"/>
    <w:rsid w:val="004138D7"/>
    <w:pPr>
      <w:autoSpaceDE w:val="0"/>
      <w:autoSpaceDN w:val="0"/>
      <w:adjustRightInd w:val="0"/>
      <w:spacing w:after="0" w:line="240" w:lineRule="auto"/>
    </w:pPr>
    <w:rPr>
      <w:sz w:val="24"/>
      <w:szCs w:val="24"/>
    </w:rPr>
  </w:style>
  <w:style w:type="paragraph" w:customStyle="1" w:styleId="CM21">
    <w:name w:val="CM21"/>
    <w:basedOn w:val="Normal"/>
    <w:next w:val="Normal"/>
    <w:uiPriority w:val="99"/>
    <w:rsid w:val="004138D7"/>
    <w:pPr>
      <w:autoSpaceDE w:val="0"/>
      <w:autoSpaceDN w:val="0"/>
      <w:adjustRightInd w:val="0"/>
      <w:spacing w:after="0" w:line="240" w:lineRule="auto"/>
    </w:pPr>
    <w:rPr>
      <w:sz w:val="24"/>
      <w:szCs w:val="24"/>
    </w:rPr>
  </w:style>
  <w:style w:type="paragraph" w:styleId="BodyText">
    <w:name w:val="Body Text"/>
    <w:aliases w:val="bodytext,body text,bt,Indent,single space,Single line,Body Text FLI .5,Body Text Char2 Char Char Char Char Char Char Char Char Char Char Char Char Char Char Char Char Char Char Char,Body Text Char2 Char Char Char Char Char Char C,2,3,BT,1,Bo,a"/>
    <w:basedOn w:val="Normal"/>
    <w:link w:val="BodyTextChar"/>
    <w:uiPriority w:val="99"/>
    <w:rsid w:val="004138D7"/>
    <w:pPr>
      <w:spacing w:before="240" w:after="0" w:line="240" w:lineRule="auto"/>
    </w:pPr>
    <w:rPr>
      <w:rFonts w:eastAsia="Times New Roman"/>
      <w:sz w:val="24"/>
      <w:szCs w:val="24"/>
      <w:lang w:bidi="en-US"/>
    </w:rPr>
  </w:style>
  <w:style w:type="character" w:customStyle="1" w:styleId="BodyTextChar">
    <w:name w:val="Body Text Char"/>
    <w:aliases w:val="bodytext Char,body text Char,bt Char,Indent Char,single space Char,Single line Char,Body Text FLI .5 Char,Body Text Char2 Char Char Char Char Char Char Char Char Char Char Char Char Char Char Char Char Char Char Char Char,2 Char,3 Char"/>
    <w:basedOn w:val="DefaultParagraphFont"/>
    <w:link w:val="BodyText"/>
    <w:uiPriority w:val="99"/>
    <w:rsid w:val="004138D7"/>
    <w:rPr>
      <w:rFonts w:eastAsia="Times New Roman"/>
      <w:sz w:val="24"/>
      <w:szCs w:val="24"/>
      <w:lang w:bidi="en-US"/>
    </w:rPr>
  </w:style>
  <w:style w:type="paragraph" w:styleId="BalloonText">
    <w:name w:val="Balloon Text"/>
    <w:basedOn w:val="Normal"/>
    <w:link w:val="BalloonTextChar"/>
    <w:uiPriority w:val="99"/>
    <w:semiHidden/>
    <w:unhideWhenUsed/>
    <w:rsid w:val="0021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26"/>
    <w:rPr>
      <w:rFonts w:ascii="Tahoma" w:hAnsi="Tahoma" w:cs="Tahoma"/>
      <w:sz w:val="16"/>
      <w:szCs w:val="16"/>
    </w:rPr>
  </w:style>
  <w:style w:type="paragraph" w:styleId="ListParagraph">
    <w:name w:val="List Paragraph"/>
    <w:basedOn w:val="Normal"/>
    <w:link w:val="ListParagraphChar"/>
    <w:uiPriority w:val="34"/>
    <w:qFormat/>
    <w:rsid w:val="00305088"/>
    <w:pPr>
      <w:ind w:left="720"/>
      <w:contextualSpacing/>
    </w:pPr>
  </w:style>
  <w:style w:type="character" w:styleId="Strong">
    <w:name w:val="Strong"/>
    <w:basedOn w:val="DefaultParagraphFont"/>
    <w:uiPriority w:val="22"/>
    <w:qFormat/>
    <w:rsid w:val="005D3F93"/>
    <w:rPr>
      <w:b/>
      <w:bCs/>
    </w:rPr>
  </w:style>
  <w:style w:type="table" w:styleId="TableGrid">
    <w:name w:val="Table Grid"/>
    <w:basedOn w:val="TableNormal"/>
    <w:rsid w:val="0080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444B"/>
    <w:rPr>
      <w:sz w:val="16"/>
      <w:szCs w:val="16"/>
    </w:rPr>
  </w:style>
  <w:style w:type="paragraph" w:styleId="CommentText">
    <w:name w:val="annotation text"/>
    <w:basedOn w:val="Normal"/>
    <w:link w:val="CommentTextChar"/>
    <w:uiPriority w:val="99"/>
    <w:semiHidden/>
    <w:unhideWhenUsed/>
    <w:rsid w:val="0080444B"/>
    <w:pPr>
      <w:spacing w:line="240" w:lineRule="auto"/>
    </w:pPr>
    <w:rPr>
      <w:szCs w:val="20"/>
    </w:rPr>
  </w:style>
  <w:style w:type="character" w:customStyle="1" w:styleId="CommentTextChar">
    <w:name w:val="Comment Text Char"/>
    <w:basedOn w:val="DefaultParagraphFont"/>
    <w:link w:val="CommentText"/>
    <w:uiPriority w:val="99"/>
    <w:semiHidden/>
    <w:rsid w:val="0080444B"/>
    <w:rPr>
      <w:szCs w:val="20"/>
    </w:rPr>
  </w:style>
  <w:style w:type="paragraph" w:styleId="CommentSubject">
    <w:name w:val="annotation subject"/>
    <w:basedOn w:val="CommentText"/>
    <w:next w:val="CommentText"/>
    <w:link w:val="CommentSubjectChar"/>
    <w:uiPriority w:val="99"/>
    <w:semiHidden/>
    <w:unhideWhenUsed/>
    <w:rsid w:val="0080444B"/>
    <w:rPr>
      <w:b/>
      <w:bCs/>
    </w:rPr>
  </w:style>
  <w:style w:type="character" w:customStyle="1" w:styleId="CommentSubjectChar">
    <w:name w:val="Comment Subject Char"/>
    <w:basedOn w:val="CommentTextChar"/>
    <w:link w:val="CommentSubject"/>
    <w:uiPriority w:val="99"/>
    <w:semiHidden/>
    <w:rsid w:val="0080444B"/>
    <w:rPr>
      <w:b/>
      <w:bCs/>
      <w:szCs w:val="20"/>
    </w:rPr>
  </w:style>
  <w:style w:type="character" w:styleId="HTMLCite">
    <w:name w:val="HTML Cite"/>
    <w:basedOn w:val="DefaultParagraphFont"/>
    <w:uiPriority w:val="99"/>
    <w:semiHidden/>
    <w:unhideWhenUsed/>
    <w:rsid w:val="002B6B28"/>
    <w:rPr>
      <w:i/>
      <w:iCs/>
    </w:rPr>
  </w:style>
  <w:style w:type="character" w:customStyle="1" w:styleId="Heading1Char">
    <w:name w:val="Heading 1 Char"/>
    <w:basedOn w:val="DefaultParagraphFont"/>
    <w:link w:val="Heading1"/>
    <w:uiPriority w:val="9"/>
    <w:rsid w:val="00A65BF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3178D"/>
    <w:pPr>
      <w:tabs>
        <w:tab w:val="left" w:pos="851"/>
        <w:tab w:val="left" w:pos="9810"/>
      </w:tabs>
      <w:spacing w:after="100"/>
      <w:ind w:right="-450"/>
    </w:pPr>
  </w:style>
  <w:style w:type="character" w:styleId="Hyperlink">
    <w:name w:val="Hyperlink"/>
    <w:basedOn w:val="DefaultParagraphFont"/>
    <w:uiPriority w:val="99"/>
    <w:unhideWhenUsed/>
    <w:rsid w:val="005C278F"/>
    <w:rPr>
      <w:color w:val="0000FF" w:themeColor="hyperlink"/>
      <w:u w:val="single"/>
    </w:rPr>
  </w:style>
  <w:style w:type="paragraph" w:styleId="Revision">
    <w:name w:val="Revision"/>
    <w:hidden/>
    <w:uiPriority w:val="99"/>
    <w:semiHidden/>
    <w:rsid w:val="007464E3"/>
    <w:pPr>
      <w:spacing w:after="0" w:line="240" w:lineRule="auto"/>
    </w:pPr>
  </w:style>
  <w:style w:type="character" w:customStyle="1" w:styleId="apple-converted-space">
    <w:name w:val="apple-converted-space"/>
    <w:basedOn w:val="DefaultParagraphFont"/>
    <w:rsid w:val="004361C5"/>
  </w:style>
  <w:style w:type="paragraph" w:styleId="BodyTextIndent">
    <w:name w:val="Body Text Indent"/>
    <w:basedOn w:val="Normal"/>
    <w:link w:val="BodyTextIndentChar"/>
    <w:uiPriority w:val="99"/>
    <w:unhideWhenUsed/>
    <w:rsid w:val="00790828"/>
    <w:pPr>
      <w:spacing w:after="120"/>
      <w:ind w:left="283"/>
    </w:pPr>
  </w:style>
  <w:style w:type="character" w:customStyle="1" w:styleId="BodyTextIndentChar">
    <w:name w:val="Body Text Indent Char"/>
    <w:basedOn w:val="DefaultParagraphFont"/>
    <w:link w:val="BodyTextIndent"/>
    <w:uiPriority w:val="99"/>
    <w:rsid w:val="00790828"/>
  </w:style>
  <w:style w:type="paragraph" w:styleId="BodyTextIndent2">
    <w:name w:val="Body Text Indent 2"/>
    <w:basedOn w:val="Normal"/>
    <w:link w:val="BodyTextIndent2Char"/>
    <w:unhideWhenUsed/>
    <w:rsid w:val="00790828"/>
    <w:pPr>
      <w:spacing w:after="120" w:line="480" w:lineRule="auto"/>
      <w:ind w:left="283"/>
    </w:pPr>
  </w:style>
  <w:style w:type="character" w:customStyle="1" w:styleId="BodyTextIndent2Char">
    <w:name w:val="Body Text Indent 2 Char"/>
    <w:basedOn w:val="DefaultParagraphFont"/>
    <w:link w:val="BodyTextIndent2"/>
    <w:rsid w:val="00790828"/>
  </w:style>
  <w:style w:type="character" w:customStyle="1" w:styleId="Heading4Char">
    <w:name w:val="Heading 4 Char"/>
    <w:basedOn w:val="DefaultParagraphFont"/>
    <w:link w:val="Heading4"/>
    <w:uiPriority w:val="9"/>
    <w:rsid w:val="00790828"/>
    <w:rPr>
      <w:rFonts w:ascii="Calibri" w:eastAsia="Times New Roman" w:hAnsi="Calibri"/>
      <w:b/>
      <w:bCs/>
      <w:sz w:val="28"/>
      <w:szCs w:val="28"/>
      <w:lang w:val="en-CA" w:eastAsia="x-none"/>
    </w:rPr>
  </w:style>
  <w:style w:type="character" w:customStyle="1" w:styleId="NormalWebChar">
    <w:name w:val="Normal (Web) Char"/>
    <w:aliases w:val="Style 39 Char,Char Char1,Char Char Char Char1,Char Char Char Char Char Char Char,Char Char Char1,Char Char Char Char Char,webb Char,Char1 Char, webb Char,ClientStyle1 Char"/>
    <w:link w:val="NormalWeb"/>
    <w:uiPriority w:val="99"/>
    <w:rsid w:val="00790828"/>
    <w:rPr>
      <w:rFonts w:eastAsia="Times New Roman"/>
      <w:sz w:val="24"/>
      <w:szCs w:val="24"/>
    </w:rPr>
  </w:style>
  <w:style w:type="paragraph" w:styleId="BodyTextIndent3">
    <w:name w:val="Body Text Indent 3"/>
    <w:basedOn w:val="Normal"/>
    <w:link w:val="BodyTextIndent3Char"/>
    <w:uiPriority w:val="99"/>
    <w:rsid w:val="00790828"/>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before="160" w:after="0" w:line="240" w:lineRule="auto"/>
      <w:ind w:left="792" w:hanging="360"/>
      <w:jc w:val="both"/>
    </w:pPr>
    <w:rPr>
      <w:rFonts w:ascii="Arial" w:eastAsia="Times New Roman" w:hAnsi="Arial"/>
      <w:sz w:val="16"/>
      <w:szCs w:val="16"/>
      <w:lang w:val="x-none"/>
    </w:rPr>
  </w:style>
  <w:style w:type="character" w:customStyle="1" w:styleId="BodyTextIndent3Char">
    <w:name w:val="Body Text Indent 3 Char"/>
    <w:basedOn w:val="DefaultParagraphFont"/>
    <w:link w:val="BodyTextIndent3"/>
    <w:uiPriority w:val="99"/>
    <w:rsid w:val="00790828"/>
    <w:rPr>
      <w:rFonts w:ascii="Arial" w:eastAsia="Times New Roman" w:hAnsi="Arial"/>
      <w:sz w:val="16"/>
      <w:szCs w:val="16"/>
      <w:lang w:val="x-none"/>
    </w:rPr>
  </w:style>
  <w:style w:type="paragraph" w:styleId="BodyText2">
    <w:name w:val="Body Text 2"/>
    <w:basedOn w:val="Normal"/>
    <w:link w:val="BodyText2Char"/>
    <w:uiPriority w:val="99"/>
    <w:rsid w:val="00790828"/>
    <w:pPr>
      <w:widowControl w:val="0"/>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overflowPunct w:val="0"/>
      <w:autoSpaceDE w:val="0"/>
      <w:autoSpaceDN w:val="0"/>
      <w:adjustRightInd w:val="0"/>
      <w:spacing w:before="160" w:after="0" w:line="240" w:lineRule="auto"/>
      <w:ind w:left="432"/>
      <w:jc w:val="both"/>
      <w:textAlignment w:val="baseline"/>
    </w:pPr>
    <w:rPr>
      <w:rFonts w:ascii="Arial" w:eastAsia="Times New Roman" w:hAnsi="Arial"/>
      <w:szCs w:val="24"/>
      <w:lang w:val="x-none"/>
    </w:rPr>
  </w:style>
  <w:style w:type="character" w:customStyle="1" w:styleId="BodyText2Char">
    <w:name w:val="Body Text 2 Char"/>
    <w:basedOn w:val="DefaultParagraphFont"/>
    <w:link w:val="BodyText2"/>
    <w:uiPriority w:val="99"/>
    <w:rsid w:val="00790828"/>
    <w:rPr>
      <w:rFonts w:ascii="Arial" w:eastAsia="Times New Roman" w:hAnsi="Arial"/>
      <w:szCs w:val="24"/>
      <w:lang w:val="x-none"/>
    </w:rPr>
  </w:style>
  <w:style w:type="character" w:customStyle="1" w:styleId="HeadNoteTitle">
    <w:name w:val="Head Note Title"/>
    <w:rsid w:val="00790828"/>
    <w:rPr>
      <w:rFonts w:ascii="Arial" w:hAnsi="Arial"/>
      <w:b/>
      <w:sz w:val="22"/>
    </w:rPr>
  </w:style>
  <w:style w:type="paragraph" w:customStyle="1" w:styleId="Ne3">
    <w:name w:val="Ne3"/>
    <w:basedOn w:val="Normal"/>
    <w:next w:val="Normal"/>
    <w:rsid w:val="00790828"/>
    <w:pPr>
      <w:autoSpaceDE w:val="0"/>
      <w:autoSpaceDN w:val="0"/>
      <w:adjustRightInd w:val="0"/>
      <w:spacing w:before="120" w:after="0" w:line="240" w:lineRule="auto"/>
    </w:pPr>
    <w:rPr>
      <w:rFonts w:ascii="Arial" w:eastAsia="Times New Roman" w:hAnsi="Arial"/>
      <w:szCs w:val="24"/>
      <w:lang w:val="en-CA"/>
    </w:rPr>
  </w:style>
  <w:style w:type="paragraph" w:styleId="ListBullet">
    <w:name w:val="List Bullet"/>
    <w:basedOn w:val="Normal"/>
    <w:autoRedefine/>
    <w:uiPriority w:val="99"/>
    <w:rsid w:val="00790828"/>
    <w:pPr>
      <w:widowControl w:val="0"/>
      <w:numPr>
        <w:numId w:val="10"/>
      </w:numPr>
      <w:autoSpaceDE w:val="0"/>
      <w:autoSpaceDN w:val="0"/>
      <w:adjustRightInd w:val="0"/>
      <w:spacing w:after="0" w:line="240" w:lineRule="auto"/>
    </w:pPr>
    <w:rPr>
      <w:rFonts w:ascii="Arial" w:eastAsia="Times New Roman" w:hAnsi="Arial"/>
      <w:szCs w:val="24"/>
      <w:lang w:val="en-CA"/>
    </w:rPr>
  </w:style>
  <w:style w:type="paragraph" w:styleId="ListBullet2">
    <w:name w:val="List Bullet 2"/>
    <w:basedOn w:val="Normal"/>
    <w:autoRedefine/>
    <w:uiPriority w:val="99"/>
    <w:rsid w:val="00790828"/>
    <w:pPr>
      <w:widowControl w:val="0"/>
      <w:numPr>
        <w:numId w:val="11"/>
      </w:numPr>
      <w:autoSpaceDE w:val="0"/>
      <w:autoSpaceDN w:val="0"/>
      <w:adjustRightInd w:val="0"/>
      <w:spacing w:after="0" w:line="240" w:lineRule="auto"/>
    </w:pPr>
    <w:rPr>
      <w:rFonts w:ascii="Arial" w:eastAsia="Times New Roman" w:hAnsi="Arial"/>
      <w:szCs w:val="24"/>
      <w:lang w:val="en-CA"/>
    </w:rPr>
  </w:style>
  <w:style w:type="paragraph" w:styleId="ListBullet3">
    <w:name w:val="List Bullet 3"/>
    <w:basedOn w:val="Normal"/>
    <w:autoRedefine/>
    <w:uiPriority w:val="99"/>
    <w:rsid w:val="00790828"/>
    <w:pPr>
      <w:widowControl w:val="0"/>
      <w:numPr>
        <w:numId w:val="12"/>
      </w:numPr>
      <w:autoSpaceDE w:val="0"/>
      <w:autoSpaceDN w:val="0"/>
      <w:adjustRightInd w:val="0"/>
      <w:spacing w:after="0" w:line="240" w:lineRule="auto"/>
    </w:pPr>
    <w:rPr>
      <w:rFonts w:ascii="Arial" w:eastAsia="Times New Roman" w:hAnsi="Arial"/>
      <w:szCs w:val="24"/>
      <w:lang w:val="en-CA"/>
    </w:rPr>
  </w:style>
  <w:style w:type="paragraph" w:styleId="ListBullet4">
    <w:name w:val="List Bullet 4"/>
    <w:basedOn w:val="Normal"/>
    <w:autoRedefine/>
    <w:uiPriority w:val="99"/>
    <w:rsid w:val="00790828"/>
    <w:pPr>
      <w:widowControl w:val="0"/>
      <w:numPr>
        <w:numId w:val="13"/>
      </w:numPr>
      <w:autoSpaceDE w:val="0"/>
      <w:autoSpaceDN w:val="0"/>
      <w:adjustRightInd w:val="0"/>
      <w:spacing w:after="0" w:line="240" w:lineRule="auto"/>
    </w:pPr>
    <w:rPr>
      <w:rFonts w:ascii="Arial" w:eastAsia="Times New Roman" w:hAnsi="Arial"/>
      <w:szCs w:val="24"/>
      <w:lang w:val="en-CA"/>
    </w:rPr>
  </w:style>
  <w:style w:type="paragraph" w:styleId="ListBullet5">
    <w:name w:val="List Bullet 5"/>
    <w:basedOn w:val="Normal"/>
    <w:autoRedefine/>
    <w:uiPriority w:val="99"/>
    <w:rsid w:val="00790828"/>
    <w:pPr>
      <w:widowControl w:val="0"/>
      <w:numPr>
        <w:numId w:val="14"/>
      </w:numPr>
      <w:autoSpaceDE w:val="0"/>
      <w:autoSpaceDN w:val="0"/>
      <w:adjustRightInd w:val="0"/>
      <w:spacing w:after="0" w:line="240" w:lineRule="auto"/>
    </w:pPr>
    <w:rPr>
      <w:rFonts w:ascii="Arial" w:eastAsia="Times New Roman" w:hAnsi="Arial"/>
      <w:szCs w:val="24"/>
      <w:lang w:val="en-CA"/>
    </w:rPr>
  </w:style>
  <w:style w:type="paragraph" w:styleId="ListNumber">
    <w:name w:val="List Number"/>
    <w:basedOn w:val="Normal"/>
    <w:uiPriority w:val="99"/>
    <w:rsid w:val="00790828"/>
    <w:pPr>
      <w:widowControl w:val="0"/>
      <w:numPr>
        <w:numId w:val="15"/>
      </w:numPr>
      <w:autoSpaceDE w:val="0"/>
      <w:autoSpaceDN w:val="0"/>
      <w:adjustRightInd w:val="0"/>
      <w:spacing w:after="0" w:line="240" w:lineRule="auto"/>
    </w:pPr>
    <w:rPr>
      <w:rFonts w:ascii="Arial" w:eastAsia="Times New Roman" w:hAnsi="Arial"/>
      <w:szCs w:val="24"/>
      <w:lang w:val="en-CA"/>
    </w:rPr>
  </w:style>
  <w:style w:type="paragraph" w:styleId="ListNumber2">
    <w:name w:val="List Number 2"/>
    <w:basedOn w:val="Normal"/>
    <w:uiPriority w:val="99"/>
    <w:rsid w:val="00790828"/>
    <w:pPr>
      <w:widowControl w:val="0"/>
      <w:numPr>
        <w:numId w:val="16"/>
      </w:numPr>
      <w:autoSpaceDE w:val="0"/>
      <w:autoSpaceDN w:val="0"/>
      <w:adjustRightInd w:val="0"/>
      <w:spacing w:after="0" w:line="240" w:lineRule="auto"/>
    </w:pPr>
    <w:rPr>
      <w:rFonts w:ascii="Arial" w:eastAsia="Times New Roman" w:hAnsi="Arial"/>
      <w:szCs w:val="24"/>
      <w:lang w:val="en-CA"/>
    </w:rPr>
  </w:style>
  <w:style w:type="paragraph" w:styleId="ListNumber3">
    <w:name w:val="List Number 3"/>
    <w:basedOn w:val="Normal"/>
    <w:uiPriority w:val="99"/>
    <w:rsid w:val="00790828"/>
    <w:pPr>
      <w:widowControl w:val="0"/>
      <w:numPr>
        <w:numId w:val="17"/>
      </w:numPr>
      <w:autoSpaceDE w:val="0"/>
      <w:autoSpaceDN w:val="0"/>
      <w:adjustRightInd w:val="0"/>
      <w:spacing w:after="0" w:line="240" w:lineRule="auto"/>
    </w:pPr>
    <w:rPr>
      <w:rFonts w:ascii="Arial" w:eastAsia="Times New Roman" w:hAnsi="Arial"/>
      <w:szCs w:val="24"/>
      <w:lang w:val="en-CA"/>
    </w:rPr>
  </w:style>
  <w:style w:type="paragraph" w:styleId="ListNumber4">
    <w:name w:val="List Number 4"/>
    <w:basedOn w:val="Normal"/>
    <w:uiPriority w:val="99"/>
    <w:rsid w:val="00790828"/>
    <w:pPr>
      <w:widowControl w:val="0"/>
      <w:numPr>
        <w:numId w:val="18"/>
      </w:numPr>
      <w:autoSpaceDE w:val="0"/>
      <w:autoSpaceDN w:val="0"/>
      <w:adjustRightInd w:val="0"/>
      <w:spacing w:after="0" w:line="240" w:lineRule="auto"/>
    </w:pPr>
    <w:rPr>
      <w:rFonts w:ascii="Arial" w:eastAsia="Times New Roman" w:hAnsi="Arial"/>
      <w:szCs w:val="24"/>
      <w:lang w:val="en-CA"/>
    </w:rPr>
  </w:style>
  <w:style w:type="paragraph" w:styleId="ListNumber5">
    <w:name w:val="List Number 5"/>
    <w:basedOn w:val="Normal"/>
    <w:uiPriority w:val="99"/>
    <w:rsid w:val="00790828"/>
    <w:pPr>
      <w:widowControl w:val="0"/>
      <w:numPr>
        <w:numId w:val="19"/>
      </w:numPr>
      <w:autoSpaceDE w:val="0"/>
      <w:autoSpaceDN w:val="0"/>
      <w:adjustRightInd w:val="0"/>
      <w:spacing w:after="0" w:line="240" w:lineRule="auto"/>
    </w:pPr>
    <w:rPr>
      <w:rFonts w:ascii="Arial" w:eastAsia="Times New Roman" w:hAnsi="Arial"/>
      <w:szCs w:val="24"/>
      <w:lang w:val="en-CA"/>
    </w:rPr>
  </w:style>
  <w:style w:type="character" w:customStyle="1" w:styleId="HeadNote01">
    <w:name w:val="Head Note 01"/>
    <w:rsid w:val="00790828"/>
    <w:rPr>
      <w:rFonts w:ascii="Arial" w:hAnsi="Arial"/>
      <w:b/>
      <w:sz w:val="22"/>
    </w:rPr>
  </w:style>
  <w:style w:type="paragraph" w:styleId="HTMLPreformatted">
    <w:name w:val="HTML Preformatted"/>
    <w:basedOn w:val="Normal"/>
    <w:link w:val="HTMLPreformattedChar"/>
    <w:uiPriority w:val="99"/>
    <w:rsid w:val="007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0"/>
      <w:lang w:val="x-none"/>
    </w:rPr>
  </w:style>
  <w:style w:type="character" w:customStyle="1" w:styleId="HTMLPreformattedChar">
    <w:name w:val="HTML Preformatted Char"/>
    <w:basedOn w:val="DefaultParagraphFont"/>
    <w:link w:val="HTMLPreformatted"/>
    <w:uiPriority w:val="99"/>
    <w:rsid w:val="00790828"/>
    <w:rPr>
      <w:rFonts w:ascii="Courier New" w:eastAsia="Times New Roman" w:hAnsi="Courier New"/>
      <w:szCs w:val="20"/>
      <w:lang w:val="x-none"/>
    </w:rPr>
  </w:style>
  <w:style w:type="paragraph" w:customStyle="1" w:styleId="Preformatted">
    <w:name w:val="Preformatted"/>
    <w:link w:val="PreformattedChar"/>
    <w:rsid w:val="00790828"/>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eastAsia="Times New Roman" w:hAnsi="Courier New" w:cs="Courier New"/>
      <w:szCs w:val="20"/>
      <w:lang w:val="en-CA"/>
    </w:rPr>
  </w:style>
  <w:style w:type="character" w:customStyle="1" w:styleId="PreformattedChar">
    <w:name w:val="Preformatted Char"/>
    <w:link w:val="Preformatted"/>
    <w:rsid w:val="00790828"/>
    <w:rPr>
      <w:rFonts w:ascii="Courier New" w:eastAsia="Times New Roman" w:hAnsi="Courier New" w:cs="Courier New"/>
      <w:szCs w:val="20"/>
      <w:lang w:val="en-CA"/>
    </w:rPr>
  </w:style>
  <w:style w:type="paragraph" w:styleId="TOAHeading">
    <w:name w:val="toa heading"/>
    <w:basedOn w:val="Normal"/>
    <w:next w:val="Normal"/>
    <w:uiPriority w:val="99"/>
    <w:rsid w:val="00790828"/>
    <w:pPr>
      <w:keepNext/>
      <w:spacing w:before="240" w:after="0" w:line="240" w:lineRule="auto"/>
    </w:pPr>
    <w:rPr>
      <w:rFonts w:eastAsia="Times New Roman"/>
      <w:b/>
      <w:szCs w:val="20"/>
      <w:lang w:val="en-CA"/>
    </w:rPr>
  </w:style>
  <w:style w:type="paragraph" w:customStyle="1" w:styleId="Default">
    <w:name w:val="Default"/>
    <w:rsid w:val="00790828"/>
    <w:pPr>
      <w:autoSpaceDE w:val="0"/>
      <w:autoSpaceDN w:val="0"/>
      <w:adjustRightInd w:val="0"/>
      <w:spacing w:after="0" w:line="240" w:lineRule="auto"/>
    </w:pPr>
    <w:rPr>
      <w:rFonts w:ascii="Arial" w:eastAsia="Times New Roman" w:hAnsi="Arial" w:cs="Arial"/>
      <w:color w:val="000000"/>
      <w:sz w:val="24"/>
      <w:szCs w:val="24"/>
    </w:rPr>
  </w:style>
  <w:style w:type="paragraph" w:styleId="EnvelopeReturn">
    <w:name w:val="envelope return"/>
    <w:basedOn w:val="Normal"/>
    <w:uiPriority w:val="99"/>
    <w:rsid w:val="00790828"/>
    <w:pPr>
      <w:spacing w:after="0" w:line="240" w:lineRule="auto"/>
      <w:jc w:val="both"/>
    </w:pPr>
    <w:rPr>
      <w:rFonts w:ascii="Arial" w:eastAsia="Times New Roman" w:hAnsi="Arial"/>
      <w:szCs w:val="20"/>
      <w:lang w:val="en-CA"/>
    </w:rPr>
  </w:style>
  <w:style w:type="paragraph" w:customStyle="1" w:styleId="ListParagraph1">
    <w:name w:val="List Paragraph1"/>
    <w:basedOn w:val="Normal"/>
    <w:uiPriority w:val="34"/>
    <w:qFormat/>
    <w:rsid w:val="00267D4E"/>
    <w:pPr>
      <w:ind w:left="720"/>
      <w:contextualSpacing/>
    </w:pPr>
    <w:rPr>
      <w:rFonts w:eastAsia="Calibri"/>
    </w:rPr>
  </w:style>
  <w:style w:type="paragraph" w:styleId="FootnoteText">
    <w:name w:val="footnote text"/>
    <w:basedOn w:val="Normal"/>
    <w:link w:val="FootnoteTextChar"/>
    <w:uiPriority w:val="99"/>
    <w:unhideWhenUsed/>
    <w:rsid w:val="00E06EB2"/>
    <w:pPr>
      <w:spacing w:after="180" w:line="240" w:lineRule="auto"/>
      <w:jc w:val="both"/>
    </w:pPr>
    <w:rPr>
      <w:rFonts w:ascii="Arial" w:eastAsia="Times New Roman" w:hAnsi="Arial"/>
      <w:szCs w:val="20"/>
    </w:rPr>
  </w:style>
  <w:style w:type="character" w:customStyle="1" w:styleId="FootnoteTextChar">
    <w:name w:val="Footnote Text Char"/>
    <w:basedOn w:val="DefaultParagraphFont"/>
    <w:link w:val="FootnoteText"/>
    <w:uiPriority w:val="99"/>
    <w:rsid w:val="00E06EB2"/>
    <w:rPr>
      <w:rFonts w:ascii="Arial" w:eastAsia="Times New Roman" w:hAnsi="Arial"/>
      <w:szCs w:val="20"/>
    </w:rPr>
  </w:style>
  <w:style w:type="character" w:styleId="FootnoteReference">
    <w:name w:val="footnote reference"/>
    <w:uiPriority w:val="99"/>
    <w:unhideWhenUsed/>
    <w:rsid w:val="00E06EB2"/>
    <w:rPr>
      <w:vertAlign w:val="superscript"/>
    </w:rPr>
  </w:style>
  <w:style w:type="character" w:styleId="Emphasis">
    <w:name w:val="Emphasis"/>
    <w:basedOn w:val="DefaultParagraphFont"/>
    <w:qFormat/>
    <w:rsid w:val="005464FE"/>
    <w:rPr>
      <w:rFonts w:ascii="Arial" w:hAnsi="Arial"/>
      <w:i/>
      <w:iCs/>
      <w:sz w:val="20"/>
    </w:rPr>
  </w:style>
  <w:style w:type="paragraph" w:customStyle="1" w:styleId="PAParaText">
    <w:name w:val="PA_ParaText"/>
    <w:basedOn w:val="Normal"/>
    <w:rsid w:val="005464FE"/>
    <w:pPr>
      <w:spacing w:after="120" w:line="240" w:lineRule="auto"/>
      <w:jc w:val="both"/>
    </w:pPr>
    <w:rPr>
      <w:rFonts w:ascii="Arial" w:eastAsia="SimSun" w:hAnsi="Arial"/>
      <w:szCs w:val="20"/>
      <w:lang w:eastAsia="zh-CN"/>
    </w:rPr>
  </w:style>
  <w:style w:type="character" w:customStyle="1" w:styleId="ListParagraphChar">
    <w:name w:val="List Paragraph Char"/>
    <w:link w:val="ListParagraph"/>
    <w:uiPriority w:val="34"/>
    <w:locked/>
    <w:rsid w:val="0076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0710">
      <w:bodyDiv w:val="1"/>
      <w:marLeft w:val="7"/>
      <w:marRight w:val="7"/>
      <w:marTop w:val="0"/>
      <w:marBottom w:val="0"/>
      <w:divBdr>
        <w:top w:val="none" w:sz="0" w:space="0" w:color="auto"/>
        <w:left w:val="none" w:sz="0" w:space="0" w:color="auto"/>
        <w:bottom w:val="none" w:sz="0" w:space="0" w:color="auto"/>
        <w:right w:val="none" w:sz="0" w:space="0" w:color="auto"/>
      </w:divBdr>
    </w:div>
    <w:div w:id="128129672">
      <w:bodyDiv w:val="1"/>
      <w:marLeft w:val="7"/>
      <w:marRight w:val="7"/>
      <w:marTop w:val="0"/>
      <w:marBottom w:val="0"/>
      <w:divBdr>
        <w:top w:val="none" w:sz="0" w:space="0" w:color="auto"/>
        <w:left w:val="none" w:sz="0" w:space="0" w:color="auto"/>
        <w:bottom w:val="none" w:sz="0" w:space="0" w:color="auto"/>
        <w:right w:val="none" w:sz="0" w:space="0" w:color="auto"/>
      </w:divBdr>
    </w:div>
    <w:div w:id="244461213">
      <w:bodyDiv w:val="1"/>
      <w:marLeft w:val="7"/>
      <w:marRight w:val="7"/>
      <w:marTop w:val="0"/>
      <w:marBottom w:val="0"/>
      <w:divBdr>
        <w:top w:val="none" w:sz="0" w:space="0" w:color="auto"/>
        <w:left w:val="none" w:sz="0" w:space="0" w:color="auto"/>
        <w:bottom w:val="none" w:sz="0" w:space="0" w:color="auto"/>
        <w:right w:val="none" w:sz="0" w:space="0" w:color="auto"/>
      </w:divBdr>
    </w:div>
    <w:div w:id="353505976">
      <w:bodyDiv w:val="1"/>
      <w:marLeft w:val="0"/>
      <w:marRight w:val="0"/>
      <w:marTop w:val="0"/>
      <w:marBottom w:val="0"/>
      <w:divBdr>
        <w:top w:val="none" w:sz="0" w:space="0" w:color="auto"/>
        <w:left w:val="none" w:sz="0" w:space="0" w:color="auto"/>
        <w:bottom w:val="none" w:sz="0" w:space="0" w:color="auto"/>
        <w:right w:val="none" w:sz="0" w:space="0" w:color="auto"/>
      </w:divBdr>
      <w:divsChild>
        <w:div w:id="1816071530">
          <w:marLeft w:val="0"/>
          <w:marRight w:val="0"/>
          <w:marTop w:val="0"/>
          <w:marBottom w:val="0"/>
          <w:divBdr>
            <w:top w:val="none" w:sz="0" w:space="0" w:color="auto"/>
            <w:left w:val="none" w:sz="0" w:space="0" w:color="auto"/>
            <w:bottom w:val="none" w:sz="0" w:space="0" w:color="auto"/>
            <w:right w:val="none" w:sz="0" w:space="0" w:color="auto"/>
          </w:divBdr>
        </w:div>
      </w:divsChild>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647171963">
      <w:bodyDiv w:val="1"/>
      <w:marLeft w:val="7"/>
      <w:marRight w:val="7"/>
      <w:marTop w:val="0"/>
      <w:marBottom w:val="0"/>
      <w:divBdr>
        <w:top w:val="none" w:sz="0" w:space="0" w:color="auto"/>
        <w:left w:val="none" w:sz="0" w:space="0" w:color="auto"/>
        <w:bottom w:val="none" w:sz="0" w:space="0" w:color="auto"/>
        <w:right w:val="none" w:sz="0" w:space="0" w:color="auto"/>
      </w:divBdr>
    </w:div>
    <w:div w:id="789588425">
      <w:bodyDiv w:val="1"/>
      <w:marLeft w:val="7"/>
      <w:marRight w:val="7"/>
      <w:marTop w:val="0"/>
      <w:marBottom w:val="0"/>
      <w:divBdr>
        <w:top w:val="none" w:sz="0" w:space="0" w:color="auto"/>
        <w:left w:val="none" w:sz="0" w:space="0" w:color="auto"/>
        <w:bottom w:val="none" w:sz="0" w:space="0" w:color="auto"/>
        <w:right w:val="none" w:sz="0" w:space="0" w:color="auto"/>
      </w:divBdr>
    </w:div>
    <w:div w:id="873426787">
      <w:bodyDiv w:val="1"/>
      <w:marLeft w:val="7"/>
      <w:marRight w:val="7"/>
      <w:marTop w:val="0"/>
      <w:marBottom w:val="0"/>
      <w:divBdr>
        <w:top w:val="none" w:sz="0" w:space="0" w:color="auto"/>
        <w:left w:val="none" w:sz="0" w:space="0" w:color="auto"/>
        <w:bottom w:val="none" w:sz="0" w:space="0" w:color="auto"/>
        <w:right w:val="none" w:sz="0" w:space="0" w:color="auto"/>
      </w:divBdr>
    </w:div>
    <w:div w:id="1030423299">
      <w:bodyDiv w:val="1"/>
      <w:marLeft w:val="7"/>
      <w:marRight w:val="7"/>
      <w:marTop w:val="0"/>
      <w:marBottom w:val="0"/>
      <w:divBdr>
        <w:top w:val="none" w:sz="0" w:space="0" w:color="auto"/>
        <w:left w:val="none" w:sz="0" w:space="0" w:color="auto"/>
        <w:bottom w:val="none" w:sz="0" w:space="0" w:color="auto"/>
        <w:right w:val="none" w:sz="0" w:space="0" w:color="auto"/>
      </w:divBdr>
    </w:div>
    <w:div w:id="1136801179">
      <w:bodyDiv w:val="1"/>
      <w:marLeft w:val="0"/>
      <w:marRight w:val="0"/>
      <w:marTop w:val="0"/>
      <w:marBottom w:val="0"/>
      <w:divBdr>
        <w:top w:val="none" w:sz="0" w:space="0" w:color="auto"/>
        <w:left w:val="none" w:sz="0" w:space="0" w:color="auto"/>
        <w:bottom w:val="none" w:sz="0" w:space="0" w:color="auto"/>
        <w:right w:val="none" w:sz="0" w:space="0" w:color="auto"/>
      </w:divBdr>
    </w:div>
    <w:div w:id="1200900460">
      <w:bodyDiv w:val="1"/>
      <w:marLeft w:val="0"/>
      <w:marRight w:val="0"/>
      <w:marTop w:val="0"/>
      <w:marBottom w:val="0"/>
      <w:divBdr>
        <w:top w:val="none" w:sz="0" w:space="0" w:color="auto"/>
        <w:left w:val="none" w:sz="0" w:space="0" w:color="auto"/>
        <w:bottom w:val="none" w:sz="0" w:space="0" w:color="auto"/>
        <w:right w:val="none" w:sz="0" w:space="0" w:color="auto"/>
      </w:divBdr>
      <w:divsChild>
        <w:div w:id="705254885">
          <w:marLeft w:val="0"/>
          <w:marRight w:val="0"/>
          <w:marTop w:val="0"/>
          <w:marBottom w:val="0"/>
          <w:divBdr>
            <w:top w:val="none" w:sz="0" w:space="0" w:color="auto"/>
            <w:left w:val="none" w:sz="0" w:space="0" w:color="auto"/>
            <w:bottom w:val="none" w:sz="0" w:space="0" w:color="auto"/>
            <w:right w:val="none" w:sz="0" w:space="0" w:color="auto"/>
          </w:divBdr>
        </w:div>
      </w:divsChild>
    </w:div>
    <w:div w:id="1223520585">
      <w:bodyDiv w:val="1"/>
      <w:marLeft w:val="0"/>
      <w:marRight w:val="0"/>
      <w:marTop w:val="0"/>
      <w:marBottom w:val="0"/>
      <w:divBdr>
        <w:top w:val="none" w:sz="0" w:space="0" w:color="auto"/>
        <w:left w:val="none" w:sz="0" w:space="0" w:color="auto"/>
        <w:bottom w:val="none" w:sz="0" w:space="0" w:color="auto"/>
        <w:right w:val="none" w:sz="0" w:space="0" w:color="auto"/>
      </w:divBdr>
    </w:div>
    <w:div w:id="1234857936">
      <w:bodyDiv w:val="1"/>
      <w:marLeft w:val="7"/>
      <w:marRight w:val="7"/>
      <w:marTop w:val="0"/>
      <w:marBottom w:val="0"/>
      <w:divBdr>
        <w:top w:val="none" w:sz="0" w:space="0" w:color="auto"/>
        <w:left w:val="none" w:sz="0" w:space="0" w:color="auto"/>
        <w:bottom w:val="none" w:sz="0" w:space="0" w:color="auto"/>
        <w:right w:val="none" w:sz="0" w:space="0" w:color="auto"/>
      </w:divBdr>
    </w:div>
    <w:div w:id="1329289742">
      <w:bodyDiv w:val="1"/>
      <w:marLeft w:val="0"/>
      <w:marRight w:val="0"/>
      <w:marTop w:val="0"/>
      <w:marBottom w:val="0"/>
      <w:divBdr>
        <w:top w:val="none" w:sz="0" w:space="0" w:color="auto"/>
        <w:left w:val="none" w:sz="0" w:space="0" w:color="auto"/>
        <w:bottom w:val="none" w:sz="0" w:space="0" w:color="auto"/>
        <w:right w:val="none" w:sz="0" w:space="0" w:color="auto"/>
      </w:divBdr>
    </w:div>
    <w:div w:id="1418985589">
      <w:bodyDiv w:val="1"/>
      <w:marLeft w:val="0"/>
      <w:marRight w:val="0"/>
      <w:marTop w:val="0"/>
      <w:marBottom w:val="0"/>
      <w:divBdr>
        <w:top w:val="none" w:sz="0" w:space="0" w:color="auto"/>
        <w:left w:val="none" w:sz="0" w:space="0" w:color="auto"/>
        <w:bottom w:val="none" w:sz="0" w:space="0" w:color="auto"/>
        <w:right w:val="none" w:sz="0" w:space="0" w:color="auto"/>
      </w:divBdr>
    </w:div>
    <w:div w:id="1578051741">
      <w:bodyDiv w:val="1"/>
      <w:marLeft w:val="7"/>
      <w:marRight w:val="7"/>
      <w:marTop w:val="0"/>
      <w:marBottom w:val="0"/>
      <w:divBdr>
        <w:top w:val="none" w:sz="0" w:space="0" w:color="auto"/>
        <w:left w:val="none" w:sz="0" w:space="0" w:color="auto"/>
        <w:bottom w:val="none" w:sz="0" w:space="0" w:color="auto"/>
        <w:right w:val="none" w:sz="0" w:space="0" w:color="auto"/>
      </w:divBdr>
    </w:div>
    <w:div w:id="1594124896">
      <w:bodyDiv w:val="1"/>
      <w:marLeft w:val="7"/>
      <w:marRight w:val="7"/>
      <w:marTop w:val="0"/>
      <w:marBottom w:val="0"/>
      <w:divBdr>
        <w:top w:val="none" w:sz="0" w:space="0" w:color="auto"/>
        <w:left w:val="none" w:sz="0" w:space="0" w:color="auto"/>
        <w:bottom w:val="none" w:sz="0" w:space="0" w:color="auto"/>
        <w:right w:val="none" w:sz="0" w:space="0" w:color="auto"/>
      </w:divBdr>
    </w:div>
    <w:div w:id="1693997626">
      <w:bodyDiv w:val="1"/>
      <w:marLeft w:val="7"/>
      <w:marRight w:val="7"/>
      <w:marTop w:val="0"/>
      <w:marBottom w:val="0"/>
      <w:divBdr>
        <w:top w:val="none" w:sz="0" w:space="0" w:color="auto"/>
        <w:left w:val="none" w:sz="0" w:space="0" w:color="auto"/>
        <w:bottom w:val="none" w:sz="0" w:space="0" w:color="auto"/>
        <w:right w:val="none" w:sz="0" w:space="0" w:color="auto"/>
      </w:divBdr>
    </w:div>
    <w:div w:id="1854297108">
      <w:bodyDiv w:val="1"/>
      <w:marLeft w:val="0"/>
      <w:marRight w:val="0"/>
      <w:marTop w:val="0"/>
      <w:marBottom w:val="0"/>
      <w:divBdr>
        <w:top w:val="none" w:sz="0" w:space="0" w:color="auto"/>
        <w:left w:val="none" w:sz="0" w:space="0" w:color="auto"/>
        <w:bottom w:val="none" w:sz="0" w:space="0" w:color="auto"/>
        <w:right w:val="none" w:sz="0" w:space="0" w:color="auto"/>
      </w:divBdr>
      <w:divsChild>
        <w:div w:id="2136020412">
          <w:marLeft w:val="0"/>
          <w:marRight w:val="0"/>
          <w:marTop w:val="0"/>
          <w:marBottom w:val="0"/>
          <w:divBdr>
            <w:top w:val="none" w:sz="0" w:space="0" w:color="auto"/>
            <w:left w:val="none" w:sz="0" w:space="0" w:color="auto"/>
            <w:bottom w:val="none" w:sz="0" w:space="0" w:color="auto"/>
            <w:right w:val="none" w:sz="0" w:space="0" w:color="auto"/>
          </w:divBdr>
        </w:div>
        <w:div w:id="1097167389">
          <w:marLeft w:val="0"/>
          <w:marRight w:val="0"/>
          <w:marTop w:val="0"/>
          <w:marBottom w:val="0"/>
          <w:divBdr>
            <w:top w:val="none" w:sz="0" w:space="0" w:color="auto"/>
            <w:left w:val="none" w:sz="0" w:space="0" w:color="auto"/>
            <w:bottom w:val="none" w:sz="0" w:space="0" w:color="auto"/>
            <w:right w:val="none" w:sz="0" w:space="0" w:color="auto"/>
          </w:divBdr>
        </w:div>
        <w:div w:id="276916410">
          <w:marLeft w:val="0"/>
          <w:marRight w:val="0"/>
          <w:marTop w:val="0"/>
          <w:marBottom w:val="0"/>
          <w:divBdr>
            <w:top w:val="none" w:sz="0" w:space="0" w:color="auto"/>
            <w:left w:val="none" w:sz="0" w:space="0" w:color="auto"/>
            <w:bottom w:val="none" w:sz="0" w:space="0" w:color="auto"/>
            <w:right w:val="none" w:sz="0" w:space="0" w:color="auto"/>
          </w:divBdr>
        </w:div>
        <w:div w:id="812138806">
          <w:marLeft w:val="0"/>
          <w:marRight w:val="0"/>
          <w:marTop w:val="0"/>
          <w:marBottom w:val="0"/>
          <w:divBdr>
            <w:top w:val="none" w:sz="0" w:space="0" w:color="auto"/>
            <w:left w:val="none" w:sz="0" w:space="0" w:color="auto"/>
            <w:bottom w:val="none" w:sz="0" w:space="0" w:color="auto"/>
            <w:right w:val="none" w:sz="0" w:space="0" w:color="auto"/>
          </w:divBdr>
        </w:div>
        <w:div w:id="161896862">
          <w:marLeft w:val="0"/>
          <w:marRight w:val="0"/>
          <w:marTop w:val="0"/>
          <w:marBottom w:val="0"/>
          <w:divBdr>
            <w:top w:val="none" w:sz="0" w:space="0" w:color="auto"/>
            <w:left w:val="none" w:sz="0" w:space="0" w:color="auto"/>
            <w:bottom w:val="none" w:sz="0" w:space="0" w:color="auto"/>
            <w:right w:val="none" w:sz="0" w:space="0" w:color="auto"/>
          </w:divBdr>
        </w:div>
        <w:div w:id="416748607">
          <w:marLeft w:val="0"/>
          <w:marRight w:val="0"/>
          <w:marTop w:val="0"/>
          <w:marBottom w:val="0"/>
          <w:divBdr>
            <w:top w:val="none" w:sz="0" w:space="0" w:color="auto"/>
            <w:left w:val="none" w:sz="0" w:space="0" w:color="auto"/>
            <w:bottom w:val="none" w:sz="0" w:space="0" w:color="auto"/>
            <w:right w:val="none" w:sz="0" w:space="0" w:color="auto"/>
          </w:divBdr>
        </w:div>
        <w:div w:id="517932373">
          <w:marLeft w:val="0"/>
          <w:marRight w:val="0"/>
          <w:marTop w:val="0"/>
          <w:marBottom w:val="0"/>
          <w:divBdr>
            <w:top w:val="none" w:sz="0" w:space="0" w:color="auto"/>
            <w:left w:val="none" w:sz="0" w:space="0" w:color="auto"/>
            <w:bottom w:val="none" w:sz="0" w:space="0" w:color="auto"/>
            <w:right w:val="none" w:sz="0" w:space="0" w:color="auto"/>
          </w:divBdr>
        </w:div>
        <w:div w:id="550579776">
          <w:marLeft w:val="0"/>
          <w:marRight w:val="0"/>
          <w:marTop w:val="0"/>
          <w:marBottom w:val="0"/>
          <w:divBdr>
            <w:top w:val="none" w:sz="0" w:space="0" w:color="auto"/>
            <w:left w:val="none" w:sz="0" w:space="0" w:color="auto"/>
            <w:bottom w:val="none" w:sz="0" w:space="0" w:color="auto"/>
            <w:right w:val="none" w:sz="0" w:space="0" w:color="auto"/>
          </w:divBdr>
        </w:div>
        <w:div w:id="1939866764">
          <w:marLeft w:val="0"/>
          <w:marRight w:val="0"/>
          <w:marTop w:val="0"/>
          <w:marBottom w:val="0"/>
          <w:divBdr>
            <w:top w:val="none" w:sz="0" w:space="0" w:color="auto"/>
            <w:left w:val="none" w:sz="0" w:space="0" w:color="auto"/>
            <w:bottom w:val="none" w:sz="0" w:space="0" w:color="auto"/>
            <w:right w:val="none" w:sz="0" w:space="0" w:color="auto"/>
          </w:divBdr>
        </w:div>
        <w:div w:id="1143424248">
          <w:marLeft w:val="0"/>
          <w:marRight w:val="0"/>
          <w:marTop w:val="0"/>
          <w:marBottom w:val="0"/>
          <w:divBdr>
            <w:top w:val="none" w:sz="0" w:space="0" w:color="auto"/>
            <w:left w:val="none" w:sz="0" w:space="0" w:color="auto"/>
            <w:bottom w:val="none" w:sz="0" w:space="0" w:color="auto"/>
            <w:right w:val="none" w:sz="0" w:space="0" w:color="auto"/>
          </w:divBdr>
        </w:div>
        <w:div w:id="1652172174">
          <w:marLeft w:val="0"/>
          <w:marRight w:val="0"/>
          <w:marTop w:val="0"/>
          <w:marBottom w:val="0"/>
          <w:divBdr>
            <w:top w:val="none" w:sz="0" w:space="0" w:color="auto"/>
            <w:left w:val="none" w:sz="0" w:space="0" w:color="auto"/>
            <w:bottom w:val="none" w:sz="0" w:space="0" w:color="auto"/>
            <w:right w:val="none" w:sz="0" w:space="0" w:color="auto"/>
          </w:divBdr>
        </w:div>
        <w:div w:id="972903306">
          <w:marLeft w:val="0"/>
          <w:marRight w:val="0"/>
          <w:marTop w:val="0"/>
          <w:marBottom w:val="0"/>
          <w:divBdr>
            <w:top w:val="none" w:sz="0" w:space="0" w:color="auto"/>
            <w:left w:val="none" w:sz="0" w:space="0" w:color="auto"/>
            <w:bottom w:val="none" w:sz="0" w:space="0" w:color="auto"/>
            <w:right w:val="none" w:sz="0" w:space="0" w:color="auto"/>
          </w:divBdr>
        </w:div>
        <w:div w:id="1549150287">
          <w:marLeft w:val="0"/>
          <w:marRight w:val="0"/>
          <w:marTop w:val="0"/>
          <w:marBottom w:val="0"/>
          <w:divBdr>
            <w:top w:val="none" w:sz="0" w:space="0" w:color="auto"/>
            <w:left w:val="none" w:sz="0" w:space="0" w:color="auto"/>
            <w:bottom w:val="none" w:sz="0" w:space="0" w:color="auto"/>
            <w:right w:val="none" w:sz="0" w:space="0" w:color="auto"/>
          </w:divBdr>
        </w:div>
        <w:div w:id="1799452044">
          <w:marLeft w:val="0"/>
          <w:marRight w:val="0"/>
          <w:marTop w:val="0"/>
          <w:marBottom w:val="0"/>
          <w:divBdr>
            <w:top w:val="none" w:sz="0" w:space="0" w:color="auto"/>
            <w:left w:val="none" w:sz="0" w:space="0" w:color="auto"/>
            <w:bottom w:val="none" w:sz="0" w:space="0" w:color="auto"/>
            <w:right w:val="none" w:sz="0" w:space="0" w:color="auto"/>
          </w:divBdr>
        </w:div>
        <w:div w:id="395276301">
          <w:marLeft w:val="0"/>
          <w:marRight w:val="0"/>
          <w:marTop w:val="0"/>
          <w:marBottom w:val="0"/>
          <w:divBdr>
            <w:top w:val="none" w:sz="0" w:space="0" w:color="auto"/>
            <w:left w:val="none" w:sz="0" w:space="0" w:color="auto"/>
            <w:bottom w:val="none" w:sz="0" w:space="0" w:color="auto"/>
            <w:right w:val="none" w:sz="0" w:space="0" w:color="auto"/>
          </w:divBdr>
        </w:div>
        <w:div w:id="1556354837">
          <w:marLeft w:val="0"/>
          <w:marRight w:val="0"/>
          <w:marTop w:val="0"/>
          <w:marBottom w:val="0"/>
          <w:divBdr>
            <w:top w:val="none" w:sz="0" w:space="0" w:color="auto"/>
            <w:left w:val="none" w:sz="0" w:space="0" w:color="auto"/>
            <w:bottom w:val="none" w:sz="0" w:space="0" w:color="auto"/>
            <w:right w:val="none" w:sz="0" w:space="0" w:color="auto"/>
          </w:divBdr>
        </w:div>
        <w:div w:id="299770934">
          <w:marLeft w:val="0"/>
          <w:marRight w:val="0"/>
          <w:marTop w:val="0"/>
          <w:marBottom w:val="0"/>
          <w:divBdr>
            <w:top w:val="none" w:sz="0" w:space="0" w:color="auto"/>
            <w:left w:val="none" w:sz="0" w:space="0" w:color="auto"/>
            <w:bottom w:val="none" w:sz="0" w:space="0" w:color="auto"/>
            <w:right w:val="none" w:sz="0" w:space="0" w:color="auto"/>
          </w:divBdr>
        </w:div>
        <w:div w:id="1091044208">
          <w:marLeft w:val="0"/>
          <w:marRight w:val="0"/>
          <w:marTop w:val="0"/>
          <w:marBottom w:val="0"/>
          <w:divBdr>
            <w:top w:val="none" w:sz="0" w:space="0" w:color="auto"/>
            <w:left w:val="none" w:sz="0" w:space="0" w:color="auto"/>
            <w:bottom w:val="none" w:sz="0" w:space="0" w:color="auto"/>
            <w:right w:val="none" w:sz="0" w:space="0" w:color="auto"/>
          </w:divBdr>
        </w:div>
        <w:div w:id="1436289413">
          <w:marLeft w:val="0"/>
          <w:marRight w:val="0"/>
          <w:marTop w:val="0"/>
          <w:marBottom w:val="0"/>
          <w:divBdr>
            <w:top w:val="none" w:sz="0" w:space="0" w:color="auto"/>
            <w:left w:val="none" w:sz="0" w:space="0" w:color="auto"/>
            <w:bottom w:val="none" w:sz="0" w:space="0" w:color="auto"/>
            <w:right w:val="none" w:sz="0" w:space="0" w:color="auto"/>
          </w:divBdr>
        </w:div>
        <w:div w:id="1376009564">
          <w:marLeft w:val="0"/>
          <w:marRight w:val="0"/>
          <w:marTop w:val="0"/>
          <w:marBottom w:val="0"/>
          <w:divBdr>
            <w:top w:val="none" w:sz="0" w:space="0" w:color="auto"/>
            <w:left w:val="none" w:sz="0" w:space="0" w:color="auto"/>
            <w:bottom w:val="none" w:sz="0" w:space="0" w:color="auto"/>
            <w:right w:val="none" w:sz="0" w:space="0" w:color="auto"/>
          </w:divBdr>
        </w:div>
        <w:div w:id="861673249">
          <w:marLeft w:val="0"/>
          <w:marRight w:val="0"/>
          <w:marTop w:val="0"/>
          <w:marBottom w:val="0"/>
          <w:divBdr>
            <w:top w:val="none" w:sz="0" w:space="0" w:color="auto"/>
            <w:left w:val="none" w:sz="0" w:space="0" w:color="auto"/>
            <w:bottom w:val="none" w:sz="0" w:space="0" w:color="auto"/>
            <w:right w:val="none" w:sz="0" w:space="0" w:color="auto"/>
          </w:divBdr>
        </w:div>
        <w:div w:id="1904682872">
          <w:marLeft w:val="0"/>
          <w:marRight w:val="0"/>
          <w:marTop w:val="0"/>
          <w:marBottom w:val="0"/>
          <w:divBdr>
            <w:top w:val="none" w:sz="0" w:space="0" w:color="auto"/>
            <w:left w:val="none" w:sz="0" w:space="0" w:color="auto"/>
            <w:bottom w:val="none" w:sz="0" w:space="0" w:color="auto"/>
            <w:right w:val="none" w:sz="0" w:space="0" w:color="auto"/>
          </w:divBdr>
        </w:div>
        <w:div w:id="1324238459">
          <w:marLeft w:val="0"/>
          <w:marRight w:val="0"/>
          <w:marTop w:val="0"/>
          <w:marBottom w:val="0"/>
          <w:divBdr>
            <w:top w:val="none" w:sz="0" w:space="0" w:color="auto"/>
            <w:left w:val="none" w:sz="0" w:space="0" w:color="auto"/>
            <w:bottom w:val="none" w:sz="0" w:space="0" w:color="auto"/>
            <w:right w:val="none" w:sz="0" w:space="0" w:color="auto"/>
          </w:divBdr>
        </w:div>
        <w:div w:id="1244414163">
          <w:marLeft w:val="0"/>
          <w:marRight w:val="0"/>
          <w:marTop w:val="0"/>
          <w:marBottom w:val="0"/>
          <w:divBdr>
            <w:top w:val="none" w:sz="0" w:space="0" w:color="auto"/>
            <w:left w:val="none" w:sz="0" w:space="0" w:color="auto"/>
            <w:bottom w:val="none" w:sz="0" w:space="0" w:color="auto"/>
            <w:right w:val="none" w:sz="0" w:space="0" w:color="auto"/>
          </w:divBdr>
        </w:div>
      </w:divsChild>
    </w:div>
    <w:div w:id="1932658321">
      <w:bodyDiv w:val="1"/>
      <w:marLeft w:val="7"/>
      <w:marRight w:val="7"/>
      <w:marTop w:val="0"/>
      <w:marBottom w:val="0"/>
      <w:divBdr>
        <w:top w:val="none" w:sz="0" w:space="0" w:color="auto"/>
        <w:left w:val="none" w:sz="0" w:space="0" w:color="auto"/>
        <w:bottom w:val="none" w:sz="0" w:space="0" w:color="auto"/>
        <w:right w:val="none" w:sz="0" w:space="0" w:color="auto"/>
      </w:divBdr>
    </w:div>
    <w:div w:id="2019773306">
      <w:bodyDiv w:val="1"/>
      <w:marLeft w:val="0"/>
      <w:marRight w:val="0"/>
      <w:marTop w:val="0"/>
      <w:marBottom w:val="0"/>
      <w:divBdr>
        <w:top w:val="none" w:sz="0" w:space="0" w:color="auto"/>
        <w:left w:val="none" w:sz="0" w:space="0" w:color="auto"/>
        <w:bottom w:val="none" w:sz="0" w:space="0" w:color="auto"/>
        <w:right w:val="none" w:sz="0" w:space="0" w:color="auto"/>
      </w:divBdr>
    </w:div>
    <w:div w:id="2069454070">
      <w:bodyDiv w:val="1"/>
      <w:marLeft w:val="7"/>
      <w:marRight w:val="7"/>
      <w:marTop w:val="0"/>
      <w:marBottom w:val="0"/>
      <w:divBdr>
        <w:top w:val="none" w:sz="0" w:space="0" w:color="auto"/>
        <w:left w:val="none" w:sz="0" w:space="0" w:color="auto"/>
        <w:bottom w:val="none" w:sz="0" w:space="0" w:color="auto"/>
        <w:right w:val="none" w:sz="0" w:space="0" w:color="auto"/>
      </w:divBdr>
    </w:div>
    <w:div w:id="2078436939">
      <w:bodyDiv w:val="1"/>
      <w:marLeft w:val="0"/>
      <w:marRight w:val="0"/>
      <w:marTop w:val="0"/>
      <w:marBottom w:val="0"/>
      <w:divBdr>
        <w:top w:val="none" w:sz="0" w:space="0" w:color="auto"/>
        <w:left w:val="none" w:sz="0" w:space="0" w:color="auto"/>
        <w:bottom w:val="none" w:sz="0" w:space="0" w:color="auto"/>
        <w:right w:val="none" w:sz="0" w:space="0" w:color="auto"/>
      </w:divBdr>
      <w:divsChild>
        <w:div w:id="14531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4628-6028-4258-99F8-1B3728CE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28</Pages>
  <Words>9049</Words>
  <Characters>51585</Characters>
  <Application>Microsoft Office Word</Application>
  <DocSecurity>0</DocSecurity>
  <PresentationFormat>14|.DOCX</PresentationFormat>
  <Lines>429</Lines>
  <Paragraphs>121</Paragraphs>
  <ScaleCrop>false</ScaleCrop>
  <HeadingPairs>
    <vt:vector size="2" baseType="variant">
      <vt:variant>
        <vt:lpstr>Title</vt:lpstr>
      </vt:variant>
      <vt:variant>
        <vt:i4>1</vt:i4>
      </vt:variant>
    </vt:vector>
  </HeadingPairs>
  <TitlesOfParts>
    <vt:vector size="1" baseType="lpstr">
      <vt:lpstr>Pivot - Form 10-K YE Jan. 31/15 (W0273834).DOCX</vt:lpstr>
    </vt:vector>
  </TitlesOfParts>
  <Company>Grizli777</Company>
  <LinksUpToDate>false</LinksUpToDate>
  <CharactersWithSpaces>60513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 - Form 10-K YE Jan. 31/15 (W0273834).DOCX</dc:title>
  <dc:subject>W0273834.DOCX</dc:subject>
  <dc:creator>Brandy Craddock</dc:creator>
  <cp:lastModifiedBy>Moira Ong</cp:lastModifiedBy>
  <cp:revision>40</cp:revision>
  <cp:lastPrinted>2017-10-20T17:06:00Z</cp:lastPrinted>
  <dcterms:created xsi:type="dcterms:W3CDTF">2020-05-22T21:06:00Z</dcterms:created>
  <dcterms:modified xsi:type="dcterms:W3CDTF">2020-06-28T18:44:00Z</dcterms:modified>
</cp:coreProperties>
</file>