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13006" w14:textId="3189CAE7" w:rsidR="00454E0C" w:rsidRDefault="00454E0C">
      <w:pPr>
        <w:jc w:val="center"/>
        <w:rPr>
          <w:b/>
          <w:color w:val="000000"/>
        </w:rPr>
      </w:pPr>
    </w:p>
    <w:p w14:paraId="24AFF554" w14:textId="48F65C03" w:rsidR="000908D6" w:rsidRPr="009704B8" w:rsidRDefault="008D52B8" w:rsidP="009704B8">
      <w:pPr>
        <w:jc w:val="center"/>
        <w:rPr>
          <w:b/>
          <w:color w:val="000000"/>
          <w:sz w:val="20"/>
          <w:szCs w:val="20"/>
        </w:rPr>
      </w:pPr>
      <w:proofErr w:type="spellStart"/>
      <w:r>
        <w:rPr>
          <w:b/>
          <w:color w:val="000000"/>
          <w:sz w:val="20"/>
          <w:szCs w:val="20"/>
        </w:rPr>
        <w:t>TerrAscend</w:t>
      </w:r>
      <w:proofErr w:type="spellEnd"/>
      <w:r>
        <w:rPr>
          <w:b/>
          <w:color w:val="000000"/>
          <w:sz w:val="20"/>
          <w:szCs w:val="20"/>
        </w:rPr>
        <w:t xml:space="preserve"> Preannounces Strong 2020 Results</w:t>
      </w:r>
      <w:r w:rsidR="009704B8">
        <w:rPr>
          <w:b/>
          <w:color w:val="000000"/>
          <w:sz w:val="20"/>
          <w:szCs w:val="20"/>
        </w:rPr>
        <w:t xml:space="preserve"> - </w:t>
      </w:r>
      <w:r w:rsidR="000908D6" w:rsidRPr="009704B8">
        <w:rPr>
          <w:b/>
          <w:color w:val="000000"/>
          <w:sz w:val="20"/>
          <w:szCs w:val="20"/>
        </w:rPr>
        <w:t xml:space="preserve">Full </w:t>
      </w:r>
      <w:r w:rsidR="00560BA7">
        <w:rPr>
          <w:b/>
          <w:color w:val="000000"/>
          <w:sz w:val="20"/>
          <w:szCs w:val="20"/>
        </w:rPr>
        <w:t>Y</w:t>
      </w:r>
      <w:r w:rsidR="000908D6" w:rsidRPr="009704B8">
        <w:rPr>
          <w:b/>
          <w:color w:val="000000"/>
          <w:sz w:val="20"/>
          <w:szCs w:val="20"/>
        </w:rPr>
        <w:t>ear Net Sales of $198 Million and Adjusted EBITDA of $</w:t>
      </w:r>
      <w:r w:rsidR="008C38AA">
        <w:rPr>
          <w:b/>
          <w:color w:val="000000"/>
          <w:sz w:val="20"/>
          <w:szCs w:val="20"/>
        </w:rPr>
        <w:t>60</w:t>
      </w:r>
      <w:r w:rsidR="000908D6" w:rsidRPr="009704B8">
        <w:rPr>
          <w:b/>
          <w:color w:val="000000"/>
          <w:sz w:val="20"/>
          <w:szCs w:val="20"/>
        </w:rPr>
        <w:t xml:space="preserve"> Million</w:t>
      </w:r>
    </w:p>
    <w:p w14:paraId="3693F4B0" w14:textId="77777777" w:rsidR="000908D6" w:rsidRDefault="000908D6">
      <w:pPr>
        <w:jc w:val="center"/>
        <w:rPr>
          <w:bCs/>
          <w:i/>
          <w:iCs/>
          <w:color w:val="000000"/>
          <w:sz w:val="20"/>
          <w:szCs w:val="20"/>
        </w:rPr>
      </w:pPr>
    </w:p>
    <w:p w14:paraId="2FBC2491" w14:textId="592216B9" w:rsidR="007B5CFC" w:rsidRPr="007B5CFC" w:rsidRDefault="00043EFC">
      <w:pPr>
        <w:jc w:val="center"/>
        <w:rPr>
          <w:bCs/>
          <w:i/>
          <w:iCs/>
          <w:color w:val="000000"/>
          <w:sz w:val="20"/>
          <w:szCs w:val="20"/>
        </w:rPr>
      </w:pPr>
      <w:r>
        <w:rPr>
          <w:bCs/>
          <w:i/>
          <w:iCs/>
          <w:color w:val="000000"/>
          <w:sz w:val="20"/>
          <w:szCs w:val="20"/>
        </w:rPr>
        <w:t>Fourth quarter</w:t>
      </w:r>
      <w:r w:rsidR="000908D6">
        <w:rPr>
          <w:bCs/>
          <w:i/>
          <w:iCs/>
          <w:color w:val="000000"/>
          <w:sz w:val="20"/>
          <w:szCs w:val="20"/>
        </w:rPr>
        <w:t xml:space="preserve"> </w:t>
      </w:r>
      <w:r w:rsidR="0080288C">
        <w:rPr>
          <w:bCs/>
          <w:i/>
          <w:iCs/>
          <w:color w:val="000000"/>
          <w:sz w:val="20"/>
          <w:szCs w:val="20"/>
        </w:rPr>
        <w:t>n</w:t>
      </w:r>
      <w:r w:rsidR="000908D6">
        <w:rPr>
          <w:bCs/>
          <w:i/>
          <w:iCs/>
          <w:color w:val="000000"/>
          <w:sz w:val="20"/>
          <w:szCs w:val="20"/>
        </w:rPr>
        <w:t xml:space="preserve">et </w:t>
      </w:r>
      <w:r w:rsidR="0001245D">
        <w:rPr>
          <w:bCs/>
          <w:i/>
          <w:iCs/>
          <w:color w:val="000000"/>
          <w:sz w:val="20"/>
          <w:szCs w:val="20"/>
        </w:rPr>
        <w:t>s</w:t>
      </w:r>
      <w:r w:rsidR="000908D6">
        <w:rPr>
          <w:bCs/>
          <w:i/>
          <w:iCs/>
          <w:color w:val="000000"/>
          <w:sz w:val="20"/>
          <w:szCs w:val="20"/>
        </w:rPr>
        <w:t>ales</w:t>
      </w:r>
      <w:r w:rsidR="00AB1AC7">
        <w:rPr>
          <w:bCs/>
          <w:i/>
          <w:iCs/>
          <w:color w:val="000000"/>
          <w:sz w:val="20"/>
          <w:szCs w:val="20"/>
        </w:rPr>
        <w:t xml:space="preserve"> of $65 million represent</w:t>
      </w:r>
      <w:r w:rsidR="00733094">
        <w:rPr>
          <w:bCs/>
          <w:i/>
          <w:iCs/>
          <w:color w:val="000000"/>
          <w:sz w:val="20"/>
          <w:szCs w:val="20"/>
        </w:rPr>
        <w:t>ing growth</w:t>
      </w:r>
      <w:r w:rsidR="000C5794">
        <w:rPr>
          <w:bCs/>
          <w:i/>
          <w:iCs/>
          <w:color w:val="000000"/>
          <w:sz w:val="20"/>
          <w:szCs w:val="20"/>
        </w:rPr>
        <w:t xml:space="preserve"> of</w:t>
      </w:r>
      <w:r w:rsidR="000908D6">
        <w:rPr>
          <w:bCs/>
          <w:i/>
          <w:iCs/>
          <w:color w:val="000000"/>
          <w:sz w:val="20"/>
          <w:szCs w:val="20"/>
        </w:rPr>
        <w:t xml:space="preserve"> 28% quarter-over-quarter and 1</w:t>
      </w:r>
      <w:r w:rsidR="00534B89">
        <w:rPr>
          <w:bCs/>
          <w:i/>
          <w:iCs/>
          <w:color w:val="000000"/>
          <w:sz w:val="20"/>
          <w:szCs w:val="20"/>
        </w:rPr>
        <w:t>52</w:t>
      </w:r>
      <w:r w:rsidR="000908D6">
        <w:rPr>
          <w:bCs/>
          <w:i/>
          <w:iCs/>
          <w:color w:val="000000"/>
          <w:sz w:val="20"/>
          <w:szCs w:val="20"/>
        </w:rPr>
        <w:t>% year-over-year</w:t>
      </w:r>
    </w:p>
    <w:p w14:paraId="75E0AB39" w14:textId="4715AE68" w:rsidR="007B5CFC" w:rsidRPr="007B5CFC" w:rsidRDefault="007B5CFC">
      <w:pPr>
        <w:jc w:val="center"/>
        <w:rPr>
          <w:bCs/>
          <w:i/>
          <w:iCs/>
          <w:color w:val="000000"/>
          <w:sz w:val="20"/>
          <w:szCs w:val="20"/>
        </w:rPr>
      </w:pPr>
    </w:p>
    <w:p w14:paraId="4855200A" w14:textId="43D358F2" w:rsidR="00D04577" w:rsidRDefault="002F250B" w:rsidP="002F250B">
      <w:pPr>
        <w:jc w:val="center"/>
        <w:rPr>
          <w:bCs/>
          <w:i/>
          <w:iCs/>
          <w:color w:val="000000"/>
          <w:sz w:val="20"/>
          <w:szCs w:val="20"/>
        </w:rPr>
      </w:pPr>
      <w:r>
        <w:rPr>
          <w:bCs/>
          <w:i/>
          <w:iCs/>
          <w:color w:val="000000"/>
          <w:sz w:val="20"/>
          <w:szCs w:val="20"/>
        </w:rPr>
        <w:t>Fourth quarter</w:t>
      </w:r>
      <w:r w:rsidRPr="007B5CFC">
        <w:rPr>
          <w:bCs/>
          <w:i/>
          <w:iCs/>
          <w:color w:val="000000"/>
          <w:sz w:val="20"/>
          <w:szCs w:val="20"/>
        </w:rPr>
        <w:t xml:space="preserve"> </w:t>
      </w:r>
      <w:r w:rsidR="0080288C">
        <w:rPr>
          <w:bCs/>
          <w:i/>
          <w:iCs/>
          <w:color w:val="000000"/>
          <w:sz w:val="20"/>
          <w:szCs w:val="20"/>
        </w:rPr>
        <w:t>a</w:t>
      </w:r>
      <w:r w:rsidRPr="007B5CFC">
        <w:rPr>
          <w:bCs/>
          <w:i/>
          <w:iCs/>
          <w:color w:val="000000"/>
          <w:sz w:val="20"/>
          <w:szCs w:val="20"/>
        </w:rPr>
        <w:t>djusted EBITDA</w:t>
      </w:r>
      <w:r>
        <w:rPr>
          <w:bCs/>
          <w:i/>
          <w:iCs/>
          <w:color w:val="000000"/>
          <w:sz w:val="20"/>
          <w:szCs w:val="20"/>
        </w:rPr>
        <w:t xml:space="preserve"> of $26 million </w:t>
      </w:r>
      <w:r w:rsidR="00B762BD">
        <w:rPr>
          <w:bCs/>
          <w:i/>
          <w:iCs/>
          <w:color w:val="000000"/>
          <w:sz w:val="20"/>
          <w:szCs w:val="20"/>
        </w:rPr>
        <w:t>represent</w:t>
      </w:r>
      <w:r w:rsidR="00733094">
        <w:rPr>
          <w:bCs/>
          <w:i/>
          <w:iCs/>
          <w:color w:val="000000"/>
          <w:sz w:val="20"/>
          <w:szCs w:val="20"/>
        </w:rPr>
        <w:t>ing</w:t>
      </w:r>
      <w:r w:rsidR="00B762BD">
        <w:rPr>
          <w:bCs/>
          <w:i/>
          <w:iCs/>
          <w:color w:val="000000"/>
          <w:sz w:val="20"/>
          <w:szCs w:val="20"/>
        </w:rPr>
        <w:t xml:space="preserve"> growth of 46% quarter-over-quarter</w:t>
      </w:r>
    </w:p>
    <w:p w14:paraId="144385A8" w14:textId="77777777" w:rsidR="00D04577" w:rsidRDefault="00D04577" w:rsidP="002F250B">
      <w:pPr>
        <w:jc w:val="center"/>
        <w:rPr>
          <w:bCs/>
          <w:i/>
          <w:iCs/>
          <w:color w:val="000000"/>
          <w:sz w:val="20"/>
          <w:szCs w:val="20"/>
        </w:rPr>
      </w:pPr>
    </w:p>
    <w:p w14:paraId="680D4395" w14:textId="51B20FA1" w:rsidR="002F250B" w:rsidRDefault="00B762BD" w:rsidP="002F250B">
      <w:pPr>
        <w:jc w:val="center"/>
        <w:rPr>
          <w:bCs/>
          <w:i/>
          <w:iCs/>
          <w:color w:val="000000"/>
          <w:sz w:val="20"/>
          <w:szCs w:val="20"/>
        </w:rPr>
      </w:pPr>
      <w:r>
        <w:rPr>
          <w:bCs/>
          <w:i/>
          <w:iCs/>
          <w:color w:val="000000"/>
          <w:sz w:val="20"/>
          <w:szCs w:val="20"/>
        </w:rPr>
        <w:t>Fourth quarter a</w:t>
      </w:r>
      <w:r w:rsidR="00F933D9">
        <w:rPr>
          <w:bCs/>
          <w:i/>
          <w:iCs/>
          <w:color w:val="000000"/>
          <w:sz w:val="20"/>
          <w:szCs w:val="20"/>
        </w:rPr>
        <w:t xml:space="preserve">djusted EBITDA </w:t>
      </w:r>
      <w:r w:rsidR="002F250B">
        <w:rPr>
          <w:bCs/>
          <w:i/>
          <w:iCs/>
          <w:color w:val="000000"/>
          <w:sz w:val="20"/>
          <w:szCs w:val="20"/>
        </w:rPr>
        <w:t>margin</w:t>
      </w:r>
      <w:r w:rsidR="002F250B" w:rsidRPr="007B5CFC">
        <w:rPr>
          <w:bCs/>
          <w:i/>
          <w:iCs/>
          <w:color w:val="000000"/>
          <w:sz w:val="20"/>
          <w:szCs w:val="20"/>
        </w:rPr>
        <w:t xml:space="preserve"> expan</w:t>
      </w:r>
      <w:r>
        <w:rPr>
          <w:bCs/>
          <w:i/>
          <w:iCs/>
          <w:color w:val="000000"/>
          <w:sz w:val="20"/>
          <w:szCs w:val="20"/>
        </w:rPr>
        <w:t>ded</w:t>
      </w:r>
      <w:r w:rsidR="002F250B">
        <w:rPr>
          <w:bCs/>
          <w:i/>
          <w:iCs/>
          <w:color w:val="000000"/>
          <w:sz w:val="20"/>
          <w:szCs w:val="20"/>
        </w:rPr>
        <w:t xml:space="preserve"> to 40</w:t>
      </w:r>
      <w:r w:rsidR="002F250B" w:rsidRPr="007B5CFC">
        <w:rPr>
          <w:bCs/>
          <w:i/>
          <w:iCs/>
          <w:color w:val="000000"/>
          <w:sz w:val="20"/>
          <w:szCs w:val="20"/>
        </w:rPr>
        <w:t>%</w:t>
      </w:r>
      <w:r w:rsidR="008525A3">
        <w:rPr>
          <w:bCs/>
          <w:i/>
          <w:iCs/>
          <w:color w:val="000000"/>
          <w:sz w:val="20"/>
          <w:szCs w:val="20"/>
        </w:rPr>
        <w:t xml:space="preserve"> in Q4</w:t>
      </w:r>
      <w:r w:rsidR="002F250B" w:rsidRPr="007B5CFC">
        <w:rPr>
          <w:bCs/>
          <w:i/>
          <w:iCs/>
          <w:color w:val="000000"/>
          <w:sz w:val="20"/>
          <w:szCs w:val="20"/>
        </w:rPr>
        <w:t xml:space="preserve"> from 35% in Q3</w:t>
      </w:r>
      <w:r w:rsidR="002F250B">
        <w:rPr>
          <w:bCs/>
          <w:i/>
          <w:iCs/>
          <w:color w:val="000000"/>
          <w:sz w:val="20"/>
          <w:szCs w:val="20"/>
        </w:rPr>
        <w:t xml:space="preserve"> and 24% in Q2</w:t>
      </w:r>
    </w:p>
    <w:p w14:paraId="6AC46776" w14:textId="77777777" w:rsidR="00E81D9C" w:rsidRDefault="00E81D9C" w:rsidP="00576C50">
      <w:pPr>
        <w:jc w:val="both"/>
        <w:rPr>
          <w:sz w:val="20"/>
          <w:szCs w:val="20"/>
        </w:rPr>
      </w:pPr>
    </w:p>
    <w:p w14:paraId="0B1163F1" w14:textId="261E6EA7" w:rsidR="008D52B8" w:rsidRDefault="00E45DCB" w:rsidP="008D52B8">
      <w:pPr>
        <w:jc w:val="both"/>
        <w:rPr>
          <w:sz w:val="20"/>
          <w:szCs w:val="20"/>
        </w:rPr>
      </w:pPr>
      <w:r>
        <w:rPr>
          <w:sz w:val="20"/>
          <w:szCs w:val="20"/>
        </w:rPr>
        <w:t xml:space="preserve">NEW YORK and </w:t>
      </w:r>
      <w:r w:rsidR="00894EA7">
        <w:rPr>
          <w:sz w:val="20"/>
          <w:szCs w:val="20"/>
        </w:rPr>
        <w:t>TORONTO</w:t>
      </w:r>
      <w:r w:rsidR="00894EA7" w:rsidRPr="008D52B8">
        <w:rPr>
          <w:sz w:val="20"/>
          <w:szCs w:val="20"/>
        </w:rPr>
        <w:t xml:space="preserve">, </w:t>
      </w:r>
      <w:r w:rsidR="007E4FCC">
        <w:rPr>
          <w:sz w:val="20"/>
          <w:szCs w:val="20"/>
        </w:rPr>
        <w:t>February</w:t>
      </w:r>
      <w:r w:rsidR="004D472D">
        <w:rPr>
          <w:sz w:val="20"/>
          <w:szCs w:val="20"/>
        </w:rPr>
        <w:t xml:space="preserve"> </w:t>
      </w:r>
      <w:r w:rsidR="00ED644F">
        <w:rPr>
          <w:sz w:val="20"/>
          <w:szCs w:val="20"/>
        </w:rPr>
        <w:t>19</w:t>
      </w:r>
      <w:r w:rsidR="00894EA7">
        <w:rPr>
          <w:sz w:val="20"/>
          <w:szCs w:val="20"/>
        </w:rPr>
        <w:t>, 202</w:t>
      </w:r>
      <w:r w:rsidR="007E4FCC">
        <w:rPr>
          <w:sz w:val="20"/>
          <w:szCs w:val="20"/>
        </w:rPr>
        <w:t>1</w:t>
      </w:r>
      <w:r w:rsidR="00894EA7">
        <w:rPr>
          <w:sz w:val="20"/>
          <w:szCs w:val="20"/>
        </w:rPr>
        <w:t xml:space="preserve"> // - </w:t>
      </w:r>
      <w:proofErr w:type="spellStart"/>
      <w:r w:rsidR="00894EA7">
        <w:rPr>
          <w:sz w:val="20"/>
          <w:szCs w:val="20"/>
        </w:rPr>
        <w:t>TerrAscend</w:t>
      </w:r>
      <w:proofErr w:type="spellEnd"/>
      <w:r w:rsidR="00894EA7">
        <w:rPr>
          <w:sz w:val="20"/>
          <w:szCs w:val="20"/>
        </w:rPr>
        <w:t xml:space="preserve"> Corp. (“</w:t>
      </w:r>
      <w:proofErr w:type="spellStart"/>
      <w:r w:rsidR="00894EA7">
        <w:rPr>
          <w:sz w:val="20"/>
          <w:szCs w:val="20"/>
        </w:rPr>
        <w:t>TerrAscend</w:t>
      </w:r>
      <w:proofErr w:type="spellEnd"/>
      <w:r w:rsidR="00894EA7">
        <w:rPr>
          <w:sz w:val="20"/>
          <w:szCs w:val="20"/>
        </w:rPr>
        <w:t>”</w:t>
      </w:r>
      <w:r w:rsidR="004D472D">
        <w:rPr>
          <w:sz w:val="20"/>
          <w:szCs w:val="20"/>
        </w:rPr>
        <w:t xml:space="preserve"> or the “Company”</w:t>
      </w:r>
      <w:r w:rsidR="00894EA7">
        <w:rPr>
          <w:sz w:val="20"/>
          <w:szCs w:val="20"/>
        </w:rPr>
        <w:t>) (</w:t>
      </w:r>
      <w:proofErr w:type="gramStart"/>
      <w:r w:rsidR="00894EA7">
        <w:rPr>
          <w:sz w:val="20"/>
          <w:szCs w:val="20"/>
        </w:rPr>
        <w:t>CSE:TER</w:t>
      </w:r>
      <w:proofErr w:type="gramEnd"/>
      <w:r w:rsidR="00894EA7">
        <w:rPr>
          <w:sz w:val="20"/>
          <w:szCs w:val="20"/>
        </w:rPr>
        <w:t xml:space="preserve">, OTCQX: TRSSF), a leading North American cannabis operator, </w:t>
      </w:r>
      <w:r w:rsidR="00622FB7">
        <w:rPr>
          <w:sz w:val="20"/>
          <w:szCs w:val="20"/>
        </w:rPr>
        <w:t>t</w:t>
      </w:r>
      <w:r w:rsidR="00622FB7" w:rsidRPr="00622FB7">
        <w:rPr>
          <w:sz w:val="20"/>
          <w:szCs w:val="20"/>
        </w:rPr>
        <w:t xml:space="preserve">oday announced </w:t>
      </w:r>
      <w:r w:rsidR="008D52B8" w:rsidRPr="008D52B8">
        <w:rPr>
          <w:sz w:val="20"/>
          <w:szCs w:val="20"/>
        </w:rPr>
        <w:t>preliminary financial results for its</w:t>
      </w:r>
      <w:r w:rsidR="005F6D7A">
        <w:rPr>
          <w:sz w:val="20"/>
          <w:szCs w:val="20"/>
        </w:rPr>
        <w:t xml:space="preserve"> fourth quarter</w:t>
      </w:r>
      <w:r w:rsidR="000908D6">
        <w:rPr>
          <w:sz w:val="20"/>
          <w:szCs w:val="20"/>
        </w:rPr>
        <w:t xml:space="preserve"> and</w:t>
      </w:r>
      <w:r w:rsidR="008D52B8" w:rsidRPr="008D52B8">
        <w:rPr>
          <w:sz w:val="20"/>
          <w:szCs w:val="20"/>
        </w:rPr>
        <w:t xml:space="preserve"> </w:t>
      </w:r>
      <w:r w:rsidR="007952AC">
        <w:rPr>
          <w:sz w:val="20"/>
          <w:szCs w:val="20"/>
        </w:rPr>
        <w:t>full year</w:t>
      </w:r>
      <w:r w:rsidR="008D52B8" w:rsidRPr="008D52B8">
        <w:rPr>
          <w:sz w:val="20"/>
          <w:szCs w:val="20"/>
        </w:rPr>
        <w:t xml:space="preserve"> ending </w:t>
      </w:r>
      <w:r w:rsidR="008D52B8">
        <w:rPr>
          <w:sz w:val="20"/>
          <w:szCs w:val="20"/>
        </w:rPr>
        <w:t>December 31</w:t>
      </w:r>
      <w:r w:rsidR="008D52B8" w:rsidRPr="008D52B8">
        <w:rPr>
          <w:sz w:val="20"/>
          <w:szCs w:val="20"/>
        </w:rPr>
        <w:t>, 2020.</w:t>
      </w:r>
      <w:r w:rsidR="007B5CFC">
        <w:rPr>
          <w:sz w:val="20"/>
          <w:szCs w:val="20"/>
        </w:rPr>
        <w:t xml:space="preserve">  </w:t>
      </w:r>
      <w:r w:rsidR="008D52B8" w:rsidRPr="008D52B8">
        <w:rPr>
          <w:sz w:val="20"/>
          <w:szCs w:val="20"/>
        </w:rPr>
        <w:t xml:space="preserve">All amounts are in Canadian dollars. </w:t>
      </w:r>
      <w:r w:rsidR="00FF0D97">
        <w:rPr>
          <w:sz w:val="20"/>
          <w:szCs w:val="20"/>
        </w:rPr>
        <w:t xml:space="preserve"> </w:t>
      </w:r>
      <w:r w:rsidR="008D52B8" w:rsidRPr="008D52B8">
        <w:rPr>
          <w:sz w:val="20"/>
          <w:szCs w:val="20"/>
        </w:rPr>
        <w:t>Based on a preliminary (unaudited) review, the Company anticipates:</w:t>
      </w:r>
    </w:p>
    <w:p w14:paraId="79A0A56D" w14:textId="4D45F1EA" w:rsidR="005B4A84" w:rsidRPr="000C55FE" w:rsidRDefault="001A29D7" w:rsidP="008D52B8">
      <w:pPr>
        <w:jc w:val="both"/>
        <w:rPr>
          <w:b/>
          <w:bCs/>
          <w:sz w:val="20"/>
          <w:szCs w:val="20"/>
        </w:rPr>
      </w:pPr>
      <w:r>
        <w:rPr>
          <w:b/>
          <w:bCs/>
          <w:sz w:val="20"/>
          <w:szCs w:val="20"/>
        </w:rPr>
        <w:br/>
      </w:r>
      <w:r w:rsidR="0066028B">
        <w:rPr>
          <w:b/>
          <w:bCs/>
          <w:sz w:val="20"/>
          <w:szCs w:val="20"/>
        </w:rPr>
        <w:t xml:space="preserve">Fourth Quarter and </w:t>
      </w:r>
      <w:r w:rsidR="005B4A84" w:rsidRPr="000C55FE">
        <w:rPr>
          <w:b/>
          <w:bCs/>
          <w:sz w:val="20"/>
          <w:szCs w:val="20"/>
        </w:rPr>
        <w:t>Full Year</w:t>
      </w:r>
      <w:r w:rsidR="000908D6">
        <w:rPr>
          <w:b/>
          <w:bCs/>
          <w:sz w:val="20"/>
          <w:szCs w:val="20"/>
        </w:rPr>
        <w:t xml:space="preserve"> </w:t>
      </w:r>
      <w:r w:rsidR="005B4A84" w:rsidRPr="000C55FE">
        <w:rPr>
          <w:b/>
          <w:bCs/>
          <w:sz w:val="20"/>
          <w:szCs w:val="20"/>
        </w:rPr>
        <w:t>2020</w:t>
      </w:r>
      <w:r w:rsidR="000908D6">
        <w:rPr>
          <w:b/>
          <w:bCs/>
          <w:sz w:val="20"/>
          <w:szCs w:val="20"/>
        </w:rPr>
        <w:t xml:space="preserve"> Financial </w:t>
      </w:r>
      <w:r w:rsidR="00392150">
        <w:rPr>
          <w:b/>
          <w:bCs/>
          <w:sz w:val="20"/>
          <w:szCs w:val="20"/>
        </w:rPr>
        <w:t>Highlights</w:t>
      </w:r>
      <w:r w:rsidR="005B4A84" w:rsidRPr="000C55FE">
        <w:rPr>
          <w:b/>
          <w:bCs/>
          <w:sz w:val="20"/>
          <w:szCs w:val="20"/>
        </w:rPr>
        <w:t>:</w:t>
      </w:r>
    </w:p>
    <w:p w14:paraId="47769AC8" w14:textId="3A8553AD" w:rsidR="005B4A84" w:rsidRDefault="000908D6" w:rsidP="000908D6">
      <w:pPr>
        <w:pStyle w:val="NormalWeb"/>
        <w:numPr>
          <w:ilvl w:val="0"/>
          <w:numId w:val="7"/>
        </w:numPr>
        <w:shd w:val="clear" w:color="auto" w:fill="FFFFFF"/>
        <w:spacing w:before="0" w:beforeAutospacing="0" w:after="0" w:afterAutospacing="0"/>
        <w:rPr>
          <w:rFonts w:ascii="Arial" w:hAnsi="Arial" w:cs="Arial"/>
          <w:sz w:val="20"/>
          <w:szCs w:val="20"/>
        </w:rPr>
      </w:pPr>
      <w:r>
        <w:rPr>
          <w:rFonts w:ascii="Arial" w:hAnsi="Arial" w:cs="Arial"/>
          <w:sz w:val="20"/>
          <w:szCs w:val="20"/>
        </w:rPr>
        <w:t xml:space="preserve">Full </w:t>
      </w:r>
      <w:r w:rsidR="00F273F8">
        <w:rPr>
          <w:rFonts w:ascii="Arial" w:hAnsi="Arial" w:cs="Arial"/>
          <w:sz w:val="20"/>
          <w:szCs w:val="20"/>
        </w:rPr>
        <w:t>y</w:t>
      </w:r>
      <w:r>
        <w:rPr>
          <w:rFonts w:ascii="Arial" w:hAnsi="Arial" w:cs="Arial"/>
          <w:sz w:val="20"/>
          <w:szCs w:val="20"/>
        </w:rPr>
        <w:t xml:space="preserve">ear </w:t>
      </w:r>
      <w:r w:rsidR="00F273F8">
        <w:rPr>
          <w:rFonts w:ascii="Arial" w:hAnsi="Arial" w:cs="Arial"/>
          <w:sz w:val="20"/>
          <w:szCs w:val="20"/>
        </w:rPr>
        <w:t>n</w:t>
      </w:r>
      <w:r w:rsidR="005B4A84" w:rsidRPr="008D52B8">
        <w:rPr>
          <w:rFonts w:ascii="Arial" w:hAnsi="Arial" w:cs="Arial"/>
          <w:sz w:val="20"/>
          <w:szCs w:val="20"/>
        </w:rPr>
        <w:t>et</w:t>
      </w:r>
      <w:r w:rsidR="00F273F8">
        <w:rPr>
          <w:rFonts w:ascii="Arial" w:hAnsi="Arial" w:cs="Arial"/>
          <w:sz w:val="20"/>
          <w:szCs w:val="20"/>
        </w:rPr>
        <w:t xml:space="preserve"> s</w:t>
      </w:r>
      <w:r w:rsidR="005B4A84" w:rsidRPr="008D52B8">
        <w:rPr>
          <w:rFonts w:ascii="Arial" w:hAnsi="Arial" w:cs="Arial"/>
          <w:sz w:val="20"/>
          <w:szCs w:val="20"/>
        </w:rPr>
        <w:t>ales of $</w:t>
      </w:r>
      <w:r w:rsidR="005B4A84">
        <w:rPr>
          <w:rFonts w:ascii="Arial" w:hAnsi="Arial" w:cs="Arial"/>
          <w:sz w:val="20"/>
          <w:szCs w:val="20"/>
        </w:rPr>
        <w:t>198</w:t>
      </w:r>
      <w:r w:rsidR="005B4A84" w:rsidRPr="008D52B8">
        <w:rPr>
          <w:rFonts w:ascii="Arial" w:hAnsi="Arial" w:cs="Arial"/>
          <w:sz w:val="20"/>
          <w:szCs w:val="20"/>
        </w:rPr>
        <w:t xml:space="preserve"> million</w:t>
      </w:r>
      <w:r>
        <w:rPr>
          <w:rFonts w:ascii="Arial" w:hAnsi="Arial" w:cs="Arial"/>
          <w:sz w:val="20"/>
          <w:szCs w:val="20"/>
        </w:rPr>
        <w:t xml:space="preserve"> and </w:t>
      </w:r>
      <w:r w:rsidR="0080288C">
        <w:rPr>
          <w:rFonts w:ascii="Arial" w:hAnsi="Arial" w:cs="Arial"/>
          <w:sz w:val="20"/>
          <w:szCs w:val="20"/>
        </w:rPr>
        <w:t>a</w:t>
      </w:r>
      <w:r w:rsidR="005B4A84" w:rsidRPr="000908D6">
        <w:rPr>
          <w:rFonts w:ascii="Arial" w:hAnsi="Arial" w:cs="Arial"/>
          <w:sz w:val="20"/>
          <w:szCs w:val="20"/>
        </w:rPr>
        <w:t xml:space="preserve">djusted EBITDA of </w:t>
      </w:r>
      <w:r w:rsidR="008C38AA">
        <w:rPr>
          <w:rFonts w:ascii="Arial" w:hAnsi="Arial" w:cs="Arial"/>
          <w:sz w:val="20"/>
          <w:szCs w:val="20"/>
        </w:rPr>
        <w:t>$60</w:t>
      </w:r>
      <w:r w:rsidR="005B4A84" w:rsidRPr="000908D6">
        <w:rPr>
          <w:rFonts w:ascii="Arial" w:hAnsi="Arial" w:cs="Arial"/>
          <w:sz w:val="20"/>
          <w:szCs w:val="20"/>
        </w:rPr>
        <w:t xml:space="preserve"> million</w:t>
      </w:r>
    </w:p>
    <w:p w14:paraId="427B69F2" w14:textId="1B8F3B58" w:rsidR="000908D6" w:rsidRDefault="00043EFC" w:rsidP="000908D6">
      <w:pPr>
        <w:pStyle w:val="NormalWeb"/>
        <w:numPr>
          <w:ilvl w:val="0"/>
          <w:numId w:val="7"/>
        </w:numPr>
        <w:shd w:val="clear" w:color="auto" w:fill="FFFFFF"/>
        <w:spacing w:before="0" w:beforeAutospacing="0" w:after="0" w:afterAutospacing="0"/>
        <w:rPr>
          <w:rFonts w:ascii="Arial" w:hAnsi="Arial" w:cs="Arial"/>
          <w:sz w:val="20"/>
          <w:szCs w:val="20"/>
        </w:rPr>
      </w:pPr>
      <w:r>
        <w:rPr>
          <w:rFonts w:ascii="Arial" w:hAnsi="Arial" w:cs="Arial"/>
          <w:sz w:val="20"/>
          <w:szCs w:val="20"/>
        </w:rPr>
        <w:t>Fourth quarter</w:t>
      </w:r>
      <w:r w:rsidR="000908D6">
        <w:rPr>
          <w:rFonts w:ascii="Arial" w:hAnsi="Arial" w:cs="Arial"/>
          <w:sz w:val="20"/>
          <w:szCs w:val="20"/>
        </w:rPr>
        <w:t xml:space="preserve"> </w:t>
      </w:r>
      <w:r w:rsidR="00F273F8">
        <w:rPr>
          <w:rFonts w:ascii="Arial" w:hAnsi="Arial" w:cs="Arial"/>
          <w:sz w:val="20"/>
          <w:szCs w:val="20"/>
        </w:rPr>
        <w:t>n</w:t>
      </w:r>
      <w:r w:rsidR="000908D6">
        <w:rPr>
          <w:rFonts w:ascii="Arial" w:hAnsi="Arial" w:cs="Arial"/>
          <w:sz w:val="20"/>
          <w:szCs w:val="20"/>
        </w:rPr>
        <w:t xml:space="preserve">et </w:t>
      </w:r>
      <w:r w:rsidR="00F273F8">
        <w:rPr>
          <w:rFonts w:ascii="Arial" w:hAnsi="Arial" w:cs="Arial"/>
          <w:sz w:val="20"/>
          <w:szCs w:val="20"/>
        </w:rPr>
        <w:t>s</w:t>
      </w:r>
      <w:r w:rsidR="000908D6">
        <w:rPr>
          <w:rFonts w:ascii="Arial" w:hAnsi="Arial" w:cs="Arial"/>
          <w:sz w:val="20"/>
          <w:szCs w:val="20"/>
        </w:rPr>
        <w:t>ales of $65 million</w:t>
      </w:r>
      <w:r w:rsidR="009704B8">
        <w:rPr>
          <w:rFonts w:ascii="Arial" w:hAnsi="Arial" w:cs="Arial"/>
          <w:sz w:val="20"/>
          <w:szCs w:val="20"/>
        </w:rPr>
        <w:t xml:space="preserve"> </w:t>
      </w:r>
      <w:r w:rsidR="000908D6">
        <w:rPr>
          <w:rFonts w:ascii="Arial" w:hAnsi="Arial" w:cs="Arial"/>
          <w:sz w:val="20"/>
          <w:szCs w:val="20"/>
        </w:rPr>
        <w:t xml:space="preserve">representing </w:t>
      </w:r>
      <w:r w:rsidR="009704B8">
        <w:rPr>
          <w:rFonts w:ascii="Arial" w:hAnsi="Arial" w:cs="Arial"/>
          <w:sz w:val="20"/>
          <w:szCs w:val="20"/>
        </w:rPr>
        <w:t xml:space="preserve">growth of </w:t>
      </w:r>
      <w:r w:rsidR="000908D6">
        <w:rPr>
          <w:rFonts w:ascii="Arial" w:hAnsi="Arial" w:cs="Arial"/>
          <w:sz w:val="20"/>
          <w:szCs w:val="20"/>
        </w:rPr>
        <w:t>28% quarter-over-quarter</w:t>
      </w:r>
      <w:r w:rsidR="009704B8">
        <w:rPr>
          <w:rFonts w:ascii="Arial" w:hAnsi="Arial" w:cs="Arial"/>
          <w:sz w:val="20"/>
          <w:szCs w:val="20"/>
        </w:rPr>
        <w:t xml:space="preserve"> and 1</w:t>
      </w:r>
      <w:r w:rsidR="00534B89">
        <w:rPr>
          <w:rFonts w:ascii="Arial" w:hAnsi="Arial" w:cs="Arial"/>
          <w:sz w:val="20"/>
          <w:szCs w:val="20"/>
        </w:rPr>
        <w:t>52</w:t>
      </w:r>
      <w:r w:rsidR="009704B8">
        <w:rPr>
          <w:rFonts w:ascii="Arial" w:hAnsi="Arial" w:cs="Arial"/>
          <w:sz w:val="20"/>
          <w:szCs w:val="20"/>
        </w:rPr>
        <w:t>% year-over-year</w:t>
      </w:r>
    </w:p>
    <w:p w14:paraId="755B1C44" w14:textId="715BD7AD" w:rsidR="009704B8" w:rsidRPr="000908D6" w:rsidRDefault="00043EFC" w:rsidP="000908D6">
      <w:pPr>
        <w:pStyle w:val="NormalWeb"/>
        <w:numPr>
          <w:ilvl w:val="0"/>
          <w:numId w:val="7"/>
        </w:numPr>
        <w:shd w:val="clear" w:color="auto" w:fill="FFFFFF"/>
        <w:spacing w:before="0" w:beforeAutospacing="0" w:after="0" w:afterAutospacing="0"/>
        <w:rPr>
          <w:rFonts w:ascii="Arial" w:hAnsi="Arial" w:cs="Arial"/>
          <w:sz w:val="20"/>
          <w:szCs w:val="20"/>
        </w:rPr>
      </w:pPr>
      <w:r>
        <w:rPr>
          <w:rFonts w:ascii="Arial" w:hAnsi="Arial" w:cs="Arial"/>
          <w:sz w:val="20"/>
          <w:szCs w:val="20"/>
        </w:rPr>
        <w:t>Fourth quarter</w:t>
      </w:r>
      <w:r w:rsidR="009704B8">
        <w:rPr>
          <w:rFonts w:ascii="Arial" w:hAnsi="Arial" w:cs="Arial"/>
          <w:sz w:val="20"/>
          <w:szCs w:val="20"/>
        </w:rPr>
        <w:t xml:space="preserve"> </w:t>
      </w:r>
      <w:r w:rsidR="0080288C">
        <w:rPr>
          <w:rFonts w:ascii="Arial" w:hAnsi="Arial" w:cs="Arial"/>
          <w:sz w:val="20"/>
          <w:szCs w:val="20"/>
        </w:rPr>
        <w:t>a</w:t>
      </w:r>
      <w:r w:rsidR="009704B8">
        <w:rPr>
          <w:rFonts w:ascii="Arial" w:hAnsi="Arial" w:cs="Arial"/>
          <w:sz w:val="20"/>
          <w:szCs w:val="20"/>
        </w:rPr>
        <w:t>djusted EBITDA of $2</w:t>
      </w:r>
      <w:r w:rsidR="008C38AA">
        <w:rPr>
          <w:rFonts w:ascii="Arial" w:hAnsi="Arial" w:cs="Arial"/>
          <w:sz w:val="20"/>
          <w:szCs w:val="20"/>
        </w:rPr>
        <w:t>6</w:t>
      </w:r>
      <w:r w:rsidR="009704B8">
        <w:rPr>
          <w:rFonts w:ascii="Arial" w:hAnsi="Arial" w:cs="Arial"/>
          <w:sz w:val="20"/>
          <w:szCs w:val="20"/>
        </w:rPr>
        <w:t xml:space="preserve"> million representing growth of 4</w:t>
      </w:r>
      <w:r w:rsidR="008C38AA">
        <w:rPr>
          <w:rFonts w:ascii="Arial" w:hAnsi="Arial" w:cs="Arial"/>
          <w:sz w:val="20"/>
          <w:szCs w:val="20"/>
        </w:rPr>
        <w:t>6</w:t>
      </w:r>
      <w:r w:rsidR="009704B8">
        <w:rPr>
          <w:rFonts w:ascii="Arial" w:hAnsi="Arial" w:cs="Arial"/>
          <w:sz w:val="20"/>
          <w:szCs w:val="20"/>
        </w:rPr>
        <w:t>% quarter-over-quarter</w:t>
      </w:r>
    </w:p>
    <w:p w14:paraId="2C1CC64C" w14:textId="5313E522" w:rsidR="005B4A84" w:rsidRPr="008D52B8" w:rsidRDefault="00043EFC" w:rsidP="005B4A84">
      <w:pPr>
        <w:pStyle w:val="NormalWeb"/>
        <w:numPr>
          <w:ilvl w:val="0"/>
          <w:numId w:val="7"/>
        </w:numPr>
        <w:shd w:val="clear" w:color="auto" w:fill="FFFFFF"/>
        <w:spacing w:before="0" w:beforeAutospacing="0" w:after="0" w:afterAutospacing="0"/>
        <w:rPr>
          <w:rFonts w:ascii="Arial" w:hAnsi="Arial" w:cs="Arial"/>
          <w:sz w:val="20"/>
          <w:szCs w:val="20"/>
        </w:rPr>
      </w:pPr>
      <w:r>
        <w:rPr>
          <w:rFonts w:ascii="Arial" w:hAnsi="Arial" w:cs="Arial"/>
          <w:sz w:val="20"/>
          <w:szCs w:val="20"/>
        </w:rPr>
        <w:t>Fourth quarter</w:t>
      </w:r>
      <w:r w:rsidR="009704B8">
        <w:rPr>
          <w:rFonts w:ascii="Arial" w:hAnsi="Arial" w:cs="Arial"/>
          <w:sz w:val="20"/>
          <w:szCs w:val="20"/>
        </w:rPr>
        <w:t xml:space="preserve"> </w:t>
      </w:r>
      <w:r w:rsidR="0080288C">
        <w:rPr>
          <w:rFonts w:ascii="Arial" w:hAnsi="Arial" w:cs="Arial"/>
          <w:sz w:val="20"/>
          <w:szCs w:val="20"/>
        </w:rPr>
        <w:t>a</w:t>
      </w:r>
      <w:r w:rsidR="009704B8">
        <w:rPr>
          <w:rFonts w:ascii="Arial" w:hAnsi="Arial" w:cs="Arial"/>
          <w:sz w:val="20"/>
          <w:szCs w:val="20"/>
        </w:rPr>
        <w:t xml:space="preserve">djusted EBITDA margin of </w:t>
      </w:r>
      <w:r w:rsidR="008C38AA">
        <w:rPr>
          <w:rFonts w:ascii="Arial" w:hAnsi="Arial" w:cs="Arial"/>
          <w:sz w:val="20"/>
          <w:szCs w:val="20"/>
        </w:rPr>
        <w:t>40</w:t>
      </w:r>
      <w:r w:rsidR="009704B8">
        <w:rPr>
          <w:rFonts w:ascii="Arial" w:hAnsi="Arial" w:cs="Arial"/>
          <w:sz w:val="20"/>
          <w:szCs w:val="20"/>
        </w:rPr>
        <w:t>%</w:t>
      </w:r>
      <w:r w:rsidR="009625F9">
        <w:rPr>
          <w:rFonts w:ascii="Arial" w:hAnsi="Arial" w:cs="Arial"/>
          <w:sz w:val="20"/>
          <w:szCs w:val="20"/>
        </w:rPr>
        <w:t xml:space="preserve"> </w:t>
      </w:r>
      <w:r w:rsidR="00733094">
        <w:rPr>
          <w:rFonts w:ascii="Arial" w:hAnsi="Arial" w:cs="Arial"/>
          <w:sz w:val="20"/>
          <w:szCs w:val="20"/>
        </w:rPr>
        <w:t>expanding</w:t>
      </w:r>
      <w:r w:rsidR="009704B8">
        <w:rPr>
          <w:rFonts w:ascii="Arial" w:hAnsi="Arial" w:cs="Arial"/>
          <w:sz w:val="20"/>
          <w:szCs w:val="20"/>
        </w:rPr>
        <w:t xml:space="preserve"> from 35% in Q3 and 24% in Q2</w:t>
      </w:r>
    </w:p>
    <w:p w14:paraId="074CDF73" w14:textId="2B24F268" w:rsidR="00960E0A" w:rsidRPr="002D4A50" w:rsidRDefault="00960E0A" w:rsidP="00960E0A">
      <w:pPr>
        <w:pStyle w:val="NormalWeb"/>
        <w:shd w:val="clear" w:color="auto" w:fill="FFFFFF"/>
        <w:spacing w:before="0" w:beforeAutospacing="0" w:after="0" w:afterAutospacing="0"/>
        <w:rPr>
          <w:rFonts w:ascii="Arial" w:hAnsi="Arial" w:cs="Arial"/>
          <w:sz w:val="20"/>
          <w:szCs w:val="20"/>
        </w:rPr>
      </w:pPr>
    </w:p>
    <w:p w14:paraId="0B7D802D" w14:textId="1A3694BF" w:rsidR="00C279D4" w:rsidRPr="00D4288E" w:rsidRDefault="00BC7048">
      <w:pPr>
        <w:pStyle w:val="NormalWeb"/>
        <w:shd w:val="clear" w:color="auto" w:fill="FFFFFF"/>
        <w:spacing w:before="0" w:beforeAutospacing="0" w:after="0" w:afterAutospacing="0" w:line="276" w:lineRule="auto"/>
        <w:jc w:val="both"/>
        <w:rPr>
          <w:rFonts w:ascii="Arial" w:hAnsi="Arial" w:cs="Arial"/>
          <w:sz w:val="20"/>
          <w:szCs w:val="20"/>
        </w:rPr>
      </w:pPr>
      <w:r w:rsidRPr="00D4288E">
        <w:rPr>
          <w:rFonts w:ascii="Arial" w:hAnsi="Arial" w:cs="Arial"/>
          <w:sz w:val="20"/>
          <w:szCs w:val="20"/>
        </w:rPr>
        <w:t>“Our fourth quarter results demonstrate robust sequential revenue growth and continued expansion of EBITDA margins</w:t>
      </w:r>
      <w:r w:rsidR="005C4924">
        <w:rPr>
          <w:rFonts w:ascii="Arial" w:hAnsi="Arial" w:cs="Arial"/>
          <w:sz w:val="20"/>
          <w:szCs w:val="20"/>
        </w:rPr>
        <w:t>,</w:t>
      </w:r>
      <w:r w:rsidRPr="00D4288E">
        <w:rPr>
          <w:rFonts w:ascii="Arial" w:hAnsi="Arial" w:cs="Arial"/>
          <w:sz w:val="20"/>
          <w:szCs w:val="20"/>
        </w:rPr>
        <w:t xml:space="preserve"> which reflect the strong fundamentals of our business,” said Jason Ackerman, CEO and Executive Chairman of </w:t>
      </w:r>
      <w:proofErr w:type="spellStart"/>
      <w:r w:rsidRPr="00D4288E">
        <w:rPr>
          <w:rFonts w:ascii="Arial" w:hAnsi="Arial" w:cs="Arial"/>
          <w:sz w:val="20"/>
          <w:szCs w:val="20"/>
        </w:rPr>
        <w:t>TerrAscend</w:t>
      </w:r>
      <w:proofErr w:type="spellEnd"/>
      <w:r w:rsidRPr="00D4288E">
        <w:rPr>
          <w:rFonts w:ascii="Arial" w:hAnsi="Arial" w:cs="Arial"/>
          <w:sz w:val="20"/>
          <w:szCs w:val="20"/>
        </w:rPr>
        <w:t xml:space="preserve">. </w:t>
      </w:r>
      <w:bookmarkStart w:id="0" w:name="_Hlk64573992"/>
      <w:r w:rsidRPr="00D4288E">
        <w:rPr>
          <w:rFonts w:ascii="Arial" w:hAnsi="Arial" w:cs="Arial"/>
          <w:sz w:val="20"/>
          <w:szCs w:val="20"/>
        </w:rPr>
        <w:t xml:space="preserve">“During the quarter, we </w:t>
      </w:r>
      <w:r>
        <w:rPr>
          <w:rFonts w:ascii="Arial" w:hAnsi="Arial" w:cs="Arial"/>
          <w:sz w:val="20"/>
          <w:szCs w:val="20"/>
        </w:rPr>
        <w:t>realized sales from</w:t>
      </w:r>
      <w:r w:rsidRPr="00D4288E">
        <w:rPr>
          <w:rFonts w:ascii="Arial" w:hAnsi="Arial" w:cs="Arial"/>
          <w:sz w:val="20"/>
          <w:szCs w:val="20"/>
        </w:rPr>
        <w:t xml:space="preserve"> key expansion projects </w:t>
      </w:r>
      <w:bookmarkStart w:id="1" w:name="_Hlk64574034"/>
      <w:bookmarkEnd w:id="0"/>
      <w:r w:rsidRPr="00D4288E">
        <w:rPr>
          <w:rFonts w:ascii="Arial" w:hAnsi="Arial" w:cs="Arial"/>
          <w:sz w:val="20"/>
          <w:szCs w:val="20"/>
        </w:rPr>
        <w:t>in Pennsylvania, New Jersey, and California</w:t>
      </w:r>
      <w:r w:rsidR="0053767C">
        <w:rPr>
          <w:rFonts w:ascii="Arial" w:hAnsi="Arial" w:cs="Arial"/>
          <w:sz w:val="20"/>
          <w:szCs w:val="20"/>
        </w:rPr>
        <w:t>,</w:t>
      </w:r>
      <w:r w:rsidRPr="00D4288E">
        <w:rPr>
          <w:rFonts w:ascii="Arial" w:hAnsi="Arial" w:cs="Arial"/>
          <w:sz w:val="20"/>
          <w:szCs w:val="20"/>
        </w:rPr>
        <w:t xml:space="preserve"> that</w:t>
      </w:r>
      <w:r w:rsidR="0053767C">
        <w:rPr>
          <w:rFonts w:ascii="Arial" w:hAnsi="Arial" w:cs="Arial"/>
          <w:sz w:val="20"/>
          <w:szCs w:val="20"/>
        </w:rPr>
        <w:t xml:space="preserve"> </w:t>
      </w:r>
      <w:r w:rsidRPr="00D4288E">
        <w:rPr>
          <w:rFonts w:ascii="Arial" w:hAnsi="Arial" w:cs="Arial"/>
          <w:sz w:val="20"/>
          <w:szCs w:val="20"/>
        </w:rPr>
        <w:t>together with our pending entrance into the Maryland market, position the company for continued growth in 2021</w:t>
      </w:r>
      <w:r w:rsidR="007D1B66">
        <w:rPr>
          <w:rFonts w:ascii="Arial" w:hAnsi="Arial" w:cs="Arial"/>
          <w:sz w:val="20"/>
          <w:szCs w:val="20"/>
        </w:rPr>
        <w:t>.</w:t>
      </w:r>
      <w:r w:rsidRPr="00D4288E">
        <w:rPr>
          <w:rFonts w:ascii="Arial" w:hAnsi="Arial" w:cs="Arial"/>
          <w:sz w:val="20"/>
          <w:szCs w:val="20"/>
        </w:rPr>
        <w:t>”</w:t>
      </w:r>
      <w:bookmarkEnd w:id="1"/>
    </w:p>
    <w:p w14:paraId="61B96981" w14:textId="2DCD3EC2" w:rsidR="00BC0CCD" w:rsidRPr="00D4288E" w:rsidRDefault="003E0A0E" w:rsidP="00D4288E">
      <w:pPr>
        <w:pStyle w:val="NormalWeb"/>
        <w:jc w:val="both"/>
        <w:rPr>
          <w:sz w:val="20"/>
          <w:szCs w:val="20"/>
        </w:rPr>
      </w:pPr>
      <w:r>
        <w:rPr>
          <w:rFonts w:ascii="Arial" w:hAnsi="Arial" w:cs="Arial"/>
          <w:bCs/>
          <w:color w:val="000000"/>
          <w:sz w:val="20"/>
          <w:szCs w:val="20"/>
        </w:rPr>
        <w:t xml:space="preserve">Additionally, </w:t>
      </w:r>
      <w:proofErr w:type="spellStart"/>
      <w:r w:rsidR="00B70398" w:rsidRPr="00D4288E">
        <w:rPr>
          <w:rFonts w:ascii="Arial" w:hAnsi="Arial" w:cs="Arial"/>
          <w:bCs/>
          <w:color w:val="000000"/>
          <w:sz w:val="20"/>
          <w:szCs w:val="20"/>
        </w:rPr>
        <w:t>TerrAscend</w:t>
      </w:r>
      <w:proofErr w:type="spellEnd"/>
      <w:r w:rsidR="00B70398" w:rsidRPr="00D4288E">
        <w:rPr>
          <w:rFonts w:ascii="Arial" w:hAnsi="Arial" w:cs="Arial"/>
          <w:bCs/>
          <w:color w:val="000000"/>
          <w:sz w:val="20"/>
          <w:szCs w:val="20"/>
        </w:rPr>
        <w:t xml:space="preserve"> reiterates its 2021 guidance for </w:t>
      </w:r>
      <w:r w:rsidR="007D1B66">
        <w:rPr>
          <w:rFonts w:ascii="Arial" w:hAnsi="Arial" w:cs="Arial"/>
          <w:bCs/>
          <w:color w:val="000000"/>
          <w:sz w:val="20"/>
          <w:szCs w:val="20"/>
        </w:rPr>
        <w:t>n</w:t>
      </w:r>
      <w:r w:rsidR="00B70398" w:rsidRPr="00D4288E">
        <w:rPr>
          <w:rFonts w:ascii="Arial" w:hAnsi="Arial" w:cs="Arial"/>
          <w:bCs/>
          <w:color w:val="000000"/>
          <w:sz w:val="20"/>
          <w:szCs w:val="20"/>
        </w:rPr>
        <w:t xml:space="preserve">et sales of $360-380 million and </w:t>
      </w:r>
      <w:r w:rsidR="002D4A50" w:rsidRPr="001A390D">
        <w:rPr>
          <w:rFonts w:ascii="Arial" w:hAnsi="Arial" w:cs="Arial"/>
          <w:bCs/>
          <w:color w:val="000000"/>
          <w:sz w:val="20"/>
          <w:szCs w:val="20"/>
        </w:rPr>
        <w:t>a</w:t>
      </w:r>
      <w:r w:rsidR="00B70398" w:rsidRPr="00D4288E">
        <w:rPr>
          <w:rFonts w:ascii="Arial" w:hAnsi="Arial" w:cs="Arial"/>
          <w:bCs/>
          <w:color w:val="000000"/>
          <w:sz w:val="20"/>
          <w:szCs w:val="20"/>
        </w:rPr>
        <w:t xml:space="preserve">djusted EBITDA of $140-160 million.  The Company will host a scheduled conference call to discuss </w:t>
      </w:r>
      <w:r w:rsidR="005C4924">
        <w:rPr>
          <w:rFonts w:ascii="Arial" w:hAnsi="Arial" w:cs="Arial"/>
          <w:bCs/>
          <w:color w:val="000000"/>
          <w:sz w:val="20"/>
          <w:szCs w:val="20"/>
        </w:rPr>
        <w:t xml:space="preserve">its </w:t>
      </w:r>
      <w:r w:rsidR="00B70398" w:rsidRPr="00D4288E">
        <w:rPr>
          <w:rFonts w:ascii="Arial" w:hAnsi="Arial" w:cs="Arial"/>
          <w:bCs/>
          <w:color w:val="000000"/>
          <w:sz w:val="20"/>
          <w:szCs w:val="20"/>
        </w:rPr>
        <w:t xml:space="preserve">2020 results and </w:t>
      </w:r>
      <w:r w:rsidR="005C4924">
        <w:rPr>
          <w:rFonts w:ascii="Arial" w:hAnsi="Arial" w:cs="Arial"/>
          <w:bCs/>
          <w:color w:val="000000"/>
          <w:sz w:val="20"/>
          <w:szCs w:val="20"/>
        </w:rPr>
        <w:t>provide updated</w:t>
      </w:r>
      <w:r w:rsidR="005C4924" w:rsidRPr="00D4288E">
        <w:rPr>
          <w:rFonts w:ascii="Arial" w:hAnsi="Arial" w:cs="Arial"/>
          <w:bCs/>
          <w:color w:val="000000"/>
          <w:sz w:val="20"/>
          <w:szCs w:val="20"/>
        </w:rPr>
        <w:t xml:space="preserve"> </w:t>
      </w:r>
      <w:r w:rsidR="00B70398" w:rsidRPr="00D4288E">
        <w:rPr>
          <w:rFonts w:ascii="Arial" w:hAnsi="Arial" w:cs="Arial"/>
          <w:bCs/>
          <w:color w:val="000000"/>
          <w:sz w:val="20"/>
          <w:szCs w:val="20"/>
        </w:rPr>
        <w:t>2021 guidance on March 23</w:t>
      </w:r>
      <w:r w:rsidR="00B70398" w:rsidRPr="001A390D">
        <w:rPr>
          <w:rFonts w:ascii="Arial" w:hAnsi="Arial" w:cs="Arial"/>
          <w:bCs/>
          <w:color w:val="000000"/>
          <w:sz w:val="20"/>
          <w:szCs w:val="20"/>
          <w:vertAlign w:val="superscript"/>
        </w:rPr>
        <w:t>rd</w:t>
      </w:r>
      <w:r w:rsidR="00B70398" w:rsidRPr="00D4288E">
        <w:rPr>
          <w:rFonts w:ascii="Arial" w:hAnsi="Arial" w:cs="Arial"/>
          <w:bCs/>
          <w:color w:val="000000"/>
          <w:sz w:val="20"/>
          <w:szCs w:val="20"/>
        </w:rPr>
        <w:t xml:space="preserve">, 2021. The </w:t>
      </w:r>
      <w:r w:rsidR="007D1B66">
        <w:rPr>
          <w:rFonts w:ascii="Arial" w:hAnsi="Arial" w:cs="Arial"/>
          <w:bCs/>
          <w:color w:val="000000"/>
          <w:sz w:val="20"/>
          <w:szCs w:val="20"/>
        </w:rPr>
        <w:t>C</w:t>
      </w:r>
      <w:r w:rsidR="00B70398" w:rsidRPr="00D4288E">
        <w:rPr>
          <w:rFonts w:ascii="Arial" w:hAnsi="Arial" w:cs="Arial"/>
          <w:bCs/>
          <w:color w:val="000000"/>
          <w:sz w:val="20"/>
          <w:szCs w:val="20"/>
        </w:rPr>
        <w:t>ompany will report its financial results for the fourth quarter and full year 2020 in advance of the call.</w:t>
      </w:r>
    </w:p>
    <w:tbl>
      <w:tblPr>
        <w:tblW w:w="0" w:type="auto"/>
        <w:shd w:val="clear" w:color="auto" w:fill="FFFFFF"/>
        <w:tblCellMar>
          <w:left w:w="0" w:type="dxa"/>
          <w:right w:w="0" w:type="dxa"/>
        </w:tblCellMar>
        <w:tblLook w:val="04A0" w:firstRow="1" w:lastRow="0" w:firstColumn="1" w:lastColumn="0" w:noHBand="0" w:noVBand="1"/>
      </w:tblPr>
      <w:tblGrid>
        <w:gridCol w:w="2268"/>
        <w:gridCol w:w="7092"/>
      </w:tblGrid>
      <w:tr w:rsidR="00E45DCB" w:rsidRPr="00DE653D" w14:paraId="6DC5BD23" w14:textId="77777777" w:rsidTr="00793A86">
        <w:tc>
          <w:tcPr>
            <w:tcW w:w="0" w:type="auto"/>
            <w:gridSpan w:val="2"/>
            <w:shd w:val="clear" w:color="auto" w:fill="FFFFFF"/>
            <w:tcMar>
              <w:top w:w="0" w:type="dxa"/>
              <w:left w:w="120" w:type="dxa"/>
              <w:bottom w:w="0" w:type="dxa"/>
              <w:right w:w="120" w:type="dxa"/>
            </w:tcMar>
            <w:vAlign w:val="bottom"/>
            <w:hideMark/>
          </w:tcPr>
          <w:p w14:paraId="448AC2AC" w14:textId="77777777" w:rsidR="00E45DCB" w:rsidRDefault="00E45DCB" w:rsidP="00793A86">
            <w:pPr>
              <w:spacing w:line="240" w:lineRule="auto"/>
              <w:jc w:val="both"/>
              <w:rPr>
                <w:b/>
                <w:bCs/>
                <w:sz w:val="20"/>
                <w:szCs w:val="20"/>
              </w:rPr>
            </w:pPr>
            <w:r w:rsidRPr="00DE653D">
              <w:rPr>
                <w:b/>
                <w:bCs/>
                <w:sz w:val="20"/>
                <w:szCs w:val="20"/>
              </w:rPr>
              <w:t>CONFERENCE CALL DETAILS</w:t>
            </w:r>
          </w:p>
          <w:p w14:paraId="79E8A9C4" w14:textId="521D2E6C" w:rsidR="00E45DCB" w:rsidRPr="00DE653D" w:rsidRDefault="00E45DCB" w:rsidP="00793A86">
            <w:pPr>
              <w:spacing w:line="240" w:lineRule="auto"/>
              <w:jc w:val="both"/>
              <w:rPr>
                <w:sz w:val="20"/>
                <w:szCs w:val="20"/>
              </w:rPr>
            </w:pPr>
          </w:p>
        </w:tc>
      </w:tr>
      <w:tr w:rsidR="00E45DCB" w:rsidRPr="00DE653D" w14:paraId="5AD8A19D" w14:textId="77777777" w:rsidTr="00793A86">
        <w:tc>
          <w:tcPr>
            <w:tcW w:w="2268" w:type="dxa"/>
            <w:shd w:val="clear" w:color="auto" w:fill="FFFFFF"/>
            <w:tcMar>
              <w:top w:w="0" w:type="dxa"/>
              <w:left w:w="120" w:type="dxa"/>
              <w:bottom w:w="0" w:type="dxa"/>
              <w:right w:w="120" w:type="dxa"/>
            </w:tcMar>
            <w:vAlign w:val="bottom"/>
            <w:hideMark/>
          </w:tcPr>
          <w:p w14:paraId="55F5C826" w14:textId="77777777" w:rsidR="00E45DCB" w:rsidRPr="00DE653D" w:rsidRDefault="00E45DCB" w:rsidP="00793A86">
            <w:pPr>
              <w:spacing w:line="240" w:lineRule="auto"/>
              <w:jc w:val="both"/>
              <w:rPr>
                <w:sz w:val="20"/>
                <w:szCs w:val="20"/>
              </w:rPr>
            </w:pPr>
          </w:p>
        </w:tc>
        <w:tc>
          <w:tcPr>
            <w:tcW w:w="7092" w:type="dxa"/>
            <w:shd w:val="clear" w:color="auto" w:fill="FFFFFF"/>
            <w:tcMar>
              <w:top w:w="0" w:type="dxa"/>
              <w:left w:w="120" w:type="dxa"/>
              <w:bottom w:w="0" w:type="dxa"/>
              <w:right w:w="120" w:type="dxa"/>
            </w:tcMar>
            <w:vAlign w:val="bottom"/>
            <w:hideMark/>
          </w:tcPr>
          <w:p w14:paraId="510C2AF4" w14:textId="77777777" w:rsidR="00E45DCB" w:rsidRPr="00DE653D" w:rsidRDefault="00E45DCB" w:rsidP="00793A86">
            <w:pPr>
              <w:spacing w:line="240" w:lineRule="auto"/>
              <w:jc w:val="both"/>
              <w:rPr>
                <w:sz w:val="20"/>
                <w:szCs w:val="20"/>
              </w:rPr>
            </w:pPr>
          </w:p>
        </w:tc>
      </w:tr>
      <w:tr w:rsidR="00E45DCB" w:rsidRPr="00DE653D" w14:paraId="72504499" w14:textId="77777777" w:rsidTr="00793A86">
        <w:tc>
          <w:tcPr>
            <w:tcW w:w="2268" w:type="dxa"/>
            <w:shd w:val="clear" w:color="auto" w:fill="FFFFFF"/>
            <w:tcMar>
              <w:top w:w="0" w:type="dxa"/>
              <w:left w:w="120" w:type="dxa"/>
              <w:bottom w:w="0" w:type="dxa"/>
              <w:right w:w="120" w:type="dxa"/>
            </w:tcMar>
            <w:vAlign w:val="bottom"/>
            <w:hideMark/>
          </w:tcPr>
          <w:p w14:paraId="43BCEF1C" w14:textId="77777777" w:rsidR="00E45DCB" w:rsidRPr="0073580C" w:rsidRDefault="00E45DCB" w:rsidP="00793A86">
            <w:pPr>
              <w:spacing w:line="240" w:lineRule="auto"/>
              <w:jc w:val="both"/>
              <w:rPr>
                <w:sz w:val="20"/>
                <w:szCs w:val="20"/>
              </w:rPr>
            </w:pPr>
            <w:r w:rsidRPr="0073580C">
              <w:rPr>
                <w:sz w:val="20"/>
                <w:szCs w:val="20"/>
              </w:rPr>
              <w:t>DATE:</w:t>
            </w:r>
          </w:p>
        </w:tc>
        <w:tc>
          <w:tcPr>
            <w:tcW w:w="7092" w:type="dxa"/>
            <w:shd w:val="clear" w:color="auto" w:fill="FFFFFF"/>
            <w:tcMar>
              <w:top w:w="0" w:type="dxa"/>
              <w:left w:w="120" w:type="dxa"/>
              <w:bottom w:w="0" w:type="dxa"/>
              <w:right w:w="120" w:type="dxa"/>
            </w:tcMar>
            <w:vAlign w:val="bottom"/>
            <w:hideMark/>
          </w:tcPr>
          <w:p w14:paraId="422DCE4D" w14:textId="74A37328" w:rsidR="00E45DCB" w:rsidRPr="0073580C" w:rsidRDefault="007E4FCC" w:rsidP="00793A86">
            <w:pPr>
              <w:spacing w:line="240" w:lineRule="auto"/>
              <w:jc w:val="both"/>
              <w:rPr>
                <w:sz w:val="20"/>
                <w:szCs w:val="20"/>
              </w:rPr>
            </w:pPr>
            <w:r>
              <w:rPr>
                <w:sz w:val="20"/>
                <w:szCs w:val="20"/>
              </w:rPr>
              <w:t>Tuesday</w:t>
            </w:r>
            <w:r w:rsidR="00832384">
              <w:rPr>
                <w:sz w:val="20"/>
                <w:szCs w:val="20"/>
              </w:rPr>
              <w:t xml:space="preserve">, </w:t>
            </w:r>
            <w:r>
              <w:rPr>
                <w:sz w:val="20"/>
                <w:szCs w:val="20"/>
              </w:rPr>
              <w:t>March</w:t>
            </w:r>
            <w:r w:rsidR="00E45DCB" w:rsidRPr="0073580C">
              <w:rPr>
                <w:sz w:val="20"/>
                <w:szCs w:val="20"/>
              </w:rPr>
              <w:t xml:space="preserve"> </w:t>
            </w:r>
            <w:r>
              <w:rPr>
                <w:sz w:val="20"/>
                <w:szCs w:val="20"/>
              </w:rPr>
              <w:t>23</w:t>
            </w:r>
            <w:r>
              <w:rPr>
                <w:sz w:val="20"/>
                <w:szCs w:val="20"/>
                <w:vertAlign w:val="superscript"/>
              </w:rPr>
              <w:t>rd</w:t>
            </w:r>
            <w:r w:rsidR="00E45DCB" w:rsidRPr="0073580C">
              <w:rPr>
                <w:sz w:val="20"/>
                <w:szCs w:val="20"/>
              </w:rPr>
              <w:t>, 202</w:t>
            </w:r>
            <w:r>
              <w:rPr>
                <w:sz w:val="20"/>
                <w:szCs w:val="20"/>
              </w:rPr>
              <w:t>1</w:t>
            </w:r>
          </w:p>
        </w:tc>
      </w:tr>
      <w:tr w:rsidR="00E45DCB" w:rsidRPr="00DE653D" w14:paraId="004BB99B" w14:textId="77777777" w:rsidTr="00793A86">
        <w:tc>
          <w:tcPr>
            <w:tcW w:w="2268" w:type="dxa"/>
            <w:shd w:val="clear" w:color="auto" w:fill="FFFFFF"/>
            <w:tcMar>
              <w:top w:w="0" w:type="dxa"/>
              <w:left w:w="120" w:type="dxa"/>
              <w:bottom w:w="0" w:type="dxa"/>
              <w:right w:w="120" w:type="dxa"/>
            </w:tcMar>
            <w:vAlign w:val="bottom"/>
            <w:hideMark/>
          </w:tcPr>
          <w:p w14:paraId="0C649F9D" w14:textId="77777777" w:rsidR="00E45DCB" w:rsidRPr="0073580C" w:rsidRDefault="00E45DCB" w:rsidP="00793A86">
            <w:pPr>
              <w:spacing w:line="240" w:lineRule="auto"/>
              <w:jc w:val="both"/>
              <w:rPr>
                <w:sz w:val="20"/>
                <w:szCs w:val="20"/>
              </w:rPr>
            </w:pPr>
            <w:r w:rsidRPr="0073580C">
              <w:rPr>
                <w:sz w:val="20"/>
                <w:szCs w:val="20"/>
              </w:rPr>
              <w:t>TIME:</w:t>
            </w:r>
          </w:p>
        </w:tc>
        <w:tc>
          <w:tcPr>
            <w:tcW w:w="7092" w:type="dxa"/>
            <w:shd w:val="clear" w:color="auto" w:fill="FFFFFF"/>
            <w:tcMar>
              <w:top w:w="0" w:type="dxa"/>
              <w:left w:w="120" w:type="dxa"/>
              <w:bottom w:w="0" w:type="dxa"/>
              <w:right w:w="120" w:type="dxa"/>
            </w:tcMar>
            <w:vAlign w:val="bottom"/>
            <w:hideMark/>
          </w:tcPr>
          <w:p w14:paraId="0B4C1198" w14:textId="77777777" w:rsidR="00E45DCB" w:rsidRPr="00D02F57" w:rsidRDefault="00E45DCB" w:rsidP="00793A86">
            <w:pPr>
              <w:spacing w:line="240" w:lineRule="auto"/>
              <w:jc w:val="both"/>
              <w:rPr>
                <w:sz w:val="20"/>
                <w:szCs w:val="20"/>
              </w:rPr>
            </w:pPr>
            <w:r w:rsidRPr="00D02F57">
              <w:rPr>
                <w:sz w:val="20"/>
                <w:szCs w:val="20"/>
              </w:rPr>
              <w:t xml:space="preserve">8:30 a.m. Eastern Time </w:t>
            </w:r>
          </w:p>
        </w:tc>
      </w:tr>
      <w:tr w:rsidR="00E45DCB" w:rsidRPr="00DE653D" w14:paraId="169F80ED" w14:textId="77777777" w:rsidTr="00793A86">
        <w:tc>
          <w:tcPr>
            <w:tcW w:w="2268" w:type="dxa"/>
            <w:shd w:val="clear" w:color="auto" w:fill="FFFFFF"/>
            <w:tcMar>
              <w:top w:w="0" w:type="dxa"/>
              <w:left w:w="120" w:type="dxa"/>
              <w:bottom w:w="0" w:type="dxa"/>
              <w:right w:w="120" w:type="dxa"/>
            </w:tcMar>
            <w:vAlign w:val="bottom"/>
            <w:hideMark/>
          </w:tcPr>
          <w:p w14:paraId="741C2A6D" w14:textId="77777777" w:rsidR="00E45DCB" w:rsidRPr="00C32959" w:rsidRDefault="00E45DCB" w:rsidP="00793A86">
            <w:pPr>
              <w:spacing w:line="240" w:lineRule="auto"/>
              <w:jc w:val="both"/>
              <w:rPr>
                <w:sz w:val="20"/>
                <w:szCs w:val="20"/>
              </w:rPr>
            </w:pPr>
            <w:r w:rsidRPr="00C32959">
              <w:rPr>
                <w:sz w:val="20"/>
                <w:szCs w:val="20"/>
              </w:rPr>
              <w:t>WEBCAST:</w:t>
            </w:r>
          </w:p>
        </w:tc>
        <w:tc>
          <w:tcPr>
            <w:tcW w:w="7092" w:type="dxa"/>
            <w:shd w:val="clear" w:color="auto" w:fill="FFFFFF"/>
            <w:tcMar>
              <w:top w:w="0" w:type="dxa"/>
              <w:left w:w="120" w:type="dxa"/>
              <w:bottom w:w="0" w:type="dxa"/>
              <w:right w:w="120" w:type="dxa"/>
            </w:tcMar>
            <w:vAlign w:val="bottom"/>
            <w:hideMark/>
          </w:tcPr>
          <w:p w14:paraId="77947D80" w14:textId="7A528336" w:rsidR="00E45DCB" w:rsidRPr="00D02F57" w:rsidRDefault="005F12C0" w:rsidP="00793A86">
            <w:pPr>
              <w:spacing w:line="240" w:lineRule="auto"/>
              <w:jc w:val="both"/>
              <w:rPr>
                <w:sz w:val="20"/>
                <w:szCs w:val="20"/>
              </w:rPr>
            </w:pPr>
            <w:hyperlink r:id="rId7" w:history="1">
              <w:r w:rsidR="00832384" w:rsidRPr="00D02F57">
                <w:rPr>
                  <w:rStyle w:val="Hyperlink"/>
                  <w:sz w:val="20"/>
                  <w:szCs w:val="20"/>
                </w:rPr>
                <w:t>Click to Access</w:t>
              </w:r>
            </w:hyperlink>
          </w:p>
        </w:tc>
      </w:tr>
      <w:tr w:rsidR="00E45DCB" w:rsidRPr="00DE653D" w14:paraId="72D2FE5D" w14:textId="77777777" w:rsidTr="00793A86">
        <w:tc>
          <w:tcPr>
            <w:tcW w:w="2268" w:type="dxa"/>
            <w:shd w:val="clear" w:color="auto" w:fill="FFFFFF"/>
            <w:tcMar>
              <w:top w:w="0" w:type="dxa"/>
              <w:left w:w="120" w:type="dxa"/>
              <w:bottom w:w="0" w:type="dxa"/>
              <w:right w:w="120" w:type="dxa"/>
            </w:tcMar>
          </w:tcPr>
          <w:p w14:paraId="0021CD75" w14:textId="77777777" w:rsidR="00E45DCB" w:rsidRPr="0073580C" w:rsidRDefault="00E45DCB" w:rsidP="00793A86">
            <w:pPr>
              <w:spacing w:line="240" w:lineRule="auto"/>
              <w:jc w:val="both"/>
              <w:rPr>
                <w:sz w:val="20"/>
                <w:szCs w:val="20"/>
              </w:rPr>
            </w:pPr>
            <w:r w:rsidRPr="0073580C">
              <w:rPr>
                <w:sz w:val="20"/>
                <w:szCs w:val="20"/>
              </w:rPr>
              <w:t>DIAL-IN NUMBER:</w:t>
            </w:r>
          </w:p>
        </w:tc>
        <w:tc>
          <w:tcPr>
            <w:tcW w:w="7092" w:type="dxa"/>
            <w:shd w:val="clear" w:color="auto" w:fill="FFFFFF"/>
            <w:tcMar>
              <w:top w:w="0" w:type="dxa"/>
              <w:left w:w="120" w:type="dxa"/>
              <w:bottom w:w="0" w:type="dxa"/>
              <w:right w:w="120" w:type="dxa"/>
            </w:tcMar>
            <w:vAlign w:val="bottom"/>
          </w:tcPr>
          <w:p w14:paraId="2BD3AE50" w14:textId="1E0A7E34" w:rsidR="00E45DCB" w:rsidRPr="00D02F57" w:rsidRDefault="004251BA" w:rsidP="00C32959">
            <w:pPr>
              <w:spacing w:line="240" w:lineRule="auto"/>
              <w:jc w:val="both"/>
              <w:rPr>
                <w:sz w:val="20"/>
                <w:szCs w:val="20"/>
              </w:rPr>
            </w:pPr>
            <w:r w:rsidRPr="00D02F57">
              <w:rPr>
                <w:sz w:val="20"/>
                <w:szCs w:val="20"/>
              </w:rPr>
              <w:t>1-88</w:t>
            </w:r>
            <w:r w:rsidR="00D02F57" w:rsidRPr="00D02F57">
              <w:rPr>
                <w:sz w:val="20"/>
                <w:szCs w:val="20"/>
              </w:rPr>
              <w:t>8-664-6392</w:t>
            </w:r>
          </w:p>
        </w:tc>
      </w:tr>
      <w:tr w:rsidR="00E45DCB" w:rsidRPr="00DE653D" w14:paraId="21C097C9" w14:textId="77777777" w:rsidTr="00793A86">
        <w:tc>
          <w:tcPr>
            <w:tcW w:w="2268" w:type="dxa"/>
            <w:shd w:val="clear" w:color="auto" w:fill="FFFFFF"/>
            <w:tcMar>
              <w:top w:w="0" w:type="dxa"/>
              <w:left w:w="120" w:type="dxa"/>
              <w:bottom w:w="0" w:type="dxa"/>
              <w:right w:w="120" w:type="dxa"/>
            </w:tcMar>
          </w:tcPr>
          <w:p w14:paraId="23753311" w14:textId="77777777" w:rsidR="00E45DCB" w:rsidRPr="0073580C" w:rsidRDefault="00E45DCB" w:rsidP="00793A86">
            <w:pPr>
              <w:spacing w:line="240" w:lineRule="auto"/>
              <w:jc w:val="both"/>
              <w:rPr>
                <w:sz w:val="20"/>
                <w:szCs w:val="20"/>
              </w:rPr>
            </w:pPr>
            <w:r w:rsidRPr="0073580C">
              <w:rPr>
                <w:sz w:val="20"/>
                <w:szCs w:val="20"/>
              </w:rPr>
              <w:t>CONFERENCE ID:</w:t>
            </w:r>
          </w:p>
        </w:tc>
        <w:tc>
          <w:tcPr>
            <w:tcW w:w="7092" w:type="dxa"/>
            <w:shd w:val="clear" w:color="auto" w:fill="FFFFFF"/>
            <w:tcMar>
              <w:top w:w="0" w:type="dxa"/>
              <w:left w:w="120" w:type="dxa"/>
              <w:bottom w:w="0" w:type="dxa"/>
              <w:right w:w="120" w:type="dxa"/>
            </w:tcMar>
            <w:vAlign w:val="bottom"/>
          </w:tcPr>
          <w:p w14:paraId="6234E1A0" w14:textId="17E05BE4" w:rsidR="00E45DCB" w:rsidRPr="00D02F57" w:rsidRDefault="00DD71F0" w:rsidP="00C32959">
            <w:pPr>
              <w:rPr>
                <w:b/>
                <w:color w:val="000000"/>
              </w:rPr>
            </w:pPr>
            <w:r w:rsidRPr="00DD71F0">
              <w:rPr>
                <w:sz w:val="20"/>
                <w:szCs w:val="20"/>
              </w:rPr>
              <w:t>53793717</w:t>
            </w:r>
          </w:p>
        </w:tc>
      </w:tr>
      <w:tr w:rsidR="00E45DCB" w:rsidRPr="00DE653D" w14:paraId="2BE68AE1" w14:textId="77777777" w:rsidTr="00D02F57">
        <w:trPr>
          <w:trHeight w:val="83"/>
        </w:trPr>
        <w:tc>
          <w:tcPr>
            <w:tcW w:w="2268" w:type="dxa"/>
            <w:shd w:val="clear" w:color="auto" w:fill="FFFFFF"/>
            <w:tcMar>
              <w:top w:w="0" w:type="dxa"/>
              <w:left w:w="120" w:type="dxa"/>
              <w:bottom w:w="0" w:type="dxa"/>
              <w:right w:w="120" w:type="dxa"/>
            </w:tcMar>
            <w:hideMark/>
          </w:tcPr>
          <w:p w14:paraId="639730CD" w14:textId="18BA3487" w:rsidR="00E45DCB" w:rsidRDefault="00E45DCB" w:rsidP="00793A86">
            <w:pPr>
              <w:spacing w:line="240" w:lineRule="auto"/>
              <w:jc w:val="both"/>
              <w:rPr>
                <w:sz w:val="20"/>
                <w:szCs w:val="20"/>
              </w:rPr>
            </w:pPr>
            <w:r w:rsidRPr="0073580C">
              <w:rPr>
                <w:sz w:val="20"/>
                <w:szCs w:val="20"/>
              </w:rPr>
              <w:t>REPLAY:</w:t>
            </w:r>
          </w:p>
          <w:p w14:paraId="3A7DD79D" w14:textId="08C58133" w:rsidR="00DD71F0" w:rsidRDefault="00DD71F0" w:rsidP="00793A86">
            <w:pPr>
              <w:spacing w:line="240" w:lineRule="auto"/>
              <w:jc w:val="both"/>
              <w:rPr>
                <w:sz w:val="20"/>
                <w:szCs w:val="20"/>
              </w:rPr>
            </w:pPr>
          </w:p>
          <w:p w14:paraId="748BB9A1" w14:textId="3A3813FF" w:rsidR="004251BA" w:rsidRPr="0073580C" w:rsidRDefault="004251BA" w:rsidP="00DD71F0">
            <w:pPr>
              <w:spacing w:line="240" w:lineRule="auto"/>
              <w:jc w:val="both"/>
              <w:rPr>
                <w:sz w:val="20"/>
                <w:szCs w:val="20"/>
              </w:rPr>
            </w:pPr>
          </w:p>
        </w:tc>
        <w:tc>
          <w:tcPr>
            <w:tcW w:w="7092" w:type="dxa"/>
            <w:shd w:val="clear" w:color="auto" w:fill="FFFFFF"/>
            <w:tcMar>
              <w:top w:w="0" w:type="dxa"/>
              <w:left w:w="120" w:type="dxa"/>
              <w:bottom w:w="0" w:type="dxa"/>
              <w:right w:w="120" w:type="dxa"/>
            </w:tcMar>
            <w:vAlign w:val="bottom"/>
            <w:hideMark/>
          </w:tcPr>
          <w:p w14:paraId="2EFF71B7" w14:textId="77777777" w:rsidR="00E45DCB" w:rsidRDefault="004251BA" w:rsidP="00C32959">
            <w:pPr>
              <w:rPr>
                <w:sz w:val="20"/>
                <w:szCs w:val="20"/>
              </w:rPr>
            </w:pPr>
            <w:r w:rsidRPr="00D02F57">
              <w:rPr>
                <w:sz w:val="20"/>
                <w:szCs w:val="20"/>
              </w:rPr>
              <w:t xml:space="preserve">(416) 764-8677 </w:t>
            </w:r>
            <w:r w:rsidR="00E45DCB" w:rsidRPr="00D02F57">
              <w:rPr>
                <w:sz w:val="20"/>
                <w:szCs w:val="20"/>
              </w:rPr>
              <w:t xml:space="preserve">or </w:t>
            </w:r>
            <w:r w:rsidRPr="00D02F57">
              <w:rPr>
                <w:sz w:val="20"/>
                <w:szCs w:val="20"/>
              </w:rPr>
              <w:t>(888) 390-0541</w:t>
            </w:r>
            <w:r w:rsidR="00E45DCB" w:rsidRPr="00D02F57">
              <w:rPr>
                <w:sz w:val="20"/>
                <w:szCs w:val="20"/>
              </w:rPr>
              <w:br/>
              <w:t xml:space="preserve">Available until 12:00 midnight Eastern Time </w:t>
            </w:r>
            <w:r w:rsidR="007E4FCC">
              <w:rPr>
                <w:sz w:val="20"/>
                <w:szCs w:val="20"/>
              </w:rPr>
              <w:t>Tuesday</w:t>
            </w:r>
            <w:r w:rsidR="00E45DCB" w:rsidRPr="00D02F57">
              <w:rPr>
                <w:sz w:val="20"/>
                <w:szCs w:val="20"/>
              </w:rPr>
              <w:t xml:space="preserve">, </w:t>
            </w:r>
            <w:r w:rsidR="007E4FCC">
              <w:rPr>
                <w:sz w:val="20"/>
                <w:szCs w:val="20"/>
              </w:rPr>
              <w:t>April</w:t>
            </w:r>
            <w:r w:rsidR="007E4FCC" w:rsidRPr="00D02F57">
              <w:rPr>
                <w:sz w:val="20"/>
                <w:szCs w:val="20"/>
              </w:rPr>
              <w:t xml:space="preserve"> </w:t>
            </w:r>
            <w:r w:rsidR="007E4FCC">
              <w:rPr>
                <w:sz w:val="20"/>
                <w:szCs w:val="20"/>
              </w:rPr>
              <w:t>6</w:t>
            </w:r>
            <w:r w:rsidR="007E4FCC">
              <w:rPr>
                <w:sz w:val="20"/>
                <w:szCs w:val="20"/>
                <w:vertAlign w:val="superscript"/>
              </w:rPr>
              <w:t>th</w:t>
            </w:r>
            <w:r w:rsidR="00E45DCB" w:rsidRPr="00D02F57">
              <w:rPr>
                <w:sz w:val="20"/>
                <w:szCs w:val="20"/>
              </w:rPr>
              <w:t>, 202</w:t>
            </w:r>
            <w:r w:rsidR="007E4FCC">
              <w:rPr>
                <w:sz w:val="20"/>
                <w:szCs w:val="20"/>
              </w:rPr>
              <w:t>1</w:t>
            </w:r>
          </w:p>
          <w:p w14:paraId="2F5D5DDC" w14:textId="4594D8EB" w:rsidR="00DD71F0" w:rsidRPr="00D02F57" w:rsidRDefault="00DD71F0" w:rsidP="00C32959">
            <w:pPr>
              <w:rPr>
                <w:sz w:val="20"/>
                <w:szCs w:val="20"/>
              </w:rPr>
            </w:pPr>
            <w:r>
              <w:rPr>
                <w:sz w:val="20"/>
                <w:szCs w:val="20"/>
              </w:rPr>
              <w:t>Replay Code</w:t>
            </w:r>
            <w:r w:rsidRPr="00DD71F0">
              <w:rPr>
                <w:sz w:val="20"/>
                <w:szCs w:val="20"/>
              </w:rPr>
              <w:t>:</w:t>
            </w:r>
            <w:r>
              <w:rPr>
                <w:sz w:val="20"/>
                <w:szCs w:val="20"/>
              </w:rPr>
              <w:t xml:space="preserve"> 793717</w:t>
            </w:r>
          </w:p>
        </w:tc>
      </w:tr>
    </w:tbl>
    <w:p w14:paraId="550DB551" w14:textId="77777777" w:rsidR="00454E0C" w:rsidRDefault="00454E0C" w:rsidP="00576C50">
      <w:pPr>
        <w:jc w:val="both"/>
        <w:rPr>
          <w:sz w:val="20"/>
          <w:szCs w:val="20"/>
        </w:rPr>
      </w:pPr>
    </w:p>
    <w:p w14:paraId="7B3CDF9C" w14:textId="77777777" w:rsidR="00454E0C" w:rsidRDefault="00894EA7" w:rsidP="00576C50">
      <w:pPr>
        <w:jc w:val="both"/>
        <w:rPr>
          <w:b/>
          <w:sz w:val="20"/>
          <w:szCs w:val="20"/>
        </w:rPr>
      </w:pPr>
      <w:r>
        <w:rPr>
          <w:b/>
          <w:i/>
          <w:sz w:val="20"/>
          <w:szCs w:val="20"/>
        </w:rPr>
        <w:t>The Canadian Securities Exchange (“CSE”) has neither approved nor disapproved the contents of this news release. Neither the CSE nor its Market Regulator (as that term is defined in the policies of the CSE) accepts responsibility for the adequacy or accuracy of this release.</w:t>
      </w:r>
    </w:p>
    <w:p w14:paraId="695B69F1" w14:textId="77777777" w:rsidR="00454E0C" w:rsidRDefault="00454E0C" w:rsidP="00576C50">
      <w:pPr>
        <w:spacing w:line="240" w:lineRule="auto"/>
        <w:jc w:val="both"/>
        <w:rPr>
          <w:color w:val="0563C1"/>
          <w:sz w:val="12"/>
          <w:szCs w:val="12"/>
          <w:u w:val="single"/>
        </w:rPr>
      </w:pPr>
    </w:p>
    <w:p w14:paraId="0126026C" w14:textId="77777777" w:rsidR="0026755E" w:rsidRDefault="0026755E" w:rsidP="00576C50">
      <w:pPr>
        <w:spacing w:line="240" w:lineRule="auto"/>
        <w:jc w:val="both"/>
        <w:rPr>
          <w:b/>
          <w:color w:val="000000"/>
          <w:sz w:val="20"/>
          <w:szCs w:val="20"/>
        </w:rPr>
      </w:pPr>
    </w:p>
    <w:p w14:paraId="72FC2F92" w14:textId="5643C694" w:rsidR="00454E0C" w:rsidRPr="00576C50" w:rsidRDefault="00894EA7" w:rsidP="00576C50">
      <w:pPr>
        <w:spacing w:line="240" w:lineRule="auto"/>
        <w:jc w:val="both"/>
        <w:rPr>
          <w:b/>
          <w:color w:val="000000"/>
          <w:sz w:val="20"/>
          <w:szCs w:val="20"/>
        </w:rPr>
      </w:pPr>
      <w:r w:rsidRPr="00576C50">
        <w:rPr>
          <w:b/>
          <w:color w:val="000000"/>
          <w:sz w:val="20"/>
          <w:szCs w:val="20"/>
        </w:rPr>
        <w:t xml:space="preserve">About </w:t>
      </w:r>
      <w:proofErr w:type="spellStart"/>
      <w:r w:rsidRPr="00576C50">
        <w:rPr>
          <w:b/>
          <w:color w:val="000000"/>
          <w:sz w:val="20"/>
          <w:szCs w:val="20"/>
        </w:rPr>
        <w:t>TerrAscend</w:t>
      </w:r>
      <w:proofErr w:type="spellEnd"/>
    </w:p>
    <w:p w14:paraId="405CBF91" w14:textId="3866D1AA" w:rsidR="007E4FCC" w:rsidRDefault="007E4FCC" w:rsidP="007E4FCC">
      <w:pPr>
        <w:jc w:val="both"/>
        <w:rPr>
          <w:sz w:val="20"/>
          <w:szCs w:val="20"/>
        </w:rPr>
      </w:pPr>
      <w:proofErr w:type="spellStart"/>
      <w:r>
        <w:rPr>
          <w:sz w:val="20"/>
          <w:szCs w:val="20"/>
        </w:rPr>
        <w:lastRenderedPageBreak/>
        <w:t>TerrAscend</w:t>
      </w:r>
      <w:proofErr w:type="spellEnd"/>
      <w:r>
        <w:rPr>
          <w:sz w:val="20"/>
          <w:szCs w:val="20"/>
        </w:rPr>
        <w:t xml:space="preserve"> is a leading North American cannabis operator with vertically integrated operations in Pennsylvania, New Jersey, and California in addition to operating as a licensed producer in Canada. </w:t>
      </w:r>
      <w:proofErr w:type="spellStart"/>
      <w:r>
        <w:rPr>
          <w:sz w:val="20"/>
          <w:szCs w:val="20"/>
        </w:rPr>
        <w:t>TerrAscend</w:t>
      </w:r>
      <w:proofErr w:type="spellEnd"/>
      <w:r>
        <w:rPr>
          <w:sz w:val="20"/>
          <w:szCs w:val="20"/>
        </w:rPr>
        <w:t xml:space="preserve"> operates an award-winning chain of </w:t>
      </w:r>
      <w:proofErr w:type="spellStart"/>
      <w:r>
        <w:rPr>
          <w:sz w:val="20"/>
          <w:szCs w:val="20"/>
        </w:rPr>
        <w:t>Apothecarium</w:t>
      </w:r>
      <w:proofErr w:type="spellEnd"/>
      <w:r>
        <w:rPr>
          <w:sz w:val="20"/>
          <w:szCs w:val="20"/>
        </w:rPr>
        <w:t xml:space="preserve"> dispensary retail locations as well as scaled cultivation, processing, and manufacturing facilities on both the East and West coasts. </w:t>
      </w:r>
      <w:proofErr w:type="spellStart"/>
      <w:r>
        <w:rPr>
          <w:sz w:val="20"/>
          <w:szCs w:val="20"/>
        </w:rPr>
        <w:t>TerrAscend’s</w:t>
      </w:r>
      <w:proofErr w:type="spellEnd"/>
      <w:r>
        <w:rPr>
          <w:sz w:val="20"/>
          <w:szCs w:val="20"/>
        </w:rPr>
        <w:t xml:space="preserve"> best-in-class cultivation and manufacturing practices yield consistent, high-quality cannabis, providing industry-leading product selection to both the medical and legal adult-use market. The Company owns a number of synergistic businesses and brands, including The </w:t>
      </w:r>
      <w:proofErr w:type="spellStart"/>
      <w:r>
        <w:rPr>
          <w:sz w:val="20"/>
          <w:szCs w:val="20"/>
        </w:rPr>
        <w:t>Apothecarium</w:t>
      </w:r>
      <w:proofErr w:type="spellEnd"/>
      <w:r>
        <w:rPr>
          <w:sz w:val="20"/>
          <w:szCs w:val="20"/>
        </w:rPr>
        <w:t xml:space="preserve">, </w:t>
      </w:r>
      <w:proofErr w:type="spellStart"/>
      <w:r>
        <w:rPr>
          <w:sz w:val="20"/>
          <w:szCs w:val="20"/>
        </w:rPr>
        <w:t>Ilera</w:t>
      </w:r>
      <w:proofErr w:type="spellEnd"/>
      <w:r>
        <w:rPr>
          <w:sz w:val="20"/>
          <w:szCs w:val="20"/>
        </w:rPr>
        <w:t xml:space="preserve"> Healthcare, State Flower, Valhalla Confections, and Arise Bioscience Inc. For more information, visit </w:t>
      </w:r>
      <w:hyperlink r:id="rId8" w:history="1">
        <w:r w:rsidR="009C7C6A" w:rsidRPr="0009007F">
          <w:rPr>
            <w:rStyle w:val="Hyperlink"/>
            <w:sz w:val="20"/>
            <w:szCs w:val="20"/>
          </w:rPr>
          <w:t>www.terrascend.com</w:t>
        </w:r>
      </w:hyperlink>
      <w:r>
        <w:rPr>
          <w:sz w:val="20"/>
          <w:szCs w:val="20"/>
        </w:rPr>
        <w:t>.</w:t>
      </w:r>
    </w:p>
    <w:p w14:paraId="087BC38D" w14:textId="5B863787" w:rsidR="009C7C6A" w:rsidRDefault="009C7C6A" w:rsidP="007E4FCC">
      <w:pPr>
        <w:jc w:val="both"/>
        <w:rPr>
          <w:sz w:val="20"/>
          <w:szCs w:val="20"/>
        </w:rPr>
      </w:pPr>
    </w:p>
    <w:p w14:paraId="23C3A4D3" w14:textId="77777777" w:rsidR="009C7C6A" w:rsidRPr="00D4288E" w:rsidRDefault="009C7C6A" w:rsidP="009C7C6A">
      <w:pPr>
        <w:jc w:val="both"/>
        <w:rPr>
          <w:b/>
          <w:bCs/>
          <w:sz w:val="20"/>
          <w:szCs w:val="20"/>
        </w:rPr>
      </w:pPr>
      <w:r w:rsidRPr="00D4288E">
        <w:rPr>
          <w:b/>
          <w:bCs/>
          <w:sz w:val="20"/>
          <w:szCs w:val="20"/>
        </w:rPr>
        <w:t>Non-IFRS Measures, Reconciliation and Discussion</w:t>
      </w:r>
    </w:p>
    <w:p w14:paraId="74769310" w14:textId="565F9DF0" w:rsidR="009C7C6A" w:rsidRPr="009C7C6A" w:rsidRDefault="009C7C6A" w:rsidP="009C7C6A">
      <w:pPr>
        <w:jc w:val="both"/>
        <w:rPr>
          <w:sz w:val="20"/>
          <w:szCs w:val="20"/>
        </w:rPr>
      </w:pPr>
      <w:r w:rsidRPr="009C7C6A">
        <w:rPr>
          <w:sz w:val="20"/>
          <w:szCs w:val="20"/>
        </w:rPr>
        <w:t>Certain financial measures in this news release are non-IFRS measures</w:t>
      </w:r>
      <w:r>
        <w:rPr>
          <w:sz w:val="20"/>
          <w:szCs w:val="20"/>
        </w:rPr>
        <w:t xml:space="preserve">.  </w:t>
      </w:r>
      <w:r w:rsidRPr="009C7C6A">
        <w:rPr>
          <w:sz w:val="20"/>
          <w:szCs w:val="20"/>
        </w:rPr>
        <w:t>These terms are not defined by IFRS and, therefore, may not be comparable to similar measures provided by other companies. These metrics have no direct comparable IFRS financial measure. Such information is intended to provide additional information and should not be considered in isolation or as a substitute for measures of performance prepared in accordance with IFRS. For more information, please see “Non-IFRS Financial Measures” in the Company’s Interim MD&amp;A available on www.sedar.com.</w:t>
      </w:r>
    </w:p>
    <w:p w14:paraId="59D7851A" w14:textId="77777777" w:rsidR="009C7C6A" w:rsidRPr="009C7C6A" w:rsidRDefault="009C7C6A" w:rsidP="009C7C6A">
      <w:pPr>
        <w:jc w:val="both"/>
        <w:rPr>
          <w:sz w:val="20"/>
          <w:szCs w:val="20"/>
        </w:rPr>
      </w:pPr>
    </w:p>
    <w:p w14:paraId="3C1A262A" w14:textId="77777777" w:rsidR="009C7C6A" w:rsidRPr="009C7C6A" w:rsidRDefault="009C7C6A" w:rsidP="009C7C6A">
      <w:pPr>
        <w:jc w:val="both"/>
        <w:rPr>
          <w:sz w:val="20"/>
          <w:szCs w:val="20"/>
        </w:rPr>
      </w:pPr>
      <w:r w:rsidRPr="009C7C6A">
        <w:rPr>
          <w:sz w:val="20"/>
          <w:szCs w:val="20"/>
        </w:rPr>
        <w:t>Adjusted EBITDA is a non-IFRS measure which management uses to evaluate the performance of the Company’s business as it reflects its ongoing profitability. The Company believes that certain investors and analysts use this measure to evaluate a company’s ability to service debt and to meet other payment obligations or as a common measurement to value companies in certain industries. The Company measures Adjusted EBITDA as EBITDA less unrealized gain on changes in fair value of biological assets and other income plus fair value changes in biological assets included in inventory sold, impairments, restructuring costs, purchase accounting adjustments, transaction costs, share based compensation, revaluation of warrants and derivatives liabilities, and unrealized loss on investments.</w:t>
      </w:r>
    </w:p>
    <w:p w14:paraId="70F37FD3" w14:textId="77777777" w:rsidR="00454E0C" w:rsidRDefault="00454E0C" w:rsidP="00576C50">
      <w:pPr>
        <w:keepNext/>
        <w:spacing w:line="240" w:lineRule="auto"/>
        <w:jc w:val="both"/>
        <w:rPr>
          <w:b/>
          <w:color w:val="000000"/>
          <w:sz w:val="18"/>
          <w:szCs w:val="18"/>
        </w:rPr>
      </w:pPr>
    </w:p>
    <w:p w14:paraId="55CBB47C" w14:textId="77777777" w:rsidR="009C7C6A" w:rsidRPr="009C7C6A" w:rsidRDefault="009C7C6A" w:rsidP="009C7C6A">
      <w:pPr>
        <w:spacing w:line="240" w:lineRule="auto"/>
        <w:jc w:val="both"/>
        <w:rPr>
          <w:b/>
          <w:bCs/>
          <w:color w:val="000000"/>
          <w:sz w:val="20"/>
          <w:szCs w:val="20"/>
        </w:rPr>
      </w:pPr>
      <w:r w:rsidRPr="009C7C6A">
        <w:rPr>
          <w:b/>
          <w:bCs/>
          <w:color w:val="000000"/>
          <w:sz w:val="20"/>
          <w:szCs w:val="20"/>
        </w:rPr>
        <w:t>Forward Looking Information</w:t>
      </w:r>
    </w:p>
    <w:p w14:paraId="2B9CED54" w14:textId="77777777" w:rsidR="009C7C6A" w:rsidRPr="00D4288E" w:rsidRDefault="009C7C6A" w:rsidP="009C7C6A">
      <w:pPr>
        <w:spacing w:line="240" w:lineRule="auto"/>
        <w:jc w:val="both"/>
        <w:rPr>
          <w:color w:val="000000"/>
          <w:sz w:val="20"/>
          <w:szCs w:val="20"/>
        </w:rPr>
      </w:pPr>
      <w:r w:rsidRPr="00D4288E">
        <w:rPr>
          <w:color w:val="000000"/>
          <w:sz w:val="20"/>
          <w:szCs w:val="20"/>
        </w:rPr>
        <w:t>This news release contains “forward-looking information” within the meaning of applicable securities laws. Forward-looking information contained in this press release may be identified by the use of words such as, “may”, “would”, “could”, “will”, “likely”, “expect”, “anticipate”, “believe, “intend”, “plan”, “forecast”, “project”, “estimate”, “outlook” and other similar expressions, and include statements with respect to future revenue and profits. Forward-looking information is not a guarantee of future performance and is based upon a number of estimates and assumptions of management in light of management’s experience and perception of trends, current conditions and expected developments, as well as other factors relevant in the circumstances, including assumptions in respect of current and future market conditions, the current and future regulatory environment; and the availability of licenses, approvals and permits.</w:t>
      </w:r>
    </w:p>
    <w:p w14:paraId="3E498742" w14:textId="77777777" w:rsidR="009C7C6A" w:rsidRPr="00D4288E" w:rsidRDefault="009C7C6A" w:rsidP="009C7C6A">
      <w:pPr>
        <w:spacing w:line="240" w:lineRule="auto"/>
        <w:jc w:val="both"/>
        <w:rPr>
          <w:color w:val="000000"/>
          <w:sz w:val="20"/>
          <w:szCs w:val="20"/>
        </w:rPr>
      </w:pPr>
    </w:p>
    <w:p w14:paraId="25D6D45B" w14:textId="77777777" w:rsidR="009C7C6A" w:rsidRPr="00D4288E" w:rsidRDefault="009C7C6A" w:rsidP="009C7C6A">
      <w:pPr>
        <w:spacing w:line="240" w:lineRule="auto"/>
        <w:jc w:val="both"/>
        <w:rPr>
          <w:color w:val="000000"/>
          <w:sz w:val="20"/>
          <w:szCs w:val="20"/>
        </w:rPr>
      </w:pPr>
      <w:r w:rsidRPr="00D4288E">
        <w:rPr>
          <w:color w:val="000000"/>
          <w:sz w:val="20"/>
          <w:szCs w:val="20"/>
        </w:rPr>
        <w:t>Although the Company believes that the expectations and assumptions on which such forward-looking information is based are reasonable, undue reliance should not be placed on the forward-looking information because the Company can give no assurance that they will prove to be correct. Actual results and developments may differ materially from those contemplated by these statements. Forward-looking information is subject to a variety of risks and uncertainties that could cause actual events or results to differ materially from those projected in the forward-looking information. Such risks and uncertainties include, but are not limited to, current and future market conditions; risks related to federal, state, provincial, territorial, local and foreign government laws, rules and regulations, including federal and state laws in the United States relating to cannabis operations in the United States; and the risk factors set out in the Company’s most recently filed MD&amp;A, filed with the Canadian securities regulators and available under the Company’s profile on SEDAR at www.sedar.com.</w:t>
      </w:r>
    </w:p>
    <w:p w14:paraId="3D9D77AF" w14:textId="77777777" w:rsidR="009C7C6A" w:rsidRPr="00D4288E" w:rsidRDefault="009C7C6A" w:rsidP="009C7C6A">
      <w:pPr>
        <w:spacing w:line="240" w:lineRule="auto"/>
        <w:jc w:val="both"/>
        <w:rPr>
          <w:color w:val="000000"/>
          <w:sz w:val="20"/>
          <w:szCs w:val="20"/>
        </w:rPr>
      </w:pPr>
    </w:p>
    <w:p w14:paraId="06DBE728" w14:textId="77777777" w:rsidR="009C7C6A" w:rsidRPr="00D4288E" w:rsidRDefault="009C7C6A" w:rsidP="009C7C6A">
      <w:pPr>
        <w:spacing w:line="240" w:lineRule="auto"/>
        <w:jc w:val="both"/>
        <w:rPr>
          <w:color w:val="000000"/>
          <w:sz w:val="20"/>
          <w:szCs w:val="20"/>
        </w:rPr>
      </w:pPr>
      <w:r w:rsidRPr="00D4288E">
        <w:rPr>
          <w:color w:val="000000"/>
          <w:sz w:val="20"/>
          <w:szCs w:val="20"/>
        </w:rPr>
        <w:t>The statements in this press release are made as of the date of this release. The Company disclaims any intent or obligation to update any forward-looking information, whether as a result of new information, future events or results or otherwise, other than as required by applicable securities laws.</w:t>
      </w:r>
    </w:p>
    <w:p w14:paraId="4C070C71" w14:textId="082E7BF2" w:rsidR="009C7C6A" w:rsidRDefault="009C7C6A" w:rsidP="009C7C6A">
      <w:pPr>
        <w:spacing w:line="240" w:lineRule="auto"/>
        <w:jc w:val="both"/>
        <w:rPr>
          <w:b/>
          <w:bCs/>
          <w:color w:val="000000"/>
          <w:sz w:val="20"/>
          <w:szCs w:val="20"/>
        </w:rPr>
      </w:pPr>
    </w:p>
    <w:p w14:paraId="25B85A07" w14:textId="77777777" w:rsidR="007D7EEC" w:rsidRDefault="007D7EEC" w:rsidP="009C7C6A">
      <w:pPr>
        <w:spacing w:line="240" w:lineRule="auto"/>
        <w:jc w:val="both"/>
        <w:rPr>
          <w:b/>
          <w:bCs/>
          <w:color w:val="000000"/>
          <w:sz w:val="20"/>
          <w:szCs w:val="20"/>
        </w:rPr>
      </w:pPr>
    </w:p>
    <w:p w14:paraId="5C6BA58F" w14:textId="77777777" w:rsidR="007D7EEC" w:rsidRDefault="007D7EEC" w:rsidP="009C7C6A">
      <w:pPr>
        <w:spacing w:line="240" w:lineRule="auto"/>
        <w:jc w:val="both"/>
        <w:rPr>
          <w:b/>
          <w:bCs/>
          <w:color w:val="000000"/>
          <w:sz w:val="20"/>
          <w:szCs w:val="20"/>
        </w:rPr>
      </w:pPr>
    </w:p>
    <w:p w14:paraId="41437CB0" w14:textId="2C629144" w:rsidR="009C7C6A" w:rsidRDefault="009C7C6A" w:rsidP="009C7C6A">
      <w:pPr>
        <w:spacing w:line="240" w:lineRule="auto"/>
        <w:jc w:val="both"/>
        <w:rPr>
          <w:b/>
          <w:bCs/>
          <w:color w:val="000000"/>
          <w:sz w:val="20"/>
          <w:szCs w:val="20"/>
        </w:rPr>
      </w:pPr>
      <w:r w:rsidRPr="009C7C6A">
        <w:rPr>
          <w:b/>
          <w:bCs/>
          <w:color w:val="000000"/>
          <w:sz w:val="20"/>
          <w:szCs w:val="20"/>
        </w:rPr>
        <w:t>Financial Outlook</w:t>
      </w:r>
    </w:p>
    <w:p w14:paraId="17375F8C" w14:textId="0DCCD2EB" w:rsidR="009C7C6A" w:rsidRPr="009C7C6A" w:rsidRDefault="009C7C6A" w:rsidP="009C7C6A">
      <w:pPr>
        <w:spacing w:line="240" w:lineRule="auto"/>
        <w:jc w:val="both"/>
        <w:rPr>
          <w:b/>
          <w:bCs/>
          <w:color w:val="000000"/>
          <w:sz w:val="20"/>
          <w:szCs w:val="20"/>
        </w:rPr>
      </w:pPr>
      <w:r w:rsidRPr="00D4288E">
        <w:rPr>
          <w:color w:val="000000"/>
          <w:sz w:val="20"/>
          <w:szCs w:val="20"/>
        </w:rPr>
        <w:t xml:space="preserve">This press release contains a financial outlook within the meaning of applicable Canadian securities laws. The financial outlook has been prepared by management of </w:t>
      </w:r>
      <w:proofErr w:type="spellStart"/>
      <w:r w:rsidRPr="00D4288E">
        <w:rPr>
          <w:color w:val="000000"/>
          <w:sz w:val="20"/>
          <w:szCs w:val="20"/>
        </w:rPr>
        <w:t>TerrAscend</w:t>
      </w:r>
      <w:proofErr w:type="spellEnd"/>
      <w:r w:rsidRPr="00D4288E">
        <w:rPr>
          <w:color w:val="000000"/>
          <w:sz w:val="20"/>
          <w:szCs w:val="20"/>
        </w:rPr>
        <w:t xml:space="preserve"> to provide an outlook for full year 2021 and may not be appropriate for any other purpose. The financial outlook has been prepared based on a number of assumptions including the assumptions discussed under the heading “Forward Looking Information” above and assumptions with respect to production, pricing, and demand</w:t>
      </w:r>
      <w:r w:rsidR="007D7EEC">
        <w:rPr>
          <w:color w:val="000000"/>
          <w:sz w:val="20"/>
          <w:szCs w:val="20"/>
        </w:rPr>
        <w:t>.</w:t>
      </w:r>
      <w:r w:rsidRPr="00D4288E">
        <w:rPr>
          <w:color w:val="000000"/>
          <w:sz w:val="20"/>
          <w:szCs w:val="20"/>
        </w:rPr>
        <w:t xml:space="preserve"> </w:t>
      </w:r>
      <w:r w:rsidR="007D7EEC">
        <w:rPr>
          <w:color w:val="000000"/>
          <w:sz w:val="20"/>
          <w:szCs w:val="20"/>
        </w:rPr>
        <w:t xml:space="preserve"> </w:t>
      </w:r>
      <w:r w:rsidRPr="00D4288E">
        <w:rPr>
          <w:color w:val="000000"/>
          <w:sz w:val="20"/>
          <w:szCs w:val="20"/>
        </w:rPr>
        <w:t xml:space="preserve">The actual results of </w:t>
      </w:r>
      <w:proofErr w:type="spellStart"/>
      <w:r w:rsidRPr="00D4288E">
        <w:rPr>
          <w:color w:val="000000"/>
          <w:sz w:val="20"/>
          <w:szCs w:val="20"/>
        </w:rPr>
        <w:t>TerrAscend’s</w:t>
      </w:r>
      <w:proofErr w:type="spellEnd"/>
      <w:r w:rsidRPr="00D4288E">
        <w:rPr>
          <w:color w:val="000000"/>
          <w:sz w:val="20"/>
          <w:szCs w:val="20"/>
        </w:rPr>
        <w:t xml:space="preserve"> operations for any period will likely vary from the amounts set forth in these projections and such variations may be material. </w:t>
      </w:r>
      <w:proofErr w:type="spellStart"/>
      <w:r w:rsidRPr="00D4288E">
        <w:rPr>
          <w:color w:val="000000"/>
          <w:sz w:val="20"/>
          <w:szCs w:val="20"/>
        </w:rPr>
        <w:t>TerrAscend</w:t>
      </w:r>
      <w:proofErr w:type="spellEnd"/>
      <w:r w:rsidRPr="00D4288E">
        <w:rPr>
          <w:color w:val="000000"/>
          <w:sz w:val="20"/>
          <w:szCs w:val="20"/>
        </w:rPr>
        <w:t xml:space="preserve"> and its management believe that the financial outlook has been prepared on a reasonable basis. However, because this information is highly subjective and subject to numerous risks, including the risks discussed under the heading “Forward Looking Information” above, it should not be relied on as necessarily indicative of future results. Except as required by applicable Canadian securities laws, </w:t>
      </w:r>
      <w:proofErr w:type="spellStart"/>
      <w:r w:rsidRPr="00D4288E">
        <w:rPr>
          <w:color w:val="000000"/>
          <w:sz w:val="20"/>
          <w:szCs w:val="20"/>
        </w:rPr>
        <w:t>TerrAscend</w:t>
      </w:r>
      <w:proofErr w:type="spellEnd"/>
      <w:r w:rsidRPr="00D4288E">
        <w:rPr>
          <w:color w:val="000000"/>
          <w:sz w:val="20"/>
          <w:szCs w:val="20"/>
        </w:rPr>
        <w:t xml:space="preserve"> undertakes no obligation to update the financial outlook.</w:t>
      </w:r>
    </w:p>
    <w:p w14:paraId="4259292B" w14:textId="77777777" w:rsidR="009C7C6A" w:rsidRPr="00D4288E" w:rsidRDefault="009C7C6A" w:rsidP="009C7C6A">
      <w:pPr>
        <w:spacing w:line="240" w:lineRule="auto"/>
        <w:jc w:val="both"/>
        <w:rPr>
          <w:color w:val="000000"/>
          <w:sz w:val="20"/>
          <w:szCs w:val="20"/>
        </w:rPr>
      </w:pPr>
    </w:p>
    <w:p w14:paraId="718D3002" w14:textId="77777777" w:rsidR="009C7C6A" w:rsidRPr="00D4288E" w:rsidRDefault="009C7C6A" w:rsidP="009C7C6A">
      <w:pPr>
        <w:spacing w:line="240" w:lineRule="auto"/>
        <w:jc w:val="both"/>
        <w:rPr>
          <w:color w:val="000000"/>
          <w:sz w:val="20"/>
          <w:szCs w:val="20"/>
        </w:rPr>
      </w:pPr>
      <w:proofErr w:type="spellStart"/>
      <w:r w:rsidRPr="00D4288E">
        <w:rPr>
          <w:color w:val="000000"/>
          <w:sz w:val="20"/>
          <w:szCs w:val="20"/>
        </w:rPr>
        <w:t>TerrAscend</w:t>
      </w:r>
      <w:proofErr w:type="spellEnd"/>
      <w:r w:rsidRPr="00D4288E">
        <w:rPr>
          <w:color w:val="000000"/>
          <w:sz w:val="20"/>
          <w:szCs w:val="20"/>
        </w:rPr>
        <w:t xml:space="preserve"> undertakes no obligation to comment on analyses, expectations or statements made by third parties in respect of </w:t>
      </w:r>
      <w:proofErr w:type="spellStart"/>
      <w:r w:rsidRPr="00D4288E">
        <w:rPr>
          <w:color w:val="000000"/>
          <w:sz w:val="20"/>
          <w:szCs w:val="20"/>
        </w:rPr>
        <w:t>TerrAscend</w:t>
      </w:r>
      <w:proofErr w:type="spellEnd"/>
      <w:r w:rsidRPr="00D4288E">
        <w:rPr>
          <w:color w:val="000000"/>
          <w:sz w:val="20"/>
          <w:szCs w:val="20"/>
        </w:rPr>
        <w:t>, its securities, or financial or operating results (as applicable).</w:t>
      </w:r>
    </w:p>
    <w:p w14:paraId="7A559680" w14:textId="77777777" w:rsidR="009C7C6A" w:rsidRPr="00D4288E" w:rsidRDefault="009C7C6A" w:rsidP="009C7C6A">
      <w:pPr>
        <w:spacing w:line="240" w:lineRule="auto"/>
        <w:jc w:val="both"/>
        <w:rPr>
          <w:color w:val="000000"/>
          <w:sz w:val="20"/>
          <w:szCs w:val="20"/>
        </w:rPr>
      </w:pPr>
    </w:p>
    <w:p w14:paraId="3B1AA4BB" w14:textId="77777777" w:rsidR="009C7C6A" w:rsidRDefault="009C7C6A" w:rsidP="009C7C6A">
      <w:pPr>
        <w:spacing w:line="240" w:lineRule="auto"/>
        <w:jc w:val="both"/>
        <w:rPr>
          <w:b/>
          <w:bCs/>
          <w:color w:val="000000"/>
          <w:sz w:val="20"/>
          <w:szCs w:val="20"/>
        </w:rPr>
      </w:pPr>
    </w:p>
    <w:p w14:paraId="0A27E9C4" w14:textId="75FEE99F" w:rsidR="00BD5F95" w:rsidRDefault="00BD5F95" w:rsidP="00BD5F95">
      <w:pPr>
        <w:spacing w:line="240" w:lineRule="auto"/>
        <w:jc w:val="both"/>
        <w:rPr>
          <w:color w:val="000000"/>
          <w:sz w:val="20"/>
          <w:szCs w:val="20"/>
        </w:rPr>
      </w:pPr>
      <w:r>
        <w:rPr>
          <w:b/>
          <w:bCs/>
          <w:color w:val="000000"/>
          <w:sz w:val="20"/>
          <w:szCs w:val="20"/>
        </w:rPr>
        <w:t>Caution Regarding Cannabis Operations in the United States</w:t>
      </w:r>
    </w:p>
    <w:p w14:paraId="383FC624" w14:textId="77777777" w:rsidR="00BD5F95" w:rsidRDefault="00BD5F95" w:rsidP="00BD5F95">
      <w:pPr>
        <w:spacing w:line="240" w:lineRule="auto"/>
        <w:jc w:val="both"/>
        <w:rPr>
          <w:color w:val="000000"/>
          <w:sz w:val="20"/>
          <w:szCs w:val="20"/>
        </w:rPr>
      </w:pPr>
      <w:r>
        <w:rPr>
          <w:color w:val="000000"/>
          <w:sz w:val="20"/>
          <w:szCs w:val="20"/>
        </w:rPr>
        <w:t>Investors should note that there are significant legal restrictions and regulations that govern the cannabis industry in the United States. Cannabis remains a Schedule I drug under the US Controlled Substances Act, making it illegal under federal law in the United States to, among other things, cultivate, distribute or possess cannabis in the United States. Financial transactions involving proceeds generated by, or intended to promote, cannabis-related business activities in the United States may form the basis for prosecution under applicable US federal money laundering legislation.</w:t>
      </w:r>
    </w:p>
    <w:p w14:paraId="01A126ED" w14:textId="77777777" w:rsidR="00BD5F95" w:rsidRDefault="00BD5F95" w:rsidP="00BD5F95">
      <w:pPr>
        <w:spacing w:line="240" w:lineRule="auto"/>
        <w:jc w:val="both"/>
        <w:rPr>
          <w:color w:val="000000"/>
          <w:sz w:val="20"/>
          <w:szCs w:val="20"/>
        </w:rPr>
      </w:pPr>
    </w:p>
    <w:p w14:paraId="1E5F0F64" w14:textId="77777777" w:rsidR="00BD5F95" w:rsidRDefault="00BD5F95" w:rsidP="00BD5F95">
      <w:pPr>
        <w:spacing w:line="240" w:lineRule="auto"/>
        <w:jc w:val="both"/>
        <w:rPr>
          <w:b/>
          <w:sz w:val="20"/>
          <w:szCs w:val="20"/>
        </w:rPr>
      </w:pPr>
      <w:r>
        <w:rPr>
          <w:color w:val="000000"/>
          <w:sz w:val="20"/>
          <w:szCs w:val="20"/>
        </w:rPr>
        <w:t xml:space="preserve">While the approach to enforcement of such laws by the federal government in the United States has trended toward non-enforcement against individuals and businesses that comply with medical or adult-use cannabis programs in states where such programs are legal, strict compliance with state laws with respect to cannabis will neither absolve </w:t>
      </w:r>
      <w:proofErr w:type="spellStart"/>
      <w:r>
        <w:rPr>
          <w:color w:val="000000"/>
          <w:sz w:val="20"/>
          <w:szCs w:val="20"/>
        </w:rPr>
        <w:t>TerrAscend</w:t>
      </w:r>
      <w:proofErr w:type="spellEnd"/>
      <w:r>
        <w:rPr>
          <w:color w:val="000000"/>
          <w:sz w:val="20"/>
          <w:szCs w:val="20"/>
        </w:rPr>
        <w:t xml:space="preserve"> of liability under U.S. federal law, nor will it provide a defense to any federal proceeding which may be brought against </w:t>
      </w:r>
      <w:proofErr w:type="spellStart"/>
      <w:r>
        <w:rPr>
          <w:color w:val="000000"/>
          <w:sz w:val="20"/>
          <w:szCs w:val="20"/>
        </w:rPr>
        <w:t>TerrAscend</w:t>
      </w:r>
      <w:proofErr w:type="spellEnd"/>
      <w:r>
        <w:rPr>
          <w:color w:val="000000"/>
          <w:sz w:val="20"/>
          <w:szCs w:val="20"/>
        </w:rPr>
        <w:t xml:space="preserve">. The enforcement of federal laws in the United States is a significant risk to the business of </w:t>
      </w:r>
      <w:proofErr w:type="spellStart"/>
      <w:r>
        <w:rPr>
          <w:color w:val="000000"/>
          <w:sz w:val="20"/>
          <w:szCs w:val="20"/>
        </w:rPr>
        <w:t>TerrAscend</w:t>
      </w:r>
      <w:proofErr w:type="spellEnd"/>
      <w:r>
        <w:rPr>
          <w:color w:val="000000"/>
          <w:sz w:val="20"/>
          <w:szCs w:val="20"/>
        </w:rPr>
        <w:t xml:space="preserve"> and any proceedings brought against </w:t>
      </w:r>
      <w:proofErr w:type="spellStart"/>
      <w:r>
        <w:rPr>
          <w:color w:val="000000"/>
          <w:sz w:val="20"/>
          <w:szCs w:val="20"/>
        </w:rPr>
        <w:t>TerrAscend</w:t>
      </w:r>
      <w:proofErr w:type="spellEnd"/>
      <w:r>
        <w:rPr>
          <w:color w:val="000000"/>
          <w:sz w:val="20"/>
          <w:szCs w:val="20"/>
        </w:rPr>
        <w:t xml:space="preserve"> thereunder may adversely affect </w:t>
      </w:r>
      <w:proofErr w:type="spellStart"/>
      <w:r>
        <w:rPr>
          <w:color w:val="000000"/>
          <w:sz w:val="20"/>
          <w:szCs w:val="20"/>
        </w:rPr>
        <w:t>TerrAscend’s</w:t>
      </w:r>
      <w:proofErr w:type="spellEnd"/>
      <w:r>
        <w:rPr>
          <w:color w:val="000000"/>
          <w:sz w:val="20"/>
          <w:szCs w:val="20"/>
        </w:rPr>
        <w:t xml:space="preserve"> operations and financial performance.</w:t>
      </w:r>
    </w:p>
    <w:p w14:paraId="3A0C1064" w14:textId="77777777" w:rsidR="00454E0C" w:rsidRPr="00720B6D" w:rsidRDefault="00454E0C" w:rsidP="00576C50">
      <w:pPr>
        <w:spacing w:line="240" w:lineRule="auto"/>
        <w:jc w:val="both"/>
        <w:rPr>
          <w:b/>
          <w:sz w:val="20"/>
          <w:szCs w:val="20"/>
        </w:rPr>
      </w:pPr>
    </w:p>
    <w:p w14:paraId="7BDD9023" w14:textId="77777777" w:rsidR="00454E0C" w:rsidRPr="00720B6D" w:rsidRDefault="00894EA7" w:rsidP="00576C50">
      <w:pPr>
        <w:spacing w:line="240" w:lineRule="auto"/>
        <w:jc w:val="both"/>
        <w:rPr>
          <w:i/>
          <w:sz w:val="20"/>
          <w:szCs w:val="20"/>
        </w:rPr>
      </w:pPr>
      <w:r w:rsidRPr="00720B6D">
        <w:rPr>
          <w:i/>
          <w:sz w:val="20"/>
          <w:szCs w:val="20"/>
        </w:rPr>
        <w:t>For more information regarding </w:t>
      </w:r>
      <w:proofErr w:type="spellStart"/>
      <w:r w:rsidRPr="00720B6D">
        <w:rPr>
          <w:i/>
          <w:sz w:val="20"/>
          <w:szCs w:val="20"/>
        </w:rPr>
        <w:t>TerrAscend</w:t>
      </w:r>
      <w:proofErr w:type="spellEnd"/>
      <w:r w:rsidRPr="00720B6D">
        <w:rPr>
          <w:i/>
          <w:sz w:val="20"/>
          <w:szCs w:val="20"/>
        </w:rPr>
        <w:t xml:space="preserve">:  </w:t>
      </w:r>
    </w:p>
    <w:p w14:paraId="7DEF7750" w14:textId="77777777" w:rsidR="00454E0C" w:rsidRPr="00720B6D" w:rsidRDefault="00454E0C" w:rsidP="00576C50">
      <w:pPr>
        <w:spacing w:line="240" w:lineRule="auto"/>
        <w:jc w:val="both"/>
        <w:rPr>
          <w:sz w:val="20"/>
          <w:szCs w:val="20"/>
        </w:rPr>
      </w:pPr>
    </w:p>
    <w:p w14:paraId="66C127C7" w14:textId="23B1BE11" w:rsidR="00454E0C" w:rsidRPr="00720B6D" w:rsidRDefault="00E45DCB" w:rsidP="00576C50">
      <w:pPr>
        <w:spacing w:line="240" w:lineRule="auto"/>
        <w:jc w:val="both"/>
        <w:rPr>
          <w:sz w:val="20"/>
          <w:szCs w:val="20"/>
        </w:rPr>
      </w:pPr>
      <w:r>
        <w:rPr>
          <w:sz w:val="20"/>
          <w:szCs w:val="20"/>
        </w:rPr>
        <w:t>Keith Stauffer</w:t>
      </w:r>
    </w:p>
    <w:p w14:paraId="1B1FF6E7" w14:textId="77777777" w:rsidR="00454E0C" w:rsidRPr="00720B6D" w:rsidRDefault="00894EA7" w:rsidP="00576C50">
      <w:pPr>
        <w:spacing w:line="240" w:lineRule="auto"/>
        <w:jc w:val="both"/>
        <w:rPr>
          <w:sz w:val="20"/>
          <w:szCs w:val="20"/>
        </w:rPr>
      </w:pPr>
      <w:r w:rsidRPr="00720B6D">
        <w:rPr>
          <w:sz w:val="20"/>
          <w:szCs w:val="20"/>
        </w:rPr>
        <w:t>Chief Financial Officer</w:t>
      </w:r>
    </w:p>
    <w:p w14:paraId="344FCE31" w14:textId="77777777" w:rsidR="00454E0C" w:rsidRPr="00720B6D" w:rsidRDefault="00894EA7" w:rsidP="00576C50">
      <w:pPr>
        <w:spacing w:line="240" w:lineRule="auto"/>
        <w:jc w:val="both"/>
        <w:rPr>
          <w:sz w:val="20"/>
          <w:szCs w:val="20"/>
        </w:rPr>
      </w:pPr>
      <w:r w:rsidRPr="00720B6D">
        <w:rPr>
          <w:sz w:val="20"/>
          <w:szCs w:val="20"/>
        </w:rPr>
        <w:t>IR@terrascend.com</w:t>
      </w:r>
    </w:p>
    <w:p w14:paraId="1D49D53D" w14:textId="77777777" w:rsidR="00454E0C" w:rsidRPr="00720B6D" w:rsidRDefault="00454E0C" w:rsidP="00576C50">
      <w:pPr>
        <w:spacing w:line="240" w:lineRule="auto"/>
        <w:jc w:val="both"/>
        <w:rPr>
          <w:sz w:val="20"/>
          <w:szCs w:val="20"/>
        </w:rPr>
      </w:pPr>
    </w:p>
    <w:p w14:paraId="348653E9" w14:textId="77777777" w:rsidR="00454E0C" w:rsidRPr="00720B6D" w:rsidRDefault="00894EA7" w:rsidP="00576C50">
      <w:pPr>
        <w:spacing w:line="240" w:lineRule="auto"/>
        <w:jc w:val="both"/>
        <w:rPr>
          <w:sz w:val="20"/>
          <w:szCs w:val="20"/>
        </w:rPr>
      </w:pPr>
      <w:r w:rsidRPr="00720B6D">
        <w:rPr>
          <w:sz w:val="20"/>
          <w:szCs w:val="20"/>
        </w:rPr>
        <w:t>Rob Kelly</w:t>
      </w:r>
    </w:p>
    <w:p w14:paraId="204DE7D0" w14:textId="77777777" w:rsidR="00454E0C" w:rsidRPr="00720B6D" w:rsidRDefault="00894EA7" w:rsidP="00576C50">
      <w:pPr>
        <w:spacing w:line="240" w:lineRule="auto"/>
        <w:jc w:val="both"/>
        <w:rPr>
          <w:sz w:val="20"/>
          <w:szCs w:val="20"/>
        </w:rPr>
      </w:pPr>
      <w:r w:rsidRPr="00720B6D">
        <w:rPr>
          <w:sz w:val="20"/>
          <w:szCs w:val="20"/>
        </w:rPr>
        <w:t xml:space="preserve">Investor Relations, </w:t>
      </w:r>
      <w:proofErr w:type="spellStart"/>
      <w:r w:rsidRPr="00720B6D">
        <w:rPr>
          <w:sz w:val="20"/>
          <w:szCs w:val="20"/>
        </w:rPr>
        <w:t>Mattio</w:t>
      </w:r>
      <w:proofErr w:type="spellEnd"/>
      <w:r w:rsidRPr="00720B6D">
        <w:rPr>
          <w:sz w:val="20"/>
          <w:szCs w:val="20"/>
        </w:rPr>
        <w:t xml:space="preserve"> Communications</w:t>
      </w:r>
    </w:p>
    <w:p w14:paraId="67C2EC0E" w14:textId="77777777" w:rsidR="00454E0C" w:rsidRPr="00720B6D" w:rsidRDefault="005F12C0" w:rsidP="00576C50">
      <w:pPr>
        <w:spacing w:line="240" w:lineRule="auto"/>
        <w:jc w:val="both"/>
        <w:rPr>
          <w:sz w:val="20"/>
          <w:szCs w:val="20"/>
        </w:rPr>
      </w:pPr>
      <w:hyperlink r:id="rId9">
        <w:r w:rsidR="00894EA7" w:rsidRPr="00720B6D">
          <w:rPr>
            <w:sz w:val="20"/>
            <w:szCs w:val="20"/>
          </w:rPr>
          <w:t>TerrAscend@mattio.com</w:t>
        </w:r>
      </w:hyperlink>
    </w:p>
    <w:p w14:paraId="3BE6B897" w14:textId="77777777" w:rsidR="00454E0C" w:rsidRPr="00720B6D" w:rsidRDefault="00894EA7" w:rsidP="00576C50">
      <w:pPr>
        <w:spacing w:line="240" w:lineRule="auto"/>
        <w:jc w:val="both"/>
        <w:rPr>
          <w:sz w:val="20"/>
          <w:szCs w:val="20"/>
        </w:rPr>
      </w:pPr>
      <w:r w:rsidRPr="00720B6D">
        <w:rPr>
          <w:sz w:val="20"/>
          <w:szCs w:val="20"/>
        </w:rPr>
        <w:t>1-416-992-4539</w:t>
      </w:r>
    </w:p>
    <w:sectPr w:rsidR="00454E0C" w:rsidRPr="00720B6D" w:rsidSect="00757E48">
      <w:headerReference w:type="default" r:id="rId10"/>
      <w:headerReference w:type="first" r:id="rId11"/>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66D9D" w14:textId="77777777" w:rsidR="005F12C0" w:rsidRDefault="005F12C0">
      <w:pPr>
        <w:spacing w:line="240" w:lineRule="auto"/>
      </w:pPr>
      <w:r>
        <w:separator/>
      </w:r>
    </w:p>
  </w:endnote>
  <w:endnote w:type="continuationSeparator" w:id="0">
    <w:p w14:paraId="6362EFC9" w14:textId="77777777" w:rsidR="005F12C0" w:rsidRDefault="005F12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15CC8" w14:textId="77777777" w:rsidR="005F12C0" w:rsidRDefault="005F12C0">
      <w:pPr>
        <w:spacing w:line="240" w:lineRule="auto"/>
      </w:pPr>
      <w:r>
        <w:separator/>
      </w:r>
    </w:p>
  </w:footnote>
  <w:footnote w:type="continuationSeparator" w:id="0">
    <w:p w14:paraId="26AEF1DC" w14:textId="77777777" w:rsidR="005F12C0" w:rsidRDefault="005F12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C3CEC" w14:textId="77777777" w:rsidR="00454E0C" w:rsidRDefault="00454E0C">
    <w:pPr>
      <w:pBdr>
        <w:top w:val="nil"/>
        <w:left w:val="nil"/>
        <w:bottom w:val="nil"/>
        <w:right w:val="nil"/>
        <w:between w:val="nil"/>
      </w:pBdr>
      <w:tabs>
        <w:tab w:val="center" w:pos="4680"/>
        <w:tab w:val="right" w:pos="9360"/>
      </w:tabs>
      <w:spacing w:line="240" w:lineRule="auto"/>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ACA61" w14:textId="53C3E599" w:rsidR="00E45DCB" w:rsidRDefault="00E45DCB">
    <w:pPr>
      <w:pStyle w:val="Header"/>
    </w:pPr>
    <w:r>
      <w:rPr>
        <w:noProof/>
      </w:rPr>
      <w:drawing>
        <wp:anchor distT="0" distB="0" distL="114300" distR="114300" simplePos="0" relativeHeight="251658240" behindDoc="1" locked="0" layoutInCell="1" allowOverlap="1" wp14:anchorId="1807C0E5" wp14:editId="546D041C">
          <wp:simplePos x="0" y="0"/>
          <wp:positionH relativeFrom="margin">
            <wp:align>center</wp:align>
          </wp:positionH>
          <wp:positionV relativeFrom="paragraph">
            <wp:posOffset>0</wp:posOffset>
          </wp:positionV>
          <wp:extent cx="3011805" cy="572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1805" cy="5727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92975"/>
    <w:multiLevelType w:val="multilevel"/>
    <w:tmpl w:val="30E2B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A4666C"/>
    <w:multiLevelType w:val="multilevel"/>
    <w:tmpl w:val="FF0CF5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DF7845"/>
    <w:multiLevelType w:val="multilevel"/>
    <w:tmpl w:val="98F45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6F5512"/>
    <w:multiLevelType w:val="multilevel"/>
    <w:tmpl w:val="93103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C0358E"/>
    <w:multiLevelType w:val="multilevel"/>
    <w:tmpl w:val="885A8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D35DBD"/>
    <w:multiLevelType w:val="multilevel"/>
    <w:tmpl w:val="CAD86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4EC046C"/>
    <w:multiLevelType w:val="hybridMultilevel"/>
    <w:tmpl w:val="0764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E0C"/>
    <w:rsid w:val="00006FD1"/>
    <w:rsid w:val="0001245D"/>
    <w:rsid w:val="000324DE"/>
    <w:rsid w:val="00035FD8"/>
    <w:rsid w:val="00040586"/>
    <w:rsid w:val="000416DB"/>
    <w:rsid w:val="00043EFC"/>
    <w:rsid w:val="00061C4F"/>
    <w:rsid w:val="00061C5C"/>
    <w:rsid w:val="000908D6"/>
    <w:rsid w:val="000C38F7"/>
    <w:rsid w:val="000C39D3"/>
    <w:rsid w:val="000C55FE"/>
    <w:rsid w:val="000C5794"/>
    <w:rsid w:val="000C5E6A"/>
    <w:rsid w:val="000D534A"/>
    <w:rsid w:val="000E2775"/>
    <w:rsid w:val="000E32EE"/>
    <w:rsid w:val="000F1866"/>
    <w:rsid w:val="000F2B29"/>
    <w:rsid w:val="0010344A"/>
    <w:rsid w:val="00121DA4"/>
    <w:rsid w:val="00125CFD"/>
    <w:rsid w:val="001372C1"/>
    <w:rsid w:val="00180E06"/>
    <w:rsid w:val="0018174F"/>
    <w:rsid w:val="001A29D7"/>
    <w:rsid w:val="001A390D"/>
    <w:rsid w:val="001A3FAD"/>
    <w:rsid w:val="001B106D"/>
    <w:rsid w:val="001B5502"/>
    <w:rsid w:val="001B6209"/>
    <w:rsid w:val="001F14B7"/>
    <w:rsid w:val="002058C2"/>
    <w:rsid w:val="00206F8C"/>
    <w:rsid w:val="002267CE"/>
    <w:rsid w:val="00227EF7"/>
    <w:rsid w:val="0023116E"/>
    <w:rsid w:val="00241A09"/>
    <w:rsid w:val="002454BE"/>
    <w:rsid w:val="00250AA6"/>
    <w:rsid w:val="00266768"/>
    <w:rsid w:val="0026755E"/>
    <w:rsid w:val="002D0D67"/>
    <w:rsid w:val="002D4A50"/>
    <w:rsid w:val="002F250B"/>
    <w:rsid w:val="002F53A9"/>
    <w:rsid w:val="002F55BF"/>
    <w:rsid w:val="003034AF"/>
    <w:rsid w:val="00310EFE"/>
    <w:rsid w:val="00317BD9"/>
    <w:rsid w:val="00340D21"/>
    <w:rsid w:val="00356685"/>
    <w:rsid w:val="00361CF3"/>
    <w:rsid w:val="003654EF"/>
    <w:rsid w:val="00386469"/>
    <w:rsid w:val="00392150"/>
    <w:rsid w:val="00394F2C"/>
    <w:rsid w:val="003C2522"/>
    <w:rsid w:val="003C6476"/>
    <w:rsid w:val="003E0A0E"/>
    <w:rsid w:val="003E0F32"/>
    <w:rsid w:val="003F4C94"/>
    <w:rsid w:val="00400B6E"/>
    <w:rsid w:val="00415074"/>
    <w:rsid w:val="004251BA"/>
    <w:rsid w:val="004433B9"/>
    <w:rsid w:val="00454E0C"/>
    <w:rsid w:val="0047305D"/>
    <w:rsid w:val="0049317D"/>
    <w:rsid w:val="004A6A13"/>
    <w:rsid w:val="004D472D"/>
    <w:rsid w:val="004D5D1A"/>
    <w:rsid w:val="004F59D7"/>
    <w:rsid w:val="004F666E"/>
    <w:rsid w:val="004F6D41"/>
    <w:rsid w:val="00514BBF"/>
    <w:rsid w:val="00517A34"/>
    <w:rsid w:val="00524A6A"/>
    <w:rsid w:val="0053098E"/>
    <w:rsid w:val="00534B89"/>
    <w:rsid w:val="0053767C"/>
    <w:rsid w:val="00551F31"/>
    <w:rsid w:val="00560BA7"/>
    <w:rsid w:val="005638B6"/>
    <w:rsid w:val="005655FF"/>
    <w:rsid w:val="00574E51"/>
    <w:rsid w:val="00576C50"/>
    <w:rsid w:val="00580C60"/>
    <w:rsid w:val="0059396C"/>
    <w:rsid w:val="005B4A84"/>
    <w:rsid w:val="005C2225"/>
    <w:rsid w:val="005C4924"/>
    <w:rsid w:val="005F12C0"/>
    <w:rsid w:val="005F6D7A"/>
    <w:rsid w:val="00622FB7"/>
    <w:rsid w:val="0066028B"/>
    <w:rsid w:val="006C3C25"/>
    <w:rsid w:val="006C40AD"/>
    <w:rsid w:val="006D6885"/>
    <w:rsid w:val="006E3941"/>
    <w:rsid w:val="00704578"/>
    <w:rsid w:val="00717072"/>
    <w:rsid w:val="00720B6D"/>
    <w:rsid w:val="00733094"/>
    <w:rsid w:val="00745A9A"/>
    <w:rsid w:val="00757E48"/>
    <w:rsid w:val="00761649"/>
    <w:rsid w:val="00794C4D"/>
    <w:rsid w:val="007952AC"/>
    <w:rsid w:val="00795309"/>
    <w:rsid w:val="007A3E8F"/>
    <w:rsid w:val="007B5CFC"/>
    <w:rsid w:val="007D1B66"/>
    <w:rsid w:val="007D3477"/>
    <w:rsid w:val="007D7EEC"/>
    <w:rsid w:val="007E4FCC"/>
    <w:rsid w:val="007E6EBD"/>
    <w:rsid w:val="007F0F39"/>
    <w:rsid w:val="007F356A"/>
    <w:rsid w:val="0080288C"/>
    <w:rsid w:val="00810249"/>
    <w:rsid w:val="00832384"/>
    <w:rsid w:val="008525A3"/>
    <w:rsid w:val="00856BE5"/>
    <w:rsid w:val="00870D8A"/>
    <w:rsid w:val="00894EA7"/>
    <w:rsid w:val="008B631B"/>
    <w:rsid w:val="008C1CF5"/>
    <w:rsid w:val="008C38AA"/>
    <w:rsid w:val="008D52B8"/>
    <w:rsid w:val="008E4EFF"/>
    <w:rsid w:val="0091147B"/>
    <w:rsid w:val="00925D47"/>
    <w:rsid w:val="009305B3"/>
    <w:rsid w:val="00936E9D"/>
    <w:rsid w:val="009508F3"/>
    <w:rsid w:val="00956ABE"/>
    <w:rsid w:val="00960E0A"/>
    <w:rsid w:val="009625F9"/>
    <w:rsid w:val="00962F3D"/>
    <w:rsid w:val="009704B8"/>
    <w:rsid w:val="009936F3"/>
    <w:rsid w:val="00993F8C"/>
    <w:rsid w:val="009C7C6A"/>
    <w:rsid w:val="009D5443"/>
    <w:rsid w:val="009E63E0"/>
    <w:rsid w:val="00A13974"/>
    <w:rsid w:val="00A147F0"/>
    <w:rsid w:val="00A16125"/>
    <w:rsid w:val="00A34DC1"/>
    <w:rsid w:val="00A418BA"/>
    <w:rsid w:val="00A776C5"/>
    <w:rsid w:val="00A80E69"/>
    <w:rsid w:val="00A960BC"/>
    <w:rsid w:val="00AB1AC7"/>
    <w:rsid w:val="00AC63DB"/>
    <w:rsid w:val="00AD614C"/>
    <w:rsid w:val="00AF58DE"/>
    <w:rsid w:val="00B10BBC"/>
    <w:rsid w:val="00B31EAF"/>
    <w:rsid w:val="00B42238"/>
    <w:rsid w:val="00B54873"/>
    <w:rsid w:val="00B65528"/>
    <w:rsid w:val="00B70398"/>
    <w:rsid w:val="00B762BD"/>
    <w:rsid w:val="00B871DD"/>
    <w:rsid w:val="00BA23AB"/>
    <w:rsid w:val="00BC0273"/>
    <w:rsid w:val="00BC0CCD"/>
    <w:rsid w:val="00BC2FE2"/>
    <w:rsid w:val="00BC7048"/>
    <w:rsid w:val="00BD31CA"/>
    <w:rsid w:val="00BD5F95"/>
    <w:rsid w:val="00BF2EB9"/>
    <w:rsid w:val="00BF5FAE"/>
    <w:rsid w:val="00BF689D"/>
    <w:rsid w:val="00BF7FD2"/>
    <w:rsid w:val="00C06E24"/>
    <w:rsid w:val="00C07A54"/>
    <w:rsid w:val="00C17A10"/>
    <w:rsid w:val="00C279D4"/>
    <w:rsid w:val="00C32689"/>
    <w:rsid w:val="00C32959"/>
    <w:rsid w:val="00C36534"/>
    <w:rsid w:val="00C609EB"/>
    <w:rsid w:val="00CA0158"/>
    <w:rsid w:val="00D02F57"/>
    <w:rsid w:val="00D04577"/>
    <w:rsid w:val="00D25884"/>
    <w:rsid w:val="00D260A7"/>
    <w:rsid w:val="00D331E1"/>
    <w:rsid w:val="00D4288E"/>
    <w:rsid w:val="00D6019E"/>
    <w:rsid w:val="00D926B7"/>
    <w:rsid w:val="00DA1A35"/>
    <w:rsid w:val="00DC5984"/>
    <w:rsid w:val="00DD2156"/>
    <w:rsid w:val="00DD71F0"/>
    <w:rsid w:val="00E10359"/>
    <w:rsid w:val="00E13A9B"/>
    <w:rsid w:val="00E4567A"/>
    <w:rsid w:val="00E45DCB"/>
    <w:rsid w:val="00E81804"/>
    <w:rsid w:val="00E81D9C"/>
    <w:rsid w:val="00E95431"/>
    <w:rsid w:val="00EB17DF"/>
    <w:rsid w:val="00EB3DC0"/>
    <w:rsid w:val="00ED644F"/>
    <w:rsid w:val="00F03D38"/>
    <w:rsid w:val="00F16E17"/>
    <w:rsid w:val="00F17B02"/>
    <w:rsid w:val="00F273F8"/>
    <w:rsid w:val="00F365E2"/>
    <w:rsid w:val="00F87BFC"/>
    <w:rsid w:val="00F90DD2"/>
    <w:rsid w:val="00F933D9"/>
    <w:rsid w:val="00FB02A8"/>
    <w:rsid w:val="00FB2E60"/>
    <w:rsid w:val="00FB7DE0"/>
    <w:rsid w:val="00FC579F"/>
    <w:rsid w:val="00FD0549"/>
    <w:rsid w:val="00FE09F0"/>
    <w:rsid w:val="00FF0D97"/>
    <w:rsid w:val="00FF1C60"/>
    <w:rsid w:val="00FF3F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753B9"/>
  <w15:docId w15:val="{00A4D073-EFEE-412C-AE5A-69DE254C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A1A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A3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35FD8"/>
    <w:rPr>
      <w:b/>
      <w:bCs/>
    </w:rPr>
  </w:style>
  <w:style w:type="character" w:customStyle="1" w:styleId="CommentSubjectChar">
    <w:name w:val="Comment Subject Char"/>
    <w:basedOn w:val="CommentTextChar"/>
    <w:link w:val="CommentSubject"/>
    <w:uiPriority w:val="99"/>
    <w:semiHidden/>
    <w:rsid w:val="00035FD8"/>
    <w:rPr>
      <w:b/>
      <w:bCs/>
      <w:sz w:val="20"/>
      <w:szCs w:val="20"/>
    </w:rPr>
  </w:style>
  <w:style w:type="character" w:customStyle="1" w:styleId="xn-location">
    <w:name w:val="xn-location"/>
    <w:basedOn w:val="DefaultParagraphFont"/>
    <w:rsid w:val="00D260A7"/>
  </w:style>
  <w:style w:type="character" w:styleId="Hyperlink">
    <w:name w:val="Hyperlink"/>
    <w:basedOn w:val="DefaultParagraphFont"/>
    <w:uiPriority w:val="99"/>
    <w:unhideWhenUsed/>
    <w:rsid w:val="00BC0CCD"/>
    <w:rPr>
      <w:color w:val="0000FF" w:themeColor="hyperlink"/>
      <w:u w:val="single"/>
    </w:rPr>
  </w:style>
  <w:style w:type="character" w:styleId="UnresolvedMention">
    <w:name w:val="Unresolved Mention"/>
    <w:basedOn w:val="DefaultParagraphFont"/>
    <w:uiPriority w:val="99"/>
    <w:semiHidden/>
    <w:unhideWhenUsed/>
    <w:rsid w:val="00BC0CCD"/>
    <w:rPr>
      <w:color w:val="605E5C"/>
      <w:shd w:val="clear" w:color="auto" w:fill="E1DFDD"/>
    </w:rPr>
  </w:style>
  <w:style w:type="character" w:styleId="FollowedHyperlink">
    <w:name w:val="FollowedHyperlink"/>
    <w:basedOn w:val="DefaultParagraphFont"/>
    <w:uiPriority w:val="99"/>
    <w:semiHidden/>
    <w:unhideWhenUsed/>
    <w:rsid w:val="0026755E"/>
    <w:rPr>
      <w:color w:val="800080" w:themeColor="followedHyperlink"/>
      <w:u w:val="single"/>
    </w:rPr>
  </w:style>
  <w:style w:type="paragraph" w:styleId="Header">
    <w:name w:val="header"/>
    <w:basedOn w:val="Normal"/>
    <w:link w:val="HeaderChar"/>
    <w:uiPriority w:val="99"/>
    <w:unhideWhenUsed/>
    <w:rsid w:val="00E45DCB"/>
    <w:pPr>
      <w:tabs>
        <w:tab w:val="center" w:pos="4680"/>
        <w:tab w:val="right" w:pos="9360"/>
      </w:tabs>
      <w:spacing w:line="240" w:lineRule="auto"/>
    </w:pPr>
  </w:style>
  <w:style w:type="character" w:customStyle="1" w:styleId="HeaderChar">
    <w:name w:val="Header Char"/>
    <w:basedOn w:val="DefaultParagraphFont"/>
    <w:link w:val="Header"/>
    <w:uiPriority w:val="99"/>
    <w:rsid w:val="00E45DCB"/>
  </w:style>
  <w:style w:type="paragraph" w:styleId="Footer">
    <w:name w:val="footer"/>
    <w:basedOn w:val="Normal"/>
    <w:link w:val="FooterChar"/>
    <w:uiPriority w:val="99"/>
    <w:unhideWhenUsed/>
    <w:rsid w:val="00E45DCB"/>
    <w:pPr>
      <w:tabs>
        <w:tab w:val="center" w:pos="4680"/>
        <w:tab w:val="right" w:pos="9360"/>
      </w:tabs>
      <w:spacing w:line="240" w:lineRule="auto"/>
    </w:pPr>
  </w:style>
  <w:style w:type="character" w:customStyle="1" w:styleId="FooterChar">
    <w:name w:val="Footer Char"/>
    <w:basedOn w:val="DefaultParagraphFont"/>
    <w:link w:val="Footer"/>
    <w:uiPriority w:val="99"/>
    <w:rsid w:val="00E45DCB"/>
  </w:style>
  <w:style w:type="paragraph" w:styleId="NormalWeb">
    <w:name w:val="Normal (Web)"/>
    <w:basedOn w:val="Normal"/>
    <w:uiPriority w:val="99"/>
    <w:unhideWhenUsed/>
    <w:rsid w:val="008D52B8"/>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82773">
      <w:bodyDiv w:val="1"/>
      <w:marLeft w:val="0"/>
      <w:marRight w:val="0"/>
      <w:marTop w:val="0"/>
      <w:marBottom w:val="0"/>
      <w:divBdr>
        <w:top w:val="none" w:sz="0" w:space="0" w:color="auto"/>
        <w:left w:val="none" w:sz="0" w:space="0" w:color="auto"/>
        <w:bottom w:val="none" w:sz="0" w:space="0" w:color="auto"/>
        <w:right w:val="none" w:sz="0" w:space="0" w:color="auto"/>
      </w:divBdr>
    </w:div>
    <w:div w:id="400644929">
      <w:bodyDiv w:val="1"/>
      <w:marLeft w:val="0"/>
      <w:marRight w:val="0"/>
      <w:marTop w:val="0"/>
      <w:marBottom w:val="0"/>
      <w:divBdr>
        <w:top w:val="none" w:sz="0" w:space="0" w:color="auto"/>
        <w:left w:val="none" w:sz="0" w:space="0" w:color="auto"/>
        <w:bottom w:val="none" w:sz="0" w:space="0" w:color="auto"/>
        <w:right w:val="none" w:sz="0" w:space="0" w:color="auto"/>
      </w:divBdr>
    </w:div>
    <w:div w:id="401951506">
      <w:bodyDiv w:val="1"/>
      <w:marLeft w:val="0"/>
      <w:marRight w:val="0"/>
      <w:marTop w:val="0"/>
      <w:marBottom w:val="0"/>
      <w:divBdr>
        <w:top w:val="none" w:sz="0" w:space="0" w:color="auto"/>
        <w:left w:val="none" w:sz="0" w:space="0" w:color="auto"/>
        <w:bottom w:val="none" w:sz="0" w:space="0" w:color="auto"/>
        <w:right w:val="none" w:sz="0" w:space="0" w:color="auto"/>
      </w:divBdr>
    </w:div>
    <w:div w:id="540289486">
      <w:bodyDiv w:val="1"/>
      <w:marLeft w:val="0"/>
      <w:marRight w:val="0"/>
      <w:marTop w:val="0"/>
      <w:marBottom w:val="0"/>
      <w:divBdr>
        <w:top w:val="none" w:sz="0" w:space="0" w:color="auto"/>
        <w:left w:val="none" w:sz="0" w:space="0" w:color="auto"/>
        <w:bottom w:val="none" w:sz="0" w:space="0" w:color="auto"/>
        <w:right w:val="none" w:sz="0" w:space="0" w:color="auto"/>
      </w:divBdr>
    </w:div>
    <w:div w:id="656610108">
      <w:bodyDiv w:val="1"/>
      <w:marLeft w:val="0"/>
      <w:marRight w:val="0"/>
      <w:marTop w:val="0"/>
      <w:marBottom w:val="0"/>
      <w:divBdr>
        <w:top w:val="none" w:sz="0" w:space="0" w:color="auto"/>
        <w:left w:val="none" w:sz="0" w:space="0" w:color="auto"/>
        <w:bottom w:val="none" w:sz="0" w:space="0" w:color="auto"/>
        <w:right w:val="none" w:sz="0" w:space="0" w:color="auto"/>
      </w:divBdr>
    </w:div>
    <w:div w:id="1105881808">
      <w:bodyDiv w:val="1"/>
      <w:marLeft w:val="0"/>
      <w:marRight w:val="0"/>
      <w:marTop w:val="0"/>
      <w:marBottom w:val="0"/>
      <w:divBdr>
        <w:top w:val="none" w:sz="0" w:space="0" w:color="auto"/>
        <w:left w:val="none" w:sz="0" w:space="0" w:color="auto"/>
        <w:bottom w:val="none" w:sz="0" w:space="0" w:color="auto"/>
        <w:right w:val="none" w:sz="0" w:space="0" w:color="auto"/>
      </w:divBdr>
    </w:div>
    <w:div w:id="1116143740">
      <w:bodyDiv w:val="1"/>
      <w:marLeft w:val="0"/>
      <w:marRight w:val="0"/>
      <w:marTop w:val="0"/>
      <w:marBottom w:val="0"/>
      <w:divBdr>
        <w:top w:val="none" w:sz="0" w:space="0" w:color="auto"/>
        <w:left w:val="none" w:sz="0" w:space="0" w:color="auto"/>
        <w:bottom w:val="none" w:sz="0" w:space="0" w:color="auto"/>
        <w:right w:val="none" w:sz="0" w:space="0" w:color="auto"/>
      </w:divBdr>
    </w:div>
    <w:div w:id="1181702350">
      <w:bodyDiv w:val="1"/>
      <w:marLeft w:val="0"/>
      <w:marRight w:val="0"/>
      <w:marTop w:val="0"/>
      <w:marBottom w:val="0"/>
      <w:divBdr>
        <w:top w:val="none" w:sz="0" w:space="0" w:color="auto"/>
        <w:left w:val="none" w:sz="0" w:space="0" w:color="auto"/>
        <w:bottom w:val="none" w:sz="0" w:space="0" w:color="auto"/>
        <w:right w:val="none" w:sz="0" w:space="0" w:color="auto"/>
      </w:divBdr>
    </w:div>
    <w:div w:id="1277445131">
      <w:bodyDiv w:val="1"/>
      <w:marLeft w:val="0"/>
      <w:marRight w:val="0"/>
      <w:marTop w:val="0"/>
      <w:marBottom w:val="0"/>
      <w:divBdr>
        <w:top w:val="none" w:sz="0" w:space="0" w:color="auto"/>
        <w:left w:val="none" w:sz="0" w:space="0" w:color="auto"/>
        <w:bottom w:val="none" w:sz="0" w:space="0" w:color="auto"/>
        <w:right w:val="none" w:sz="0" w:space="0" w:color="auto"/>
      </w:divBdr>
    </w:div>
    <w:div w:id="1358894176">
      <w:bodyDiv w:val="1"/>
      <w:marLeft w:val="0"/>
      <w:marRight w:val="0"/>
      <w:marTop w:val="0"/>
      <w:marBottom w:val="0"/>
      <w:divBdr>
        <w:top w:val="none" w:sz="0" w:space="0" w:color="auto"/>
        <w:left w:val="none" w:sz="0" w:space="0" w:color="auto"/>
        <w:bottom w:val="none" w:sz="0" w:space="0" w:color="auto"/>
        <w:right w:val="none" w:sz="0" w:space="0" w:color="auto"/>
      </w:divBdr>
    </w:div>
    <w:div w:id="1427068347">
      <w:bodyDiv w:val="1"/>
      <w:marLeft w:val="0"/>
      <w:marRight w:val="0"/>
      <w:marTop w:val="0"/>
      <w:marBottom w:val="0"/>
      <w:divBdr>
        <w:top w:val="none" w:sz="0" w:space="0" w:color="auto"/>
        <w:left w:val="none" w:sz="0" w:space="0" w:color="auto"/>
        <w:bottom w:val="none" w:sz="0" w:space="0" w:color="auto"/>
        <w:right w:val="none" w:sz="0" w:space="0" w:color="auto"/>
      </w:divBdr>
    </w:div>
    <w:div w:id="1536579200">
      <w:bodyDiv w:val="1"/>
      <w:marLeft w:val="0"/>
      <w:marRight w:val="0"/>
      <w:marTop w:val="0"/>
      <w:marBottom w:val="0"/>
      <w:divBdr>
        <w:top w:val="none" w:sz="0" w:space="0" w:color="auto"/>
        <w:left w:val="none" w:sz="0" w:space="0" w:color="auto"/>
        <w:bottom w:val="none" w:sz="0" w:space="0" w:color="auto"/>
        <w:right w:val="none" w:sz="0" w:space="0" w:color="auto"/>
      </w:divBdr>
    </w:div>
    <w:div w:id="1758094508">
      <w:bodyDiv w:val="1"/>
      <w:marLeft w:val="0"/>
      <w:marRight w:val="0"/>
      <w:marTop w:val="0"/>
      <w:marBottom w:val="0"/>
      <w:divBdr>
        <w:top w:val="none" w:sz="0" w:space="0" w:color="auto"/>
        <w:left w:val="none" w:sz="0" w:space="0" w:color="auto"/>
        <w:bottom w:val="none" w:sz="0" w:space="0" w:color="auto"/>
        <w:right w:val="none" w:sz="0" w:space="0" w:color="auto"/>
      </w:divBdr>
    </w:div>
    <w:div w:id="1889754409">
      <w:bodyDiv w:val="1"/>
      <w:marLeft w:val="0"/>
      <w:marRight w:val="0"/>
      <w:marTop w:val="0"/>
      <w:marBottom w:val="0"/>
      <w:divBdr>
        <w:top w:val="none" w:sz="0" w:space="0" w:color="auto"/>
        <w:left w:val="none" w:sz="0" w:space="0" w:color="auto"/>
        <w:bottom w:val="none" w:sz="0" w:space="0" w:color="auto"/>
        <w:right w:val="none" w:sz="0" w:space="0" w:color="auto"/>
      </w:divBdr>
    </w:div>
    <w:div w:id="1939174124">
      <w:bodyDiv w:val="1"/>
      <w:marLeft w:val="0"/>
      <w:marRight w:val="0"/>
      <w:marTop w:val="0"/>
      <w:marBottom w:val="0"/>
      <w:divBdr>
        <w:top w:val="none" w:sz="0" w:space="0" w:color="auto"/>
        <w:left w:val="none" w:sz="0" w:space="0" w:color="auto"/>
        <w:bottom w:val="none" w:sz="0" w:space="0" w:color="auto"/>
        <w:right w:val="none" w:sz="0" w:space="0" w:color="auto"/>
      </w:divBdr>
    </w:div>
    <w:div w:id="2068644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rrascen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duceredition.webcasts.com/starthere.jsp?ei=1428643&amp;tp_key=02e558100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rrAscend@mattio.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Kelly</dc:creator>
  <cp:lastModifiedBy>alyssa marchassalla</cp:lastModifiedBy>
  <cp:revision>2</cp:revision>
  <cp:lastPrinted>2021-02-18T21:56:00Z</cp:lastPrinted>
  <dcterms:created xsi:type="dcterms:W3CDTF">2021-02-19T12:09:00Z</dcterms:created>
  <dcterms:modified xsi:type="dcterms:W3CDTF">2021-02-19T12:09:00Z</dcterms:modified>
</cp:coreProperties>
</file>