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7C8D" w14:textId="77777777" w:rsidR="00EA4133" w:rsidRPr="0001060A" w:rsidRDefault="00EA4133" w:rsidP="00FC57B8">
      <w:pPr>
        <w:pStyle w:val="Title"/>
        <w:spacing w:after="0"/>
        <w:rPr>
          <w:sz w:val="28"/>
          <w:lang w:val="en-CA"/>
        </w:rPr>
      </w:pPr>
      <w:r w:rsidRPr="0001060A">
        <w:rPr>
          <w:sz w:val="28"/>
          <w:lang w:val="en-CA"/>
        </w:rPr>
        <w:t>FORM 9</w:t>
      </w:r>
    </w:p>
    <w:p w14:paraId="175604F7" w14:textId="77777777" w:rsidR="00EA4133" w:rsidRPr="007568B3" w:rsidRDefault="00EA4133" w:rsidP="00FC57B8">
      <w:pPr>
        <w:pStyle w:val="Title"/>
        <w:spacing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5A09461B" w14:textId="77777777" w:rsidR="00EA4133" w:rsidRDefault="00EA4133" w:rsidP="00FC57B8">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7FFD014" w14:textId="77777777" w:rsidR="00FC57B8" w:rsidRDefault="00FC57B8" w:rsidP="00FC57B8">
      <w:pPr>
        <w:pStyle w:val="BodyText"/>
        <w:rPr>
          <w:rFonts w:ascii="Arial" w:hAnsi="Arial"/>
          <w:lang w:val="en-CA"/>
        </w:rPr>
      </w:pPr>
    </w:p>
    <w:p w14:paraId="30D35380" w14:textId="483DDACD" w:rsidR="00EA4133" w:rsidRDefault="00EA4133" w:rsidP="00FC57B8">
      <w:pPr>
        <w:pStyle w:val="BodyText"/>
        <w:rPr>
          <w:rFonts w:ascii="Arial" w:hAnsi="Arial"/>
          <w:lang w:val="en-CA"/>
        </w:rPr>
      </w:pPr>
      <w:r>
        <w:rPr>
          <w:rFonts w:ascii="Arial" w:hAnsi="Arial"/>
          <w:lang w:val="en-CA"/>
        </w:rPr>
        <w:t>Please complete the following:</w:t>
      </w:r>
    </w:p>
    <w:p w14:paraId="3637193C" w14:textId="7085D50B" w:rsidR="00EA4133" w:rsidRDefault="00EA4133" w:rsidP="00FC57B8">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113EBB">
        <w:rPr>
          <w:rFonts w:ascii="Arial" w:hAnsi="Arial"/>
          <w:u w:val="single"/>
          <w:lang w:val="en-CA"/>
        </w:rPr>
        <w:t>NanoSphere Health Sciences Inc.</w:t>
      </w:r>
      <w:r>
        <w:rPr>
          <w:rFonts w:ascii="Arial" w:hAnsi="Arial"/>
          <w:u w:val="single"/>
          <w:lang w:val="en-CA"/>
        </w:rPr>
        <w:tab/>
      </w:r>
      <w:r w:rsidR="00DF6FF5" w:rsidRPr="00DF6FF5">
        <w:rPr>
          <w:rFonts w:ascii="Arial" w:hAnsi="Arial"/>
          <w:lang w:val="en-CA"/>
        </w:rPr>
        <w:t xml:space="preserve"> </w:t>
      </w:r>
      <w:r>
        <w:rPr>
          <w:rFonts w:ascii="Arial" w:hAnsi="Arial"/>
          <w:lang w:val="en-CA"/>
        </w:rPr>
        <w:t>(the “Issuer”).</w:t>
      </w:r>
    </w:p>
    <w:p w14:paraId="7ACFF46D" w14:textId="4403A186"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113EBB">
        <w:rPr>
          <w:rFonts w:ascii="Arial" w:hAnsi="Arial"/>
          <w:u w:val="single"/>
          <w:lang w:val="en-CA"/>
        </w:rPr>
        <w:t>NSHS</w:t>
      </w:r>
      <w:r>
        <w:rPr>
          <w:rFonts w:ascii="Arial" w:hAnsi="Arial"/>
          <w:u w:val="single"/>
          <w:lang w:val="en-CA"/>
        </w:rPr>
        <w:tab/>
      </w:r>
      <w:r>
        <w:rPr>
          <w:rFonts w:ascii="Arial" w:hAnsi="Arial"/>
          <w:lang w:val="en-CA"/>
        </w:rPr>
        <w:t>.</w:t>
      </w:r>
    </w:p>
    <w:p w14:paraId="16E0ED71" w14:textId="44DE7119"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36119E">
        <w:rPr>
          <w:rFonts w:ascii="Arial" w:hAnsi="Arial"/>
          <w:u w:val="single"/>
          <w:lang w:val="en-CA"/>
        </w:rPr>
        <w:t xml:space="preserve">Feb. </w:t>
      </w:r>
      <w:r w:rsidR="00540A58">
        <w:rPr>
          <w:rFonts w:ascii="Arial" w:hAnsi="Arial"/>
          <w:u w:val="single"/>
          <w:lang w:val="en-CA"/>
        </w:rPr>
        <w:t>20</w:t>
      </w:r>
      <w:bookmarkStart w:id="0" w:name="_GoBack"/>
      <w:bookmarkEnd w:id="0"/>
      <w:r w:rsidR="0036119E">
        <w:rPr>
          <w:rFonts w:ascii="Arial" w:hAnsi="Arial"/>
          <w:u w:val="single"/>
          <w:lang w:val="en-CA"/>
        </w:rPr>
        <w:t>, 2019</w:t>
      </w:r>
      <w:r>
        <w:rPr>
          <w:rFonts w:ascii="Arial" w:hAnsi="Arial"/>
          <w:u w:val="single"/>
          <w:lang w:val="en-CA"/>
        </w:rPr>
        <w:tab/>
      </w:r>
      <w:r>
        <w:rPr>
          <w:rFonts w:ascii="Arial" w:hAnsi="Arial"/>
          <w:lang w:val="en-CA"/>
        </w:rPr>
        <w:t>.</w:t>
      </w:r>
    </w:p>
    <w:p w14:paraId="4E01B4A2" w14:textId="383847D6" w:rsidR="00EA4133" w:rsidRDefault="00EA4133" w:rsidP="00FC57B8">
      <w:pPr>
        <w:pStyle w:val="BodyText"/>
        <w:tabs>
          <w:tab w:val="left" w:pos="2160"/>
        </w:tabs>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2907FF">
        <w:rPr>
          <w:rFonts w:ascii="Arial" w:hAnsi="Arial"/>
          <w:lang w:val="en-CA"/>
        </w:rPr>
        <w:sym w:font="Wingdings" w:char="F0FE"/>
      </w:r>
      <w:r w:rsidR="00113EBB">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2907FF">
        <w:rPr>
          <w:rFonts w:ascii="Arial" w:hAnsi="Arial"/>
          <w:lang w:val="en-CA"/>
        </w:rPr>
        <w:sym w:font="Wingdings" w:char="F0A8"/>
      </w:r>
      <w:r w:rsidR="002907FF">
        <w:rPr>
          <w:rFonts w:ascii="Arial" w:hAnsi="Arial"/>
          <w:lang w:val="en-CA"/>
        </w:rPr>
        <w:t xml:space="preserve"> </w:t>
      </w:r>
      <w:r>
        <w:rPr>
          <w:rFonts w:ascii="Arial" w:hAnsi="Arial"/>
          <w:lang w:val="en-CA"/>
        </w:rPr>
        <w:t>No</w:t>
      </w:r>
      <w:r>
        <w:rPr>
          <w:rFonts w:ascii="Arial" w:hAnsi="Arial"/>
          <w:sz w:val="32"/>
          <w:lang w:val="en-CA"/>
        </w:rPr>
        <w:tab/>
      </w:r>
    </w:p>
    <w:p w14:paraId="327B879D" w14:textId="31850D46" w:rsidR="00EA4133" w:rsidRDefault="00EA4133" w:rsidP="00FC57B8">
      <w:pPr>
        <w:pStyle w:val="BodyText"/>
        <w:tabs>
          <w:tab w:val="left" w:pos="9180"/>
        </w:tabs>
        <w:rPr>
          <w:rFonts w:ascii="Arial" w:hAnsi="Arial"/>
          <w:lang w:val="en-CA"/>
        </w:rPr>
      </w:pPr>
      <w:r>
        <w:rPr>
          <w:rFonts w:ascii="Arial" w:hAnsi="Arial"/>
          <w:lang w:val="en-CA"/>
        </w:rPr>
        <w:t xml:space="preserve">If yes provide date(s) of prior Notices:  </w:t>
      </w:r>
      <w:r w:rsidR="00113EBB">
        <w:rPr>
          <w:rFonts w:ascii="Arial" w:hAnsi="Arial"/>
          <w:u w:val="single"/>
          <w:lang w:val="en-CA"/>
        </w:rPr>
        <w:t xml:space="preserve">  </w:t>
      </w:r>
      <w:r w:rsidR="002907FF">
        <w:rPr>
          <w:rFonts w:ascii="Arial" w:hAnsi="Arial"/>
          <w:u w:val="single"/>
          <w:lang w:val="en-CA"/>
        </w:rPr>
        <w:t>May 24, 2018</w:t>
      </w:r>
      <w:r w:rsidR="00113EBB">
        <w:rPr>
          <w:rFonts w:ascii="Arial" w:hAnsi="Arial"/>
          <w:u w:val="single"/>
          <w:lang w:val="en-CA"/>
        </w:rPr>
        <w:tab/>
      </w:r>
      <w:r w:rsidR="00FC57B8">
        <w:rPr>
          <w:rFonts w:ascii="Arial" w:hAnsi="Arial"/>
          <w:lang w:val="en-CA"/>
        </w:rPr>
        <w:t>.</w:t>
      </w:r>
    </w:p>
    <w:p w14:paraId="480E66EE" w14:textId="6BCC63FF" w:rsidR="00EA4133" w:rsidRDefault="00EA4133" w:rsidP="00FC57B8">
      <w:pPr>
        <w:pStyle w:val="BodyText"/>
        <w:tabs>
          <w:tab w:val="left" w:pos="9180"/>
        </w:tabs>
        <w:rPr>
          <w:rFonts w:ascii="Arial" w:hAnsi="Arial"/>
          <w:lang w:val="en-CA"/>
        </w:rPr>
      </w:pPr>
      <w:r>
        <w:rPr>
          <w:rFonts w:ascii="Arial" w:hAnsi="Arial"/>
          <w:lang w:val="en-CA"/>
        </w:rPr>
        <w:t xml:space="preserve">Issued and Outstanding Securities of Issuer Prior to Issuance:  </w:t>
      </w:r>
      <w:r w:rsidR="00113EBB" w:rsidRPr="00113EBB">
        <w:rPr>
          <w:rFonts w:ascii="Arial" w:hAnsi="Arial"/>
          <w:u w:val="single"/>
          <w:lang w:val="en-CA"/>
        </w:rPr>
        <w:t xml:space="preserve">  </w:t>
      </w:r>
      <w:r w:rsidR="002907FF" w:rsidRPr="002907FF">
        <w:rPr>
          <w:rFonts w:ascii="Arial" w:hAnsi="Arial" w:cs="Arial"/>
          <w:u w:val="single"/>
        </w:rPr>
        <w:t>101,567,332</w:t>
      </w:r>
      <w:r w:rsidR="00113EBB">
        <w:rPr>
          <w:u w:val="single"/>
        </w:rPr>
        <w:tab/>
      </w:r>
      <w:r>
        <w:rPr>
          <w:rFonts w:ascii="Arial" w:hAnsi="Arial"/>
          <w:lang w:val="en-CA"/>
        </w:rPr>
        <w:t>.</w:t>
      </w:r>
    </w:p>
    <w:p w14:paraId="6B8F8A94" w14:textId="087825E6" w:rsidR="00EA4133" w:rsidRDefault="00EA4133" w:rsidP="00FC57B8">
      <w:pPr>
        <w:pStyle w:val="BodyText"/>
        <w:tabs>
          <w:tab w:val="left" w:pos="9180"/>
        </w:tabs>
        <w:rPr>
          <w:rFonts w:ascii="Arial" w:hAnsi="Arial"/>
          <w:lang w:val="en-CA"/>
        </w:rPr>
      </w:pPr>
      <w:r>
        <w:rPr>
          <w:rFonts w:ascii="Arial" w:hAnsi="Arial"/>
          <w:lang w:val="en-CA"/>
        </w:rPr>
        <w:t xml:space="preserve">Date of News Release Announcing Private Placement:  </w:t>
      </w:r>
      <w:r w:rsidR="00113EBB" w:rsidRPr="00113EBB">
        <w:rPr>
          <w:u w:val="single"/>
        </w:rPr>
        <w:t xml:space="preserve">  </w:t>
      </w:r>
      <w:r w:rsidR="00F12016">
        <w:rPr>
          <w:u w:val="single"/>
        </w:rPr>
        <w:t xml:space="preserve">             </w:t>
      </w:r>
      <w:r w:rsidR="00113EBB" w:rsidRPr="002907FF">
        <w:rPr>
          <w:rFonts w:ascii="Arial" w:hAnsi="Arial" w:cs="Arial"/>
          <w:u w:val="single"/>
        </w:rPr>
        <w:t xml:space="preserve">May </w:t>
      </w:r>
      <w:r w:rsidR="006E764A" w:rsidRPr="002907FF">
        <w:rPr>
          <w:rFonts w:ascii="Arial" w:hAnsi="Arial" w:cs="Arial"/>
          <w:u w:val="single"/>
        </w:rPr>
        <w:t>24</w:t>
      </w:r>
      <w:r w:rsidR="00113EBB" w:rsidRPr="002907FF">
        <w:rPr>
          <w:rFonts w:ascii="Arial" w:hAnsi="Arial" w:cs="Arial"/>
          <w:u w:val="single"/>
        </w:rPr>
        <w:t>, 2018</w:t>
      </w:r>
      <w:r>
        <w:rPr>
          <w:rFonts w:ascii="Arial" w:hAnsi="Arial"/>
          <w:u w:val="single"/>
          <w:lang w:val="en-CA"/>
        </w:rPr>
        <w:tab/>
      </w:r>
      <w:r>
        <w:rPr>
          <w:rFonts w:ascii="Arial" w:hAnsi="Arial"/>
          <w:lang w:val="en-CA"/>
        </w:rPr>
        <w:t>.</w:t>
      </w:r>
    </w:p>
    <w:p w14:paraId="7CC452F6" w14:textId="3403D224" w:rsidR="00EA4133" w:rsidRDefault="00EA4133" w:rsidP="00FC57B8">
      <w:pPr>
        <w:pStyle w:val="BodyText"/>
        <w:tabs>
          <w:tab w:val="left" w:pos="9180"/>
        </w:tabs>
        <w:rPr>
          <w:rFonts w:ascii="Arial" w:hAnsi="Arial"/>
          <w:lang w:val="en-CA"/>
        </w:rPr>
      </w:pPr>
      <w:r>
        <w:rPr>
          <w:rFonts w:ascii="Arial" w:hAnsi="Arial"/>
          <w:lang w:val="en-CA"/>
        </w:rPr>
        <w:t xml:space="preserve">Closing Market Price on Day Preceding the Issuance of the News Release: </w:t>
      </w:r>
      <w:r w:rsidR="00113EBB">
        <w:rPr>
          <w:rFonts w:ascii="Arial" w:hAnsi="Arial"/>
          <w:lang w:val="en-CA"/>
        </w:rPr>
        <w:t xml:space="preserve"> </w:t>
      </w:r>
      <w:r w:rsidR="00113EBB" w:rsidRPr="00113EBB">
        <w:rPr>
          <w:rFonts w:ascii="Arial" w:hAnsi="Arial"/>
          <w:u w:val="single"/>
          <w:lang w:val="en-CA"/>
        </w:rPr>
        <w:t xml:space="preserve">  </w:t>
      </w:r>
      <w:r w:rsidR="00113EBB">
        <w:rPr>
          <w:rFonts w:ascii="Arial" w:hAnsi="Arial"/>
          <w:u w:val="single"/>
          <w:lang w:val="en-CA"/>
        </w:rPr>
        <w:t>$0.</w:t>
      </w:r>
      <w:r w:rsidR="006E764A">
        <w:rPr>
          <w:rFonts w:ascii="Arial" w:hAnsi="Arial"/>
          <w:u w:val="single"/>
          <w:lang w:val="en-CA"/>
        </w:rPr>
        <w:t>47</w:t>
      </w:r>
      <w:r w:rsidR="00113EBB" w:rsidRPr="00113EBB">
        <w:rPr>
          <w:rFonts w:ascii="Arial" w:hAnsi="Arial"/>
          <w:u w:val="single"/>
          <w:lang w:val="en-CA"/>
        </w:rPr>
        <w:tab/>
      </w:r>
      <w:r w:rsidR="00113EBB">
        <w:rPr>
          <w:rFonts w:ascii="Arial" w:hAnsi="Arial"/>
          <w:lang w:val="en-CA"/>
        </w:rPr>
        <w:t>.</w:t>
      </w:r>
    </w:p>
    <w:p w14:paraId="12AFA9AC" w14:textId="22D9072B" w:rsidR="00A90670" w:rsidRDefault="00EA4133" w:rsidP="00737DB2">
      <w:pPr>
        <w:pStyle w:val="BodyText"/>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7AF4B9FC" w14:textId="77777777" w:rsidR="00DF6FF5" w:rsidRDefault="00DF6FF5" w:rsidP="00DF6FF5">
      <w:pPr>
        <w:pStyle w:val="BodyText"/>
        <w:spacing w:before="0"/>
        <w:rPr>
          <w:rFonts w:ascii="Arial" w:hAnsi="Arial"/>
          <w:b/>
          <w:lang w:val="en-CA"/>
        </w:rPr>
      </w:pPr>
    </w:p>
    <w:tbl>
      <w:tblPr>
        <w:tblW w:w="1017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080"/>
        <w:gridCol w:w="1350"/>
        <w:gridCol w:w="1260"/>
        <w:gridCol w:w="1260"/>
        <w:gridCol w:w="1080"/>
        <w:gridCol w:w="1080"/>
      </w:tblGrid>
      <w:tr w:rsidR="00EA4133" w14:paraId="3B15EB03" w14:textId="77777777" w:rsidTr="003E5DBC">
        <w:trPr>
          <w:trHeight w:val="1965"/>
        </w:trPr>
        <w:tc>
          <w:tcPr>
            <w:tcW w:w="1800" w:type="dxa"/>
          </w:tcPr>
          <w:p w14:paraId="780CDA29" w14:textId="77777777" w:rsidR="00EA4133" w:rsidRPr="003E5DBC" w:rsidRDefault="00EA4133">
            <w:pPr>
              <w:pStyle w:val="BodyText"/>
              <w:spacing w:before="0" w:line="280" w:lineRule="exact"/>
              <w:jc w:val="center"/>
              <w:rPr>
                <w:rFonts w:ascii="Arial" w:hAnsi="Arial"/>
                <w:b/>
                <w:sz w:val="19"/>
                <w:szCs w:val="19"/>
                <w:lang w:val="en-CA"/>
              </w:rPr>
            </w:pPr>
          </w:p>
          <w:p w14:paraId="201A5D51"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Full Name &amp; Residential Address of Placee</w:t>
            </w:r>
          </w:p>
        </w:tc>
        <w:tc>
          <w:tcPr>
            <w:tcW w:w="1260" w:type="dxa"/>
          </w:tcPr>
          <w:p w14:paraId="2E7AC12C" w14:textId="77777777" w:rsidR="00EA4133" w:rsidRPr="003E5DBC" w:rsidRDefault="00EA4133">
            <w:pPr>
              <w:pStyle w:val="BodyText"/>
              <w:spacing w:before="0" w:line="280" w:lineRule="exact"/>
              <w:jc w:val="center"/>
              <w:rPr>
                <w:rFonts w:ascii="Arial" w:hAnsi="Arial"/>
                <w:b/>
                <w:sz w:val="19"/>
                <w:szCs w:val="19"/>
                <w:lang w:val="en-CA"/>
              </w:rPr>
            </w:pPr>
          </w:p>
          <w:p w14:paraId="3651792C"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Number of Securities Purchased or to be Purchased</w:t>
            </w:r>
          </w:p>
        </w:tc>
        <w:tc>
          <w:tcPr>
            <w:tcW w:w="1080" w:type="dxa"/>
          </w:tcPr>
          <w:p w14:paraId="6EA24BB2" w14:textId="77777777" w:rsidR="00EA4133" w:rsidRPr="003E5DBC" w:rsidRDefault="00EA4133">
            <w:pPr>
              <w:pStyle w:val="BodyText"/>
              <w:spacing w:before="0" w:line="280" w:lineRule="exact"/>
              <w:jc w:val="center"/>
              <w:rPr>
                <w:rFonts w:ascii="Arial" w:hAnsi="Arial"/>
                <w:b/>
                <w:sz w:val="19"/>
                <w:szCs w:val="19"/>
                <w:lang w:val="en-CA"/>
              </w:rPr>
            </w:pPr>
          </w:p>
          <w:p w14:paraId="633EED23"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Purchase price per Security (CDN$)</w:t>
            </w:r>
          </w:p>
        </w:tc>
        <w:tc>
          <w:tcPr>
            <w:tcW w:w="1350" w:type="dxa"/>
          </w:tcPr>
          <w:p w14:paraId="001C5320" w14:textId="77777777" w:rsidR="00EA4133" w:rsidRPr="003E5DBC" w:rsidRDefault="00EA4133">
            <w:pPr>
              <w:pStyle w:val="BodyText"/>
              <w:spacing w:before="0" w:line="280" w:lineRule="exact"/>
              <w:jc w:val="center"/>
              <w:rPr>
                <w:rFonts w:ascii="Arial" w:hAnsi="Arial"/>
                <w:b/>
                <w:sz w:val="19"/>
                <w:szCs w:val="19"/>
                <w:lang w:val="en-CA"/>
              </w:rPr>
            </w:pPr>
          </w:p>
          <w:p w14:paraId="59ADAC52"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Conversion</w:t>
            </w:r>
          </w:p>
          <w:p w14:paraId="76B89A62"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Price (if</w:t>
            </w:r>
          </w:p>
          <w:p w14:paraId="23078C9A" w14:textId="735A71FA" w:rsidR="00EA4133" w:rsidRPr="003E5DBC" w:rsidRDefault="003E5DBC">
            <w:pPr>
              <w:pStyle w:val="BodyText"/>
              <w:spacing w:before="0" w:line="280" w:lineRule="exact"/>
              <w:jc w:val="center"/>
              <w:rPr>
                <w:rFonts w:ascii="Arial" w:hAnsi="Arial"/>
                <w:b/>
                <w:sz w:val="19"/>
                <w:szCs w:val="19"/>
                <w:lang w:val="en-CA"/>
              </w:rPr>
            </w:pPr>
            <w:r>
              <w:rPr>
                <w:rFonts w:ascii="Arial" w:hAnsi="Arial"/>
                <w:b/>
                <w:sz w:val="19"/>
                <w:szCs w:val="19"/>
                <w:lang w:val="en-CA"/>
              </w:rPr>
              <w:t>a</w:t>
            </w:r>
            <w:r w:rsidR="00EA4133" w:rsidRPr="003E5DBC">
              <w:rPr>
                <w:rFonts w:ascii="Arial" w:hAnsi="Arial"/>
                <w:b/>
                <w:sz w:val="19"/>
                <w:szCs w:val="19"/>
                <w:lang w:val="en-CA"/>
              </w:rPr>
              <w:t>pplicable)</w:t>
            </w:r>
          </w:p>
        </w:tc>
        <w:tc>
          <w:tcPr>
            <w:tcW w:w="1260" w:type="dxa"/>
          </w:tcPr>
          <w:p w14:paraId="73A9B21B" w14:textId="77777777" w:rsidR="00EA4133" w:rsidRPr="003E5DBC" w:rsidRDefault="00EA4133">
            <w:pPr>
              <w:pStyle w:val="BodyText"/>
              <w:spacing w:before="0" w:line="280" w:lineRule="exact"/>
              <w:jc w:val="center"/>
              <w:rPr>
                <w:rFonts w:ascii="Arial" w:hAnsi="Arial"/>
                <w:b/>
                <w:sz w:val="19"/>
                <w:szCs w:val="19"/>
                <w:lang w:val="en-CA"/>
              </w:rPr>
            </w:pPr>
          </w:p>
          <w:p w14:paraId="50229E8F"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Prospectus Exemption</w:t>
            </w:r>
          </w:p>
        </w:tc>
        <w:tc>
          <w:tcPr>
            <w:tcW w:w="1260" w:type="dxa"/>
          </w:tcPr>
          <w:p w14:paraId="5B29AB64" w14:textId="7777777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rPr>
              <w:t>No. of Securities, directly or indirectly, Owned, Controlled or Directed</w:t>
            </w:r>
          </w:p>
        </w:tc>
        <w:tc>
          <w:tcPr>
            <w:tcW w:w="1080" w:type="dxa"/>
          </w:tcPr>
          <w:p w14:paraId="68A0F431" w14:textId="77777777" w:rsidR="00EA4133" w:rsidRPr="003E5DBC" w:rsidRDefault="00EA4133">
            <w:pPr>
              <w:pStyle w:val="BodyText"/>
              <w:spacing w:before="0" w:line="280" w:lineRule="exact"/>
              <w:jc w:val="center"/>
              <w:rPr>
                <w:rFonts w:ascii="Arial" w:hAnsi="Arial"/>
                <w:b/>
                <w:sz w:val="19"/>
                <w:szCs w:val="19"/>
                <w:lang w:val="en-CA"/>
              </w:rPr>
            </w:pPr>
          </w:p>
          <w:p w14:paraId="01C4E5FA" w14:textId="11F48B97" w:rsidR="00EA4133" w:rsidRPr="003E5DBC" w:rsidRDefault="00EA4133">
            <w:pPr>
              <w:pStyle w:val="BodyText"/>
              <w:spacing w:before="0" w:line="280" w:lineRule="exact"/>
              <w:jc w:val="center"/>
              <w:rPr>
                <w:rFonts w:ascii="Arial" w:hAnsi="Arial"/>
                <w:b/>
                <w:sz w:val="19"/>
                <w:szCs w:val="19"/>
                <w:lang w:val="en-CA"/>
              </w:rPr>
            </w:pPr>
            <w:r w:rsidRPr="003E5DBC">
              <w:rPr>
                <w:rFonts w:ascii="Arial" w:hAnsi="Arial"/>
                <w:b/>
                <w:sz w:val="19"/>
                <w:szCs w:val="19"/>
                <w:lang w:val="en-CA"/>
              </w:rPr>
              <w:t>Payment Date</w:t>
            </w:r>
            <w:r w:rsidR="003E5DBC">
              <w:rPr>
                <w:rFonts w:ascii="Arial" w:hAnsi="Arial"/>
                <w:b/>
                <w:sz w:val="19"/>
                <w:szCs w:val="19"/>
                <w:lang w:val="en-CA"/>
              </w:rPr>
              <w:t xml:space="preserve"> </w:t>
            </w:r>
            <w:r w:rsidRPr="003E5DBC">
              <w:rPr>
                <w:rFonts w:ascii="Arial" w:hAnsi="Arial"/>
                <w:b/>
                <w:sz w:val="19"/>
                <w:szCs w:val="19"/>
                <w:lang w:val="en-CA"/>
              </w:rPr>
              <w:t>(1)</w:t>
            </w:r>
          </w:p>
        </w:tc>
        <w:tc>
          <w:tcPr>
            <w:tcW w:w="1080" w:type="dxa"/>
          </w:tcPr>
          <w:p w14:paraId="79B76A0E" w14:textId="77777777" w:rsidR="00EA4133" w:rsidRPr="003E5DBC" w:rsidRDefault="00EA4133">
            <w:pPr>
              <w:pStyle w:val="BodyText"/>
              <w:spacing w:before="0" w:line="280" w:lineRule="exact"/>
              <w:jc w:val="center"/>
              <w:rPr>
                <w:rFonts w:ascii="Arial" w:hAnsi="Arial"/>
                <w:b/>
                <w:color w:val="000000"/>
                <w:sz w:val="19"/>
                <w:szCs w:val="19"/>
                <w:lang w:val="en-CA"/>
              </w:rPr>
            </w:pPr>
          </w:p>
          <w:p w14:paraId="0C6C8ACF" w14:textId="04257DAA" w:rsidR="00EA4133" w:rsidRPr="003E5DBC" w:rsidRDefault="00EA4133">
            <w:pPr>
              <w:pStyle w:val="BodyText"/>
              <w:spacing w:before="0" w:line="280" w:lineRule="exact"/>
              <w:jc w:val="center"/>
              <w:rPr>
                <w:rFonts w:ascii="Arial" w:hAnsi="Arial"/>
                <w:b/>
                <w:color w:val="000000"/>
                <w:sz w:val="19"/>
                <w:szCs w:val="19"/>
                <w:lang w:val="en-CA"/>
              </w:rPr>
            </w:pPr>
            <w:r w:rsidRPr="003E5DBC">
              <w:rPr>
                <w:rFonts w:ascii="Arial" w:hAnsi="Arial"/>
                <w:b/>
                <w:color w:val="000000"/>
                <w:sz w:val="19"/>
                <w:szCs w:val="19"/>
                <w:lang w:val="en-CA"/>
              </w:rPr>
              <w:t>Describe relation</w:t>
            </w:r>
            <w:r w:rsidR="004A1403" w:rsidRPr="003E5DBC">
              <w:rPr>
                <w:rFonts w:ascii="Arial" w:hAnsi="Arial"/>
                <w:b/>
                <w:color w:val="000000"/>
                <w:sz w:val="19"/>
                <w:szCs w:val="19"/>
                <w:lang w:val="en-CA"/>
              </w:rPr>
              <w:t>-</w:t>
            </w:r>
            <w:r w:rsidR="006E764A" w:rsidRPr="003E5DBC">
              <w:rPr>
                <w:rFonts w:ascii="Arial" w:hAnsi="Arial"/>
                <w:b/>
                <w:color w:val="000000"/>
                <w:sz w:val="19"/>
                <w:szCs w:val="19"/>
                <w:lang w:val="en-CA"/>
              </w:rPr>
              <w:t>s</w:t>
            </w:r>
            <w:r w:rsidRPr="003E5DBC">
              <w:rPr>
                <w:rFonts w:ascii="Arial" w:hAnsi="Arial"/>
                <w:b/>
                <w:color w:val="000000"/>
                <w:sz w:val="19"/>
                <w:szCs w:val="19"/>
                <w:lang w:val="en-CA"/>
              </w:rPr>
              <w:t>hip to Issuer (2)</w:t>
            </w:r>
          </w:p>
        </w:tc>
      </w:tr>
      <w:tr w:rsidR="00A90670" w14:paraId="7701B287" w14:textId="77777777" w:rsidTr="003E5DBC">
        <w:trPr>
          <w:trHeight w:val="85"/>
        </w:trPr>
        <w:tc>
          <w:tcPr>
            <w:tcW w:w="1800" w:type="dxa"/>
          </w:tcPr>
          <w:p w14:paraId="52E59453" w14:textId="77777777" w:rsidR="00A90670" w:rsidRPr="003E5DBC" w:rsidRDefault="00A90670" w:rsidP="00DF6FF5">
            <w:pPr>
              <w:pStyle w:val="BodyText"/>
              <w:spacing w:before="120" w:line="280" w:lineRule="exact"/>
              <w:rPr>
                <w:rFonts w:ascii="Arial" w:hAnsi="Arial"/>
                <w:sz w:val="19"/>
                <w:szCs w:val="19"/>
                <w:lang w:val="en-CA"/>
              </w:rPr>
            </w:pPr>
          </w:p>
        </w:tc>
        <w:tc>
          <w:tcPr>
            <w:tcW w:w="1260" w:type="dxa"/>
          </w:tcPr>
          <w:p w14:paraId="4C7823DF" w14:textId="77777777" w:rsidR="00A90670" w:rsidRPr="003E5DBC" w:rsidRDefault="00A90670" w:rsidP="00DF6FF5">
            <w:pPr>
              <w:pStyle w:val="BodyText"/>
              <w:spacing w:before="120" w:line="280" w:lineRule="exact"/>
              <w:rPr>
                <w:rFonts w:ascii="Arial" w:hAnsi="Arial"/>
                <w:sz w:val="19"/>
                <w:szCs w:val="19"/>
                <w:lang w:val="en-CA"/>
              </w:rPr>
            </w:pPr>
          </w:p>
        </w:tc>
        <w:tc>
          <w:tcPr>
            <w:tcW w:w="1080" w:type="dxa"/>
          </w:tcPr>
          <w:p w14:paraId="3804F52F" w14:textId="77777777" w:rsidR="00A90670" w:rsidRPr="003E5DBC" w:rsidRDefault="00A90670" w:rsidP="00DF6FF5">
            <w:pPr>
              <w:pStyle w:val="BodyText"/>
              <w:spacing w:before="120" w:line="280" w:lineRule="exact"/>
              <w:rPr>
                <w:rFonts w:ascii="Arial" w:hAnsi="Arial"/>
                <w:sz w:val="19"/>
                <w:szCs w:val="19"/>
                <w:lang w:val="en-CA"/>
              </w:rPr>
            </w:pPr>
          </w:p>
        </w:tc>
        <w:tc>
          <w:tcPr>
            <w:tcW w:w="1350" w:type="dxa"/>
          </w:tcPr>
          <w:p w14:paraId="313ED761" w14:textId="77777777" w:rsidR="00A90670" w:rsidRPr="003E5DBC" w:rsidRDefault="00A90670" w:rsidP="00DF6FF5">
            <w:pPr>
              <w:pStyle w:val="BodyText"/>
              <w:spacing w:before="120" w:line="280" w:lineRule="exact"/>
              <w:rPr>
                <w:rFonts w:ascii="Arial" w:hAnsi="Arial"/>
                <w:sz w:val="19"/>
                <w:szCs w:val="19"/>
                <w:lang w:val="en-CA"/>
              </w:rPr>
            </w:pPr>
          </w:p>
        </w:tc>
        <w:tc>
          <w:tcPr>
            <w:tcW w:w="1260" w:type="dxa"/>
          </w:tcPr>
          <w:p w14:paraId="52D96CC5" w14:textId="77777777" w:rsidR="00A90670" w:rsidRPr="003E5DBC" w:rsidRDefault="00A90670" w:rsidP="00DF6FF5">
            <w:pPr>
              <w:pStyle w:val="BodyText"/>
              <w:spacing w:before="120" w:line="280" w:lineRule="exact"/>
              <w:rPr>
                <w:rFonts w:ascii="Arial" w:hAnsi="Arial"/>
                <w:sz w:val="19"/>
                <w:szCs w:val="19"/>
                <w:lang w:val="en-CA"/>
              </w:rPr>
            </w:pPr>
          </w:p>
        </w:tc>
        <w:tc>
          <w:tcPr>
            <w:tcW w:w="1260" w:type="dxa"/>
          </w:tcPr>
          <w:p w14:paraId="7A2E94CF" w14:textId="77777777" w:rsidR="00A90670" w:rsidRPr="003E5DBC" w:rsidRDefault="00A90670" w:rsidP="00DF6FF5">
            <w:pPr>
              <w:pStyle w:val="BodyText"/>
              <w:spacing w:before="120" w:line="280" w:lineRule="exact"/>
              <w:rPr>
                <w:rFonts w:ascii="Arial" w:hAnsi="Arial"/>
                <w:sz w:val="19"/>
                <w:szCs w:val="19"/>
              </w:rPr>
            </w:pPr>
          </w:p>
        </w:tc>
        <w:tc>
          <w:tcPr>
            <w:tcW w:w="1080" w:type="dxa"/>
          </w:tcPr>
          <w:p w14:paraId="680FC1D5" w14:textId="77777777" w:rsidR="00A90670" w:rsidRPr="003E5DBC" w:rsidRDefault="00A90670" w:rsidP="00DF6FF5">
            <w:pPr>
              <w:pStyle w:val="BodyText"/>
              <w:spacing w:before="120" w:line="280" w:lineRule="exact"/>
              <w:rPr>
                <w:rFonts w:ascii="Arial" w:hAnsi="Arial"/>
                <w:sz w:val="19"/>
                <w:szCs w:val="19"/>
                <w:lang w:val="en-CA"/>
              </w:rPr>
            </w:pPr>
          </w:p>
        </w:tc>
        <w:tc>
          <w:tcPr>
            <w:tcW w:w="1080" w:type="dxa"/>
          </w:tcPr>
          <w:p w14:paraId="3F8BF34D" w14:textId="77777777" w:rsidR="00A90670" w:rsidRPr="003E5DBC" w:rsidRDefault="00A90670" w:rsidP="00DF6FF5">
            <w:pPr>
              <w:pStyle w:val="BodyText"/>
              <w:spacing w:before="120" w:line="280" w:lineRule="exact"/>
              <w:rPr>
                <w:rFonts w:ascii="Arial" w:hAnsi="Arial"/>
                <w:color w:val="000000"/>
                <w:sz w:val="19"/>
                <w:szCs w:val="19"/>
                <w:lang w:val="en-CA"/>
              </w:rPr>
            </w:pPr>
          </w:p>
        </w:tc>
      </w:tr>
      <w:tr w:rsidR="00A90670" w14:paraId="3AFB7F95" w14:textId="77777777" w:rsidTr="003E5DBC">
        <w:trPr>
          <w:trHeight w:val="116"/>
        </w:trPr>
        <w:tc>
          <w:tcPr>
            <w:tcW w:w="1800" w:type="dxa"/>
          </w:tcPr>
          <w:p w14:paraId="60C3D4FF" w14:textId="77777777" w:rsidR="00A90670" w:rsidRPr="003E5DBC" w:rsidRDefault="00A90670" w:rsidP="00DF6FF5">
            <w:pPr>
              <w:pStyle w:val="BodyText"/>
              <w:spacing w:before="120"/>
              <w:rPr>
                <w:rFonts w:ascii="Arial" w:hAnsi="Arial"/>
                <w:sz w:val="19"/>
                <w:szCs w:val="19"/>
                <w:lang w:val="en-CA"/>
              </w:rPr>
            </w:pPr>
          </w:p>
        </w:tc>
        <w:tc>
          <w:tcPr>
            <w:tcW w:w="1260" w:type="dxa"/>
          </w:tcPr>
          <w:p w14:paraId="53CF366B" w14:textId="77777777" w:rsidR="00A90670" w:rsidRPr="003E5DBC" w:rsidRDefault="00A90670" w:rsidP="00DF6FF5">
            <w:pPr>
              <w:pStyle w:val="BodyText"/>
              <w:spacing w:before="120"/>
              <w:rPr>
                <w:rFonts w:ascii="Arial" w:hAnsi="Arial"/>
                <w:sz w:val="19"/>
                <w:szCs w:val="19"/>
                <w:lang w:val="en-CA"/>
              </w:rPr>
            </w:pPr>
          </w:p>
        </w:tc>
        <w:tc>
          <w:tcPr>
            <w:tcW w:w="1080" w:type="dxa"/>
          </w:tcPr>
          <w:p w14:paraId="4F678368" w14:textId="77777777" w:rsidR="00A90670" w:rsidRPr="003E5DBC" w:rsidRDefault="00A90670" w:rsidP="00DF6FF5">
            <w:pPr>
              <w:pStyle w:val="BodyText"/>
              <w:spacing w:before="120"/>
              <w:rPr>
                <w:rFonts w:ascii="Arial" w:hAnsi="Arial"/>
                <w:sz w:val="19"/>
                <w:szCs w:val="19"/>
                <w:lang w:val="en-CA"/>
              </w:rPr>
            </w:pPr>
          </w:p>
        </w:tc>
        <w:tc>
          <w:tcPr>
            <w:tcW w:w="1350" w:type="dxa"/>
          </w:tcPr>
          <w:p w14:paraId="51291322" w14:textId="77777777" w:rsidR="00A90670" w:rsidRPr="003E5DBC" w:rsidRDefault="00A90670" w:rsidP="00DF6FF5">
            <w:pPr>
              <w:pStyle w:val="BodyText"/>
              <w:spacing w:before="120"/>
              <w:rPr>
                <w:rFonts w:ascii="Arial" w:hAnsi="Arial"/>
                <w:sz w:val="19"/>
                <w:szCs w:val="19"/>
                <w:lang w:val="en-CA"/>
              </w:rPr>
            </w:pPr>
          </w:p>
        </w:tc>
        <w:tc>
          <w:tcPr>
            <w:tcW w:w="1260" w:type="dxa"/>
          </w:tcPr>
          <w:p w14:paraId="2FCFDDD6" w14:textId="77777777" w:rsidR="00A90670" w:rsidRPr="003E5DBC" w:rsidRDefault="00A90670" w:rsidP="00DF6FF5">
            <w:pPr>
              <w:pStyle w:val="BodyText"/>
              <w:spacing w:before="120"/>
              <w:rPr>
                <w:rFonts w:ascii="Arial" w:hAnsi="Arial"/>
                <w:sz w:val="19"/>
                <w:szCs w:val="19"/>
                <w:lang w:val="en-CA"/>
              </w:rPr>
            </w:pPr>
          </w:p>
        </w:tc>
        <w:tc>
          <w:tcPr>
            <w:tcW w:w="1260" w:type="dxa"/>
          </w:tcPr>
          <w:p w14:paraId="547E3674" w14:textId="77777777" w:rsidR="00A90670" w:rsidRPr="003E5DBC" w:rsidRDefault="00A90670" w:rsidP="00DF6FF5">
            <w:pPr>
              <w:pStyle w:val="BodyText"/>
              <w:spacing w:before="120"/>
              <w:rPr>
                <w:rFonts w:ascii="Arial" w:hAnsi="Arial"/>
                <w:sz w:val="19"/>
                <w:szCs w:val="19"/>
                <w:lang w:val="en-CA"/>
              </w:rPr>
            </w:pPr>
          </w:p>
        </w:tc>
        <w:tc>
          <w:tcPr>
            <w:tcW w:w="1080" w:type="dxa"/>
          </w:tcPr>
          <w:p w14:paraId="08FBE692" w14:textId="77777777" w:rsidR="00A90670" w:rsidRPr="003E5DBC" w:rsidRDefault="00A90670" w:rsidP="00DF6FF5">
            <w:pPr>
              <w:pStyle w:val="BodyText"/>
              <w:spacing w:before="120"/>
              <w:rPr>
                <w:rFonts w:ascii="Arial" w:hAnsi="Arial"/>
                <w:sz w:val="19"/>
                <w:szCs w:val="19"/>
                <w:lang w:val="en-CA"/>
              </w:rPr>
            </w:pPr>
          </w:p>
        </w:tc>
        <w:tc>
          <w:tcPr>
            <w:tcW w:w="1080" w:type="dxa"/>
          </w:tcPr>
          <w:p w14:paraId="42C92E21" w14:textId="77777777" w:rsidR="00A90670" w:rsidRPr="003E5DBC" w:rsidRDefault="00A90670" w:rsidP="00DF6FF5">
            <w:pPr>
              <w:pStyle w:val="BodyText"/>
              <w:spacing w:before="120"/>
              <w:rPr>
                <w:rFonts w:ascii="Arial" w:hAnsi="Arial"/>
                <w:sz w:val="19"/>
                <w:szCs w:val="19"/>
                <w:lang w:val="en-CA"/>
              </w:rPr>
            </w:pPr>
          </w:p>
        </w:tc>
      </w:tr>
      <w:tr w:rsidR="00A90670" w14:paraId="435CA2EE" w14:textId="77777777" w:rsidTr="003E5DBC">
        <w:trPr>
          <w:trHeight w:val="377"/>
        </w:trPr>
        <w:tc>
          <w:tcPr>
            <w:tcW w:w="1800" w:type="dxa"/>
          </w:tcPr>
          <w:p w14:paraId="5D5A3791" w14:textId="77777777" w:rsidR="00A90670" w:rsidRPr="003E5DBC" w:rsidRDefault="00A90670" w:rsidP="00DF6FF5">
            <w:pPr>
              <w:pStyle w:val="BodyText"/>
              <w:spacing w:before="120"/>
              <w:rPr>
                <w:rFonts w:ascii="Arial" w:hAnsi="Arial"/>
                <w:sz w:val="19"/>
                <w:szCs w:val="19"/>
                <w:lang w:val="en-CA"/>
              </w:rPr>
            </w:pPr>
          </w:p>
        </w:tc>
        <w:tc>
          <w:tcPr>
            <w:tcW w:w="1260" w:type="dxa"/>
          </w:tcPr>
          <w:p w14:paraId="6912979B" w14:textId="77777777" w:rsidR="00A90670" w:rsidRPr="003E5DBC" w:rsidRDefault="00A90670" w:rsidP="00DF6FF5">
            <w:pPr>
              <w:pStyle w:val="BodyText"/>
              <w:spacing w:before="120"/>
              <w:rPr>
                <w:rFonts w:ascii="Arial" w:hAnsi="Arial"/>
                <w:sz w:val="19"/>
                <w:szCs w:val="19"/>
                <w:lang w:val="en-CA"/>
              </w:rPr>
            </w:pPr>
          </w:p>
        </w:tc>
        <w:tc>
          <w:tcPr>
            <w:tcW w:w="1080" w:type="dxa"/>
          </w:tcPr>
          <w:p w14:paraId="094EFEA9" w14:textId="77777777" w:rsidR="00A90670" w:rsidRPr="003E5DBC" w:rsidRDefault="00A90670" w:rsidP="00DF6FF5">
            <w:pPr>
              <w:pStyle w:val="BodyText"/>
              <w:spacing w:before="120"/>
              <w:rPr>
                <w:rFonts w:ascii="Arial" w:hAnsi="Arial"/>
                <w:sz w:val="19"/>
                <w:szCs w:val="19"/>
                <w:lang w:val="en-CA"/>
              </w:rPr>
            </w:pPr>
          </w:p>
        </w:tc>
        <w:tc>
          <w:tcPr>
            <w:tcW w:w="1350" w:type="dxa"/>
          </w:tcPr>
          <w:p w14:paraId="368C5BB5" w14:textId="77777777" w:rsidR="00A90670" w:rsidRPr="003E5DBC" w:rsidRDefault="00A90670" w:rsidP="00DF6FF5">
            <w:pPr>
              <w:pStyle w:val="BodyText"/>
              <w:spacing w:before="120"/>
              <w:rPr>
                <w:rFonts w:ascii="Arial" w:hAnsi="Arial"/>
                <w:sz w:val="19"/>
                <w:szCs w:val="19"/>
                <w:lang w:val="en-CA"/>
              </w:rPr>
            </w:pPr>
          </w:p>
        </w:tc>
        <w:tc>
          <w:tcPr>
            <w:tcW w:w="1260" w:type="dxa"/>
          </w:tcPr>
          <w:p w14:paraId="41A6FF14" w14:textId="77777777" w:rsidR="00A90670" w:rsidRPr="003E5DBC" w:rsidRDefault="00A90670" w:rsidP="00DF6FF5">
            <w:pPr>
              <w:pStyle w:val="BodyText"/>
              <w:spacing w:before="120"/>
              <w:rPr>
                <w:rFonts w:ascii="Arial" w:hAnsi="Arial"/>
                <w:sz w:val="19"/>
                <w:szCs w:val="19"/>
                <w:lang w:val="en-CA"/>
              </w:rPr>
            </w:pPr>
          </w:p>
        </w:tc>
        <w:tc>
          <w:tcPr>
            <w:tcW w:w="1260" w:type="dxa"/>
          </w:tcPr>
          <w:p w14:paraId="3E947151" w14:textId="77777777" w:rsidR="00A90670" w:rsidRPr="003E5DBC" w:rsidRDefault="00A90670" w:rsidP="00DF6FF5">
            <w:pPr>
              <w:pStyle w:val="BodyText"/>
              <w:spacing w:before="120"/>
              <w:rPr>
                <w:rFonts w:ascii="Arial" w:hAnsi="Arial"/>
                <w:sz w:val="19"/>
                <w:szCs w:val="19"/>
                <w:lang w:val="en-CA"/>
              </w:rPr>
            </w:pPr>
          </w:p>
        </w:tc>
        <w:tc>
          <w:tcPr>
            <w:tcW w:w="1080" w:type="dxa"/>
          </w:tcPr>
          <w:p w14:paraId="5FCBFC1A" w14:textId="77777777" w:rsidR="00A90670" w:rsidRPr="003E5DBC" w:rsidRDefault="00A90670" w:rsidP="00DF6FF5">
            <w:pPr>
              <w:pStyle w:val="BodyText"/>
              <w:spacing w:before="120"/>
              <w:rPr>
                <w:rFonts w:ascii="Arial" w:hAnsi="Arial"/>
                <w:sz w:val="19"/>
                <w:szCs w:val="19"/>
                <w:lang w:val="en-CA"/>
              </w:rPr>
            </w:pPr>
          </w:p>
        </w:tc>
        <w:tc>
          <w:tcPr>
            <w:tcW w:w="1080" w:type="dxa"/>
          </w:tcPr>
          <w:p w14:paraId="2F935CD2" w14:textId="77777777" w:rsidR="00A90670" w:rsidRPr="003E5DBC" w:rsidRDefault="00A90670" w:rsidP="00DF6FF5">
            <w:pPr>
              <w:pStyle w:val="BodyText"/>
              <w:spacing w:before="120"/>
              <w:rPr>
                <w:rFonts w:ascii="Arial" w:hAnsi="Arial"/>
                <w:sz w:val="19"/>
                <w:szCs w:val="19"/>
                <w:lang w:val="en-CA"/>
              </w:rPr>
            </w:pPr>
          </w:p>
        </w:tc>
      </w:tr>
    </w:tbl>
    <w:p w14:paraId="53E3589B"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53CB0B79"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76196BB1" w14:textId="77777777" w:rsidR="00EA4133" w:rsidRPr="008003B9" w:rsidRDefault="00EA4133" w:rsidP="00FC57B8">
      <w:pPr>
        <w:pStyle w:val="FootnoteText"/>
        <w:spacing w:before="240"/>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8455684" w14:textId="6E4BB7B4"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w:t>
      </w:r>
    </w:p>
    <w:p w14:paraId="2714F17A" w14:textId="26358568" w:rsidR="00EA4133" w:rsidRDefault="00EA4133" w:rsidP="00737DB2">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6980A1E5" w14:textId="69D354D2" w:rsidR="00EA4133" w:rsidRDefault="00EA4133" w:rsidP="00737DB2">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w:t>
      </w:r>
    </w:p>
    <w:p w14:paraId="06CFC076" w14:textId="77777777" w:rsidR="00EA4133" w:rsidRDefault="00EA4133" w:rsidP="00737DB2">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6B17226A"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1903B82" w14:textId="41CD0248" w:rsidR="00EA4133" w:rsidRDefault="00EA4133" w:rsidP="00F12016">
      <w:pPr>
        <w:pStyle w:val="BodyText"/>
        <w:keepNext/>
        <w:keepLines/>
        <w:tabs>
          <w:tab w:val="left" w:pos="1080"/>
          <w:tab w:val="left" w:pos="180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4547E5EF" w14:textId="70DD608A" w:rsidR="00EA4133" w:rsidRDefault="00EA4133" w:rsidP="00F12016">
      <w:pPr>
        <w:pStyle w:val="BodyText"/>
        <w:tabs>
          <w:tab w:val="left" w:pos="1080"/>
          <w:tab w:val="left" w:pos="180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724CD777" w14:textId="23A3AD60" w:rsidR="00EA4133" w:rsidRDefault="00EA4133" w:rsidP="00F12016">
      <w:pPr>
        <w:pStyle w:val="BodyText"/>
        <w:tabs>
          <w:tab w:val="left" w:pos="1080"/>
          <w:tab w:val="left" w:pos="180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08F2E1AD" w14:textId="593EF08C" w:rsidR="00EA4133" w:rsidRDefault="00EA4133" w:rsidP="00F12016">
      <w:pPr>
        <w:pStyle w:val="BodyText"/>
        <w:tabs>
          <w:tab w:val="left" w:pos="1080"/>
          <w:tab w:val="left" w:pos="180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F12016">
        <w:rPr>
          <w:rFonts w:ascii="Arial" w:hAnsi="Arial"/>
        </w:rPr>
        <w:t>:</w:t>
      </w:r>
      <w:r>
        <w:rPr>
          <w:rFonts w:ascii="Arial" w:hAnsi="Arial"/>
        </w:rPr>
        <w:t xml:space="preserve"> </w:t>
      </w:r>
      <w:r>
        <w:rPr>
          <w:rFonts w:ascii="Arial" w:hAnsi="Arial"/>
          <w:u w:val="single"/>
        </w:rPr>
        <w:tab/>
      </w:r>
      <w:r>
        <w:rPr>
          <w:rFonts w:ascii="Arial" w:hAnsi="Arial"/>
        </w:rPr>
        <w:t xml:space="preserve"> </w:t>
      </w:r>
    </w:p>
    <w:p w14:paraId="68C85D9F" w14:textId="77777777" w:rsidR="00EA4133" w:rsidRDefault="00EA4133" w:rsidP="00737DB2">
      <w:pPr>
        <w:pStyle w:val="BodyText"/>
        <w:numPr>
          <w:ilvl w:val="0"/>
          <w:numId w:val="10"/>
        </w:numPr>
        <w:tabs>
          <w:tab w:val="left" w:pos="1440"/>
          <w:tab w:val="left" w:pos="2160"/>
          <w:tab w:val="left" w:pos="9180"/>
        </w:tabs>
        <w:jc w:val="both"/>
        <w:rPr>
          <w:rFonts w:ascii="Arial" w:hAnsi="Arial"/>
        </w:rPr>
      </w:pPr>
      <w:r>
        <w:rPr>
          <w:rFonts w:ascii="Arial" w:hAnsi="Arial"/>
        </w:rPr>
        <w:t>Provide the following information if Warrants, (options) or other convertible securities are to be issued:</w:t>
      </w:r>
    </w:p>
    <w:p w14:paraId="69BC8A4E" w14:textId="19808ACB" w:rsidR="00EA4133" w:rsidRDefault="00EA4133" w:rsidP="00DF6FF5">
      <w:pPr>
        <w:pStyle w:val="List"/>
        <w:tabs>
          <w:tab w:val="left" w:pos="180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0112C19C" w14:textId="20C8C901" w:rsidR="00EA4133" w:rsidRDefault="00EA4133" w:rsidP="00DF6FF5">
      <w:pPr>
        <w:pStyle w:val="List"/>
        <w:numPr>
          <w:ilvl w:val="0"/>
          <w:numId w:val="11"/>
        </w:numPr>
        <w:tabs>
          <w:tab w:val="left" w:pos="1080"/>
          <w:tab w:val="left" w:pos="1800"/>
          <w:tab w:val="left" w:pos="4950"/>
          <w:tab w:val="left" w:pos="9180"/>
        </w:tabs>
        <w:rPr>
          <w:rFonts w:ascii="Arial" w:hAnsi="Arial"/>
          <w:u w:val="single"/>
        </w:rPr>
      </w:pPr>
      <w:r>
        <w:rPr>
          <w:rFonts w:ascii="Arial" w:hAnsi="Arial"/>
        </w:rPr>
        <w:tab/>
        <w:t>Number of securities eligible to be purchased on exercise of Warrants (or options)</w:t>
      </w:r>
      <w:r w:rsidR="00F12016">
        <w:rPr>
          <w:rFonts w:ascii="Arial" w:hAnsi="Arial"/>
        </w:rPr>
        <w:t>:</w:t>
      </w:r>
      <w:r>
        <w:rPr>
          <w:rFonts w:ascii="Arial" w:hAnsi="Arial"/>
        </w:rPr>
        <w:t xml:space="preserve"> </w:t>
      </w:r>
      <w:r>
        <w:rPr>
          <w:rFonts w:ascii="Arial" w:hAnsi="Arial"/>
          <w:u w:val="single"/>
        </w:rPr>
        <w:tab/>
      </w:r>
      <w:r w:rsidR="00F12016">
        <w:rPr>
          <w:rFonts w:ascii="Arial" w:hAnsi="Arial"/>
          <w:u w:val="single"/>
        </w:rPr>
        <w:tab/>
      </w:r>
      <w:r w:rsidR="00FC57B8" w:rsidRPr="00FC57B8">
        <w:rPr>
          <w:rFonts w:ascii="Arial" w:hAnsi="Arial"/>
        </w:rPr>
        <w:t>.</w:t>
      </w:r>
    </w:p>
    <w:p w14:paraId="7FD841EF" w14:textId="51D3EDD3" w:rsidR="00EA4133" w:rsidRDefault="00EA4133" w:rsidP="00DF6FF5">
      <w:pPr>
        <w:pStyle w:val="List"/>
        <w:tabs>
          <w:tab w:val="left" w:pos="1800"/>
          <w:tab w:val="left" w:pos="2160"/>
          <w:tab w:val="left" w:pos="4950"/>
          <w:tab w:val="left" w:pos="9180"/>
        </w:tabs>
        <w:rPr>
          <w:rFonts w:ascii="Arial" w:hAnsi="Arial"/>
        </w:rPr>
      </w:pPr>
      <w:r>
        <w:rPr>
          <w:rFonts w:ascii="Arial" w:hAnsi="Arial"/>
        </w:rPr>
        <w:tab/>
        <w:t>(c)</w:t>
      </w:r>
      <w:r>
        <w:rPr>
          <w:rFonts w:ascii="Arial" w:hAnsi="Arial"/>
        </w:rPr>
        <w:tab/>
      </w:r>
      <w:r>
        <w:rPr>
          <w:rFonts w:ascii="Arial" w:hAnsi="Arial"/>
        </w:rPr>
        <w:tab/>
        <w:t>Exercise price</w:t>
      </w:r>
      <w:r w:rsidR="00F12016">
        <w:rPr>
          <w:rFonts w:ascii="Arial" w:hAnsi="Arial"/>
        </w:rPr>
        <w:t xml:space="preserve">: </w:t>
      </w:r>
      <w:r>
        <w:rPr>
          <w:rFonts w:ascii="Arial" w:hAnsi="Arial"/>
          <w:u w:val="single"/>
        </w:rPr>
        <w:tab/>
      </w:r>
      <w:r w:rsidR="00F12016">
        <w:rPr>
          <w:rFonts w:ascii="Arial" w:hAnsi="Arial"/>
          <w:u w:val="single"/>
        </w:rPr>
        <w:tab/>
      </w:r>
      <w:r>
        <w:rPr>
          <w:rFonts w:ascii="Arial" w:hAnsi="Arial"/>
        </w:rPr>
        <w:t>.</w:t>
      </w:r>
    </w:p>
    <w:p w14:paraId="266665F0" w14:textId="34682ACA" w:rsidR="00EA4133" w:rsidRDefault="00EA4133" w:rsidP="00DF6FF5">
      <w:pPr>
        <w:pStyle w:val="List"/>
        <w:tabs>
          <w:tab w:val="left" w:pos="1800"/>
          <w:tab w:val="left" w:pos="2160"/>
          <w:tab w:val="left" w:pos="4950"/>
          <w:tab w:val="left" w:pos="9180"/>
        </w:tabs>
        <w:rPr>
          <w:rFonts w:ascii="Arial" w:hAnsi="Arial"/>
        </w:rPr>
      </w:pPr>
      <w:r>
        <w:rPr>
          <w:rFonts w:ascii="Arial" w:hAnsi="Arial"/>
        </w:rPr>
        <w:tab/>
        <w:t>(d)</w:t>
      </w:r>
      <w:r>
        <w:rPr>
          <w:rFonts w:ascii="Arial" w:hAnsi="Arial"/>
        </w:rPr>
        <w:tab/>
      </w:r>
      <w:r w:rsidR="00DF6FF5">
        <w:rPr>
          <w:rFonts w:ascii="Arial" w:hAnsi="Arial"/>
        </w:rPr>
        <w:tab/>
      </w:r>
      <w:r>
        <w:rPr>
          <w:rFonts w:ascii="Arial" w:hAnsi="Arial"/>
        </w:rPr>
        <w:t>Expiry date</w:t>
      </w:r>
      <w:r w:rsidR="00F12016">
        <w:rPr>
          <w:rFonts w:ascii="Arial" w:hAnsi="Arial"/>
        </w:rPr>
        <w:t>:</w:t>
      </w:r>
      <w:r>
        <w:rPr>
          <w:rFonts w:ascii="Arial" w:hAnsi="Arial"/>
        </w:rPr>
        <w:t xml:space="preserve"> </w:t>
      </w:r>
      <w:r>
        <w:rPr>
          <w:rFonts w:ascii="Arial" w:hAnsi="Arial"/>
          <w:u w:val="single"/>
        </w:rPr>
        <w:tab/>
      </w:r>
      <w:r>
        <w:rPr>
          <w:rFonts w:ascii="Arial" w:hAnsi="Arial"/>
          <w:u w:val="single"/>
        </w:rPr>
        <w:tab/>
      </w:r>
      <w:r>
        <w:rPr>
          <w:rFonts w:ascii="Arial" w:hAnsi="Arial"/>
        </w:rPr>
        <w:t>.</w:t>
      </w:r>
    </w:p>
    <w:p w14:paraId="41616242" w14:textId="77777777" w:rsidR="00EA4133" w:rsidRDefault="00EA4133" w:rsidP="00737DB2">
      <w:pPr>
        <w:pStyle w:val="Heading2"/>
        <w:numPr>
          <w:ilvl w:val="0"/>
          <w:numId w:val="10"/>
        </w:numPr>
        <w:tabs>
          <w:tab w:val="left" w:pos="1440"/>
          <w:tab w:val="left" w:pos="2160"/>
        </w:tabs>
        <w:jc w:val="both"/>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50034F0C" w14:textId="35B92545" w:rsidR="00EA4133" w:rsidRDefault="00EA4133" w:rsidP="00DF6FF5">
      <w:pPr>
        <w:pStyle w:val="List"/>
        <w:tabs>
          <w:tab w:val="left" w:pos="180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9FC6DBB" w14:textId="091EC47A" w:rsidR="00EA4133" w:rsidRDefault="00EA4133" w:rsidP="00DF6FF5">
      <w:pPr>
        <w:pStyle w:val="List"/>
        <w:tabs>
          <w:tab w:val="left" w:pos="1800"/>
          <w:tab w:val="left" w:pos="2160"/>
          <w:tab w:val="left" w:pos="9180"/>
        </w:tabs>
        <w:rPr>
          <w:rFonts w:ascii="Arial" w:hAnsi="Arial"/>
        </w:rPr>
      </w:pPr>
      <w:r>
        <w:rPr>
          <w:rFonts w:ascii="Arial" w:hAnsi="Arial"/>
        </w:rPr>
        <w:tab/>
        <w:t>(b)</w:t>
      </w:r>
      <w:r w:rsidR="00DF6FF5">
        <w:rPr>
          <w:rFonts w:ascii="Arial" w:hAnsi="Arial"/>
        </w:rPr>
        <w:tab/>
      </w:r>
      <w:r>
        <w:rPr>
          <w:rFonts w:ascii="Arial" w:hAnsi="Arial"/>
        </w:rPr>
        <w:tab/>
        <w:t>Maturity date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540A67C3" w14:textId="32C27A21"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(c)</w:t>
      </w:r>
      <w:r>
        <w:rPr>
          <w:rFonts w:ascii="Arial" w:hAnsi="Arial"/>
        </w:rPr>
        <w:tab/>
      </w:r>
      <w:r>
        <w:rPr>
          <w:rFonts w:ascii="Arial" w:hAnsi="Arial"/>
        </w:rPr>
        <w:tab/>
        <w:t>Interest rate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E3B92F6" w14:textId="7ABB462E"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(d)</w:t>
      </w:r>
      <w:r>
        <w:rPr>
          <w:rFonts w:ascii="Arial" w:hAnsi="Arial"/>
        </w:rPr>
        <w:tab/>
      </w:r>
      <w:r w:rsidR="00DF6FF5">
        <w:rPr>
          <w:rFonts w:ascii="Arial" w:hAnsi="Arial"/>
        </w:rPr>
        <w:tab/>
      </w:r>
      <w:r>
        <w:rPr>
          <w:rFonts w:ascii="Arial" w:hAnsi="Arial"/>
        </w:rPr>
        <w:t>Conversion terms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0F432971" w14:textId="3F080C09" w:rsidR="00EA4133" w:rsidRDefault="00EA4133" w:rsidP="00DF6FF5">
      <w:pPr>
        <w:pStyle w:val="BodyText"/>
        <w:tabs>
          <w:tab w:val="left" w:pos="1080"/>
          <w:tab w:val="left" w:pos="1800"/>
          <w:tab w:val="left" w:pos="2160"/>
          <w:tab w:val="left" w:pos="9180"/>
        </w:tabs>
        <w:rPr>
          <w:rFonts w:ascii="Arial" w:hAnsi="Arial"/>
        </w:rPr>
      </w:pPr>
      <w:r>
        <w:rPr>
          <w:rFonts w:ascii="Arial" w:hAnsi="Arial"/>
        </w:rPr>
        <w:lastRenderedPageBreak/>
        <w:tab/>
        <w:t>(e)</w:t>
      </w:r>
      <w:r>
        <w:rPr>
          <w:rFonts w:ascii="Arial" w:hAnsi="Arial"/>
        </w:rPr>
        <w:tab/>
      </w:r>
      <w:r w:rsidR="00DF6FF5">
        <w:rPr>
          <w:rFonts w:ascii="Arial" w:hAnsi="Arial"/>
        </w:rPr>
        <w:tab/>
      </w:r>
      <w:r>
        <w:rPr>
          <w:rFonts w:ascii="Arial" w:hAnsi="Arial"/>
        </w:rPr>
        <w:t>Default provisions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1E999996" w14:textId="77777777" w:rsidR="00EA4133" w:rsidRDefault="00EA4133" w:rsidP="000A390F">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5A5D88D" w14:textId="7C642E5E" w:rsidR="00EA4133" w:rsidRDefault="00EA4133" w:rsidP="000A390F">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w:t>
      </w:r>
    </w:p>
    <w:p w14:paraId="46715085" w14:textId="498973F0"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042ADA1C" w14:textId="71EDC41D" w:rsidR="00EA4133" w:rsidRDefault="00EA4133" w:rsidP="000A390F">
      <w:pPr>
        <w:pStyle w:val="List"/>
        <w:tabs>
          <w:tab w:val="left" w:pos="2160"/>
          <w:tab w:val="left" w:pos="9180"/>
        </w:tabs>
        <w:ind w:left="2160"/>
        <w:rPr>
          <w:rFonts w:ascii="Arial" w:hAnsi="Arial"/>
        </w:rPr>
      </w:pPr>
      <w:r>
        <w:rPr>
          <w:rFonts w:ascii="Arial" w:hAnsi="Arial"/>
        </w:rPr>
        <w:t>(c)</w:t>
      </w:r>
      <w:r>
        <w:rPr>
          <w:rFonts w:ascii="Arial" w:hAnsi="Arial"/>
        </w:rPr>
        <w:tab/>
        <w:t>Securities</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AFE04D6" w14:textId="3E8791B6"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E0C8D6F" w14:textId="6332033C" w:rsidR="00EA4133" w:rsidRDefault="00EA4133" w:rsidP="000A390F">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29AD9BA" w14:textId="10B30305" w:rsidR="00EA4133" w:rsidRDefault="00EA4133" w:rsidP="000A390F">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99F9EE5" w14:textId="47FCCAAD" w:rsidR="00EA4133" w:rsidRDefault="00EA4133" w:rsidP="000A390F">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DF6FF5">
        <w:rPr>
          <w:rFonts w:ascii="Arial" w:hAnsi="Arial"/>
        </w:rPr>
        <w:t>:</w:t>
      </w:r>
    </w:p>
    <w:p w14:paraId="0B9F875E" w14:textId="1D69C8DD" w:rsidR="00EA4133" w:rsidRDefault="00EA4133" w:rsidP="000A390F">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w:t>
      </w:r>
    </w:p>
    <w:p w14:paraId="0FACF843" w14:textId="13D6954A" w:rsidR="00EA4133" w:rsidRDefault="00EA4133" w:rsidP="00DF6FF5">
      <w:pPr>
        <w:pStyle w:val="List"/>
        <w:numPr>
          <w:ilvl w:val="0"/>
          <w:numId w:val="10"/>
        </w:numPr>
        <w:jc w:val="both"/>
        <w:rPr>
          <w:rFonts w:ascii="Arial" w:hAnsi="Arial"/>
        </w:rPr>
      </w:pPr>
      <w:r>
        <w:rPr>
          <w:rFonts w:ascii="Arial" w:hAnsi="Arial"/>
        </w:rPr>
        <w:t>Describe any unusual particulars of the transaction (i.e. tax “flow through” shares, etc.)</w:t>
      </w:r>
      <w:r w:rsidR="00DF6FF5">
        <w:rPr>
          <w:rFonts w:ascii="Arial" w:hAnsi="Arial"/>
        </w:rPr>
        <w:t>:</w:t>
      </w:r>
    </w:p>
    <w:p w14:paraId="79BCE699" w14:textId="7E4B89F1" w:rsidR="00EA4133" w:rsidRDefault="00EA4133" w:rsidP="000A390F">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w:t>
      </w:r>
    </w:p>
    <w:p w14:paraId="5EE77EA1" w14:textId="25147BA6" w:rsidR="00EA4133" w:rsidRDefault="00EA4133" w:rsidP="000A390F">
      <w:pPr>
        <w:pStyle w:val="List"/>
        <w:numPr>
          <w:ilvl w:val="0"/>
          <w:numId w:val="10"/>
        </w:numPr>
        <w:rPr>
          <w:rFonts w:ascii="Arial" w:hAnsi="Arial"/>
        </w:rPr>
      </w:pPr>
      <w:r>
        <w:rPr>
          <w:rFonts w:ascii="Arial" w:hAnsi="Arial"/>
        </w:rPr>
        <w:t>State whether the private placement will result in a change of control</w:t>
      </w:r>
      <w:r w:rsidR="00DF6FF5">
        <w:rPr>
          <w:rFonts w:ascii="Arial" w:hAnsi="Arial"/>
        </w:rPr>
        <w:t>:</w:t>
      </w:r>
    </w:p>
    <w:p w14:paraId="71F1DAD9" w14:textId="32F7E394" w:rsidR="00EA4133" w:rsidRDefault="00EA4133" w:rsidP="000A390F">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w:t>
      </w:r>
    </w:p>
    <w:p w14:paraId="67AD001F" w14:textId="10DE97A6" w:rsidR="00EA4133" w:rsidRDefault="00EA4133" w:rsidP="000A390F">
      <w:pPr>
        <w:pStyle w:val="List"/>
        <w:numPr>
          <w:ilvl w:val="0"/>
          <w:numId w:val="10"/>
        </w:numPr>
        <w:tabs>
          <w:tab w:val="left" w:pos="9180"/>
        </w:tabs>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DF6FF5">
        <w:rPr>
          <w:rFonts w:ascii="Arial" w:hAnsi="Arial"/>
        </w:rPr>
        <w:t xml:space="preserve">: </w:t>
      </w:r>
      <w:r>
        <w:rPr>
          <w:rFonts w:ascii="Arial" w:hAnsi="Arial"/>
          <w:u w:val="single"/>
        </w:rPr>
        <w:tab/>
      </w:r>
      <w:r w:rsidR="00DF6FF5" w:rsidRPr="00DF6FF5">
        <w:rPr>
          <w:rFonts w:ascii="Arial" w:hAnsi="Arial"/>
        </w:rPr>
        <w:t>.</w:t>
      </w:r>
    </w:p>
    <w:p w14:paraId="470BA6FF" w14:textId="14DAE3D8" w:rsidR="00EA4133" w:rsidRDefault="00EA4133" w:rsidP="000A390F">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251268F8" w14:textId="77777777" w:rsidR="00EA4133" w:rsidRDefault="00EA4133" w:rsidP="00DF6FF5">
      <w:pPr>
        <w:pStyle w:val="BodyText"/>
        <w:keepN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14:paraId="7E2BAE69" w14:textId="77777777" w:rsidR="00F12016" w:rsidRDefault="00EA4133" w:rsidP="000A390F">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
    <w:p w14:paraId="2E88B55B" w14:textId="0C5EA0DA" w:rsidR="00EA4133" w:rsidRPr="0054414B" w:rsidRDefault="00F12016" w:rsidP="00F12016">
      <w:pPr>
        <w:pStyle w:val="List"/>
        <w:tabs>
          <w:tab w:val="left" w:pos="9180"/>
        </w:tabs>
        <w:ind w:firstLine="0"/>
        <w:jc w:val="both"/>
        <w:rPr>
          <w:rFonts w:ascii="Arial" w:hAnsi="Arial"/>
          <w:color w:val="000000"/>
        </w:rPr>
      </w:pPr>
      <w:r w:rsidRPr="0054414B">
        <w:rPr>
          <w:rFonts w:ascii="Arial" w:hAnsi="Arial" w:cs="Arial"/>
          <w:color w:val="000000"/>
          <w:u w:val="single"/>
        </w:rPr>
        <w:t>Corporate and financial advi</w:t>
      </w:r>
      <w:r w:rsidR="0054414B" w:rsidRPr="0054414B">
        <w:rPr>
          <w:rFonts w:ascii="Arial" w:hAnsi="Arial" w:cs="Arial"/>
          <w:color w:val="000000"/>
          <w:u w:val="single"/>
        </w:rPr>
        <w:t>ce and</w:t>
      </w:r>
      <w:r w:rsidR="00EA4133" w:rsidRPr="0054414B">
        <w:rPr>
          <w:rFonts w:ascii="Arial" w:hAnsi="Arial" w:cs="Arial"/>
          <w:color w:val="000000"/>
          <w:u w:val="single"/>
        </w:rPr>
        <w:t xml:space="preserve"> </w:t>
      </w:r>
      <w:r w:rsidRPr="0054414B">
        <w:rPr>
          <w:rFonts w:ascii="Arial" w:hAnsi="Arial" w:cs="Arial"/>
          <w:color w:val="000000"/>
          <w:u w:val="single"/>
        </w:rPr>
        <w:t>services</w:t>
      </w:r>
      <w:r w:rsidR="00DF6FF5" w:rsidRPr="0054414B">
        <w:rPr>
          <w:rFonts w:ascii="Arial" w:hAnsi="Arial" w:cs="Arial"/>
          <w:color w:val="000000"/>
          <w:u w:val="single"/>
        </w:rPr>
        <w:t xml:space="preserve"> with respect to business opportunities and developing a capital markets strategy</w:t>
      </w:r>
      <w:r w:rsidR="0054414B">
        <w:rPr>
          <w:rFonts w:ascii="Arial" w:hAnsi="Arial" w:cs="Arial"/>
          <w:color w:val="000000"/>
          <w:u w:val="single"/>
        </w:rPr>
        <w:t>,</w:t>
      </w:r>
      <w:r w:rsidR="00DF6FF5" w:rsidRPr="0054414B">
        <w:rPr>
          <w:rFonts w:ascii="Arial" w:hAnsi="Arial" w:cs="Arial"/>
          <w:color w:val="000000"/>
          <w:u w:val="single"/>
        </w:rPr>
        <w:t xml:space="preserve"> including</w:t>
      </w:r>
      <w:r w:rsidR="0054414B">
        <w:rPr>
          <w:rFonts w:ascii="Arial" w:hAnsi="Arial" w:cs="Arial"/>
          <w:color w:val="000000"/>
          <w:u w:val="single"/>
        </w:rPr>
        <w:t>:</w:t>
      </w:r>
      <w:r w:rsidR="0054414B" w:rsidRPr="0054414B">
        <w:rPr>
          <w:rFonts w:ascii="Arial" w:hAnsi="Arial" w:cs="Arial"/>
          <w:color w:val="000000"/>
          <w:u w:val="single"/>
        </w:rPr>
        <w:t xml:space="preserve"> </w:t>
      </w:r>
      <w:r w:rsidR="0054414B" w:rsidRPr="0054414B">
        <w:rPr>
          <w:rFonts w:ascii="Arial" w:hAnsi="Arial" w:cs="Arial"/>
          <w:u w:val="single"/>
        </w:rPr>
        <w:t xml:space="preserve">financial and operational analysis of </w:t>
      </w:r>
      <w:r w:rsidR="0054414B">
        <w:rPr>
          <w:rFonts w:ascii="Arial" w:hAnsi="Arial" w:cs="Arial"/>
          <w:u w:val="single"/>
        </w:rPr>
        <w:t>the Issuer</w:t>
      </w:r>
      <w:r w:rsidR="0054414B" w:rsidRPr="0054414B">
        <w:rPr>
          <w:rFonts w:ascii="Arial" w:hAnsi="Arial" w:cs="Arial"/>
          <w:u w:val="single"/>
        </w:rPr>
        <w:t xml:space="preserve">; sourcing and reviewing strategic opportunities and synergies; advising on potential mergers &amp; acquisitions and sources of funding; research coverage and outreach initiatives; providing capital market intelligence; marketing to </w:t>
      </w:r>
      <w:r w:rsidR="0054414B">
        <w:rPr>
          <w:rFonts w:ascii="Arial" w:hAnsi="Arial" w:cs="Arial"/>
          <w:u w:val="single"/>
        </w:rPr>
        <w:t xml:space="preserve">investors, </w:t>
      </w:r>
      <w:r w:rsidR="0054414B" w:rsidRPr="0054414B">
        <w:rPr>
          <w:rFonts w:ascii="Arial" w:hAnsi="Arial" w:cs="Arial"/>
          <w:u w:val="single"/>
        </w:rPr>
        <w:t>analysts and broker dealers; introductions to strategic investor</w:t>
      </w:r>
      <w:r w:rsidR="0054414B" w:rsidRPr="0054414B">
        <w:rPr>
          <w:rFonts w:ascii="Arial" w:hAnsi="Arial" w:cs="Arial"/>
          <w:color w:val="000000"/>
          <w:u w:val="single"/>
        </w:rPr>
        <w:t>s</w:t>
      </w:r>
      <w:r w:rsidR="0054414B">
        <w:rPr>
          <w:rFonts w:ascii="Arial" w:hAnsi="Arial" w:cs="Arial"/>
          <w:color w:val="000000"/>
          <w:u w:val="single"/>
        </w:rPr>
        <w:t>.</w:t>
      </w:r>
      <w:r w:rsidR="00EA4133" w:rsidRPr="0054414B">
        <w:rPr>
          <w:rFonts w:ascii="Arial" w:hAnsi="Arial" w:cs="Arial"/>
          <w:color w:val="000000"/>
          <w:u w:val="single"/>
        </w:rPr>
        <w:tab/>
      </w:r>
    </w:p>
    <w:p w14:paraId="648C4DF5" w14:textId="611178C5" w:rsidR="00EA4133" w:rsidRDefault="00EA4133" w:rsidP="000A390F">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w:t>
      </w:r>
      <w:r w:rsidR="0054414B">
        <w:rPr>
          <w:rFonts w:ascii="Arial" w:hAnsi="Arial"/>
          <w:color w:val="000000"/>
        </w:rPr>
        <w:t>.</w:t>
      </w:r>
      <w:r>
        <w:rPr>
          <w:rFonts w:ascii="Arial" w:hAnsi="Arial"/>
          <w:color w:val="000000"/>
        </w:rPr>
        <w:t xml:space="preserve"> sale, option, license etc.) and relationship to the Issuer.</w:t>
      </w:r>
      <w:r w:rsidRPr="00A57D7A">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p>
    <w:p w14:paraId="75979AD9" w14:textId="4D12893A" w:rsidR="00EA4133" w:rsidRDefault="00DF6FF5" w:rsidP="00DF6FF5">
      <w:pPr>
        <w:pStyle w:val="List"/>
        <w:tabs>
          <w:tab w:val="left" w:pos="1080"/>
          <w:tab w:val="left" w:pos="9180"/>
        </w:tabs>
        <w:ind w:firstLine="0"/>
        <w:jc w:val="both"/>
        <w:rPr>
          <w:rFonts w:ascii="Arial" w:hAnsi="Arial"/>
          <w:color w:val="000000"/>
        </w:rPr>
      </w:pPr>
      <w:r>
        <w:rPr>
          <w:rFonts w:ascii="Arial" w:hAnsi="Arial"/>
          <w:color w:val="000000"/>
          <w:u w:val="single"/>
        </w:rPr>
        <w:t xml:space="preserve">Corporate and financial advisory services letter agreement dated </w:t>
      </w:r>
      <w:r w:rsidR="00737DB2">
        <w:rPr>
          <w:rFonts w:ascii="Arial" w:hAnsi="Arial"/>
          <w:color w:val="000000"/>
          <w:u w:val="single"/>
        </w:rPr>
        <w:t xml:space="preserve">May </w:t>
      </w:r>
      <w:r w:rsidR="00340D6D">
        <w:rPr>
          <w:rFonts w:ascii="Arial" w:hAnsi="Arial"/>
          <w:color w:val="000000"/>
          <w:u w:val="single"/>
        </w:rPr>
        <w:t>2</w:t>
      </w:r>
      <w:r w:rsidR="00161FD4">
        <w:rPr>
          <w:rFonts w:ascii="Arial" w:hAnsi="Arial"/>
          <w:color w:val="000000"/>
          <w:u w:val="single"/>
        </w:rPr>
        <w:t>0</w:t>
      </w:r>
      <w:r w:rsidR="00340D6D">
        <w:rPr>
          <w:rFonts w:ascii="Arial" w:hAnsi="Arial"/>
          <w:color w:val="000000"/>
          <w:u w:val="single"/>
        </w:rPr>
        <w:t>, 2018</w:t>
      </w:r>
      <w:r w:rsidR="00161FD4">
        <w:rPr>
          <w:rFonts w:ascii="Arial" w:hAnsi="Arial"/>
          <w:color w:val="000000"/>
          <w:u w:val="single"/>
        </w:rPr>
        <w:t>,</w:t>
      </w:r>
      <w:r>
        <w:rPr>
          <w:rFonts w:ascii="Arial" w:hAnsi="Arial"/>
          <w:color w:val="000000"/>
          <w:u w:val="single"/>
        </w:rPr>
        <w:t xml:space="preserve"> between the Issuer and Gravitas Securities Inc. (“Gravitas”).  Gravitas is at arms-length to the Issuer.</w:t>
      </w:r>
      <w:r w:rsidR="00EA4133">
        <w:rPr>
          <w:rFonts w:ascii="Arial" w:hAnsi="Arial"/>
          <w:color w:val="000000"/>
          <w:u w:val="single"/>
        </w:rPr>
        <w:tab/>
      </w:r>
    </w:p>
    <w:p w14:paraId="541C77C8" w14:textId="77777777" w:rsidR="00EA4133" w:rsidRDefault="00EA4133" w:rsidP="000A390F">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32C24B9" w14:textId="0F131C99" w:rsidR="00EA4133" w:rsidRDefault="00EA4133" w:rsidP="001E1C79">
      <w:pPr>
        <w:pStyle w:val="List"/>
        <w:numPr>
          <w:ilvl w:val="0"/>
          <w:numId w:val="13"/>
        </w:numPr>
        <w:tabs>
          <w:tab w:val="left" w:pos="9180"/>
        </w:tabs>
        <w:jc w:val="both"/>
        <w:rPr>
          <w:rFonts w:ascii="Arial" w:hAnsi="Arial"/>
          <w:color w:val="000000"/>
        </w:rPr>
      </w:pPr>
      <w:r>
        <w:rPr>
          <w:rFonts w:ascii="Arial" w:hAnsi="Arial"/>
          <w:color w:val="000000"/>
        </w:rPr>
        <w:t xml:space="preserve">Total aggregate consideration in Canadian dollars: </w:t>
      </w:r>
      <w:r w:rsidR="0054414B">
        <w:rPr>
          <w:rFonts w:ascii="Arial" w:hAnsi="Arial"/>
          <w:color w:val="000000"/>
          <w:u w:val="single"/>
        </w:rPr>
        <w:t xml:space="preserve">  $</w:t>
      </w:r>
      <w:r w:rsidR="001E1C79">
        <w:rPr>
          <w:rFonts w:ascii="Arial" w:hAnsi="Arial"/>
          <w:color w:val="000000"/>
          <w:u w:val="single"/>
        </w:rPr>
        <w:t>15</w:t>
      </w:r>
      <w:r w:rsidR="0054414B">
        <w:rPr>
          <w:rFonts w:ascii="Arial" w:hAnsi="Arial"/>
          <w:color w:val="000000"/>
          <w:u w:val="single"/>
        </w:rPr>
        <w:t>,000</w:t>
      </w:r>
      <w:r w:rsidR="001E1C79">
        <w:rPr>
          <w:rFonts w:ascii="Arial" w:hAnsi="Arial"/>
          <w:color w:val="000000"/>
          <w:u w:val="single"/>
        </w:rPr>
        <w:t xml:space="preserve"> per month payable in cash and common shares over a term of 12 months subject to earlier termination</w:t>
      </w:r>
      <w:r w:rsidR="00340D6D">
        <w:rPr>
          <w:rFonts w:ascii="Arial" w:hAnsi="Arial"/>
          <w:color w:val="000000"/>
          <w:u w:val="single"/>
        </w:rPr>
        <w:t>;</w:t>
      </w:r>
      <w:r w:rsidR="00737DB2">
        <w:rPr>
          <w:rFonts w:ascii="Arial" w:hAnsi="Arial"/>
          <w:color w:val="000000"/>
          <w:u w:val="single"/>
        </w:rPr>
        <w:t xml:space="preserve"> plus $2,500 per month research fee payable in cash</w:t>
      </w:r>
      <w:r w:rsidR="00340D6D">
        <w:rPr>
          <w:rFonts w:ascii="Arial" w:hAnsi="Arial"/>
          <w:color w:val="000000"/>
          <w:u w:val="single"/>
        </w:rPr>
        <w:t xml:space="preserve"> over 12 months</w:t>
      </w:r>
      <w:r w:rsidR="001E1C79">
        <w:rPr>
          <w:rFonts w:ascii="Arial" w:hAnsi="Arial"/>
          <w:color w:val="000000"/>
          <w:u w:val="single"/>
        </w:rPr>
        <w:t>.</w:t>
      </w:r>
      <w:r>
        <w:rPr>
          <w:rFonts w:ascii="Arial" w:hAnsi="Arial"/>
          <w:color w:val="000000"/>
          <w:u w:val="single"/>
        </w:rPr>
        <w:tab/>
      </w:r>
    </w:p>
    <w:p w14:paraId="2F89AAB8" w14:textId="220574F3"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14B">
        <w:rPr>
          <w:rFonts w:ascii="Arial" w:hAnsi="Arial"/>
          <w:color w:val="000000"/>
          <w:u w:val="single"/>
        </w:rPr>
        <w:t xml:space="preserve">  </w:t>
      </w:r>
      <w:r w:rsidR="00737DB2">
        <w:rPr>
          <w:rFonts w:ascii="Arial" w:hAnsi="Arial"/>
          <w:color w:val="000000"/>
          <w:u w:val="single"/>
        </w:rPr>
        <w:t>M</w:t>
      </w:r>
      <w:r w:rsidR="001E1C79">
        <w:rPr>
          <w:rFonts w:ascii="Arial" w:hAnsi="Arial"/>
          <w:color w:val="000000"/>
          <w:u w:val="single"/>
        </w:rPr>
        <w:t>onth 1</w:t>
      </w:r>
      <w:r w:rsidR="00737DB2">
        <w:rPr>
          <w:rFonts w:ascii="Arial" w:hAnsi="Arial"/>
          <w:color w:val="000000"/>
          <w:u w:val="single"/>
        </w:rPr>
        <w:t>: $2,500</w:t>
      </w:r>
      <w:r w:rsidR="001E1C79">
        <w:rPr>
          <w:rFonts w:ascii="Arial" w:hAnsi="Arial"/>
          <w:color w:val="000000"/>
          <w:u w:val="single"/>
        </w:rPr>
        <w:t xml:space="preserve">; </w:t>
      </w:r>
      <w:r w:rsidR="00737DB2">
        <w:rPr>
          <w:rFonts w:ascii="Arial" w:hAnsi="Arial"/>
          <w:color w:val="000000"/>
          <w:u w:val="single"/>
        </w:rPr>
        <w:t xml:space="preserve">Months 2-5: </w:t>
      </w:r>
      <w:r w:rsidR="001E1C79">
        <w:rPr>
          <w:rFonts w:ascii="Arial" w:hAnsi="Arial"/>
          <w:color w:val="000000"/>
          <w:u w:val="single"/>
        </w:rPr>
        <w:t>$</w:t>
      </w:r>
      <w:r w:rsidR="00737DB2">
        <w:rPr>
          <w:rFonts w:ascii="Arial" w:hAnsi="Arial"/>
          <w:color w:val="000000"/>
          <w:u w:val="single"/>
        </w:rPr>
        <w:t>10,0</w:t>
      </w:r>
      <w:r w:rsidR="001E1C79">
        <w:rPr>
          <w:rFonts w:ascii="Arial" w:hAnsi="Arial"/>
          <w:color w:val="000000"/>
          <w:u w:val="single"/>
        </w:rPr>
        <w:t>00 per month</w:t>
      </w:r>
      <w:r w:rsidR="00737DB2">
        <w:rPr>
          <w:rFonts w:ascii="Arial" w:hAnsi="Arial"/>
          <w:color w:val="000000"/>
          <w:u w:val="single"/>
        </w:rPr>
        <w:t>;</w:t>
      </w:r>
      <w:r w:rsidR="00737DB2">
        <w:rPr>
          <w:rFonts w:ascii="Arial" w:hAnsi="Arial"/>
          <w:color w:val="000000"/>
          <w:u w:val="single"/>
        </w:rPr>
        <w:tab/>
      </w:r>
      <w:r w:rsidR="00737DB2">
        <w:rPr>
          <w:rFonts w:ascii="Arial" w:hAnsi="Arial"/>
          <w:color w:val="000000"/>
          <w:u w:val="single"/>
        </w:rPr>
        <w:br/>
        <w:t>Month 6:</w:t>
      </w:r>
      <w:r w:rsidR="001E1C79">
        <w:rPr>
          <w:rFonts w:ascii="Arial" w:hAnsi="Arial"/>
          <w:color w:val="000000"/>
          <w:u w:val="single"/>
        </w:rPr>
        <w:t xml:space="preserve"> </w:t>
      </w:r>
      <w:r w:rsidR="00737DB2">
        <w:rPr>
          <w:rFonts w:ascii="Arial" w:hAnsi="Arial"/>
          <w:color w:val="000000"/>
          <w:u w:val="single"/>
        </w:rPr>
        <w:t>$</w:t>
      </w:r>
      <w:r w:rsidR="001E1C79">
        <w:rPr>
          <w:rFonts w:ascii="Arial" w:hAnsi="Arial"/>
          <w:color w:val="000000"/>
          <w:u w:val="single"/>
        </w:rPr>
        <w:t>1</w:t>
      </w:r>
      <w:r w:rsidR="00737DB2">
        <w:rPr>
          <w:rFonts w:ascii="Arial" w:hAnsi="Arial"/>
          <w:color w:val="000000"/>
          <w:u w:val="single"/>
        </w:rPr>
        <w:t>7</w:t>
      </w:r>
      <w:r w:rsidR="001E1C79">
        <w:rPr>
          <w:rFonts w:ascii="Arial" w:hAnsi="Arial"/>
          <w:color w:val="000000"/>
          <w:u w:val="single"/>
        </w:rPr>
        <w:t>,</w:t>
      </w:r>
      <w:r w:rsidR="00737DB2">
        <w:rPr>
          <w:rFonts w:ascii="Arial" w:hAnsi="Arial"/>
          <w:color w:val="000000"/>
          <w:u w:val="single"/>
        </w:rPr>
        <w:t>5</w:t>
      </w:r>
      <w:r w:rsidR="001E1C79">
        <w:rPr>
          <w:rFonts w:ascii="Arial" w:hAnsi="Arial"/>
          <w:color w:val="000000"/>
          <w:u w:val="single"/>
        </w:rPr>
        <w:t xml:space="preserve">00; and </w:t>
      </w:r>
      <w:r w:rsidR="00737DB2">
        <w:rPr>
          <w:rFonts w:ascii="Arial" w:hAnsi="Arial"/>
          <w:color w:val="000000"/>
          <w:u w:val="single"/>
        </w:rPr>
        <w:t xml:space="preserve">Months 7-12: </w:t>
      </w:r>
      <w:r w:rsidR="001E1C79">
        <w:rPr>
          <w:rFonts w:ascii="Arial" w:hAnsi="Arial"/>
          <w:color w:val="000000"/>
          <w:u w:val="single"/>
        </w:rPr>
        <w:t>$</w:t>
      </w:r>
      <w:r w:rsidR="00737DB2">
        <w:rPr>
          <w:rFonts w:ascii="Arial" w:hAnsi="Arial"/>
          <w:color w:val="000000"/>
          <w:u w:val="single"/>
        </w:rPr>
        <w:t>10</w:t>
      </w:r>
      <w:r w:rsidR="001E1C79">
        <w:rPr>
          <w:rFonts w:ascii="Arial" w:hAnsi="Arial"/>
          <w:color w:val="000000"/>
          <w:u w:val="single"/>
        </w:rPr>
        <w:t>,</w:t>
      </w:r>
      <w:r w:rsidR="00737DB2">
        <w:rPr>
          <w:rFonts w:ascii="Arial" w:hAnsi="Arial"/>
          <w:color w:val="000000"/>
          <w:u w:val="single"/>
        </w:rPr>
        <w:t>0</w:t>
      </w:r>
      <w:r w:rsidR="001E1C79">
        <w:rPr>
          <w:rFonts w:ascii="Arial" w:hAnsi="Arial"/>
          <w:color w:val="000000"/>
          <w:u w:val="single"/>
        </w:rPr>
        <w:t xml:space="preserve">00 </w:t>
      </w:r>
      <w:r w:rsidR="00340D6D">
        <w:rPr>
          <w:rFonts w:ascii="Arial" w:hAnsi="Arial"/>
          <w:color w:val="000000"/>
          <w:u w:val="single"/>
        </w:rPr>
        <w:t>per month</w:t>
      </w:r>
      <w:r w:rsidR="001E1C79">
        <w:rPr>
          <w:rFonts w:ascii="Arial" w:hAnsi="Arial"/>
          <w:color w:val="000000"/>
          <w:u w:val="single"/>
        </w:rPr>
        <w:t>.</w:t>
      </w:r>
      <w:r>
        <w:rPr>
          <w:rFonts w:ascii="Arial" w:hAnsi="Arial"/>
          <w:color w:val="000000"/>
          <w:u w:val="single"/>
        </w:rPr>
        <w:tab/>
      </w:r>
    </w:p>
    <w:p w14:paraId="4F6722B2" w14:textId="1B221EF4"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
    <w:p w14:paraId="42AAD5F0" w14:textId="1B69B072" w:rsidR="00EA4133" w:rsidRDefault="001E1C79" w:rsidP="0054414B">
      <w:pPr>
        <w:pStyle w:val="List"/>
        <w:tabs>
          <w:tab w:val="left" w:pos="1080"/>
          <w:tab w:val="left" w:pos="2160"/>
          <w:tab w:val="left" w:pos="9180"/>
        </w:tabs>
        <w:ind w:left="2160" w:firstLine="0"/>
        <w:jc w:val="both"/>
        <w:rPr>
          <w:rFonts w:ascii="Arial" w:hAnsi="Arial"/>
          <w:color w:val="000000"/>
        </w:rPr>
      </w:pPr>
      <w:r>
        <w:rPr>
          <w:rFonts w:ascii="Arial" w:hAnsi="Arial"/>
          <w:color w:val="000000"/>
          <w:u w:val="single"/>
        </w:rPr>
        <w:t>(i) C</w:t>
      </w:r>
      <w:r w:rsidR="0054414B" w:rsidRPr="0054414B">
        <w:rPr>
          <w:rFonts w:ascii="Arial" w:hAnsi="Arial"/>
          <w:color w:val="000000"/>
          <w:u w:val="single"/>
        </w:rPr>
        <w:t>ommon shares</w:t>
      </w:r>
      <w:r w:rsidR="0054414B">
        <w:rPr>
          <w:rFonts w:ascii="Arial" w:hAnsi="Arial"/>
          <w:color w:val="000000"/>
          <w:u w:val="single"/>
        </w:rPr>
        <w:t xml:space="preserve"> </w:t>
      </w:r>
      <w:r w:rsidR="00340D6D">
        <w:rPr>
          <w:rFonts w:ascii="Arial" w:hAnsi="Arial"/>
          <w:color w:val="000000"/>
          <w:u w:val="single"/>
        </w:rPr>
        <w:t>having a value</w:t>
      </w:r>
      <w:r w:rsidR="00161FD4">
        <w:rPr>
          <w:rFonts w:ascii="Arial" w:hAnsi="Arial"/>
          <w:color w:val="000000"/>
          <w:u w:val="single"/>
        </w:rPr>
        <w:t xml:space="preserve"> of – </w:t>
      </w:r>
      <w:r w:rsidR="00340D6D">
        <w:rPr>
          <w:rFonts w:ascii="Arial" w:hAnsi="Arial"/>
          <w:color w:val="000000"/>
          <w:u w:val="single"/>
        </w:rPr>
        <w:t>for Month 1:</w:t>
      </w:r>
      <w:r w:rsidR="0054414B">
        <w:rPr>
          <w:rFonts w:ascii="Arial" w:hAnsi="Arial"/>
          <w:color w:val="000000"/>
          <w:u w:val="single"/>
        </w:rPr>
        <w:t xml:space="preserve"> $15,000</w:t>
      </w:r>
      <w:r w:rsidR="00340D6D">
        <w:rPr>
          <w:rFonts w:ascii="Arial" w:hAnsi="Arial"/>
          <w:color w:val="000000"/>
          <w:u w:val="single"/>
        </w:rPr>
        <w:t>; for Months 2-5:</w:t>
      </w:r>
      <w:r w:rsidR="0054414B">
        <w:rPr>
          <w:rFonts w:ascii="Arial" w:hAnsi="Arial"/>
          <w:color w:val="000000"/>
          <w:u w:val="single"/>
        </w:rPr>
        <w:t xml:space="preserve"> $7,500 per month</w:t>
      </w:r>
      <w:r w:rsidR="00340D6D">
        <w:rPr>
          <w:rFonts w:ascii="Arial" w:hAnsi="Arial"/>
          <w:color w:val="000000"/>
          <w:u w:val="single"/>
        </w:rPr>
        <w:t xml:space="preserve">; </w:t>
      </w:r>
      <w:r w:rsidR="00161FD4">
        <w:rPr>
          <w:rFonts w:ascii="Arial" w:hAnsi="Arial"/>
          <w:color w:val="000000"/>
          <w:u w:val="single"/>
        </w:rPr>
        <w:t xml:space="preserve">for </w:t>
      </w:r>
      <w:r w:rsidR="00340D6D">
        <w:rPr>
          <w:rFonts w:ascii="Arial" w:hAnsi="Arial"/>
          <w:color w:val="000000"/>
          <w:u w:val="single"/>
        </w:rPr>
        <w:t>M</w:t>
      </w:r>
      <w:r>
        <w:rPr>
          <w:rFonts w:ascii="Arial" w:hAnsi="Arial"/>
          <w:color w:val="000000"/>
          <w:u w:val="single"/>
        </w:rPr>
        <w:t>onth 6</w:t>
      </w:r>
      <w:r w:rsidR="00161FD4">
        <w:rPr>
          <w:rFonts w:ascii="Arial" w:hAnsi="Arial"/>
          <w:color w:val="000000"/>
          <w:u w:val="single"/>
        </w:rPr>
        <w:t>: nil</w:t>
      </w:r>
      <w:r>
        <w:rPr>
          <w:rFonts w:ascii="Arial" w:hAnsi="Arial"/>
          <w:color w:val="000000"/>
          <w:u w:val="single"/>
        </w:rPr>
        <w:t xml:space="preserve">; </w:t>
      </w:r>
      <w:r w:rsidR="00161FD4">
        <w:rPr>
          <w:rFonts w:ascii="Arial" w:hAnsi="Arial"/>
          <w:color w:val="000000"/>
          <w:u w:val="single"/>
        </w:rPr>
        <w:t xml:space="preserve">for Months 7-12: </w:t>
      </w:r>
      <w:r w:rsidR="0054414B">
        <w:rPr>
          <w:rFonts w:ascii="Arial" w:hAnsi="Arial"/>
          <w:color w:val="000000"/>
          <w:u w:val="single"/>
        </w:rPr>
        <w:t>7,500 per month</w:t>
      </w:r>
      <w:r>
        <w:rPr>
          <w:rFonts w:ascii="Arial" w:hAnsi="Arial"/>
          <w:color w:val="000000"/>
          <w:u w:val="single"/>
        </w:rPr>
        <w:t xml:space="preserve">; and (ii) 965,555 options exercisable at $0.65 until May </w:t>
      </w:r>
      <w:r w:rsidR="00161FD4">
        <w:rPr>
          <w:rFonts w:ascii="Arial" w:hAnsi="Arial"/>
          <w:color w:val="000000"/>
          <w:u w:val="single"/>
        </w:rPr>
        <w:t>24</w:t>
      </w:r>
      <w:r>
        <w:rPr>
          <w:rFonts w:ascii="Arial" w:hAnsi="Arial"/>
          <w:color w:val="000000"/>
          <w:u w:val="single"/>
        </w:rPr>
        <w:t>, 2023.</w:t>
      </w:r>
      <w:r w:rsidR="00EA4133">
        <w:rPr>
          <w:rFonts w:ascii="Arial" w:hAnsi="Arial"/>
          <w:color w:val="000000"/>
          <w:u w:val="single"/>
        </w:rPr>
        <w:tab/>
      </w:r>
    </w:p>
    <w:p w14:paraId="2EDE38C5" w14:textId="070A3C1A"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w:t>
      </w:r>
    </w:p>
    <w:p w14:paraId="1E34BC94" w14:textId="36D1195D"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1E1C79">
        <w:rPr>
          <w:rFonts w:ascii="Arial" w:hAnsi="Arial"/>
          <w:color w:val="000000"/>
          <w:u w:val="single"/>
        </w:rPr>
        <w:t xml:space="preserve">  see para (c)</w:t>
      </w:r>
      <w:r>
        <w:rPr>
          <w:rFonts w:ascii="Arial" w:hAnsi="Arial"/>
          <w:color w:val="000000"/>
          <w:u w:val="single"/>
        </w:rPr>
        <w:tab/>
      </w:r>
      <w:r>
        <w:rPr>
          <w:rFonts w:ascii="Arial" w:hAnsi="Arial"/>
          <w:color w:val="000000"/>
        </w:rPr>
        <w:t>.</w:t>
      </w:r>
    </w:p>
    <w:p w14:paraId="68333987" w14:textId="328D6719"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1E1C79">
        <w:rPr>
          <w:rFonts w:ascii="Arial" w:hAnsi="Arial"/>
          <w:color w:val="000000"/>
          <w:u w:val="single"/>
        </w:rPr>
        <w:t xml:space="preserve">  see para (c)</w:t>
      </w:r>
      <w:r>
        <w:rPr>
          <w:rFonts w:ascii="Arial" w:hAnsi="Arial"/>
          <w:color w:val="000000"/>
          <w:u w:val="single"/>
        </w:rPr>
        <w:tab/>
      </w:r>
      <w:r>
        <w:rPr>
          <w:rFonts w:ascii="Arial" w:hAnsi="Arial"/>
          <w:color w:val="000000"/>
        </w:rPr>
        <w:t>.</w:t>
      </w:r>
    </w:p>
    <w:p w14:paraId="1032DFFD" w14:textId="501CABC0"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Pr>
          <w:rFonts w:ascii="Arial" w:hAnsi="Arial"/>
          <w:color w:val="000000"/>
          <w:u w:val="single"/>
        </w:rPr>
        <w:tab/>
      </w:r>
      <w:r>
        <w:rPr>
          <w:rFonts w:ascii="Arial" w:hAnsi="Arial"/>
          <w:color w:val="000000"/>
        </w:rPr>
        <w:t>.</w:t>
      </w:r>
    </w:p>
    <w:p w14:paraId="0AC7AEA0" w14:textId="21D110EB" w:rsidR="00EA4133" w:rsidRDefault="00EA4133" w:rsidP="001E1C79">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C82C94E" w14:textId="463E9B76" w:rsidR="001E1C79" w:rsidRPr="001E1C79" w:rsidRDefault="001E1C79" w:rsidP="001E1C79">
      <w:pPr>
        <w:pStyle w:val="List"/>
        <w:tabs>
          <w:tab w:val="left" w:pos="9180"/>
        </w:tabs>
        <w:ind w:firstLine="0"/>
        <w:jc w:val="both"/>
        <w:rPr>
          <w:rFonts w:ascii="Arial" w:hAnsi="Arial"/>
          <w:color w:val="000000"/>
        </w:rPr>
      </w:pPr>
      <w:r>
        <w:rPr>
          <w:rFonts w:ascii="Arial" w:hAnsi="Arial"/>
          <w:color w:val="000000"/>
          <w:u w:val="single"/>
        </w:rPr>
        <w:t>Arm’s length negotiation</w:t>
      </w:r>
      <w:r>
        <w:rPr>
          <w:rFonts w:ascii="Arial" w:hAnsi="Arial"/>
          <w:color w:val="000000"/>
          <w:u w:val="single"/>
        </w:rPr>
        <w:tab/>
      </w:r>
      <w:r>
        <w:rPr>
          <w:rFonts w:ascii="Arial" w:hAnsi="Arial"/>
          <w:color w:val="000000"/>
        </w:rPr>
        <w:t>.</w:t>
      </w:r>
    </w:p>
    <w:p w14:paraId="2982EF11" w14:textId="0F1365EA" w:rsidR="00EA4133" w:rsidRDefault="00EA4133" w:rsidP="000A390F">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1E1C79">
        <w:rPr>
          <w:rFonts w:ascii="Arial" w:hAnsi="Arial"/>
          <w:color w:val="000000"/>
        </w:rPr>
        <w:t xml:space="preserve"> </w:t>
      </w:r>
      <w:r w:rsidR="001E1C79" w:rsidRPr="001E1C79">
        <w:rPr>
          <w:rFonts w:ascii="Arial" w:hAnsi="Arial"/>
          <w:color w:val="000000"/>
          <w:u w:val="single"/>
        </w:rPr>
        <w:t xml:space="preserve">  n/a</w:t>
      </w:r>
      <w:r w:rsidR="001E1C79" w:rsidRPr="001E1C79">
        <w:rPr>
          <w:rFonts w:ascii="Arial" w:hAnsi="Arial"/>
          <w:color w:val="000000"/>
          <w:u w:val="single"/>
        </w:rPr>
        <w:tab/>
      </w:r>
      <w:r w:rsidR="001E1C79" w:rsidRPr="001E1C79">
        <w:rPr>
          <w:rFonts w:ascii="Arial" w:hAnsi="Arial"/>
          <w:color w:val="000000"/>
        </w:rPr>
        <w:t>.</w:t>
      </w:r>
    </w:p>
    <w:p w14:paraId="499D3C0F" w14:textId="17C12C2D" w:rsidR="00EA4133" w:rsidRDefault="00EA4133" w:rsidP="000A390F">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p w14:paraId="68C87204" w14:textId="77777777" w:rsidR="001E1C79" w:rsidRDefault="001E1C79" w:rsidP="001E1C79">
      <w:pPr>
        <w:pStyle w:val="List"/>
        <w:spacing w:before="0"/>
        <w:ind w:firstLine="0"/>
        <w:jc w:val="both"/>
        <w:rPr>
          <w:rFonts w:ascii="Arial" w:hAnsi="Arial"/>
          <w:color w:val="000000"/>
        </w:rPr>
      </w:pPr>
    </w:p>
    <w:tbl>
      <w:tblPr>
        <w:tblW w:w="10980" w:type="dxa"/>
        <w:tblInd w:w="-7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080"/>
        <w:gridCol w:w="1350"/>
        <w:gridCol w:w="1350"/>
        <w:gridCol w:w="1350"/>
        <w:gridCol w:w="1350"/>
      </w:tblGrid>
      <w:tr w:rsidR="00EA4133" w14:paraId="42C8E222" w14:textId="77777777" w:rsidTr="00161FD4">
        <w:tc>
          <w:tcPr>
            <w:tcW w:w="2700" w:type="dxa"/>
          </w:tcPr>
          <w:p w14:paraId="5423CCE1" w14:textId="7E988A2A"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Name of Party</w:t>
            </w:r>
            <w:r w:rsidR="00161FD4">
              <w:rPr>
                <w:rFonts w:ascii="Arial" w:hAnsi="Arial"/>
                <w:b/>
                <w:sz w:val="20"/>
                <w:lang w:val="en-CA"/>
              </w:rPr>
              <w:br/>
            </w:r>
            <w:r>
              <w:rPr>
                <w:rFonts w:ascii="Arial" w:hAnsi="Arial"/>
                <w:b/>
                <w:sz w:val="20"/>
                <w:lang w:val="en-CA"/>
              </w:rPr>
              <w:t>(If not an individual, name all insiders of the Party)</w:t>
            </w:r>
          </w:p>
        </w:tc>
        <w:tc>
          <w:tcPr>
            <w:tcW w:w="1800" w:type="dxa"/>
          </w:tcPr>
          <w:p w14:paraId="18F139EB"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Number and Type of Securities to be Issued</w:t>
            </w:r>
          </w:p>
        </w:tc>
        <w:tc>
          <w:tcPr>
            <w:tcW w:w="1080" w:type="dxa"/>
          </w:tcPr>
          <w:p w14:paraId="4F7AEF16"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F1C6516"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Conversion price (if applicable)</w:t>
            </w:r>
          </w:p>
        </w:tc>
        <w:tc>
          <w:tcPr>
            <w:tcW w:w="1350" w:type="dxa"/>
          </w:tcPr>
          <w:p w14:paraId="462AA69E"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Prospectus Exemption</w:t>
            </w:r>
          </w:p>
        </w:tc>
        <w:tc>
          <w:tcPr>
            <w:tcW w:w="1350" w:type="dxa"/>
          </w:tcPr>
          <w:p w14:paraId="518655CC"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350" w:type="dxa"/>
          </w:tcPr>
          <w:p w14:paraId="66A77F3B" w14:textId="054A83CC" w:rsidR="00EA4133" w:rsidRDefault="00EA4133" w:rsidP="00A62F37">
            <w:pPr>
              <w:pStyle w:val="BodyText"/>
              <w:keepNext/>
              <w:keepLines/>
              <w:spacing w:line="280" w:lineRule="exact"/>
              <w:jc w:val="center"/>
              <w:rPr>
                <w:rFonts w:ascii="Arial" w:hAnsi="Arial"/>
                <w:b/>
                <w:color w:val="000000"/>
                <w:sz w:val="20"/>
                <w:lang w:val="en-CA"/>
              </w:rPr>
            </w:pPr>
            <w:r>
              <w:rPr>
                <w:rFonts w:ascii="Arial" w:hAnsi="Arial"/>
                <w:b/>
                <w:color w:val="000000"/>
                <w:sz w:val="20"/>
                <w:lang w:val="en-CA"/>
              </w:rPr>
              <w:t>Describe relationship</w:t>
            </w:r>
            <w:r w:rsidR="00A62F37">
              <w:rPr>
                <w:rFonts w:ascii="Arial" w:hAnsi="Arial"/>
                <w:b/>
                <w:color w:val="000000"/>
                <w:sz w:val="20"/>
                <w:lang w:val="en-CA"/>
              </w:rPr>
              <w:t xml:space="preserve"> </w:t>
            </w: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498C3C6A" w14:textId="77777777" w:rsidTr="00161FD4">
        <w:tc>
          <w:tcPr>
            <w:tcW w:w="2700" w:type="dxa"/>
          </w:tcPr>
          <w:p w14:paraId="2F981B2D" w14:textId="236D2F7F" w:rsidR="00EA4133" w:rsidRPr="00A62F37" w:rsidRDefault="00A62F37" w:rsidP="00A62F37">
            <w:pPr>
              <w:pStyle w:val="BodyText"/>
              <w:rPr>
                <w:rFonts w:ascii="Arial" w:hAnsi="Arial"/>
                <w:sz w:val="20"/>
                <w:lang w:val="en-CA"/>
              </w:rPr>
            </w:pPr>
            <w:r w:rsidRPr="00A62F37">
              <w:rPr>
                <w:rFonts w:ascii="Arial" w:hAnsi="Arial"/>
                <w:sz w:val="20"/>
                <w:lang w:val="en-CA"/>
              </w:rPr>
              <w:t>Gravitas Securities Inc.</w:t>
            </w:r>
          </w:p>
        </w:tc>
        <w:tc>
          <w:tcPr>
            <w:tcW w:w="1800" w:type="dxa"/>
          </w:tcPr>
          <w:p w14:paraId="79576B9B" w14:textId="264E9194" w:rsidR="00A62F37" w:rsidRPr="00A62F37" w:rsidRDefault="002907FF" w:rsidP="00682533">
            <w:pPr>
              <w:pStyle w:val="BodyText"/>
              <w:keepNext/>
              <w:keepLines/>
              <w:jc w:val="center"/>
              <w:rPr>
                <w:rFonts w:ascii="Arial" w:hAnsi="Arial"/>
                <w:sz w:val="20"/>
                <w:lang w:val="en-CA"/>
              </w:rPr>
            </w:pPr>
            <w:r>
              <w:rPr>
                <w:rFonts w:ascii="Arial" w:hAnsi="Arial"/>
                <w:sz w:val="20"/>
                <w:lang w:val="en-CA"/>
              </w:rPr>
              <w:t>35,022</w:t>
            </w:r>
            <w:r>
              <w:rPr>
                <w:rFonts w:ascii="Arial" w:hAnsi="Arial"/>
                <w:sz w:val="20"/>
                <w:lang w:val="en-CA"/>
              </w:rPr>
              <w:br/>
              <w:t>common shares</w:t>
            </w:r>
            <w:r w:rsidRPr="002907FF">
              <w:rPr>
                <w:rFonts w:ascii="Arial" w:hAnsi="Arial"/>
                <w:sz w:val="20"/>
                <w:vertAlign w:val="superscript"/>
                <w:lang w:val="en-CA"/>
              </w:rPr>
              <w:t>(2)</w:t>
            </w:r>
          </w:p>
        </w:tc>
        <w:tc>
          <w:tcPr>
            <w:tcW w:w="1080" w:type="dxa"/>
          </w:tcPr>
          <w:p w14:paraId="29C8067B" w14:textId="0AD4EDD4" w:rsidR="00EA4133" w:rsidRPr="00A62F37" w:rsidRDefault="00165AE3" w:rsidP="00682533">
            <w:pPr>
              <w:pStyle w:val="BodyText"/>
              <w:keepNext/>
              <w:keepLines/>
              <w:jc w:val="center"/>
              <w:rPr>
                <w:rFonts w:ascii="Arial" w:hAnsi="Arial"/>
                <w:sz w:val="20"/>
                <w:lang w:val="en-CA"/>
              </w:rPr>
            </w:pPr>
            <w:r>
              <w:rPr>
                <w:rFonts w:ascii="Arial" w:hAnsi="Arial"/>
                <w:sz w:val="20"/>
                <w:lang w:val="en-CA"/>
              </w:rPr>
              <w:t>0.428</w:t>
            </w:r>
          </w:p>
        </w:tc>
        <w:tc>
          <w:tcPr>
            <w:tcW w:w="1350" w:type="dxa"/>
          </w:tcPr>
          <w:p w14:paraId="79AD692F" w14:textId="5669B9CF" w:rsidR="00EA4133" w:rsidRPr="00A62F37" w:rsidRDefault="00682533" w:rsidP="00682533">
            <w:pPr>
              <w:pStyle w:val="BodyText"/>
              <w:keepNext/>
              <w:keepLines/>
              <w:jc w:val="center"/>
              <w:rPr>
                <w:rFonts w:ascii="Arial" w:hAnsi="Arial"/>
                <w:sz w:val="20"/>
                <w:lang w:val="en-CA"/>
              </w:rPr>
            </w:pPr>
            <w:r>
              <w:rPr>
                <w:rFonts w:ascii="Arial" w:hAnsi="Arial"/>
                <w:sz w:val="20"/>
                <w:lang w:val="en-CA"/>
              </w:rPr>
              <w:t>n/a</w:t>
            </w:r>
          </w:p>
        </w:tc>
        <w:tc>
          <w:tcPr>
            <w:tcW w:w="1350" w:type="dxa"/>
          </w:tcPr>
          <w:p w14:paraId="0CA91B60" w14:textId="05788B74" w:rsidR="00EA4133" w:rsidRPr="00A62F37" w:rsidRDefault="00A62F37" w:rsidP="00682533">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4E8BE98C" w14:textId="0A14F95D" w:rsidR="00EA4133" w:rsidRPr="00A62F37" w:rsidRDefault="00A62F37" w:rsidP="00A62F37">
            <w:pPr>
              <w:pStyle w:val="BodyText"/>
              <w:keepNext/>
              <w:keepLines/>
              <w:jc w:val="center"/>
              <w:rPr>
                <w:rFonts w:ascii="Arial" w:hAnsi="Arial"/>
                <w:sz w:val="20"/>
                <w:lang w:val="en-CA"/>
              </w:rPr>
            </w:pPr>
            <w:r>
              <w:rPr>
                <w:rFonts w:ascii="Arial" w:hAnsi="Arial"/>
                <w:sz w:val="20"/>
                <w:lang w:val="en-CA"/>
              </w:rPr>
              <w:t>nil</w:t>
            </w:r>
          </w:p>
        </w:tc>
        <w:tc>
          <w:tcPr>
            <w:tcW w:w="1350" w:type="dxa"/>
          </w:tcPr>
          <w:p w14:paraId="688B781F" w14:textId="78EC2778" w:rsidR="00EA4133" w:rsidRPr="00A62F37" w:rsidRDefault="00682533" w:rsidP="00682533">
            <w:pPr>
              <w:pStyle w:val="BodyText"/>
              <w:keepNext/>
              <w:keepLines/>
              <w:jc w:val="center"/>
              <w:rPr>
                <w:rFonts w:ascii="Arial" w:hAnsi="Arial"/>
                <w:sz w:val="20"/>
                <w:lang w:val="en-CA"/>
              </w:rPr>
            </w:pPr>
            <w:r>
              <w:rPr>
                <w:rFonts w:ascii="Arial" w:hAnsi="Arial"/>
                <w:sz w:val="20"/>
                <w:lang w:val="en-CA"/>
              </w:rPr>
              <w:t>arm’s length</w:t>
            </w:r>
          </w:p>
        </w:tc>
      </w:tr>
      <w:tr w:rsidR="00165AE3" w14:paraId="756722F6" w14:textId="77777777" w:rsidTr="00161FD4">
        <w:trPr>
          <w:trHeight w:val="521"/>
        </w:trPr>
        <w:tc>
          <w:tcPr>
            <w:tcW w:w="2700" w:type="dxa"/>
          </w:tcPr>
          <w:p w14:paraId="23F691B7" w14:textId="77777777" w:rsidR="00165AE3" w:rsidRPr="00A62F37" w:rsidRDefault="00165AE3" w:rsidP="00165AE3">
            <w:pPr>
              <w:pStyle w:val="BodyText"/>
              <w:rPr>
                <w:rFonts w:ascii="Arial" w:hAnsi="Arial"/>
                <w:sz w:val="20"/>
                <w:lang w:val="en-CA"/>
              </w:rPr>
            </w:pPr>
          </w:p>
        </w:tc>
        <w:tc>
          <w:tcPr>
            <w:tcW w:w="1800" w:type="dxa"/>
          </w:tcPr>
          <w:p w14:paraId="4540DFD7" w14:textId="42A025F9" w:rsidR="00165AE3" w:rsidRPr="00A62F37" w:rsidRDefault="00165AE3" w:rsidP="00165AE3">
            <w:pPr>
              <w:pStyle w:val="BodyText"/>
              <w:keepNext/>
              <w:keepLines/>
              <w:jc w:val="center"/>
              <w:rPr>
                <w:rFonts w:ascii="Arial" w:hAnsi="Arial"/>
                <w:sz w:val="20"/>
                <w:lang w:val="en-CA"/>
              </w:rPr>
            </w:pPr>
            <w:r>
              <w:rPr>
                <w:rFonts w:ascii="Arial" w:hAnsi="Arial"/>
                <w:sz w:val="20"/>
                <w:lang w:val="en-CA"/>
              </w:rPr>
              <w:t>19,333</w:t>
            </w:r>
            <w:r>
              <w:rPr>
                <w:rFonts w:ascii="Arial" w:hAnsi="Arial"/>
                <w:sz w:val="20"/>
                <w:lang w:val="en-CA"/>
              </w:rPr>
              <w:br/>
              <w:t>common shares</w:t>
            </w:r>
            <w:r w:rsidRPr="002907FF">
              <w:rPr>
                <w:rFonts w:ascii="Arial" w:hAnsi="Arial"/>
                <w:sz w:val="20"/>
                <w:vertAlign w:val="superscript"/>
                <w:lang w:val="en-CA"/>
              </w:rPr>
              <w:t>(</w:t>
            </w:r>
            <w:r>
              <w:rPr>
                <w:rFonts w:ascii="Arial" w:hAnsi="Arial"/>
                <w:sz w:val="20"/>
                <w:vertAlign w:val="superscript"/>
                <w:lang w:val="en-CA"/>
              </w:rPr>
              <w:t>3</w:t>
            </w:r>
            <w:r w:rsidRPr="002907FF">
              <w:rPr>
                <w:rFonts w:ascii="Arial" w:hAnsi="Arial"/>
                <w:sz w:val="20"/>
                <w:vertAlign w:val="superscript"/>
                <w:lang w:val="en-CA"/>
              </w:rPr>
              <w:t>)</w:t>
            </w:r>
          </w:p>
        </w:tc>
        <w:tc>
          <w:tcPr>
            <w:tcW w:w="1080" w:type="dxa"/>
          </w:tcPr>
          <w:p w14:paraId="64D80415" w14:textId="20B6407E" w:rsidR="00165AE3" w:rsidRPr="00A62F37" w:rsidRDefault="00165AE3" w:rsidP="00165AE3">
            <w:pPr>
              <w:pStyle w:val="BodyText"/>
              <w:keepNext/>
              <w:keepLines/>
              <w:jc w:val="center"/>
              <w:rPr>
                <w:rFonts w:ascii="Arial" w:hAnsi="Arial"/>
                <w:sz w:val="20"/>
                <w:lang w:val="en-CA"/>
              </w:rPr>
            </w:pPr>
            <w:r>
              <w:rPr>
                <w:rFonts w:ascii="Arial" w:hAnsi="Arial"/>
                <w:sz w:val="20"/>
                <w:lang w:val="en-CA"/>
              </w:rPr>
              <w:t>0.388</w:t>
            </w:r>
          </w:p>
        </w:tc>
        <w:tc>
          <w:tcPr>
            <w:tcW w:w="1350" w:type="dxa"/>
          </w:tcPr>
          <w:p w14:paraId="4E2196AF" w14:textId="3F68DF6D" w:rsidR="00165AE3" w:rsidRPr="00A62F37" w:rsidRDefault="00165AE3" w:rsidP="00165AE3">
            <w:pPr>
              <w:pStyle w:val="BodyText"/>
              <w:keepNext/>
              <w:keepLines/>
              <w:jc w:val="center"/>
              <w:rPr>
                <w:rFonts w:ascii="Arial" w:hAnsi="Arial"/>
                <w:sz w:val="20"/>
                <w:lang w:val="en-CA"/>
              </w:rPr>
            </w:pPr>
            <w:r>
              <w:rPr>
                <w:rFonts w:ascii="Arial" w:hAnsi="Arial"/>
                <w:sz w:val="20"/>
                <w:lang w:val="en-CA"/>
              </w:rPr>
              <w:t>n/a</w:t>
            </w:r>
          </w:p>
        </w:tc>
        <w:tc>
          <w:tcPr>
            <w:tcW w:w="1350" w:type="dxa"/>
          </w:tcPr>
          <w:p w14:paraId="799E977B" w14:textId="35503523"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542636B4" w14:textId="61133FB4"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nil</w:t>
            </w:r>
          </w:p>
        </w:tc>
        <w:tc>
          <w:tcPr>
            <w:tcW w:w="1350" w:type="dxa"/>
          </w:tcPr>
          <w:p w14:paraId="590D7C51" w14:textId="3A7FBAE0" w:rsidR="00165AE3" w:rsidRPr="00A62F37" w:rsidRDefault="00165AE3" w:rsidP="00165AE3">
            <w:pPr>
              <w:pStyle w:val="BodyText"/>
              <w:keepNext/>
              <w:keepLines/>
              <w:jc w:val="center"/>
              <w:rPr>
                <w:rFonts w:ascii="Arial" w:hAnsi="Arial"/>
                <w:sz w:val="20"/>
                <w:lang w:val="en-CA"/>
              </w:rPr>
            </w:pPr>
            <w:r>
              <w:rPr>
                <w:rFonts w:ascii="Arial" w:hAnsi="Arial"/>
                <w:sz w:val="20"/>
                <w:lang w:val="en-CA"/>
              </w:rPr>
              <w:t>arm’s length</w:t>
            </w:r>
          </w:p>
        </w:tc>
      </w:tr>
      <w:tr w:rsidR="00165AE3" w14:paraId="2378F8C6" w14:textId="77777777" w:rsidTr="00161FD4">
        <w:trPr>
          <w:trHeight w:val="521"/>
        </w:trPr>
        <w:tc>
          <w:tcPr>
            <w:tcW w:w="2700" w:type="dxa"/>
          </w:tcPr>
          <w:p w14:paraId="4FA7B19B" w14:textId="77777777" w:rsidR="00165AE3" w:rsidRPr="00A62F37" w:rsidRDefault="00165AE3" w:rsidP="00165AE3">
            <w:pPr>
              <w:pStyle w:val="BodyText"/>
              <w:rPr>
                <w:rFonts w:ascii="Arial" w:hAnsi="Arial"/>
                <w:sz w:val="20"/>
                <w:lang w:val="en-CA"/>
              </w:rPr>
            </w:pPr>
          </w:p>
        </w:tc>
        <w:tc>
          <w:tcPr>
            <w:tcW w:w="1800" w:type="dxa"/>
          </w:tcPr>
          <w:p w14:paraId="6F556F02" w14:textId="0DC76DAC" w:rsidR="00165AE3" w:rsidRPr="00A62F37" w:rsidRDefault="00165AE3" w:rsidP="00165AE3">
            <w:pPr>
              <w:pStyle w:val="BodyText"/>
              <w:keepNext/>
              <w:keepLines/>
              <w:jc w:val="center"/>
              <w:rPr>
                <w:rFonts w:ascii="Arial" w:hAnsi="Arial"/>
                <w:sz w:val="20"/>
                <w:lang w:val="en-CA"/>
              </w:rPr>
            </w:pPr>
            <w:r>
              <w:rPr>
                <w:rFonts w:ascii="Arial" w:hAnsi="Arial"/>
                <w:sz w:val="20"/>
                <w:lang w:val="en-CA"/>
              </w:rPr>
              <w:t>19,455</w:t>
            </w:r>
            <w:r>
              <w:rPr>
                <w:rFonts w:ascii="Arial" w:hAnsi="Arial"/>
                <w:sz w:val="20"/>
                <w:lang w:val="en-CA"/>
              </w:rPr>
              <w:br/>
              <w:t>common shares</w:t>
            </w:r>
            <w:r w:rsidRPr="002907FF">
              <w:rPr>
                <w:rFonts w:ascii="Arial" w:hAnsi="Arial"/>
                <w:sz w:val="20"/>
                <w:vertAlign w:val="superscript"/>
                <w:lang w:val="en-CA"/>
              </w:rPr>
              <w:t>(</w:t>
            </w:r>
            <w:r>
              <w:rPr>
                <w:rFonts w:ascii="Arial" w:hAnsi="Arial"/>
                <w:sz w:val="20"/>
                <w:vertAlign w:val="superscript"/>
                <w:lang w:val="en-CA"/>
              </w:rPr>
              <w:t>4</w:t>
            </w:r>
            <w:r w:rsidRPr="002907FF">
              <w:rPr>
                <w:rFonts w:ascii="Arial" w:hAnsi="Arial"/>
                <w:sz w:val="20"/>
                <w:vertAlign w:val="superscript"/>
                <w:lang w:val="en-CA"/>
              </w:rPr>
              <w:t>)</w:t>
            </w:r>
          </w:p>
        </w:tc>
        <w:tc>
          <w:tcPr>
            <w:tcW w:w="1080" w:type="dxa"/>
          </w:tcPr>
          <w:p w14:paraId="3B90888D" w14:textId="393AD2D0" w:rsidR="00165AE3" w:rsidRPr="00A62F37" w:rsidRDefault="00165AE3" w:rsidP="00165AE3">
            <w:pPr>
              <w:pStyle w:val="BodyText"/>
              <w:keepNext/>
              <w:keepLines/>
              <w:jc w:val="center"/>
              <w:rPr>
                <w:rFonts w:ascii="Arial" w:hAnsi="Arial"/>
                <w:sz w:val="20"/>
                <w:lang w:val="en-CA"/>
              </w:rPr>
            </w:pPr>
            <w:r>
              <w:rPr>
                <w:rFonts w:ascii="Arial" w:hAnsi="Arial"/>
                <w:sz w:val="20"/>
                <w:lang w:val="en-CA"/>
              </w:rPr>
              <w:t>0.386</w:t>
            </w:r>
          </w:p>
        </w:tc>
        <w:tc>
          <w:tcPr>
            <w:tcW w:w="1350" w:type="dxa"/>
          </w:tcPr>
          <w:p w14:paraId="32D3678F" w14:textId="2F4931D4" w:rsidR="00165AE3" w:rsidRPr="00A62F37" w:rsidRDefault="00165AE3" w:rsidP="00165AE3">
            <w:pPr>
              <w:pStyle w:val="BodyText"/>
              <w:keepNext/>
              <w:keepLines/>
              <w:jc w:val="center"/>
              <w:rPr>
                <w:rFonts w:ascii="Arial" w:hAnsi="Arial"/>
                <w:sz w:val="20"/>
                <w:lang w:val="en-CA"/>
              </w:rPr>
            </w:pPr>
            <w:r>
              <w:rPr>
                <w:rFonts w:ascii="Arial" w:hAnsi="Arial"/>
                <w:sz w:val="20"/>
                <w:lang w:val="en-CA"/>
              </w:rPr>
              <w:t>n/a</w:t>
            </w:r>
          </w:p>
        </w:tc>
        <w:tc>
          <w:tcPr>
            <w:tcW w:w="1350" w:type="dxa"/>
          </w:tcPr>
          <w:p w14:paraId="7338A6B9" w14:textId="26094D96"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5F60F5E0" w14:textId="4DF2367A"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nil</w:t>
            </w:r>
          </w:p>
        </w:tc>
        <w:tc>
          <w:tcPr>
            <w:tcW w:w="1350" w:type="dxa"/>
          </w:tcPr>
          <w:p w14:paraId="25C57728" w14:textId="6020CEFE" w:rsidR="00165AE3" w:rsidRPr="00A62F37" w:rsidRDefault="00165AE3" w:rsidP="00165AE3">
            <w:pPr>
              <w:pStyle w:val="BodyText"/>
              <w:keepNext/>
              <w:keepLines/>
              <w:jc w:val="center"/>
              <w:rPr>
                <w:rFonts w:ascii="Arial" w:hAnsi="Arial"/>
                <w:sz w:val="20"/>
                <w:lang w:val="en-CA"/>
              </w:rPr>
            </w:pPr>
            <w:r>
              <w:rPr>
                <w:rFonts w:ascii="Arial" w:hAnsi="Arial"/>
                <w:sz w:val="20"/>
                <w:lang w:val="en-CA"/>
              </w:rPr>
              <w:t>arm’s length</w:t>
            </w:r>
          </w:p>
        </w:tc>
      </w:tr>
      <w:tr w:rsidR="00165AE3" w14:paraId="73885311" w14:textId="77777777" w:rsidTr="00161FD4">
        <w:trPr>
          <w:trHeight w:val="521"/>
        </w:trPr>
        <w:tc>
          <w:tcPr>
            <w:tcW w:w="2700" w:type="dxa"/>
          </w:tcPr>
          <w:p w14:paraId="74761E53" w14:textId="77777777" w:rsidR="00165AE3" w:rsidRPr="00A62F37" w:rsidRDefault="00165AE3" w:rsidP="00165AE3">
            <w:pPr>
              <w:pStyle w:val="BodyText"/>
              <w:rPr>
                <w:rFonts w:ascii="Arial" w:hAnsi="Arial"/>
                <w:sz w:val="20"/>
                <w:lang w:val="en-CA"/>
              </w:rPr>
            </w:pPr>
          </w:p>
        </w:tc>
        <w:tc>
          <w:tcPr>
            <w:tcW w:w="1800" w:type="dxa"/>
          </w:tcPr>
          <w:p w14:paraId="72763FE0" w14:textId="6FD9E79A" w:rsidR="00165AE3" w:rsidRPr="00A62F37" w:rsidRDefault="00165AE3" w:rsidP="00165AE3">
            <w:pPr>
              <w:pStyle w:val="BodyText"/>
              <w:keepNext/>
              <w:keepLines/>
              <w:jc w:val="center"/>
              <w:rPr>
                <w:rFonts w:ascii="Arial" w:hAnsi="Arial"/>
                <w:sz w:val="20"/>
                <w:lang w:val="en-CA"/>
              </w:rPr>
            </w:pPr>
            <w:r>
              <w:rPr>
                <w:rFonts w:ascii="Arial" w:hAnsi="Arial"/>
                <w:sz w:val="20"/>
                <w:lang w:val="en-CA"/>
              </w:rPr>
              <w:t>17,401</w:t>
            </w:r>
            <w:r>
              <w:rPr>
                <w:rFonts w:ascii="Arial" w:hAnsi="Arial"/>
                <w:sz w:val="20"/>
                <w:lang w:val="en-CA"/>
              </w:rPr>
              <w:br/>
              <w:t>common shares</w:t>
            </w:r>
            <w:r w:rsidRPr="002907FF">
              <w:rPr>
                <w:rFonts w:ascii="Arial" w:hAnsi="Arial"/>
                <w:sz w:val="20"/>
                <w:vertAlign w:val="superscript"/>
                <w:lang w:val="en-CA"/>
              </w:rPr>
              <w:t>(</w:t>
            </w:r>
            <w:r>
              <w:rPr>
                <w:rFonts w:ascii="Arial" w:hAnsi="Arial"/>
                <w:sz w:val="20"/>
                <w:vertAlign w:val="superscript"/>
                <w:lang w:val="en-CA"/>
              </w:rPr>
              <w:t>5</w:t>
            </w:r>
            <w:r w:rsidRPr="002907FF">
              <w:rPr>
                <w:rFonts w:ascii="Arial" w:hAnsi="Arial"/>
                <w:sz w:val="20"/>
                <w:vertAlign w:val="superscript"/>
                <w:lang w:val="en-CA"/>
              </w:rPr>
              <w:t>)</w:t>
            </w:r>
          </w:p>
        </w:tc>
        <w:tc>
          <w:tcPr>
            <w:tcW w:w="1080" w:type="dxa"/>
          </w:tcPr>
          <w:p w14:paraId="3D7D599B" w14:textId="43088749" w:rsidR="00165AE3" w:rsidRPr="00A62F37" w:rsidRDefault="00165AE3" w:rsidP="00165AE3">
            <w:pPr>
              <w:pStyle w:val="BodyText"/>
              <w:keepNext/>
              <w:keepLines/>
              <w:jc w:val="center"/>
              <w:rPr>
                <w:rFonts w:ascii="Arial" w:hAnsi="Arial"/>
                <w:sz w:val="20"/>
                <w:lang w:val="en-CA"/>
              </w:rPr>
            </w:pPr>
            <w:r>
              <w:rPr>
                <w:rFonts w:ascii="Arial" w:hAnsi="Arial"/>
                <w:sz w:val="20"/>
                <w:lang w:val="en-CA"/>
              </w:rPr>
              <w:t>0.431</w:t>
            </w:r>
          </w:p>
        </w:tc>
        <w:tc>
          <w:tcPr>
            <w:tcW w:w="1350" w:type="dxa"/>
          </w:tcPr>
          <w:p w14:paraId="0CE35213" w14:textId="6CC7762D" w:rsidR="00165AE3" w:rsidRPr="00A62F37" w:rsidRDefault="00165AE3" w:rsidP="00165AE3">
            <w:pPr>
              <w:pStyle w:val="BodyText"/>
              <w:keepNext/>
              <w:keepLines/>
              <w:jc w:val="center"/>
              <w:rPr>
                <w:rFonts w:ascii="Arial" w:hAnsi="Arial"/>
                <w:sz w:val="20"/>
                <w:lang w:val="en-CA"/>
              </w:rPr>
            </w:pPr>
            <w:r>
              <w:rPr>
                <w:rFonts w:ascii="Arial" w:hAnsi="Arial"/>
                <w:sz w:val="20"/>
                <w:lang w:val="en-CA"/>
              </w:rPr>
              <w:t>n/a</w:t>
            </w:r>
          </w:p>
        </w:tc>
        <w:tc>
          <w:tcPr>
            <w:tcW w:w="1350" w:type="dxa"/>
          </w:tcPr>
          <w:p w14:paraId="07D05050" w14:textId="3B0D8E9D"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5DA5C362" w14:textId="1224F707"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nil</w:t>
            </w:r>
          </w:p>
        </w:tc>
        <w:tc>
          <w:tcPr>
            <w:tcW w:w="1350" w:type="dxa"/>
          </w:tcPr>
          <w:p w14:paraId="3B457AE4" w14:textId="2F2580CA" w:rsidR="00165AE3" w:rsidRPr="00A62F37" w:rsidRDefault="00165AE3" w:rsidP="00165AE3">
            <w:pPr>
              <w:pStyle w:val="BodyText"/>
              <w:keepNext/>
              <w:keepLines/>
              <w:jc w:val="center"/>
              <w:rPr>
                <w:rFonts w:ascii="Arial" w:hAnsi="Arial"/>
                <w:sz w:val="20"/>
                <w:lang w:val="en-CA"/>
              </w:rPr>
            </w:pPr>
            <w:r>
              <w:rPr>
                <w:rFonts w:ascii="Arial" w:hAnsi="Arial"/>
                <w:sz w:val="20"/>
                <w:lang w:val="en-CA"/>
              </w:rPr>
              <w:t>arm’s length</w:t>
            </w:r>
          </w:p>
        </w:tc>
      </w:tr>
      <w:tr w:rsidR="00165AE3" w14:paraId="66674ECD" w14:textId="77777777" w:rsidTr="00161FD4">
        <w:trPr>
          <w:trHeight w:val="521"/>
        </w:trPr>
        <w:tc>
          <w:tcPr>
            <w:tcW w:w="2700" w:type="dxa"/>
          </w:tcPr>
          <w:p w14:paraId="5E674842" w14:textId="77777777" w:rsidR="00165AE3" w:rsidRPr="00A62F37" w:rsidRDefault="00165AE3" w:rsidP="00165AE3">
            <w:pPr>
              <w:pStyle w:val="BodyText"/>
              <w:rPr>
                <w:rFonts w:ascii="Arial" w:hAnsi="Arial"/>
                <w:sz w:val="20"/>
                <w:lang w:val="en-CA"/>
              </w:rPr>
            </w:pPr>
          </w:p>
        </w:tc>
        <w:tc>
          <w:tcPr>
            <w:tcW w:w="1800" w:type="dxa"/>
          </w:tcPr>
          <w:p w14:paraId="3B4BE870" w14:textId="658E2A69" w:rsidR="00165AE3" w:rsidRPr="00A62F37" w:rsidRDefault="00165AE3" w:rsidP="00165AE3">
            <w:pPr>
              <w:pStyle w:val="BodyText"/>
              <w:keepNext/>
              <w:keepLines/>
              <w:jc w:val="center"/>
              <w:rPr>
                <w:rFonts w:ascii="Arial" w:hAnsi="Arial"/>
                <w:sz w:val="20"/>
                <w:lang w:val="en-CA"/>
              </w:rPr>
            </w:pPr>
            <w:r>
              <w:rPr>
                <w:rFonts w:ascii="Arial" w:hAnsi="Arial"/>
                <w:sz w:val="20"/>
                <w:lang w:val="en-CA"/>
              </w:rPr>
              <w:t>18,750</w:t>
            </w:r>
            <w:r>
              <w:rPr>
                <w:rFonts w:ascii="Arial" w:hAnsi="Arial"/>
                <w:sz w:val="20"/>
                <w:lang w:val="en-CA"/>
              </w:rPr>
              <w:br/>
              <w:t>common shares</w:t>
            </w:r>
            <w:r w:rsidRPr="002907FF">
              <w:rPr>
                <w:rFonts w:ascii="Arial" w:hAnsi="Arial"/>
                <w:sz w:val="20"/>
                <w:vertAlign w:val="superscript"/>
                <w:lang w:val="en-CA"/>
              </w:rPr>
              <w:t>(</w:t>
            </w:r>
            <w:r>
              <w:rPr>
                <w:rFonts w:ascii="Arial" w:hAnsi="Arial"/>
                <w:sz w:val="20"/>
                <w:vertAlign w:val="superscript"/>
                <w:lang w:val="en-CA"/>
              </w:rPr>
              <w:t>6</w:t>
            </w:r>
            <w:r w:rsidRPr="002907FF">
              <w:rPr>
                <w:rFonts w:ascii="Arial" w:hAnsi="Arial"/>
                <w:sz w:val="20"/>
                <w:vertAlign w:val="superscript"/>
                <w:lang w:val="en-CA"/>
              </w:rPr>
              <w:t>)</w:t>
            </w:r>
          </w:p>
        </w:tc>
        <w:tc>
          <w:tcPr>
            <w:tcW w:w="1080" w:type="dxa"/>
          </w:tcPr>
          <w:p w14:paraId="6A20F012" w14:textId="3D13FE1E" w:rsidR="00165AE3" w:rsidRPr="00A62F37" w:rsidRDefault="00165AE3" w:rsidP="00165AE3">
            <w:pPr>
              <w:pStyle w:val="BodyText"/>
              <w:keepNext/>
              <w:keepLines/>
              <w:jc w:val="center"/>
              <w:rPr>
                <w:rFonts w:ascii="Arial" w:hAnsi="Arial"/>
                <w:sz w:val="20"/>
                <w:lang w:val="en-CA"/>
              </w:rPr>
            </w:pPr>
            <w:r>
              <w:rPr>
                <w:rFonts w:ascii="Arial" w:hAnsi="Arial"/>
                <w:sz w:val="20"/>
                <w:lang w:val="en-CA"/>
              </w:rPr>
              <w:t>0.40</w:t>
            </w:r>
          </w:p>
        </w:tc>
        <w:tc>
          <w:tcPr>
            <w:tcW w:w="1350" w:type="dxa"/>
          </w:tcPr>
          <w:p w14:paraId="0CA6C526" w14:textId="328EA46E" w:rsidR="00165AE3" w:rsidRPr="00A62F37" w:rsidRDefault="00165AE3" w:rsidP="00165AE3">
            <w:pPr>
              <w:pStyle w:val="BodyText"/>
              <w:keepNext/>
              <w:keepLines/>
              <w:jc w:val="center"/>
              <w:rPr>
                <w:rFonts w:ascii="Arial" w:hAnsi="Arial"/>
                <w:sz w:val="20"/>
                <w:lang w:val="en-CA"/>
              </w:rPr>
            </w:pPr>
            <w:r>
              <w:rPr>
                <w:rFonts w:ascii="Arial" w:hAnsi="Arial"/>
                <w:sz w:val="20"/>
                <w:lang w:val="en-CA"/>
              </w:rPr>
              <w:t>n/a</w:t>
            </w:r>
          </w:p>
        </w:tc>
        <w:tc>
          <w:tcPr>
            <w:tcW w:w="1350" w:type="dxa"/>
          </w:tcPr>
          <w:p w14:paraId="74E5F7C7" w14:textId="2546E7A1"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355F773E" w14:textId="2C30D2E5" w:rsidR="00165AE3" w:rsidRPr="00A62F37" w:rsidRDefault="00165AE3" w:rsidP="00165AE3">
            <w:pPr>
              <w:pStyle w:val="BodyText"/>
              <w:keepNext/>
              <w:keepLines/>
              <w:jc w:val="center"/>
              <w:rPr>
                <w:rFonts w:ascii="Arial" w:hAnsi="Arial"/>
                <w:sz w:val="20"/>
                <w:lang w:val="en-CA"/>
              </w:rPr>
            </w:pPr>
            <w:r>
              <w:rPr>
                <w:rFonts w:ascii="Arial" w:hAnsi="Arial"/>
                <w:sz w:val="20"/>
                <w:lang w:val="en-CA"/>
              </w:rPr>
              <w:t>nil</w:t>
            </w:r>
          </w:p>
        </w:tc>
        <w:tc>
          <w:tcPr>
            <w:tcW w:w="1350" w:type="dxa"/>
          </w:tcPr>
          <w:p w14:paraId="2A6E595F" w14:textId="68177900" w:rsidR="00165AE3" w:rsidRPr="00A62F37" w:rsidRDefault="00165AE3" w:rsidP="00165AE3">
            <w:pPr>
              <w:pStyle w:val="BodyText"/>
              <w:keepNext/>
              <w:keepLines/>
              <w:jc w:val="center"/>
              <w:rPr>
                <w:rFonts w:ascii="Arial" w:hAnsi="Arial"/>
                <w:sz w:val="20"/>
                <w:lang w:val="en-CA"/>
              </w:rPr>
            </w:pPr>
            <w:r>
              <w:rPr>
                <w:rFonts w:ascii="Arial" w:hAnsi="Arial"/>
                <w:sz w:val="20"/>
                <w:lang w:val="en-CA"/>
              </w:rPr>
              <w:t>arm’s length</w:t>
            </w:r>
          </w:p>
        </w:tc>
      </w:tr>
      <w:tr w:rsidR="0036119E" w14:paraId="47DA9D96" w14:textId="77777777" w:rsidTr="00161FD4">
        <w:trPr>
          <w:trHeight w:val="521"/>
        </w:trPr>
        <w:tc>
          <w:tcPr>
            <w:tcW w:w="2700" w:type="dxa"/>
          </w:tcPr>
          <w:p w14:paraId="17BC4FC3" w14:textId="77777777" w:rsidR="0036119E" w:rsidRPr="00A62F37" w:rsidRDefault="0036119E" w:rsidP="0036119E">
            <w:pPr>
              <w:pStyle w:val="BodyText"/>
              <w:rPr>
                <w:rFonts w:ascii="Arial" w:hAnsi="Arial"/>
                <w:sz w:val="20"/>
                <w:lang w:val="en-CA"/>
              </w:rPr>
            </w:pPr>
          </w:p>
        </w:tc>
        <w:tc>
          <w:tcPr>
            <w:tcW w:w="1800" w:type="dxa"/>
          </w:tcPr>
          <w:p w14:paraId="2E4CA0AA" w14:textId="5BECE57A" w:rsidR="0036119E" w:rsidRPr="00A62F37" w:rsidRDefault="0036119E" w:rsidP="0036119E">
            <w:pPr>
              <w:pStyle w:val="BodyText"/>
              <w:keepNext/>
              <w:keepLines/>
              <w:jc w:val="center"/>
              <w:rPr>
                <w:rFonts w:ascii="Arial" w:hAnsi="Arial"/>
                <w:sz w:val="20"/>
                <w:lang w:val="en-CA"/>
              </w:rPr>
            </w:pPr>
            <w:r>
              <w:rPr>
                <w:rFonts w:ascii="Arial" w:hAnsi="Arial"/>
                <w:sz w:val="20"/>
                <w:lang w:val="en-CA"/>
              </w:rPr>
              <w:t>11,364</w:t>
            </w:r>
            <w:r>
              <w:rPr>
                <w:rFonts w:ascii="Arial" w:hAnsi="Arial"/>
                <w:sz w:val="20"/>
                <w:lang w:val="en-CA"/>
              </w:rPr>
              <w:br/>
              <w:t>common shares</w:t>
            </w:r>
            <w:r w:rsidRPr="002907FF">
              <w:rPr>
                <w:rFonts w:ascii="Arial" w:hAnsi="Arial"/>
                <w:sz w:val="20"/>
                <w:vertAlign w:val="superscript"/>
                <w:lang w:val="en-CA"/>
              </w:rPr>
              <w:t>(</w:t>
            </w:r>
            <w:r>
              <w:rPr>
                <w:rFonts w:ascii="Arial" w:hAnsi="Arial"/>
                <w:sz w:val="20"/>
                <w:vertAlign w:val="superscript"/>
                <w:lang w:val="en-CA"/>
              </w:rPr>
              <w:t>7</w:t>
            </w:r>
            <w:r w:rsidRPr="002907FF">
              <w:rPr>
                <w:rFonts w:ascii="Arial" w:hAnsi="Arial"/>
                <w:sz w:val="20"/>
                <w:vertAlign w:val="superscript"/>
                <w:lang w:val="en-CA"/>
              </w:rPr>
              <w:t>)</w:t>
            </w:r>
          </w:p>
        </w:tc>
        <w:tc>
          <w:tcPr>
            <w:tcW w:w="1080" w:type="dxa"/>
          </w:tcPr>
          <w:p w14:paraId="4CBC75C5" w14:textId="49BC2AC6" w:rsidR="0036119E" w:rsidRPr="00A62F37" w:rsidRDefault="0036119E" w:rsidP="0036119E">
            <w:pPr>
              <w:pStyle w:val="BodyText"/>
              <w:keepNext/>
              <w:keepLines/>
              <w:jc w:val="center"/>
              <w:rPr>
                <w:rFonts w:ascii="Arial" w:hAnsi="Arial"/>
                <w:sz w:val="20"/>
                <w:lang w:val="en-CA"/>
              </w:rPr>
            </w:pPr>
            <w:r>
              <w:rPr>
                <w:rFonts w:ascii="Arial" w:hAnsi="Arial"/>
                <w:sz w:val="20"/>
                <w:lang w:val="en-CA"/>
              </w:rPr>
              <w:t>0.33</w:t>
            </w:r>
          </w:p>
        </w:tc>
        <w:tc>
          <w:tcPr>
            <w:tcW w:w="1350" w:type="dxa"/>
          </w:tcPr>
          <w:p w14:paraId="74FEE280" w14:textId="6A8DAD9E" w:rsidR="0036119E" w:rsidRPr="00A62F37" w:rsidRDefault="0036119E" w:rsidP="0036119E">
            <w:pPr>
              <w:pStyle w:val="BodyText"/>
              <w:keepNext/>
              <w:keepLines/>
              <w:jc w:val="center"/>
              <w:rPr>
                <w:rFonts w:ascii="Arial" w:hAnsi="Arial"/>
                <w:sz w:val="20"/>
                <w:lang w:val="en-CA"/>
              </w:rPr>
            </w:pPr>
            <w:r>
              <w:rPr>
                <w:rFonts w:ascii="Arial" w:hAnsi="Arial"/>
                <w:sz w:val="20"/>
                <w:lang w:val="en-CA"/>
              </w:rPr>
              <w:t>n/a</w:t>
            </w:r>
          </w:p>
        </w:tc>
        <w:tc>
          <w:tcPr>
            <w:tcW w:w="1350" w:type="dxa"/>
          </w:tcPr>
          <w:p w14:paraId="714443D4" w14:textId="009A35CE" w:rsidR="0036119E" w:rsidRPr="00A62F37" w:rsidRDefault="0036119E" w:rsidP="0036119E">
            <w:pPr>
              <w:pStyle w:val="BodyText"/>
              <w:keepNext/>
              <w:keepLines/>
              <w:jc w:val="center"/>
              <w:rPr>
                <w:rFonts w:ascii="Arial" w:hAnsi="Arial"/>
                <w:sz w:val="20"/>
                <w:lang w:val="en-CA"/>
              </w:rPr>
            </w:pPr>
            <w:r>
              <w:rPr>
                <w:rFonts w:ascii="Arial" w:hAnsi="Arial"/>
                <w:sz w:val="20"/>
                <w:lang w:val="en-CA"/>
              </w:rPr>
              <w:t>NI45-106 section 2.3</w:t>
            </w:r>
          </w:p>
        </w:tc>
        <w:tc>
          <w:tcPr>
            <w:tcW w:w="1350" w:type="dxa"/>
          </w:tcPr>
          <w:p w14:paraId="62EB1B9E" w14:textId="370EDE1A" w:rsidR="0036119E" w:rsidRPr="00A62F37" w:rsidRDefault="0036119E" w:rsidP="0036119E">
            <w:pPr>
              <w:pStyle w:val="BodyText"/>
              <w:keepNext/>
              <w:keepLines/>
              <w:jc w:val="center"/>
              <w:rPr>
                <w:rFonts w:ascii="Arial" w:hAnsi="Arial"/>
                <w:sz w:val="20"/>
                <w:lang w:val="en-CA"/>
              </w:rPr>
            </w:pPr>
            <w:r>
              <w:rPr>
                <w:rFonts w:ascii="Arial" w:hAnsi="Arial"/>
                <w:sz w:val="20"/>
                <w:lang w:val="en-CA"/>
              </w:rPr>
              <w:t>nil</w:t>
            </w:r>
          </w:p>
        </w:tc>
        <w:tc>
          <w:tcPr>
            <w:tcW w:w="1350" w:type="dxa"/>
          </w:tcPr>
          <w:p w14:paraId="708F631F" w14:textId="506B631D" w:rsidR="0036119E" w:rsidRPr="00A62F37" w:rsidRDefault="0036119E" w:rsidP="0036119E">
            <w:pPr>
              <w:pStyle w:val="BodyText"/>
              <w:keepNext/>
              <w:keepLines/>
              <w:jc w:val="center"/>
              <w:rPr>
                <w:rFonts w:ascii="Arial" w:hAnsi="Arial"/>
                <w:sz w:val="20"/>
                <w:lang w:val="en-CA"/>
              </w:rPr>
            </w:pPr>
            <w:r>
              <w:rPr>
                <w:rFonts w:ascii="Arial" w:hAnsi="Arial"/>
                <w:sz w:val="20"/>
                <w:lang w:val="en-CA"/>
              </w:rPr>
              <w:t>arm’s length</w:t>
            </w:r>
          </w:p>
        </w:tc>
      </w:tr>
    </w:tbl>
    <w:p w14:paraId="10B53B05" w14:textId="19FDF80E" w:rsidR="00EA4133" w:rsidRDefault="00EA4133" w:rsidP="00A62F37">
      <w:pPr>
        <w:pStyle w:val="BodyText"/>
        <w:numPr>
          <w:ilvl w:val="0"/>
          <w:numId w:val="17"/>
        </w:numPr>
        <w:tabs>
          <w:tab w:val="clear" w:pos="720"/>
          <w:tab w:val="num" w:pos="1440"/>
        </w:tabs>
        <w:ind w:left="1440"/>
        <w:rPr>
          <w:rFonts w:ascii="Arial" w:hAnsi="Arial"/>
          <w:sz w:val="20"/>
        </w:rPr>
      </w:pPr>
      <w:r>
        <w:rPr>
          <w:rFonts w:ascii="Arial" w:hAnsi="Arial"/>
          <w:sz w:val="20"/>
        </w:rPr>
        <w:t>Indicate if Related Person</w:t>
      </w:r>
    </w:p>
    <w:p w14:paraId="3F21F8DE" w14:textId="0FF68E04" w:rsidR="002907FF" w:rsidRDefault="002907FF" w:rsidP="00A62F37">
      <w:pPr>
        <w:pStyle w:val="BodyText"/>
        <w:numPr>
          <w:ilvl w:val="0"/>
          <w:numId w:val="17"/>
        </w:numPr>
        <w:tabs>
          <w:tab w:val="clear" w:pos="720"/>
          <w:tab w:val="num" w:pos="1440"/>
        </w:tabs>
        <w:ind w:left="1440"/>
        <w:rPr>
          <w:rFonts w:ascii="Arial" w:hAnsi="Arial"/>
          <w:sz w:val="20"/>
        </w:rPr>
      </w:pPr>
      <w:r>
        <w:rPr>
          <w:rFonts w:ascii="Arial" w:hAnsi="Arial"/>
          <w:sz w:val="20"/>
        </w:rPr>
        <w:t xml:space="preserve">Share payment for Month 1 (May 22 – June 21); see </w:t>
      </w:r>
      <w:r w:rsidR="006A6047">
        <w:rPr>
          <w:rFonts w:ascii="Arial" w:hAnsi="Arial"/>
          <w:sz w:val="20"/>
        </w:rPr>
        <w:t>paragraph</w:t>
      </w:r>
      <w:r>
        <w:rPr>
          <w:rFonts w:ascii="Arial" w:hAnsi="Arial"/>
          <w:sz w:val="20"/>
        </w:rPr>
        <w:t xml:space="preserve"> 3(c).</w:t>
      </w:r>
    </w:p>
    <w:p w14:paraId="15B1C3F8" w14:textId="38CFA6C9" w:rsidR="002907FF" w:rsidRDefault="002907FF" w:rsidP="00A62F37">
      <w:pPr>
        <w:pStyle w:val="BodyText"/>
        <w:numPr>
          <w:ilvl w:val="0"/>
          <w:numId w:val="17"/>
        </w:numPr>
        <w:tabs>
          <w:tab w:val="clear" w:pos="720"/>
          <w:tab w:val="num" w:pos="1440"/>
        </w:tabs>
        <w:ind w:left="1440"/>
        <w:rPr>
          <w:rFonts w:ascii="Arial" w:hAnsi="Arial"/>
          <w:sz w:val="20"/>
        </w:rPr>
      </w:pPr>
      <w:r>
        <w:rPr>
          <w:rFonts w:ascii="Arial" w:hAnsi="Arial"/>
          <w:sz w:val="20"/>
        </w:rPr>
        <w:t xml:space="preserve">Share payment for Month 2 (June 22 – July 21); see </w:t>
      </w:r>
      <w:r w:rsidR="006A6047">
        <w:rPr>
          <w:rFonts w:ascii="Arial" w:hAnsi="Arial"/>
          <w:sz w:val="20"/>
        </w:rPr>
        <w:t>paragraph</w:t>
      </w:r>
      <w:r>
        <w:rPr>
          <w:rFonts w:ascii="Arial" w:hAnsi="Arial"/>
          <w:sz w:val="20"/>
        </w:rPr>
        <w:t xml:space="preserve"> 3(c).</w:t>
      </w:r>
    </w:p>
    <w:p w14:paraId="1C3A02B8" w14:textId="7463B090" w:rsidR="006A6047" w:rsidRDefault="006A6047" w:rsidP="006A6047">
      <w:pPr>
        <w:pStyle w:val="BodyText"/>
        <w:numPr>
          <w:ilvl w:val="0"/>
          <w:numId w:val="17"/>
        </w:numPr>
        <w:tabs>
          <w:tab w:val="clear" w:pos="720"/>
          <w:tab w:val="num" w:pos="1440"/>
        </w:tabs>
        <w:ind w:left="1440"/>
        <w:rPr>
          <w:rFonts w:ascii="Arial" w:hAnsi="Arial"/>
          <w:sz w:val="20"/>
        </w:rPr>
      </w:pPr>
      <w:r>
        <w:rPr>
          <w:rFonts w:ascii="Arial" w:hAnsi="Arial"/>
          <w:sz w:val="20"/>
        </w:rPr>
        <w:t>Share payment for Month 3 (July 22 – Aug 21); see paragraph 3(c).</w:t>
      </w:r>
    </w:p>
    <w:p w14:paraId="78870902" w14:textId="123EBF5B" w:rsidR="006A6047" w:rsidRDefault="006A6047" w:rsidP="006A6047">
      <w:pPr>
        <w:pStyle w:val="BodyText"/>
        <w:numPr>
          <w:ilvl w:val="0"/>
          <w:numId w:val="17"/>
        </w:numPr>
        <w:tabs>
          <w:tab w:val="clear" w:pos="720"/>
          <w:tab w:val="num" w:pos="1440"/>
        </w:tabs>
        <w:ind w:left="1440"/>
        <w:rPr>
          <w:rFonts w:ascii="Arial" w:hAnsi="Arial"/>
          <w:sz w:val="20"/>
        </w:rPr>
      </w:pPr>
      <w:r>
        <w:rPr>
          <w:rFonts w:ascii="Arial" w:hAnsi="Arial"/>
          <w:sz w:val="20"/>
        </w:rPr>
        <w:t>Share payment for Month 4 (Aug 22 – Sept 21); see paragraph 3(c).</w:t>
      </w:r>
    </w:p>
    <w:p w14:paraId="113E406B" w14:textId="4622C593" w:rsidR="006A6047" w:rsidRDefault="006A6047" w:rsidP="006A6047">
      <w:pPr>
        <w:pStyle w:val="BodyText"/>
        <w:numPr>
          <w:ilvl w:val="0"/>
          <w:numId w:val="17"/>
        </w:numPr>
        <w:tabs>
          <w:tab w:val="clear" w:pos="720"/>
          <w:tab w:val="num" w:pos="1440"/>
        </w:tabs>
        <w:ind w:left="1440"/>
        <w:rPr>
          <w:rFonts w:ascii="Arial" w:hAnsi="Arial"/>
          <w:sz w:val="20"/>
        </w:rPr>
      </w:pPr>
      <w:r>
        <w:rPr>
          <w:rFonts w:ascii="Arial" w:hAnsi="Arial"/>
          <w:sz w:val="20"/>
        </w:rPr>
        <w:lastRenderedPageBreak/>
        <w:t>Share payment for Month 5 (Sept 22 – Oct 21); see paragraph 3(c).</w:t>
      </w:r>
    </w:p>
    <w:p w14:paraId="3F02716B" w14:textId="130D0C8C" w:rsidR="0036119E" w:rsidRPr="006A6047" w:rsidRDefault="0036119E" w:rsidP="006A6047">
      <w:pPr>
        <w:pStyle w:val="BodyText"/>
        <w:numPr>
          <w:ilvl w:val="0"/>
          <w:numId w:val="17"/>
        </w:numPr>
        <w:tabs>
          <w:tab w:val="clear" w:pos="720"/>
          <w:tab w:val="num" w:pos="1440"/>
        </w:tabs>
        <w:ind w:left="1440"/>
        <w:rPr>
          <w:rFonts w:ascii="Arial" w:hAnsi="Arial"/>
          <w:sz w:val="20"/>
        </w:rPr>
      </w:pPr>
      <w:r>
        <w:rPr>
          <w:rFonts w:ascii="Arial" w:hAnsi="Arial"/>
          <w:sz w:val="20"/>
        </w:rPr>
        <w:t>Share payment for Month 6 (Oct 22 – Nov 21); see paragraph 3(c).</w:t>
      </w:r>
    </w:p>
    <w:p w14:paraId="13A5E7D7" w14:textId="299CECE7" w:rsidR="00EA4133" w:rsidRDefault="00EA4133" w:rsidP="000A390F">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A62F37">
        <w:rPr>
          <w:rFonts w:ascii="Arial" w:hAnsi="Arial"/>
          <w:color w:val="000000"/>
          <w:u w:val="single"/>
        </w:rPr>
        <w:t xml:space="preserve">  n/a</w:t>
      </w:r>
      <w:r>
        <w:rPr>
          <w:rFonts w:ascii="Arial" w:hAnsi="Arial"/>
          <w:color w:val="000000"/>
          <w:u w:val="single"/>
        </w:rPr>
        <w:tab/>
      </w:r>
      <w:r w:rsidR="00A62F37" w:rsidRPr="00A62F37">
        <w:rPr>
          <w:rFonts w:ascii="Arial" w:hAnsi="Arial"/>
          <w:color w:val="000000"/>
        </w:rPr>
        <w:t>.</w:t>
      </w:r>
    </w:p>
    <w:p w14:paraId="687434AB" w14:textId="77777777" w:rsidR="00EA4133" w:rsidRDefault="00EA4133" w:rsidP="000A390F">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D156E12" w14:textId="54BBF86C" w:rsidR="00EA4133" w:rsidRDefault="00EA4133" w:rsidP="000A390F">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
    <w:p w14:paraId="4A361BFA" w14:textId="0DCB6ADA" w:rsidR="00161FD4" w:rsidRPr="00161FD4" w:rsidRDefault="00161FD4" w:rsidP="00682533">
      <w:pPr>
        <w:pStyle w:val="List"/>
        <w:tabs>
          <w:tab w:val="left" w:pos="2160"/>
          <w:tab w:val="left" w:pos="9180"/>
        </w:tabs>
        <w:spacing w:before="0"/>
        <w:ind w:left="2160"/>
        <w:jc w:val="both"/>
        <w:rPr>
          <w:rFonts w:ascii="Arial" w:hAnsi="Arial"/>
          <w:u w:val="single"/>
        </w:rPr>
      </w:pPr>
      <w:r w:rsidRPr="00161FD4">
        <w:rPr>
          <w:rFonts w:ascii="Arial" w:hAnsi="Arial"/>
        </w:rPr>
        <w:tab/>
      </w:r>
      <w:r w:rsidRPr="00161FD4">
        <w:rPr>
          <w:rFonts w:ascii="Arial" w:hAnsi="Arial"/>
          <w:u w:val="single"/>
        </w:rPr>
        <w:tab/>
      </w:r>
    </w:p>
    <w:p w14:paraId="4A2C7C3C" w14:textId="16C373D8"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27A6DF84" w14:textId="74AFC91E" w:rsidR="00EA4133" w:rsidRDefault="00EA4133" w:rsidP="000A390F">
      <w:pPr>
        <w:pStyle w:val="List"/>
        <w:tabs>
          <w:tab w:val="left" w:pos="2160"/>
          <w:tab w:val="left" w:pos="9180"/>
        </w:tabs>
        <w:ind w:left="2160"/>
        <w:rPr>
          <w:rFonts w:ascii="Arial" w:hAnsi="Arial"/>
        </w:rPr>
      </w:pPr>
      <w:r>
        <w:rPr>
          <w:rFonts w:ascii="Arial" w:hAnsi="Arial"/>
        </w:rPr>
        <w:t>(c)</w:t>
      </w:r>
      <w:r>
        <w:rPr>
          <w:rFonts w:ascii="Arial" w:hAnsi="Arial"/>
        </w:rPr>
        <w:tab/>
        <w:t>Securities</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47D99D00" w14:textId="259A74C2"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0268DEDF" w14:textId="1A9DF589" w:rsidR="00EA4133" w:rsidRDefault="00EA4133" w:rsidP="000A390F">
      <w:pPr>
        <w:pStyle w:val="List"/>
        <w:numPr>
          <w:ilvl w:val="0"/>
          <w:numId w:val="15"/>
        </w:numPr>
        <w:tabs>
          <w:tab w:val="left" w:pos="9180"/>
        </w:tabs>
        <w:rPr>
          <w:rFonts w:ascii="Arial" w:hAnsi="Arial"/>
        </w:rPr>
      </w:pPr>
      <w:r>
        <w:rPr>
          <w:rFonts w:ascii="Arial" w:hAnsi="Arial"/>
        </w:rPr>
        <w:t>Expiry date of any options, warrants etc.</w:t>
      </w:r>
      <w:r w:rsidR="00DE7A30">
        <w:rPr>
          <w:rFonts w:ascii="Arial" w:hAnsi="Arial"/>
        </w:rPr>
        <w:t>:</w:t>
      </w:r>
      <w:r>
        <w:rPr>
          <w:rFonts w:ascii="Arial" w:hAnsi="Arial"/>
        </w:rPr>
        <w:t xml:space="preserve"> </w:t>
      </w:r>
      <w:r>
        <w:rPr>
          <w:rFonts w:ascii="Arial" w:hAnsi="Arial"/>
          <w:u w:val="single"/>
        </w:rPr>
        <w:tab/>
      </w:r>
      <w:r w:rsidR="00DE7A30" w:rsidRPr="00DE7A30">
        <w:rPr>
          <w:rFonts w:ascii="Arial" w:hAnsi="Arial"/>
        </w:rPr>
        <w:t>.</w:t>
      </w:r>
    </w:p>
    <w:p w14:paraId="0C3ACAA3" w14:textId="179F511E" w:rsidR="00EA4133" w:rsidRPr="00771F7F" w:rsidRDefault="00EA4133" w:rsidP="000A390F">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5DBF86F4" w14:textId="01B1013F" w:rsidR="00EA4133" w:rsidRDefault="00EA4133" w:rsidP="00DE7A30">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sidR="00DE7A30">
        <w:rPr>
          <w:rFonts w:ascii="Arial" w:hAnsi="Arial"/>
          <w:color w:val="000000"/>
        </w:rPr>
        <w:t>.</w:t>
      </w:r>
    </w:p>
    <w:p w14:paraId="17A91B41" w14:textId="0A17AD8C" w:rsidR="00EA4133" w:rsidRDefault="00EA4133" w:rsidP="000A390F">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DE7A30">
        <w:rPr>
          <w:rFonts w:ascii="Arial" w:hAnsi="Arial"/>
          <w:color w:val="000000"/>
        </w:rPr>
        <w:t>:</w:t>
      </w:r>
      <w:r>
        <w:rPr>
          <w:rFonts w:ascii="Arial" w:hAnsi="Arial"/>
          <w:color w:val="000000"/>
        </w:rPr>
        <w:t xml:space="preserve"> </w:t>
      </w:r>
      <w:r w:rsidR="00DE7A30">
        <w:rPr>
          <w:rFonts w:ascii="Arial" w:hAnsi="Arial"/>
          <w:color w:val="000000"/>
          <w:u w:val="single"/>
        </w:rPr>
        <w:t xml:space="preserve"> </w:t>
      </w:r>
      <w:r w:rsidR="00583664">
        <w:rPr>
          <w:rFonts w:ascii="Arial" w:hAnsi="Arial"/>
          <w:color w:val="000000"/>
          <w:u w:val="single"/>
        </w:rPr>
        <w:t xml:space="preserve"> </w:t>
      </w:r>
      <w:r w:rsidR="00682533">
        <w:rPr>
          <w:rFonts w:ascii="Arial" w:hAnsi="Arial"/>
          <w:color w:val="000000"/>
          <w:u w:val="single"/>
        </w:rPr>
        <w:t>n/a</w:t>
      </w:r>
      <w:r>
        <w:rPr>
          <w:rFonts w:ascii="Arial" w:hAnsi="Arial"/>
          <w:color w:val="000000"/>
          <w:u w:val="single"/>
        </w:rPr>
        <w:tab/>
      </w:r>
      <w:r w:rsidR="00DE7A30" w:rsidRPr="00DE7A30">
        <w:rPr>
          <w:rFonts w:ascii="Arial" w:hAnsi="Arial"/>
          <w:color w:val="000000"/>
        </w:rPr>
        <w:t>.</w:t>
      </w:r>
    </w:p>
    <w:p w14:paraId="53036581" w14:textId="77777777" w:rsidR="00EA4133" w:rsidRDefault="00EA4133" w:rsidP="000A390F">
      <w:pPr>
        <w:pStyle w:val="List"/>
        <w:tabs>
          <w:tab w:val="left" w:pos="1080"/>
        </w:tabs>
        <w:ind w:left="0" w:firstLine="0"/>
        <w:rPr>
          <w:rFonts w:ascii="Arial" w:hAnsi="Arial"/>
        </w:rPr>
      </w:pPr>
      <w:r>
        <w:rPr>
          <w:rFonts w:ascii="Arial" w:hAnsi="Arial"/>
          <w:b/>
        </w:rPr>
        <w:t>Certificate Of Compliance</w:t>
      </w:r>
    </w:p>
    <w:p w14:paraId="4459E8C5" w14:textId="77777777" w:rsidR="00EA4133" w:rsidRDefault="00EA4133" w:rsidP="000A390F">
      <w:pPr>
        <w:pStyle w:val="BodyText"/>
        <w:rPr>
          <w:rFonts w:ascii="Arial" w:hAnsi="Arial"/>
        </w:rPr>
      </w:pPr>
      <w:r>
        <w:rPr>
          <w:rFonts w:ascii="Arial" w:hAnsi="Arial"/>
        </w:rPr>
        <w:t>The undersigned hereby certifies that:</w:t>
      </w:r>
    </w:p>
    <w:p w14:paraId="48439E6A" w14:textId="77777777" w:rsidR="00EA4133" w:rsidRDefault="00EA4133" w:rsidP="000A390F">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2121F8" w14:textId="77777777" w:rsidR="00EA4133" w:rsidRDefault="00EA4133" w:rsidP="000A390F">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32122A7" w14:textId="77777777" w:rsidR="00EA4133" w:rsidRDefault="00EA4133" w:rsidP="000A390F">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w:t>
      </w:r>
      <w:r w:rsidR="00173F0B">
        <w:rPr>
          <w:rFonts w:ascii="Arial" w:hAnsi="Arial"/>
        </w:rPr>
        <w:lastRenderedPageBreak/>
        <w:t xml:space="preserve">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93B284C" w14:textId="77777777" w:rsidR="00EA4133" w:rsidRDefault="00EA4133" w:rsidP="000A390F">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D85DE54" w14:textId="46A99D15" w:rsidR="00EA4133" w:rsidRDefault="00EA4133" w:rsidP="00DE7A30">
      <w:pPr>
        <w:pStyle w:val="BodyText"/>
        <w:tabs>
          <w:tab w:val="left" w:pos="1080"/>
          <w:tab w:val="left" w:pos="4680"/>
          <w:tab w:val="left" w:pos="7200"/>
        </w:tabs>
        <w:jc w:val="both"/>
        <w:rPr>
          <w:rFonts w:ascii="Arial" w:hAnsi="Arial"/>
        </w:rPr>
      </w:pPr>
      <w:r>
        <w:rPr>
          <w:rFonts w:ascii="Arial" w:hAnsi="Arial"/>
        </w:rPr>
        <w:t xml:space="preserve">Dated </w:t>
      </w:r>
      <w:r>
        <w:rPr>
          <w:rFonts w:ascii="Arial" w:hAnsi="Arial"/>
          <w:u w:val="single"/>
        </w:rPr>
        <w:tab/>
      </w:r>
      <w:r w:rsidR="0036119E">
        <w:rPr>
          <w:rFonts w:ascii="Arial" w:hAnsi="Arial"/>
          <w:u w:val="single"/>
        </w:rPr>
        <w:t xml:space="preserve">February </w:t>
      </w:r>
      <w:r w:rsidR="00007257">
        <w:rPr>
          <w:rFonts w:ascii="Arial" w:hAnsi="Arial"/>
          <w:u w:val="single"/>
        </w:rPr>
        <w:t>20</w:t>
      </w:r>
      <w:r w:rsidR="0036119E">
        <w:rPr>
          <w:rFonts w:ascii="Arial" w:hAnsi="Arial"/>
          <w:u w:val="single"/>
        </w:rPr>
        <w:t>, 2019</w:t>
      </w:r>
      <w:r w:rsidR="00DE7A30">
        <w:rPr>
          <w:rFonts w:ascii="Arial" w:hAnsi="Arial"/>
          <w:u w:val="single"/>
        </w:rPr>
        <w:tab/>
      </w:r>
      <w:r>
        <w:rPr>
          <w:rFonts w:ascii="Arial" w:hAnsi="Arial"/>
        </w:rPr>
        <w:t>.</w:t>
      </w:r>
    </w:p>
    <w:p w14:paraId="33AEF384" w14:textId="61D51090" w:rsidR="00EA4133" w:rsidRDefault="00EA4133">
      <w:pPr>
        <w:pStyle w:val="List"/>
        <w:tabs>
          <w:tab w:val="left" w:pos="9180"/>
        </w:tabs>
        <w:ind w:left="5760" w:hanging="5760"/>
        <w:rPr>
          <w:rFonts w:ascii="Arial" w:hAnsi="Arial"/>
        </w:rPr>
      </w:pPr>
      <w:r>
        <w:rPr>
          <w:rFonts w:ascii="Arial" w:hAnsi="Arial"/>
        </w:rPr>
        <w:tab/>
      </w:r>
      <w:r w:rsidR="00DE7A30">
        <w:rPr>
          <w:rFonts w:ascii="Arial" w:hAnsi="Arial"/>
          <w:u w:val="single"/>
        </w:rPr>
        <w:t>Robert Sutton</w:t>
      </w:r>
      <w:r>
        <w:rPr>
          <w:rFonts w:ascii="Arial" w:hAnsi="Arial"/>
          <w:u w:val="single"/>
        </w:rPr>
        <w:tab/>
      </w:r>
      <w:r>
        <w:rPr>
          <w:rFonts w:ascii="Arial" w:hAnsi="Arial"/>
          <w:u w:val="single"/>
        </w:rPr>
        <w:br/>
      </w:r>
      <w:r>
        <w:rPr>
          <w:rFonts w:ascii="Arial" w:hAnsi="Arial"/>
        </w:rPr>
        <w:t>Name of Director or Senior Officer</w:t>
      </w:r>
    </w:p>
    <w:p w14:paraId="59C0CEDE" w14:textId="5F61743D" w:rsidR="00EA4133" w:rsidRDefault="00EA4133">
      <w:pPr>
        <w:pStyle w:val="List"/>
        <w:tabs>
          <w:tab w:val="left" w:pos="9180"/>
          <w:tab w:val="left" w:pos="9360"/>
        </w:tabs>
        <w:ind w:left="5760" w:hanging="5760"/>
        <w:rPr>
          <w:rFonts w:ascii="Arial" w:hAnsi="Arial"/>
        </w:rPr>
      </w:pPr>
      <w:r>
        <w:rPr>
          <w:rFonts w:ascii="Arial" w:hAnsi="Arial"/>
        </w:rPr>
        <w:tab/>
      </w:r>
      <w:r w:rsidR="00055CC0">
        <w:rPr>
          <w:rFonts w:ascii="Arial" w:hAnsi="Arial"/>
          <w:i/>
          <w:u w:val="single"/>
        </w:rPr>
        <w:t>“Robert Sutton”</w:t>
      </w:r>
      <w:r>
        <w:rPr>
          <w:rFonts w:ascii="Arial" w:hAnsi="Arial"/>
          <w:u w:val="single"/>
        </w:rPr>
        <w:tab/>
      </w:r>
      <w:r>
        <w:rPr>
          <w:rFonts w:ascii="Arial" w:hAnsi="Arial"/>
        </w:rPr>
        <w:br/>
        <w:t>Signature</w:t>
      </w:r>
    </w:p>
    <w:p w14:paraId="54CCF22A" w14:textId="06D34861" w:rsidR="00EA4133" w:rsidRDefault="00EA4133">
      <w:pPr>
        <w:pStyle w:val="List"/>
        <w:tabs>
          <w:tab w:val="left" w:pos="9180"/>
          <w:tab w:val="left" w:pos="9360"/>
        </w:tabs>
        <w:ind w:left="5760" w:hanging="5760"/>
        <w:rPr>
          <w:rFonts w:ascii="Arial" w:hAnsi="Arial"/>
        </w:rPr>
      </w:pPr>
      <w:r>
        <w:rPr>
          <w:rFonts w:ascii="Arial" w:hAnsi="Arial"/>
        </w:rPr>
        <w:tab/>
      </w:r>
      <w:r w:rsidR="00DE7A30">
        <w:rPr>
          <w:rFonts w:ascii="Arial" w:hAnsi="Arial"/>
          <w:u w:val="single"/>
        </w:rPr>
        <w:t>CEO</w:t>
      </w:r>
      <w:r>
        <w:rPr>
          <w:rFonts w:ascii="Arial" w:hAnsi="Arial"/>
          <w:u w:val="single"/>
        </w:rPr>
        <w:tab/>
      </w:r>
      <w:r>
        <w:rPr>
          <w:rFonts w:ascii="Arial" w:hAnsi="Arial"/>
        </w:rPr>
        <w:br/>
        <w:t>Official Capacity</w:t>
      </w:r>
    </w:p>
    <w:sectPr w:rsidR="00EA4133" w:rsidSect="00FC57B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710" w:left="1440" w:header="720"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33AA" w14:textId="77777777" w:rsidR="00116314" w:rsidRDefault="00116314">
      <w:r>
        <w:separator/>
      </w:r>
    </w:p>
  </w:endnote>
  <w:endnote w:type="continuationSeparator" w:id="0">
    <w:p w14:paraId="606F2B4E" w14:textId="77777777"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651" w14:textId="77777777" w:rsidR="00CB63FD" w:rsidRDefault="00CB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71EA" w14:textId="03900CC1" w:rsidR="00EA4133" w:rsidRPr="00CB63FD" w:rsidRDefault="00540A58" w:rsidP="00CB63FD">
    <w:pPr>
      <w:tabs>
        <w:tab w:val="center" w:pos="4674"/>
        <w:tab w:val="left" w:pos="8460"/>
      </w:tabs>
      <w:rPr>
        <w:rStyle w:val="PageNumber"/>
        <w:rFonts w:ascii="Arial" w:hAnsi="Arial" w:cs="Arial"/>
        <w:b/>
      </w:rPr>
    </w:pPr>
    <w:r w:rsidRPr="00540A58">
      <w:rPr>
        <w:rFonts w:ascii="Arial" w:hAnsi="Arial" w:cs="Arial"/>
        <w:b/>
        <w:noProof/>
        <w:vanish/>
        <w:sz w:val="16"/>
      </w:rPr>
      <w:t>{</w:t>
    </w:r>
    <w:r w:rsidRPr="00540A58">
      <w:rPr>
        <w:rFonts w:ascii="Arial" w:hAnsi="Arial" w:cs="Arial"/>
        <w:b/>
        <w:noProof/>
        <w:sz w:val="16"/>
      </w:rPr>
      <w:t xml:space="preserve">010012000-00146829; 2 </w:t>
    </w:r>
    <w:r w:rsidRPr="00540A58">
      <w:rPr>
        <w:rFonts w:ascii="Arial" w:hAnsi="Arial" w:cs="Arial"/>
        <w:b/>
        <w:noProof/>
        <w:vanish/>
        <w:sz w:val="16"/>
      </w:rPr>
      <w:t>}</w:t>
    </w:r>
    <w:r w:rsidR="00CB63FD">
      <w:rPr>
        <w:rFonts w:ascii="Arial" w:hAnsi="Arial" w:cs="Arial"/>
        <w:b/>
      </w:rPr>
      <w:tab/>
    </w:r>
    <w:r w:rsidR="00A9392C" w:rsidRPr="00CB63FD">
      <w:rPr>
        <w:b/>
        <w:noProof/>
        <w:lang w:val="en-CA" w:eastAsia="en-CA"/>
      </w:rPr>
      <mc:AlternateContent>
        <mc:Choice Requires="wps">
          <w:drawing>
            <wp:anchor distT="0" distB="0" distL="114300" distR="114300" simplePos="0" relativeHeight="251657728" behindDoc="0" locked="0" layoutInCell="1" allowOverlap="1" wp14:anchorId="0839636B" wp14:editId="1CA7C1BC">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sidRPr="00CB63FD">
      <w:rPr>
        <w:rFonts w:ascii="Arial" w:hAnsi="Arial" w:cs="Arial"/>
        <w:b/>
      </w:rPr>
      <w:t>FORM 9 – NOTICE OF PROPOSED ISSUANCE OF</w:t>
    </w:r>
  </w:p>
  <w:p w14:paraId="360D0795" w14:textId="77777777" w:rsidR="00EA4133" w:rsidRPr="00CB63FD" w:rsidRDefault="000B64EF" w:rsidP="008003B9">
    <w:pPr>
      <w:tabs>
        <w:tab w:val="center" w:pos="4674"/>
        <w:tab w:val="left" w:pos="8460"/>
      </w:tabs>
      <w:jc w:val="center"/>
      <w:rPr>
        <w:rStyle w:val="PageNumber"/>
        <w:rFonts w:ascii="Arial" w:hAnsi="Arial" w:cs="Arial"/>
        <w:b/>
      </w:rPr>
    </w:pPr>
    <w:r w:rsidRPr="00CB63FD">
      <w:rPr>
        <w:rFonts w:ascii="Arial" w:hAnsi="Arial" w:cs="Arial"/>
        <w:b/>
      </w:rPr>
      <w:t>LIST</w:t>
    </w:r>
    <w:r w:rsidR="00EA4133" w:rsidRPr="00CB63FD">
      <w:rPr>
        <w:rFonts w:ascii="Arial" w:hAnsi="Arial" w:cs="Arial"/>
        <w:b/>
      </w:rPr>
      <w:t>ED SECURITIES</w:t>
    </w:r>
  </w:p>
  <w:p w14:paraId="2CE8B66C" w14:textId="77777777" w:rsidR="00EA4133" w:rsidRPr="00CB63FD"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CB63FD">
      <w:rPr>
        <w:rStyle w:val="PageNumber"/>
        <w:rFonts w:ascii="Arial" w:hAnsi="Arial" w:cs="Arial"/>
        <w:sz w:val="16"/>
        <w:szCs w:val="16"/>
      </w:rPr>
      <w:t>January 2015</w:t>
    </w:r>
  </w:p>
  <w:p w14:paraId="76AB1829" w14:textId="77777777" w:rsidR="00EA4133" w:rsidRPr="00CB63FD" w:rsidRDefault="008003B9" w:rsidP="008003B9">
    <w:pPr>
      <w:pStyle w:val="Footer"/>
      <w:jc w:val="center"/>
      <w:rPr>
        <w:rFonts w:ascii="Arial" w:hAnsi="Arial" w:cs="Arial"/>
        <w:sz w:val="16"/>
        <w:szCs w:val="16"/>
      </w:rPr>
    </w:pPr>
    <w:r w:rsidRPr="00CB63FD">
      <w:rPr>
        <w:rStyle w:val="PageNumber"/>
        <w:rFonts w:ascii="Arial" w:hAnsi="Arial" w:cs="Arial"/>
        <w:sz w:val="16"/>
        <w:szCs w:val="16"/>
      </w:rPr>
      <w:t xml:space="preserve">Page </w:t>
    </w:r>
    <w:r w:rsidRPr="00CB63FD">
      <w:rPr>
        <w:rStyle w:val="PageNumber"/>
        <w:rFonts w:ascii="Arial" w:hAnsi="Arial" w:cs="Arial"/>
        <w:sz w:val="16"/>
        <w:szCs w:val="16"/>
      </w:rPr>
      <w:fldChar w:fldCharType="begin"/>
    </w:r>
    <w:r w:rsidRPr="00CB63FD">
      <w:rPr>
        <w:rStyle w:val="PageNumber"/>
        <w:rFonts w:ascii="Arial" w:hAnsi="Arial" w:cs="Arial"/>
        <w:sz w:val="16"/>
        <w:szCs w:val="16"/>
      </w:rPr>
      <w:instrText xml:space="preserve"> PAGE </w:instrText>
    </w:r>
    <w:r w:rsidRPr="00CB63FD">
      <w:rPr>
        <w:rStyle w:val="PageNumber"/>
        <w:rFonts w:ascii="Arial" w:hAnsi="Arial" w:cs="Arial"/>
        <w:sz w:val="16"/>
        <w:szCs w:val="16"/>
      </w:rPr>
      <w:fldChar w:fldCharType="separate"/>
    </w:r>
    <w:r w:rsidR="002F0416" w:rsidRPr="00CB63FD">
      <w:rPr>
        <w:rStyle w:val="PageNumber"/>
        <w:rFonts w:ascii="Arial" w:hAnsi="Arial" w:cs="Arial"/>
        <w:noProof/>
        <w:sz w:val="16"/>
        <w:szCs w:val="16"/>
      </w:rPr>
      <w:t>3</w:t>
    </w:r>
    <w:r w:rsidRPr="00CB63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1A0" w14:textId="237411CD" w:rsidR="00EA4133" w:rsidRDefault="00540A58">
    <w:pPr>
      <w:pStyle w:val="Footer"/>
    </w:pPr>
    <w:r>
      <w:fldChar w:fldCharType="begin"/>
    </w:r>
    <w:r>
      <w:instrText xml:space="preserve"> DOCPROPERTY FOOTERPATH \* MERGEFORMAT </w:instrText>
    </w:r>
    <w:r>
      <w:fldChar w:fldCharType="separate"/>
    </w:r>
    <w:r w:rsidR="001C32A8">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F969" w14:textId="77777777" w:rsidR="00116314" w:rsidRDefault="00116314">
      <w:pPr>
        <w:rPr>
          <w:noProof/>
        </w:rPr>
      </w:pPr>
      <w:r>
        <w:rPr>
          <w:noProof/>
        </w:rPr>
        <w:separator/>
      </w:r>
    </w:p>
  </w:footnote>
  <w:footnote w:type="continuationSeparator" w:id="0">
    <w:p w14:paraId="0AAC1F50" w14:textId="77777777" w:rsidR="00116314" w:rsidRDefault="001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27A0" w14:textId="77777777" w:rsidR="00CB63FD" w:rsidRDefault="00CB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C971" w14:textId="77777777" w:rsidR="00CB63FD" w:rsidRDefault="00CB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C2DE" w14:textId="77777777" w:rsidR="00CB63FD" w:rsidRDefault="00CB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07257"/>
    <w:rsid w:val="0001060A"/>
    <w:rsid w:val="00055CC0"/>
    <w:rsid w:val="000A390F"/>
    <w:rsid w:val="000B64EF"/>
    <w:rsid w:val="00113EBB"/>
    <w:rsid w:val="00116314"/>
    <w:rsid w:val="00161FD4"/>
    <w:rsid w:val="00165AE3"/>
    <w:rsid w:val="00173F0B"/>
    <w:rsid w:val="00186DA5"/>
    <w:rsid w:val="001B1013"/>
    <w:rsid w:val="001C32A8"/>
    <w:rsid w:val="001E1C79"/>
    <w:rsid w:val="00200A2F"/>
    <w:rsid w:val="002557FD"/>
    <w:rsid w:val="002907FF"/>
    <w:rsid w:val="002F0416"/>
    <w:rsid w:val="00326D55"/>
    <w:rsid w:val="00340D6D"/>
    <w:rsid w:val="0036119E"/>
    <w:rsid w:val="003E5DBC"/>
    <w:rsid w:val="00456624"/>
    <w:rsid w:val="004A1403"/>
    <w:rsid w:val="004A7B64"/>
    <w:rsid w:val="004B214D"/>
    <w:rsid w:val="00540A58"/>
    <w:rsid w:val="0054414B"/>
    <w:rsid w:val="00583664"/>
    <w:rsid w:val="00617A0E"/>
    <w:rsid w:val="0062717F"/>
    <w:rsid w:val="00682533"/>
    <w:rsid w:val="006A6047"/>
    <w:rsid w:val="006E764A"/>
    <w:rsid w:val="00737DB2"/>
    <w:rsid w:val="007568B3"/>
    <w:rsid w:val="007B0425"/>
    <w:rsid w:val="007C5105"/>
    <w:rsid w:val="008003B9"/>
    <w:rsid w:val="008F27FF"/>
    <w:rsid w:val="009136E7"/>
    <w:rsid w:val="009466F0"/>
    <w:rsid w:val="0097763E"/>
    <w:rsid w:val="00A00C54"/>
    <w:rsid w:val="00A10285"/>
    <w:rsid w:val="00A62F37"/>
    <w:rsid w:val="00A90670"/>
    <w:rsid w:val="00A93530"/>
    <w:rsid w:val="00A9392C"/>
    <w:rsid w:val="00B923F6"/>
    <w:rsid w:val="00CB63FD"/>
    <w:rsid w:val="00CF076A"/>
    <w:rsid w:val="00CF2A90"/>
    <w:rsid w:val="00DB640C"/>
    <w:rsid w:val="00DE7A30"/>
    <w:rsid w:val="00DF6FF5"/>
    <w:rsid w:val="00E55E58"/>
    <w:rsid w:val="00E97C13"/>
    <w:rsid w:val="00EA4133"/>
    <w:rsid w:val="00F12016"/>
    <w:rsid w:val="00F40512"/>
    <w:rsid w:val="00F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61F7DC2"/>
  <w15:docId w15:val="{F22ED73D-CB9C-4E0D-B446-8CF4771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6172-0E64-410E-B1EF-14DBB9C0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1638</Words>
  <Characters>8531</Characters>
  <Application>Microsoft Office Word</Application>
  <DocSecurity>0</DocSecurity>
  <PresentationFormat/>
  <Lines>318</Lines>
  <Paragraphs>150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010012000-00146829; 2 /Font=8</dc:subject>
  <dc:creator>lstdjoh</dc:creator>
  <cp:keywords/>
  <dc:description/>
  <cp:lastModifiedBy>Toby Lim</cp:lastModifiedBy>
  <cp:revision>17</cp:revision>
  <cp:lastPrinted>2019-01-25T03:32:00Z</cp:lastPrinted>
  <dcterms:created xsi:type="dcterms:W3CDTF">2018-05-18T01:02:00Z</dcterms:created>
  <dcterms:modified xsi:type="dcterms:W3CDTF">2019-02-20T17:48:00Z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