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otnotes.xml" ContentType="application/vnd.openxmlformats-officedocument.wordprocessingml.footnotes+xml"/>
  <Override PartName="/word/fontTable.xml" ContentType="application/vnd.openxmlformats-officedocument.wordprocessingml.fontTable+xml"/>
  <Override PartName="/word/webSettings.xml" ContentType="application/vnd.openxmlformats-officedocument.wordprocessingml.webSettings+xml"/>
  <Override PartName="/word/footer2.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205"/>
        <w:gridCol w:w="3145"/>
      </w:tblGrid>
      <w:tr w:rsidR="00840B45" w:rsidTr="00CE2BB3">
        <w:tc>
          <w:tcPr>
            <w:tcW w:w="6205" w:type="dxa"/>
          </w:tcPr>
          <w:p w:rsidR="00840B45" w:rsidRDefault="00A35B6E" w:rsidP="00840B45">
            <w:pPr>
              <w:pStyle w:val="BodyText"/>
              <w:jc w:val="right"/>
              <w:rPr>
                <w:rFonts w:ascii="Arial" w:hAnsi="Arial"/>
                <w:lang w:val="en-CA"/>
              </w:rPr>
            </w:pPr>
            <w:r>
              <w:rPr>
                <w:rFonts w:ascii="Arial" w:hAnsi="Arial"/>
                <w:lang w:val="en-CA"/>
              </w:rPr>
              <w:t xml:space="preserve"> Wildflower Brand</w:t>
            </w:r>
            <w:r w:rsidR="00643C2A">
              <w:rPr>
                <w:rFonts w:ascii="Arial" w:hAnsi="Arial"/>
                <w:lang w:val="en-CA"/>
              </w:rPr>
              <w:t>s</w:t>
            </w:r>
            <w:r>
              <w:rPr>
                <w:rFonts w:ascii="Arial" w:hAnsi="Arial"/>
                <w:lang w:val="en-CA"/>
              </w:rPr>
              <w:t xml:space="preserve"> Inc. </w:t>
            </w:r>
            <w:r w:rsidR="00840B45">
              <w:rPr>
                <w:rFonts w:ascii="Arial" w:hAnsi="Arial"/>
                <w:lang w:val="en-CA"/>
              </w:rPr>
              <w:t xml:space="preserve">(the “Issuer”).  </w:t>
            </w:r>
          </w:p>
        </w:tc>
        <w:tc>
          <w:tcPr>
            <w:tcW w:w="3145" w:type="dxa"/>
          </w:tcPr>
          <w:p w:rsidR="00840B45" w:rsidRDefault="00A35B6E">
            <w:pPr>
              <w:pStyle w:val="BodyText"/>
              <w:rPr>
                <w:rFonts w:ascii="Arial" w:hAnsi="Arial"/>
                <w:lang w:val="en-CA"/>
              </w:rPr>
            </w:pPr>
            <w:r>
              <w:rPr>
                <w:rFonts w:ascii="Arial" w:hAnsi="Arial"/>
                <w:lang w:val="en-CA"/>
              </w:rPr>
              <w:t>SUN</w:t>
            </w:r>
          </w:p>
        </w:tc>
      </w:tr>
    </w:tbl>
    <w:p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A35B6E">
        <w:rPr>
          <w:rFonts w:ascii="Arial" w:hAnsi="Arial"/>
          <w:u w:val="single"/>
          <w:lang w:val="en-CA"/>
        </w:rPr>
        <w:t xml:space="preserve">July </w:t>
      </w:r>
      <w:r w:rsidR="0032608E">
        <w:rPr>
          <w:rFonts w:ascii="Arial" w:hAnsi="Arial"/>
          <w:u w:val="single"/>
          <w:lang w:val="en-CA"/>
        </w:rPr>
        <w:t>29</w:t>
      </w:r>
      <w:r w:rsidR="00A35B6E">
        <w:rPr>
          <w:rFonts w:ascii="Arial" w:hAnsi="Arial"/>
          <w:u w:val="single"/>
          <w:lang w:val="en-CA"/>
        </w:rPr>
        <w:t xml:space="preserve">, 2020 </w:t>
      </w:r>
      <w:r w:rsidR="00A35B6E">
        <w:rPr>
          <w:rFonts w:ascii="Arial" w:hAnsi="Arial"/>
          <w:lang w:val="en-CA"/>
        </w:rPr>
        <w:t xml:space="preserve"> </w:t>
      </w:r>
      <w:r>
        <w:rPr>
          <w:rFonts w:ascii="Arial" w:hAnsi="Arial"/>
          <w:lang w:val="en-CA"/>
        </w:rPr>
        <w:t>Is this an updating or amending Notice:</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Yes</w:t>
      </w:r>
      <w:r>
        <w:rPr>
          <w:rFonts w:ascii="Arial" w:hAnsi="Arial"/>
          <w:lang w:val="en-CA"/>
        </w:rPr>
        <w:tab/>
      </w:r>
      <w:r>
        <w:rPr>
          <w:rFonts w:ascii="Arial" w:hAnsi="Arial"/>
          <w:lang w:val="en-CA"/>
        </w:rPr>
        <w:tab/>
      </w:r>
      <w:r w:rsidR="00A35B6E">
        <w:rPr>
          <w:rFonts w:ascii="Arial" w:hAnsi="Arial"/>
          <w:lang w:val="en-CA"/>
        </w:rPr>
        <w:sym w:font="Wingdings" w:char="F078"/>
      </w:r>
      <w:r w:rsidR="00A35B6E">
        <w:rPr>
          <w:rFonts w:ascii="Arial" w:hAnsi="Arial"/>
          <w:lang w:val="en-CA"/>
        </w:rPr>
        <w:t xml:space="preserve"> </w:t>
      </w:r>
      <w:r>
        <w:rPr>
          <w:rFonts w:ascii="Arial" w:hAnsi="Arial"/>
          <w:lang w:val="en-CA"/>
        </w:rPr>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If yes provide date(s) of prior Notices:  _</w:t>
      </w:r>
      <w:r w:rsidR="00A35B6E">
        <w:rPr>
          <w:rFonts w:ascii="Arial" w:hAnsi="Arial"/>
          <w:u w:val="single"/>
          <w:lang w:val="en-CA"/>
        </w:rPr>
        <w:t>N/A</w:t>
      </w:r>
      <w:r>
        <w:rPr>
          <w:rFonts w:ascii="Arial" w:hAnsi="Arial"/>
          <w:lang w:val="en-CA"/>
        </w:rPr>
        <w:t>_______________________.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06633B" w:rsidRPr="0006633B">
        <w:rPr>
          <w:rFonts w:ascii="Arial" w:hAnsi="Arial"/>
          <w:u w:val="single"/>
          <w:lang w:val="en-CA"/>
        </w:rPr>
        <w:t>59,319,329</w:t>
      </w:r>
      <w:r w:rsidR="0006633B">
        <w:rPr>
          <w:rFonts w:ascii="Arial" w:hAnsi="Arial"/>
          <w:u w:val="single"/>
          <w:lang w:val="en-CA"/>
        </w:rPr>
        <w:t xml:space="preserve"> common shares</w:t>
      </w:r>
      <w:r w:rsidR="0006633B">
        <w:rPr>
          <w:rFonts w:ascii="Arial" w:hAnsi="Arial"/>
          <w:lang w:val="en-CA"/>
        </w:rPr>
        <w:t xml:space="preserve"> </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3D195D"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t>_</w:t>
      </w:r>
      <w:r w:rsidR="003D195D">
        <w:rPr>
          <w:rFonts w:ascii="Arial" w:hAnsi="Arial"/>
          <w:u w:val="single"/>
          <w:lang w:val="en-CA"/>
        </w:rPr>
        <w:t>May 30, 2018____________</w:t>
      </w:r>
      <w:r w:rsidR="00840B45">
        <w:rPr>
          <w:rFonts w:ascii="Arial" w:hAnsi="Arial"/>
          <w:lang w:val="en-CA"/>
        </w:rPr>
        <w:t>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A35B6E">
        <w:rPr>
          <w:rFonts w:ascii="Arial" w:hAnsi="Arial"/>
          <w:u w:val="single"/>
          <w:lang w:val="en-CA"/>
        </w:rPr>
        <w:t>N/A</w:t>
      </w:r>
      <w:r>
        <w:rPr>
          <w:rFonts w:ascii="Arial" w:hAnsi="Arial"/>
          <w:lang w:val="en-CA"/>
        </w:rPr>
        <w:t>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w:t>
      </w:r>
      <w:r w:rsidR="00A35B6E">
        <w:rPr>
          <w:rFonts w:ascii="Arial" w:hAnsi="Arial"/>
          <w:u w:val="single"/>
          <w:lang w:val="en-CA"/>
        </w:rPr>
        <w:t>$</w:t>
      </w:r>
      <w:r w:rsidR="003D195D">
        <w:rPr>
          <w:rFonts w:ascii="Arial" w:hAnsi="Arial"/>
          <w:u w:val="single"/>
          <w:lang w:val="en-CA"/>
        </w:rPr>
        <w:t>1.31</w:t>
      </w:r>
      <w:r>
        <w:rPr>
          <w:rFonts w:ascii="Arial" w:hAnsi="Arial"/>
          <w:lang w:val="en-CA"/>
        </w:rPr>
        <w:t>_______</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w:t>
      </w:r>
      <w:r w:rsidR="00A35B6E">
        <w:rPr>
          <w:rFonts w:ascii="Arial" w:hAnsi="Arial"/>
          <w:u w:val="single"/>
          <w:lang w:val="en-CA"/>
        </w:rPr>
        <w:t>N/A</w:t>
      </w:r>
      <w:r>
        <w:rPr>
          <w:rFonts w:ascii="Arial" w:hAnsi="Arial"/>
          <w:lang w:val="en-CA"/>
        </w:rPr>
        <w:t>_________________</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840B45" w:rsidRDefault="00840B45" w:rsidP="00C10A32">
      <w:pPr>
        <w:pStyle w:val="BodyText"/>
        <w:tabs>
          <w:tab w:val="left" w:pos="9180"/>
        </w:tabs>
        <w:spacing w:before="0" w:after="120"/>
        <w:rPr>
          <w:rFonts w:ascii="Arial" w:hAnsi="Arial"/>
          <w:lang w:val="en-CA"/>
        </w:rPr>
      </w:pPr>
      <w:r>
        <w:rPr>
          <w:rFonts w:ascii="Arial" w:hAnsi="Arial"/>
          <w:lang w:val="en-CA"/>
        </w:rPr>
        <w:t>Numbe</w:t>
      </w:r>
      <w:r w:rsidR="00A35B6E">
        <w:rPr>
          <w:rFonts w:ascii="Arial" w:hAnsi="Arial"/>
          <w:lang w:val="en-CA"/>
        </w:rPr>
        <w:t xml:space="preserve">r of securities to be issued: </w:t>
      </w:r>
      <w:r w:rsidR="00A35B6E">
        <w:rPr>
          <w:rFonts w:ascii="Arial" w:hAnsi="Arial"/>
          <w:u w:val="single"/>
          <w:lang w:val="en-CA"/>
        </w:rPr>
        <w:t>2,680,000 common share purchase warrants of the Issuer (the “</w:t>
      </w:r>
      <w:r w:rsidR="00A35B6E" w:rsidRPr="00C4010F">
        <w:rPr>
          <w:rFonts w:ascii="Arial" w:hAnsi="Arial"/>
          <w:u w:val="single"/>
          <w:lang w:val="en-CA"/>
        </w:rPr>
        <w:t>Warrants</w:t>
      </w:r>
      <w:r w:rsidR="00A35B6E">
        <w:rPr>
          <w:rFonts w:ascii="Arial" w:hAnsi="Arial"/>
          <w:u w:val="single"/>
          <w:lang w:val="en-CA"/>
        </w:rPr>
        <w:t>”)</w:t>
      </w:r>
    </w:p>
    <w:p w:rsidR="00C10A32" w:rsidRPr="003D195D"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sidRPr="0006633B">
        <w:rPr>
          <w:rFonts w:ascii="Arial" w:hAnsi="Arial"/>
          <w:u w:val="single"/>
          <w:lang w:val="en-CA"/>
        </w:rPr>
        <w:softHyphen/>
      </w:r>
      <w:r w:rsidRPr="0006633B">
        <w:rPr>
          <w:rFonts w:ascii="Arial" w:hAnsi="Arial"/>
          <w:u w:val="single"/>
          <w:lang w:val="en-CA"/>
        </w:rPr>
        <w:softHyphen/>
      </w:r>
      <w:r w:rsidRPr="0006633B">
        <w:rPr>
          <w:rFonts w:ascii="Arial" w:hAnsi="Arial"/>
          <w:u w:val="single"/>
          <w:lang w:val="en-CA"/>
        </w:rPr>
        <w:softHyphen/>
      </w:r>
      <w:r w:rsidRPr="0006633B">
        <w:rPr>
          <w:rFonts w:ascii="Arial" w:hAnsi="Arial"/>
          <w:u w:val="single"/>
          <w:lang w:val="en-CA"/>
        </w:rPr>
        <w:softHyphen/>
      </w:r>
      <w:r w:rsidRPr="0006633B">
        <w:rPr>
          <w:rFonts w:ascii="Arial" w:hAnsi="Arial"/>
          <w:u w:val="single"/>
          <w:lang w:val="en-CA"/>
        </w:rPr>
        <w:softHyphen/>
      </w:r>
      <w:r w:rsidRPr="0006633B">
        <w:rPr>
          <w:rFonts w:ascii="Arial" w:hAnsi="Arial"/>
          <w:u w:val="single"/>
          <w:lang w:val="en-CA"/>
        </w:rPr>
        <w:softHyphen/>
      </w:r>
      <w:r w:rsidRPr="0006633B">
        <w:rPr>
          <w:rFonts w:ascii="Arial" w:hAnsi="Arial"/>
          <w:u w:val="single"/>
          <w:lang w:val="en-CA"/>
        </w:rPr>
        <w:softHyphen/>
      </w:r>
      <w:r w:rsidRPr="0006633B">
        <w:rPr>
          <w:rFonts w:ascii="Arial" w:hAnsi="Arial"/>
          <w:u w:val="single"/>
          <w:lang w:val="en-CA"/>
        </w:rPr>
        <w:softHyphen/>
      </w:r>
      <w:r w:rsidRPr="0006633B">
        <w:rPr>
          <w:rFonts w:ascii="Arial" w:hAnsi="Arial"/>
          <w:u w:val="single"/>
          <w:lang w:val="en-CA"/>
        </w:rPr>
        <w:softHyphen/>
      </w:r>
      <w:r w:rsidRPr="0006633B">
        <w:rPr>
          <w:rFonts w:ascii="Arial" w:hAnsi="Arial"/>
          <w:u w:val="single"/>
          <w:lang w:val="en-CA"/>
        </w:rPr>
        <w:softHyphen/>
      </w:r>
      <w:r w:rsidRPr="0006633B">
        <w:rPr>
          <w:rFonts w:ascii="Arial" w:hAnsi="Arial"/>
          <w:u w:val="single"/>
          <w:lang w:val="en-CA"/>
        </w:rPr>
        <w:softHyphen/>
      </w:r>
      <w:r w:rsidRPr="0006633B">
        <w:rPr>
          <w:rFonts w:ascii="Arial" w:hAnsi="Arial"/>
          <w:u w:val="single"/>
          <w:lang w:val="en-CA"/>
        </w:rPr>
        <w:softHyphen/>
      </w:r>
      <w:r w:rsidRPr="0006633B">
        <w:rPr>
          <w:rFonts w:ascii="Arial" w:hAnsi="Arial"/>
          <w:u w:val="single"/>
          <w:lang w:val="en-CA"/>
        </w:rPr>
        <w:softHyphen/>
      </w:r>
      <w:r w:rsidRPr="0006633B">
        <w:rPr>
          <w:rFonts w:ascii="Arial" w:hAnsi="Arial"/>
          <w:u w:val="single"/>
          <w:lang w:val="en-CA"/>
        </w:rPr>
        <w:softHyphen/>
      </w:r>
      <w:r w:rsidRPr="0006633B">
        <w:rPr>
          <w:rFonts w:ascii="Arial" w:hAnsi="Arial"/>
          <w:u w:val="single"/>
          <w:lang w:val="en-CA"/>
        </w:rPr>
        <w:softHyphen/>
      </w:r>
      <w:r w:rsidRPr="0006633B">
        <w:rPr>
          <w:rFonts w:ascii="Arial" w:hAnsi="Arial"/>
          <w:u w:val="single"/>
          <w:lang w:val="en-CA"/>
        </w:rPr>
        <w:softHyphen/>
      </w:r>
      <w:r w:rsidRPr="0006633B">
        <w:rPr>
          <w:rFonts w:ascii="Arial" w:hAnsi="Arial"/>
          <w:u w:val="single"/>
          <w:lang w:val="en-CA"/>
        </w:rPr>
        <w:softHyphen/>
      </w:r>
      <w:r w:rsidRPr="0006633B">
        <w:rPr>
          <w:rFonts w:ascii="Arial" w:hAnsi="Arial"/>
          <w:u w:val="single"/>
          <w:lang w:val="en-CA"/>
        </w:rPr>
        <w:softHyphen/>
      </w:r>
      <w:r w:rsidRPr="0006633B">
        <w:rPr>
          <w:rFonts w:ascii="Arial" w:hAnsi="Arial"/>
          <w:u w:val="single"/>
          <w:lang w:val="en-CA"/>
        </w:rPr>
        <w:softHyphen/>
      </w:r>
      <w:r w:rsidRPr="0006633B">
        <w:rPr>
          <w:rFonts w:ascii="Arial" w:hAnsi="Arial"/>
          <w:u w:val="single"/>
          <w:lang w:val="en-CA"/>
        </w:rPr>
        <w:softHyphen/>
      </w:r>
      <w:r w:rsidR="0006633B" w:rsidRPr="0006633B">
        <w:rPr>
          <w:rFonts w:ascii="Arial" w:hAnsi="Arial"/>
          <w:u w:val="single"/>
          <w:lang w:val="en-CA"/>
        </w:rPr>
        <w:t>59,319,329 common shares</w:t>
      </w:r>
      <w:r w:rsidR="0006633B">
        <w:rPr>
          <w:rFonts w:ascii="Arial" w:hAnsi="Arial"/>
          <w:lang w:val="en-CA"/>
        </w:rPr>
        <w:t>____</w:t>
      </w:r>
    </w:p>
    <w:p w:rsidR="00AC05A5" w:rsidRPr="00AC05A5" w:rsidRDefault="00AC05A5" w:rsidP="005C0565">
      <w:pPr>
        <w:pStyle w:val="BodyText"/>
        <w:spacing w:after="240"/>
        <w:rPr>
          <w:rFonts w:ascii="Arial" w:hAnsi="Arial"/>
          <w:i/>
          <w:lang w:val="en-CA"/>
        </w:rPr>
      </w:pPr>
      <w:r>
        <w:rPr>
          <w:rFonts w:ascii="Arial" w:hAnsi="Arial"/>
          <w:i/>
          <w:lang w:val="en-CA"/>
        </w:rPr>
        <w:t>*This Form 9 is being filed subsequent to the issuance of the Warrants on or about April 5, 2018 for the purpose of bringing the Issuer in compliance with the policies of the Canadian Securities Exchange with respect to those Warrants.*</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lastRenderedPageBreak/>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7"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p>
    <w:p w:rsidR="00A90670" w:rsidRDefault="00544BCF">
      <w:pPr>
        <w:pStyle w:val="BodyText"/>
        <w:spacing w:before="0" w:after="240"/>
        <w:rPr>
          <w:rFonts w:ascii="Arial" w:hAnsi="Arial"/>
          <w:b/>
          <w:lang w:val="en-CA"/>
        </w:rPr>
      </w:pPr>
      <w:r>
        <w:rPr>
          <w:rFonts w:ascii="Arial" w:hAnsi="Arial"/>
          <w:b/>
          <w:lang w:val="en-CA"/>
        </w:rPr>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9576" w:type="dxa"/>
        <w:tblLayout w:type="fixed"/>
        <w:tblLook w:val="04A0" w:firstRow="1" w:lastRow="0" w:firstColumn="1" w:lastColumn="0" w:noHBand="0" w:noVBand="1"/>
      </w:tblPr>
      <w:tblGrid>
        <w:gridCol w:w="3652"/>
        <w:gridCol w:w="1701"/>
        <w:gridCol w:w="1829"/>
        <w:gridCol w:w="2394"/>
      </w:tblGrid>
      <w:tr w:rsidR="00C536D3" w:rsidRPr="00C536D3" w:rsidTr="00B16533">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B16533">
        <w:tc>
          <w:tcPr>
            <w:tcW w:w="3652" w:type="dxa"/>
          </w:tcPr>
          <w:p w:rsidR="00C536D3" w:rsidRPr="00C536D3" w:rsidRDefault="00B16533" w:rsidP="00C536D3">
            <w:pPr>
              <w:pStyle w:val="BodyText"/>
              <w:rPr>
                <w:rFonts w:ascii="Arial" w:hAnsi="Arial"/>
                <w:lang w:val="en-CA"/>
              </w:rPr>
            </w:pPr>
            <w:r>
              <w:rPr>
                <w:rFonts w:ascii="Arial" w:hAnsi="Arial"/>
                <w:lang w:val="en-CA"/>
              </w:rPr>
              <w:t>Luxembourg</w:t>
            </w:r>
          </w:p>
        </w:tc>
        <w:tc>
          <w:tcPr>
            <w:tcW w:w="1701" w:type="dxa"/>
          </w:tcPr>
          <w:p w:rsidR="00C536D3" w:rsidRPr="00C536D3" w:rsidRDefault="00B16533" w:rsidP="00C536D3">
            <w:pPr>
              <w:pStyle w:val="BodyText"/>
              <w:rPr>
                <w:rFonts w:ascii="Arial" w:hAnsi="Arial"/>
                <w:lang w:val="en-CA"/>
              </w:rPr>
            </w:pPr>
            <w:r>
              <w:rPr>
                <w:rFonts w:ascii="Arial" w:hAnsi="Arial"/>
                <w:lang w:val="en-CA"/>
              </w:rPr>
              <w:t>1</w:t>
            </w:r>
          </w:p>
        </w:tc>
        <w:tc>
          <w:tcPr>
            <w:tcW w:w="1829" w:type="dxa"/>
          </w:tcPr>
          <w:p w:rsidR="00C536D3" w:rsidRPr="00C536D3" w:rsidRDefault="00B16533" w:rsidP="00C536D3">
            <w:pPr>
              <w:pStyle w:val="BodyText"/>
              <w:rPr>
                <w:rFonts w:ascii="Arial" w:hAnsi="Arial"/>
                <w:lang w:val="en-CA"/>
              </w:rPr>
            </w:pPr>
            <w:r>
              <w:rPr>
                <w:rFonts w:ascii="Arial" w:hAnsi="Arial"/>
                <w:lang w:val="en-CA"/>
              </w:rPr>
              <w:t>$2.735</w:t>
            </w:r>
          </w:p>
        </w:tc>
        <w:tc>
          <w:tcPr>
            <w:tcW w:w="2394" w:type="dxa"/>
          </w:tcPr>
          <w:p w:rsidR="00C536D3" w:rsidRPr="00C536D3" w:rsidRDefault="00B16533" w:rsidP="00C536D3">
            <w:pPr>
              <w:pStyle w:val="BodyText"/>
              <w:rPr>
                <w:rFonts w:ascii="Arial" w:hAnsi="Arial"/>
                <w:lang w:val="en-CA"/>
              </w:rPr>
            </w:pPr>
            <w:r>
              <w:rPr>
                <w:rFonts w:ascii="Arial" w:hAnsi="Arial"/>
                <w:lang w:val="en-CA"/>
              </w:rPr>
              <w:t>N/A</w:t>
            </w:r>
          </w:p>
        </w:tc>
      </w:tr>
      <w:tr w:rsidR="00C536D3" w:rsidRPr="00C536D3" w:rsidTr="00B16533">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B16533" w:rsidP="00C536D3">
            <w:pPr>
              <w:pStyle w:val="BodyText"/>
              <w:rPr>
                <w:rFonts w:ascii="Arial" w:hAnsi="Arial"/>
                <w:lang w:val="en-CA"/>
              </w:rPr>
            </w:pPr>
            <w:r>
              <w:rPr>
                <w:rFonts w:ascii="Arial" w:hAnsi="Arial"/>
                <w:lang w:val="en-CA"/>
              </w:rPr>
              <w:t>1</w:t>
            </w:r>
          </w:p>
        </w:tc>
        <w:tc>
          <w:tcPr>
            <w:tcW w:w="1829" w:type="dxa"/>
          </w:tcPr>
          <w:p w:rsidR="00C536D3" w:rsidRPr="00C536D3" w:rsidRDefault="00C536D3" w:rsidP="00C536D3">
            <w:pPr>
              <w:pStyle w:val="BodyText"/>
              <w:rPr>
                <w:rFonts w:ascii="Arial" w:hAnsi="Arial"/>
                <w:lang w:val="en-CA"/>
              </w:rPr>
            </w:pPr>
          </w:p>
        </w:tc>
        <w:tc>
          <w:tcPr>
            <w:tcW w:w="2394" w:type="dxa"/>
          </w:tcPr>
          <w:p w:rsidR="00C536D3" w:rsidRPr="00C536D3" w:rsidRDefault="00C536D3" w:rsidP="00C536D3">
            <w:pPr>
              <w:pStyle w:val="BodyText"/>
              <w:rPr>
                <w:rFonts w:ascii="Arial" w:hAnsi="Arial"/>
                <w:lang w:val="en-CA"/>
              </w:rPr>
            </w:pPr>
          </w:p>
        </w:tc>
      </w:tr>
      <w:tr w:rsidR="00C536D3" w:rsidRPr="00C536D3" w:rsidTr="00B16533">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B16533" w:rsidP="00C536D3">
            <w:pPr>
              <w:pStyle w:val="BodyText"/>
              <w:rPr>
                <w:rFonts w:ascii="Arial" w:hAnsi="Arial"/>
                <w:lang w:val="en-CA"/>
              </w:rPr>
            </w:pPr>
            <w:r>
              <w:rPr>
                <w:rFonts w:ascii="Arial" w:hAnsi="Arial"/>
                <w:lang w:val="en-CA"/>
              </w:rPr>
              <w:t>N/A</w:t>
            </w:r>
          </w:p>
        </w:tc>
      </w:tr>
    </w:tbl>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1160" w:type="dxa"/>
        <w:tblInd w:w="-73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620"/>
        <w:gridCol w:w="1350"/>
        <w:gridCol w:w="1350"/>
        <w:gridCol w:w="1350"/>
        <w:gridCol w:w="1350"/>
        <w:gridCol w:w="1620"/>
        <w:gridCol w:w="1170"/>
        <w:gridCol w:w="1350"/>
      </w:tblGrid>
      <w:tr w:rsidR="00EA4133" w:rsidTr="00CE2BB3">
        <w:trPr>
          <w:trHeight w:val="1950"/>
        </w:trPr>
        <w:tc>
          <w:tcPr>
            <w:tcW w:w="1620"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5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17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35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rsidTr="00CE2BB3">
        <w:trPr>
          <w:trHeight w:val="864"/>
        </w:trPr>
        <w:tc>
          <w:tcPr>
            <w:tcW w:w="1620" w:type="dxa"/>
          </w:tcPr>
          <w:p w:rsidR="00A90670" w:rsidRPr="002D3931" w:rsidRDefault="00C4010F">
            <w:pPr>
              <w:pStyle w:val="BodyText"/>
              <w:spacing w:before="0" w:line="280" w:lineRule="exact"/>
              <w:jc w:val="center"/>
              <w:rPr>
                <w:rFonts w:ascii="Arial" w:hAnsi="Arial"/>
                <w:sz w:val="20"/>
                <w:lang w:val="en-CA"/>
              </w:rPr>
            </w:pPr>
            <w:r>
              <w:rPr>
                <w:rFonts w:ascii="Arial" w:hAnsi="Arial"/>
                <w:sz w:val="20"/>
                <w:lang w:val="en-CA"/>
              </w:rPr>
              <w:t>N/A</w:t>
            </w:r>
          </w:p>
        </w:tc>
        <w:tc>
          <w:tcPr>
            <w:tcW w:w="1350" w:type="dxa"/>
          </w:tcPr>
          <w:p w:rsidR="00A90670" w:rsidRPr="00B16533" w:rsidRDefault="00A90670">
            <w:pPr>
              <w:pStyle w:val="BodyText"/>
              <w:spacing w:before="0" w:line="280" w:lineRule="exact"/>
              <w:jc w:val="center"/>
              <w:rPr>
                <w:rFonts w:ascii="Arial" w:hAnsi="Arial"/>
                <w:sz w:val="20"/>
                <w:lang w:val="en-CA"/>
              </w:rPr>
            </w:pPr>
          </w:p>
        </w:tc>
        <w:tc>
          <w:tcPr>
            <w:tcW w:w="1350" w:type="dxa"/>
          </w:tcPr>
          <w:p w:rsidR="00A90670" w:rsidRPr="00B16533" w:rsidRDefault="00A90670">
            <w:pPr>
              <w:pStyle w:val="BodyText"/>
              <w:spacing w:before="0" w:line="280" w:lineRule="exact"/>
              <w:jc w:val="center"/>
              <w:rPr>
                <w:rFonts w:ascii="Arial" w:hAnsi="Arial"/>
                <w:sz w:val="20"/>
                <w:lang w:val="en-CA"/>
              </w:rPr>
            </w:pPr>
          </w:p>
        </w:tc>
        <w:tc>
          <w:tcPr>
            <w:tcW w:w="1350" w:type="dxa"/>
          </w:tcPr>
          <w:p w:rsidR="00A90670" w:rsidRDefault="00A90670">
            <w:pPr>
              <w:pStyle w:val="BodyText"/>
              <w:spacing w:before="0" w:line="280" w:lineRule="exact"/>
              <w:jc w:val="center"/>
              <w:rPr>
                <w:rFonts w:ascii="Arial" w:hAnsi="Arial"/>
                <w:b/>
                <w:sz w:val="20"/>
                <w:lang w:val="en-CA"/>
              </w:rPr>
            </w:pPr>
          </w:p>
        </w:tc>
        <w:tc>
          <w:tcPr>
            <w:tcW w:w="1350" w:type="dxa"/>
          </w:tcPr>
          <w:p w:rsidR="00A90670" w:rsidRPr="00B16533" w:rsidRDefault="00A90670">
            <w:pPr>
              <w:pStyle w:val="BodyText"/>
              <w:spacing w:before="0" w:line="280" w:lineRule="exact"/>
              <w:jc w:val="center"/>
              <w:rPr>
                <w:rFonts w:ascii="Arial" w:hAnsi="Arial"/>
                <w:sz w:val="20"/>
                <w:lang w:val="en-CA"/>
              </w:rPr>
            </w:pPr>
          </w:p>
        </w:tc>
        <w:tc>
          <w:tcPr>
            <w:tcW w:w="1620" w:type="dxa"/>
          </w:tcPr>
          <w:p w:rsidR="00A90670" w:rsidRPr="00B16533" w:rsidRDefault="00A90670">
            <w:pPr>
              <w:pStyle w:val="BodyText"/>
              <w:spacing w:before="0" w:line="280" w:lineRule="exact"/>
              <w:jc w:val="center"/>
              <w:rPr>
                <w:rFonts w:ascii="Arial" w:hAnsi="Arial"/>
                <w:sz w:val="20"/>
              </w:rPr>
            </w:pPr>
          </w:p>
        </w:tc>
        <w:tc>
          <w:tcPr>
            <w:tcW w:w="1170" w:type="dxa"/>
          </w:tcPr>
          <w:p w:rsidR="00A90670" w:rsidRPr="00B16533" w:rsidRDefault="00A90670">
            <w:pPr>
              <w:pStyle w:val="BodyText"/>
              <w:spacing w:before="0" w:line="280" w:lineRule="exact"/>
              <w:jc w:val="center"/>
              <w:rPr>
                <w:rFonts w:ascii="Arial" w:hAnsi="Arial"/>
                <w:sz w:val="20"/>
                <w:lang w:val="en-CA"/>
              </w:rPr>
            </w:pPr>
          </w:p>
        </w:tc>
        <w:tc>
          <w:tcPr>
            <w:tcW w:w="1350" w:type="dxa"/>
          </w:tcPr>
          <w:p w:rsidR="00A90670" w:rsidRPr="00B16533" w:rsidRDefault="00A90670">
            <w:pPr>
              <w:pStyle w:val="BodyText"/>
              <w:spacing w:before="0" w:line="280" w:lineRule="exact"/>
              <w:jc w:val="center"/>
              <w:rPr>
                <w:rFonts w:ascii="Arial" w:hAnsi="Arial"/>
                <w:color w:val="000000"/>
                <w:sz w:val="20"/>
                <w:lang w:val="en-CA"/>
              </w:rPr>
            </w:pP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062F09">
        <w:rPr>
          <w:rFonts w:ascii="Arial" w:hAnsi="Arial"/>
          <w:u w:val="single"/>
        </w:rPr>
        <w:t>N/A</w:t>
      </w:r>
      <w:r>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062F09">
        <w:rPr>
          <w:rFonts w:ascii="Arial" w:hAnsi="Arial"/>
          <w:u w:val="single"/>
        </w:rPr>
        <w:t>N/A</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062F09">
        <w:rPr>
          <w:rFonts w:ascii="Arial" w:hAnsi="Arial"/>
          <w:u w:val="single"/>
        </w:rPr>
        <w:t>N/A</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lastRenderedPageBreak/>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922182">
        <w:rPr>
          <w:rFonts w:ascii="Arial" w:hAnsi="Arial"/>
        </w:rPr>
        <w:t xml:space="preserve"> </w:t>
      </w:r>
      <w:r w:rsidR="00922182">
        <w:rPr>
          <w:rFonts w:ascii="Arial" w:hAnsi="Arial"/>
          <w:u w:val="single"/>
        </w:rPr>
        <w:t>Warrants</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922182">
        <w:rPr>
          <w:rFonts w:ascii="Arial" w:hAnsi="Arial"/>
          <w:u w:val="single"/>
        </w:rPr>
        <w:t>2,680,000</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9D458B">
        <w:rPr>
          <w:rFonts w:ascii="Arial" w:hAnsi="Arial"/>
          <w:u w:val="single"/>
        </w:rPr>
        <w:t xml:space="preserve">Warrants are exercisable at </w:t>
      </w:r>
      <w:r w:rsidR="00922182" w:rsidRPr="00922182">
        <w:rPr>
          <w:rFonts w:ascii="Arial" w:hAnsi="Arial"/>
          <w:u w:val="single"/>
        </w:rPr>
        <w:t>$2.735</w:t>
      </w:r>
      <w:r w:rsidR="009D458B">
        <w:rPr>
          <w:rFonts w:ascii="Arial" w:hAnsi="Arial"/>
          <w:u w:val="single"/>
        </w:rPr>
        <w:t xml:space="preserve"> per Warrant</w:t>
      </w:r>
      <w:r>
        <w:rPr>
          <w:rFonts w:ascii="Arial" w:hAnsi="Arial"/>
          <w:u w:val="single"/>
        </w:rPr>
        <w:tab/>
      </w:r>
      <w:r>
        <w:rPr>
          <w:rFonts w:ascii="Arial" w:hAnsi="Arial"/>
        </w:rPr>
        <w:t xml:space="preserve"> .</w:t>
      </w:r>
    </w:p>
    <w:p w:rsidR="00EA4133" w:rsidRDefault="00EA4133" w:rsidP="00392085">
      <w:pPr>
        <w:pStyle w:val="BodyText"/>
        <w:tabs>
          <w:tab w:val="left" w:pos="1080"/>
          <w:tab w:val="left" w:pos="1440"/>
          <w:tab w:val="left" w:pos="2160"/>
          <w:tab w:val="left" w:pos="9180"/>
        </w:tabs>
        <w:ind w:left="2160" w:hanging="2160"/>
        <w:rPr>
          <w:rFonts w:ascii="Arial" w:hAnsi="Arial"/>
        </w:rPr>
      </w:pPr>
      <w:r>
        <w:rPr>
          <w:rFonts w:ascii="Arial" w:hAnsi="Arial"/>
        </w:rPr>
        <w:tab/>
        <w:t>(d)</w:t>
      </w:r>
      <w:r>
        <w:rPr>
          <w:rFonts w:ascii="Arial" w:hAnsi="Arial"/>
        </w:rPr>
        <w:tab/>
      </w:r>
      <w:r>
        <w:rPr>
          <w:rFonts w:ascii="Arial" w:hAnsi="Arial"/>
        </w:rPr>
        <w:tab/>
        <w:t xml:space="preserve">Voting rights </w:t>
      </w:r>
      <w:r w:rsidR="00392085">
        <w:rPr>
          <w:rFonts w:ascii="Arial" w:hAnsi="Arial"/>
          <w:u w:val="single"/>
        </w:rPr>
        <w:t>One vote per common share of the Issuer to be issued upon exercise of the Warrants</w:t>
      </w:r>
      <w:r>
        <w:rPr>
          <w:rFonts w:ascii="Arial" w:hAnsi="Arial"/>
          <w:u w:val="single"/>
        </w:rPr>
        <w:tab/>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2D3931">
        <w:rPr>
          <w:rFonts w:ascii="Arial" w:hAnsi="Arial"/>
          <w:u w:val="single"/>
        </w:rPr>
        <w:t>2,680,000 Warrants</w:t>
      </w:r>
      <w:r>
        <w:rPr>
          <w:rFonts w:ascii="Arial" w:hAnsi="Arial"/>
          <w:u w:val="single"/>
        </w:rPr>
        <w:tab/>
      </w:r>
      <w:r>
        <w:rPr>
          <w:rFonts w:ascii="Arial" w:hAnsi="Arial"/>
        </w:rPr>
        <w:t xml:space="preserve"> .</w:t>
      </w:r>
    </w:p>
    <w:p w:rsidR="00EA4133" w:rsidRPr="002D3931" w:rsidRDefault="00EA4133" w:rsidP="002D3931">
      <w:pPr>
        <w:pStyle w:val="List"/>
        <w:numPr>
          <w:ilvl w:val="0"/>
          <w:numId w:val="11"/>
        </w:numPr>
        <w:tabs>
          <w:tab w:val="left" w:pos="1080"/>
          <w:tab w:val="left" w:pos="1440"/>
          <w:tab w:val="left" w:pos="9180"/>
        </w:tabs>
        <w:jc w:val="both"/>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C4010F">
        <w:rPr>
          <w:rFonts w:ascii="Arial" w:hAnsi="Arial"/>
          <w:u w:val="single"/>
        </w:rPr>
        <w:t>2,6800,000 common shares of the Issuer</w:t>
      </w:r>
      <w:r>
        <w:rPr>
          <w:rFonts w:ascii="Arial" w:hAnsi="Arial"/>
          <w:u w:val="single"/>
        </w:rPr>
        <w:tab/>
      </w:r>
      <w:r w:rsidRPr="002D3931">
        <w:rPr>
          <w:rFonts w:ascii="Arial" w:hAnsi="Arial"/>
        </w:rPr>
        <w:t>.</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2D3931">
        <w:rPr>
          <w:rFonts w:ascii="Arial" w:hAnsi="Arial"/>
          <w:u w:val="single"/>
        </w:rPr>
        <w:t xml:space="preserve"> $2.735</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2D3931">
        <w:rPr>
          <w:rFonts w:ascii="Arial" w:hAnsi="Arial"/>
          <w:u w:val="single"/>
        </w:rPr>
        <w:t>five years from the date of issuance</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0" w:name="_Toc370788682"/>
      <w:bookmarkStart w:id="1" w:name="_Toc398005538"/>
      <w:bookmarkStart w:id="2" w:name="_Toc412279955"/>
      <w:bookmarkStart w:id="3" w:name="_Toc419096451"/>
      <w:r>
        <w:rPr>
          <w:b w:val="0"/>
          <w:sz w:val="24"/>
        </w:rPr>
        <w:t>Provide the following information if debt securities are to be issued:</w:t>
      </w:r>
      <w:bookmarkEnd w:id="0"/>
      <w:bookmarkEnd w:id="1"/>
      <w:bookmarkEnd w:id="2"/>
      <w:bookmarkEnd w:id="3"/>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sidR="002D3931">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sidR="002D3931">
        <w:rPr>
          <w:rFonts w:ascii="Arial" w:hAnsi="Arial"/>
          <w:u w:val="single"/>
        </w:rPr>
        <w:t>N/A</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sidR="002D3931">
        <w:rPr>
          <w:rFonts w:ascii="Arial" w:hAnsi="Arial"/>
          <w:u w:val="single"/>
        </w:rPr>
        <w:t>N/A</w:t>
      </w:r>
      <w:r>
        <w:rPr>
          <w:rFonts w:ascii="Arial" w:hAnsi="Arial"/>
          <w:u w:val="single"/>
        </w:rPr>
        <w:tab/>
      </w:r>
      <w:r>
        <w:rPr>
          <w:rFonts w:ascii="Arial" w:hAnsi="Arial"/>
        </w:rPr>
        <w:t xml:space="preserve"> .</w:t>
      </w:r>
    </w:p>
    <w:p w:rsidR="00A00C54"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sidR="002D3931">
        <w:rPr>
          <w:rFonts w:ascii="Arial" w:hAnsi="Arial"/>
          <w:u w:val="single"/>
        </w:rPr>
        <w:t>N/A</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sidR="002D3931">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r w:rsidR="002D3931">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2D3931">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2D3931">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2D3931">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(e)</w:t>
      </w:r>
      <w:r>
        <w:rPr>
          <w:rFonts w:ascii="Arial" w:hAnsi="Arial"/>
        </w:rPr>
        <w:tab/>
        <w:t xml:space="preserve">Expiry date of any options, warrants etc. </w:t>
      </w:r>
      <w:r w:rsidR="002D3931">
        <w:rPr>
          <w:rFonts w:ascii="Arial" w:hAnsi="Arial"/>
          <w:u w:val="single"/>
        </w:rPr>
        <w:t>N/A</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2D3931">
        <w:rPr>
          <w:rFonts w:ascii="Arial" w:hAnsi="Arial"/>
          <w:u w:val="single"/>
        </w:rPr>
        <w:t>N/A</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sidR="002D3931">
        <w:rPr>
          <w:rFonts w:ascii="Arial" w:hAnsi="Arial"/>
          <w:u w:val="single"/>
        </w:rPr>
        <w:t>N/A</w:t>
      </w:r>
      <w:r>
        <w:rPr>
          <w:rFonts w:ascii="Arial" w:hAnsi="Arial"/>
          <w:u w:val="single"/>
        </w:rPr>
        <w:tab/>
      </w:r>
    </w:p>
    <w:p w:rsidR="00EA4133" w:rsidRDefault="00EA4133">
      <w:pPr>
        <w:pStyle w:val="List"/>
        <w:tabs>
          <w:tab w:val="left" w:pos="1080"/>
          <w:tab w:val="left" w:pos="9180"/>
        </w:tabs>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32608E" w:rsidRDefault="002D3931" w:rsidP="00995ACE">
      <w:pPr>
        <w:pStyle w:val="List"/>
        <w:tabs>
          <w:tab w:val="left" w:pos="1080"/>
          <w:tab w:val="left" w:pos="9180"/>
        </w:tabs>
        <w:ind w:firstLine="0"/>
        <w:jc w:val="both"/>
        <w:rPr>
          <w:rFonts w:ascii="Arial" w:hAnsi="Arial"/>
          <w:u w:val="single"/>
        </w:rPr>
      </w:pPr>
      <w:r>
        <w:rPr>
          <w:rFonts w:ascii="Arial" w:hAnsi="Arial"/>
          <w:u w:val="single"/>
        </w:rPr>
        <w:t>The Warrants were issued</w:t>
      </w:r>
      <w:r w:rsidR="00C4010F">
        <w:rPr>
          <w:rFonts w:ascii="Arial" w:hAnsi="Arial"/>
          <w:u w:val="single"/>
        </w:rPr>
        <w:t xml:space="preserve"> to </w:t>
      </w:r>
      <w:r w:rsidR="00C4010F" w:rsidRPr="00C4010F">
        <w:rPr>
          <w:rFonts w:ascii="Arial" w:hAnsi="Arial"/>
          <w:u w:val="single"/>
        </w:rPr>
        <w:t xml:space="preserve">GEM Global Yield Fund LLC SCS </w:t>
      </w:r>
      <w:r w:rsidR="00C4010F">
        <w:rPr>
          <w:rFonts w:ascii="Arial" w:hAnsi="Arial"/>
          <w:u w:val="single"/>
        </w:rPr>
        <w:t xml:space="preserve">(“GEM”) </w:t>
      </w:r>
      <w:r>
        <w:rPr>
          <w:rFonts w:ascii="Arial" w:hAnsi="Arial"/>
          <w:u w:val="single"/>
        </w:rPr>
        <w:t>pursuant to the terms of a</w:t>
      </w:r>
      <w:r w:rsidRPr="002D3931">
        <w:rPr>
          <w:rFonts w:ascii="Arial" w:hAnsi="Arial"/>
          <w:u w:val="single"/>
        </w:rPr>
        <w:t xml:space="preserve"> direct placement agreement </w:t>
      </w:r>
      <w:r>
        <w:rPr>
          <w:rFonts w:ascii="Arial" w:hAnsi="Arial"/>
          <w:u w:val="single"/>
        </w:rPr>
        <w:t xml:space="preserve">dated </w:t>
      </w:r>
      <w:r w:rsidRPr="002D3931">
        <w:rPr>
          <w:rFonts w:ascii="Arial" w:hAnsi="Arial"/>
          <w:u w:val="single"/>
        </w:rPr>
        <w:t>on or about April 5, 2018 (th</w:t>
      </w:r>
      <w:r>
        <w:rPr>
          <w:rFonts w:ascii="Arial" w:hAnsi="Arial"/>
          <w:u w:val="single"/>
        </w:rPr>
        <w:t xml:space="preserve">e “Direct Placement Agreement”) entered into between the Issuer and </w:t>
      </w:r>
      <w:r w:rsidR="00C4010F" w:rsidRPr="00C4010F">
        <w:rPr>
          <w:rFonts w:ascii="Arial" w:hAnsi="Arial"/>
          <w:u w:val="single"/>
        </w:rPr>
        <w:t xml:space="preserve">GEM </w:t>
      </w:r>
      <w:r w:rsidRPr="002D3931">
        <w:rPr>
          <w:rFonts w:ascii="Arial" w:hAnsi="Arial"/>
          <w:u w:val="single"/>
        </w:rPr>
        <w:t>and certain shareholders of the Company pursuant to which GEM agreed to subs</w:t>
      </w:r>
      <w:r>
        <w:rPr>
          <w:rFonts w:ascii="Arial" w:hAnsi="Arial"/>
          <w:u w:val="single"/>
        </w:rPr>
        <w:t>cribe for common shares of the Issuer</w:t>
      </w:r>
      <w:r w:rsidRPr="002D3931">
        <w:rPr>
          <w:rFonts w:ascii="Arial" w:hAnsi="Arial"/>
          <w:u w:val="single"/>
        </w:rPr>
        <w:t xml:space="preserve"> for the aggregate purchase price of up to $10,000,000 </w:t>
      </w:r>
      <w:r>
        <w:rPr>
          <w:rFonts w:ascii="Arial" w:hAnsi="Arial"/>
          <w:u w:val="single"/>
        </w:rPr>
        <w:t xml:space="preserve">for a period of two years </w:t>
      </w:r>
      <w:r w:rsidRPr="002D3931">
        <w:rPr>
          <w:rFonts w:ascii="Arial" w:hAnsi="Arial"/>
          <w:u w:val="single"/>
        </w:rPr>
        <w:t>upon receipt of draw down notices provided by the</w:t>
      </w:r>
      <w:r>
        <w:rPr>
          <w:rFonts w:ascii="Arial" w:hAnsi="Arial"/>
          <w:u w:val="single"/>
        </w:rPr>
        <w:t xml:space="preserve"> Issuer. In consideration for entering into the Direct Placement Agreement, the Issuer agreed to pay GEM a cash commission of $125,000 and the 2,680,000 Warrants</w:t>
      </w:r>
      <w:r w:rsidR="003D195D">
        <w:rPr>
          <w:rFonts w:ascii="Arial" w:hAnsi="Arial"/>
          <w:u w:val="single"/>
        </w:rPr>
        <w:t>.</w:t>
      </w:r>
      <w:r w:rsidR="0032608E">
        <w:rPr>
          <w:rFonts w:ascii="Arial" w:hAnsi="Arial"/>
          <w:u w:val="single"/>
        </w:rPr>
        <w:t xml:space="preserve"> </w:t>
      </w:r>
      <w:r w:rsidR="0032608E">
        <w:rPr>
          <w:rFonts w:ascii="Arial" w:hAnsi="Arial"/>
          <w:u w:val="single"/>
        </w:rPr>
        <w:tab/>
      </w:r>
      <w:r w:rsidR="0032608E">
        <w:rPr>
          <w:rFonts w:ascii="Arial" w:hAnsi="Arial"/>
          <w:u w:val="single"/>
        </w:rPr>
        <w:tab/>
      </w:r>
    </w:p>
    <w:p w:rsidR="00EA4133" w:rsidRDefault="0032608E" w:rsidP="00995ACE">
      <w:pPr>
        <w:pStyle w:val="List"/>
        <w:tabs>
          <w:tab w:val="left" w:pos="1080"/>
          <w:tab w:val="left" w:pos="9180"/>
        </w:tabs>
        <w:ind w:firstLine="0"/>
        <w:jc w:val="both"/>
        <w:rPr>
          <w:rFonts w:ascii="Arial" w:hAnsi="Arial"/>
          <w:u w:val="single"/>
        </w:rPr>
      </w:pPr>
      <w:r>
        <w:rPr>
          <w:rFonts w:ascii="Arial" w:hAnsi="Arial"/>
          <w:u w:val="single"/>
        </w:rPr>
        <w:t>The certificate representing the Warrants have an adjustment provision providing that if on April 3, 2019 the market price of the Issuer’s common shares was less than 90% of the then-current exercise price, the exercise price would be adjusted to 105% of the current market price at that time, subject to the approval of the Canadian Securities Exchange.</w:t>
      </w:r>
      <w:r>
        <w:rPr>
          <w:rFonts w:ascii="Arial" w:hAnsi="Arial"/>
          <w:u w:val="single"/>
        </w:rPr>
        <w:tab/>
      </w:r>
      <w:r>
        <w:rPr>
          <w:rFonts w:ascii="Arial" w:hAnsi="Arial"/>
          <w:u w:val="single"/>
        </w:rPr>
        <w:tab/>
      </w:r>
    </w:p>
    <w:p w:rsidR="0032608E" w:rsidRPr="0032608E" w:rsidRDefault="0032608E" w:rsidP="00995ACE">
      <w:pPr>
        <w:pStyle w:val="List"/>
        <w:tabs>
          <w:tab w:val="left" w:pos="1080"/>
          <w:tab w:val="left" w:pos="9180"/>
        </w:tabs>
        <w:ind w:firstLine="0"/>
        <w:jc w:val="both"/>
        <w:rPr>
          <w:rFonts w:ascii="Arial" w:hAnsi="Arial"/>
          <w:b/>
          <w:u w:val="single"/>
        </w:rPr>
      </w:pPr>
      <w:r>
        <w:rPr>
          <w:rFonts w:ascii="Arial" w:hAnsi="Arial"/>
          <w:u w:val="single"/>
        </w:rPr>
        <w:t>The certificate representing the Warrants have an advanced acceleration clause providing that if the average closing price of the Issuer’s common shares for 30 trading days immediately prior to the date set for the exercise of any Warrants is 200% more than the exercise price, the Corporation may send the holder a notice that it intends to cancel any unexercised Warrants 60 days after the date of such notice.</w:t>
      </w:r>
      <w:r>
        <w:rPr>
          <w:rFonts w:ascii="Arial" w:hAnsi="Arial"/>
          <w:u w:val="single"/>
        </w:rPr>
        <w:tab/>
      </w:r>
      <w:r>
        <w:rPr>
          <w:rFonts w:ascii="Arial" w:hAnsi="Arial"/>
          <w:u w:val="single"/>
        </w:rPr>
        <w:tab/>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3D195D" w:rsidP="003D195D">
      <w:pPr>
        <w:pStyle w:val="List"/>
        <w:tabs>
          <w:tab w:val="left" w:pos="1080"/>
          <w:tab w:val="left" w:pos="9180"/>
        </w:tabs>
        <w:ind w:firstLine="0"/>
        <w:jc w:val="both"/>
        <w:rPr>
          <w:rFonts w:ascii="Arial" w:hAnsi="Arial"/>
        </w:rPr>
      </w:pPr>
      <w:r>
        <w:rPr>
          <w:rFonts w:ascii="Arial" w:hAnsi="Arial"/>
          <w:u w:val="single"/>
        </w:rPr>
        <w:t>No.</w:t>
      </w:r>
      <w:r w:rsidR="00EA4133">
        <w:rPr>
          <w:rFonts w:ascii="Arial" w:hAnsi="Arial"/>
          <w:u w:val="single"/>
        </w:rPr>
        <w:tab/>
      </w:r>
      <w:r w:rsidR="00EA4133">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sidR="003D195D">
        <w:rPr>
          <w:rFonts w:ascii="Arial" w:hAnsi="Arial"/>
          <w:u w:val="single"/>
        </w:rPr>
        <w:t>N/A</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AC05A5" w:rsidRPr="0032608E" w:rsidRDefault="00EA4133" w:rsidP="0032608E">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EA4133" w:rsidRDefault="0035331C">
      <w:pPr>
        <w:pStyle w:val="BodyText"/>
        <w:tabs>
          <w:tab w:val="left" w:pos="1080"/>
          <w:tab w:val="left" w:pos="4230"/>
        </w:tabs>
        <w:rPr>
          <w:rFonts w:ascii="Arial" w:hAnsi="Arial"/>
          <w:color w:val="000000"/>
        </w:rPr>
      </w:pPr>
      <w:r>
        <w:rPr>
          <w:rFonts w:ascii="Arial" w:hAnsi="Arial"/>
          <w:b/>
          <w:color w:val="000000"/>
        </w:rPr>
        <w:t xml:space="preserve">Part </w:t>
      </w:r>
      <w:r w:rsidR="00EA4133">
        <w:rPr>
          <w:rFonts w:ascii="Arial" w:hAnsi="Arial"/>
          <w:b/>
          <w:color w:val="000000"/>
        </w:rPr>
        <w:t>2.</w:t>
      </w:r>
      <w:r w:rsidR="00EA4133">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CF2A90" w:rsidRPr="004E4153" w:rsidRDefault="00EA4133" w:rsidP="004E415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C500F0" w:rsidRDefault="00EA4133" w:rsidP="004E415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4E4153" w:rsidRPr="004E4153" w:rsidRDefault="004E4153" w:rsidP="004E4153">
      <w:pPr>
        <w:pStyle w:val="List"/>
        <w:ind w:firstLine="0"/>
        <w:jc w:val="both"/>
        <w:rPr>
          <w:rFonts w:ascii="Arial" w:hAnsi="Arial"/>
        </w:rPr>
      </w:pPr>
    </w:p>
    <w:p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3D195D">
        <w:rPr>
          <w:rFonts w:ascii="Arial" w:hAnsi="Arial"/>
          <w:u w:val="single"/>
        </w:rPr>
        <w:t xml:space="preserve">July </w:t>
      </w:r>
      <w:r w:rsidR="0032608E">
        <w:rPr>
          <w:rFonts w:ascii="Arial" w:hAnsi="Arial"/>
          <w:u w:val="single"/>
        </w:rPr>
        <w:t>29</w:t>
      </w:r>
      <w:r w:rsidR="003D195D">
        <w:rPr>
          <w:rFonts w:ascii="Arial" w:hAnsi="Arial"/>
          <w:u w:val="single"/>
        </w:rPr>
        <w:t>, 2020</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3D195D">
        <w:rPr>
          <w:rFonts w:ascii="Arial" w:hAnsi="Arial"/>
          <w:u w:val="single"/>
        </w:rPr>
        <w:t>Stephen Pearce</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3D195D">
        <w:rPr>
          <w:rFonts w:ascii="Arial" w:hAnsi="Arial"/>
          <w:u w:val="single"/>
        </w:rPr>
        <w:t>Chief Financial Officer</w:t>
      </w:r>
      <w:r>
        <w:rPr>
          <w:rFonts w:ascii="Arial" w:hAnsi="Arial"/>
          <w:u w:val="single"/>
        </w:rPr>
        <w:tab/>
      </w:r>
      <w:r>
        <w:rPr>
          <w:rFonts w:ascii="Arial" w:hAnsi="Arial"/>
        </w:rPr>
        <w:br/>
        <w:t>Official Capacity</w:t>
      </w:r>
    </w:p>
    <w:p w:rsidR="004E4153" w:rsidRDefault="004E4153" w:rsidP="0032608E">
      <w:pPr>
        <w:spacing w:before="120"/>
        <w:rPr>
          <w:rFonts w:ascii="Arial" w:eastAsia="Calibri" w:hAnsi="Arial" w:cs="Arial"/>
          <w:b/>
          <w:sz w:val="24"/>
          <w:szCs w:val="24"/>
        </w:rPr>
      </w:pPr>
      <w:r>
        <w:rPr>
          <w:rFonts w:ascii="Arial" w:eastAsia="Calibri" w:hAnsi="Arial" w:cs="Arial"/>
          <w:b/>
          <w:sz w:val="24"/>
          <w:szCs w:val="24"/>
        </w:rPr>
        <w:br w:type="page"/>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Default="00C500F0" w:rsidP="00C500F0">
      <w:pPr>
        <w:pStyle w:val="List"/>
        <w:tabs>
          <w:tab w:val="left" w:pos="9180"/>
          <w:tab w:val="left" w:pos="9360"/>
        </w:tabs>
        <w:ind w:left="5760" w:hanging="5760"/>
        <w:jc w:val="both"/>
        <w:rPr>
          <w:rFonts w:ascii="Arial" w:hAnsi="Arial"/>
          <w:szCs w:val="24"/>
        </w:rPr>
      </w:pPr>
    </w:p>
    <w:p w:rsidR="00F506D5" w:rsidRDefault="00F506D5" w:rsidP="00C500F0">
      <w:pPr>
        <w:pStyle w:val="List"/>
        <w:tabs>
          <w:tab w:val="left" w:pos="9180"/>
          <w:tab w:val="left" w:pos="9360"/>
        </w:tabs>
        <w:ind w:left="5760" w:hanging="5760"/>
        <w:jc w:val="both"/>
        <w:rPr>
          <w:rFonts w:ascii="Arial" w:hAnsi="Arial"/>
          <w:szCs w:val="24"/>
        </w:rPr>
      </w:pPr>
    </w:p>
    <w:tbl>
      <w:tblPr>
        <w:tblpPr w:leftFromText="180" w:rightFromText="180" w:vertAnchor="page" w:horzAnchor="margin" w:tblpXSpec="center" w:tblpY="2716"/>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F506D5" w:rsidTr="00F506D5">
        <w:trPr>
          <w:trHeight w:val="1950"/>
        </w:trPr>
        <w:tc>
          <w:tcPr>
            <w:tcW w:w="1394" w:type="dxa"/>
          </w:tcPr>
          <w:p w:rsidR="00F506D5" w:rsidRDefault="00F506D5" w:rsidP="00F506D5">
            <w:pPr>
              <w:pStyle w:val="BodyText"/>
              <w:spacing w:before="0" w:line="280" w:lineRule="exact"/>
              <w:jc w:val="center"/>
              <w:rPr>
                <w:rFonts w:ascii="Arial" w:hAnsi="Arial"/>
                <w:b/>
                <w:sz w:val="20"/>
                <w:lang w:val="en-CA"/>
              </w:rPr>
            </w:pPr>
          </w:p>
          <w:p w:rsidR="00F506D5" w:rsidRDefault="00F506D5" w:rsidP="00F506D5">
            <w:pPr>
              <w:pStyle w:val="BodyText"/>
              <w:spacing w:before="0" w:line="280" w:lineRule="exact"/>
              <w:jc w:val="center"/>
              <w:rPr>
                <w:rFonts w:ascii="Arial" w:hAnsi="Arial"/>
                <w:b/>
                <w:sz w:val="20"/>
                <w:lang w:val="en-CA"/>
              </w:rPr>
            </w:pPr>
            <w:r>
              <w:rPr>
                <w:rFonts w:ascii="Arial" w:hAnsi="Arial"/>
                <w:b/>
                <w:sz w:val="20"/>
                <w:lang w:val="en-CA"/>
              </w:rPr>
              <w:t>Full Name &amp;Municipality of Residence of Placee</w:t>
            </w:r>
          </w:p>
        </w:tc>
        <w:tc>
          <w:tcPr>
            <w:tcW w:w="1376" w:type="dxa"/>
          </w:tcPr>
          <w:p w:rsidR="00F506D5" w:rsidRDefault="00F506D5" w:rsidP="00F506D5">
            <w:pPr>
              <w:pStyle w:val="BodyText"/>
              <w:spacing w:before="0" w:line="280" w:lineRule="exact"/>
              <w:jc w:val="center"/>
              <w:rPr>
                <w:rFonts w:ascii="Arial" w:hAnsi="Arial"/>
                <w:b/>
                <w:sz w:val="20"/>
                <w:lang w:val="en-CA"/>
              </w:rPr>
            </w:pPr>
          </w:p>
          <w:p w:rsidR="00F506D5" w:rsidRDefault="00F506D5" w:rsidP="00F506D5">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rsidR="00F506D5" w:rsidRDefault="00F506D5" w:rsidP="00F506D5">
            <w:pPr>
              <w:pStyle w:val="BodyText"/>
              <w:spacing w:before="0" w:line="280" w:lineRule="exact"/>
              <w:jc w:val="center"/>
              <w:rPr>
                <w:rFonts w:ascii="Arial" w:hAnsi="Arial"/>
                <w:b/>
                <w:sz w:val="20"/>
                <w:lang w:val="en-CA"/>
              </w:rPr>
            </w:pPr>
          </w:p>
          <w:p w:rsidR="00F506D5" w:rsidRDefault="00F506D5" w:rsidP="00F506D5">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F506D5" w:rsidRDefault="00F506D5" w:rsidP="00F506D5">
            <w:pPr>
              <w:pStyle w:val="BodyText"/>
              <w:spacing w:before="0" w:line="280" w:lineRule="exact"/>
              <w:jc w:val="center"/>
              <w:rPr>
                <w:rFonts w:ascii="Arial" w:hAnsi="Arial"/>
                <w:b/>
                <w:sz w:val="20"/>
                <w:lang w:val="en-CA"/>
              </w:rPr>
            </w:pPr>
          </w:p>
          <w:p w:rsidR="00F506D5" w:rsidRDefault="00F506D5" w:rsidP="00F506D5">
            <w:pPr>
              <w:pStyle w:val="BodyText"/>
              <w:spacing w:before="0" w:line="280" w:lineRule="exact"/>
              <w:jc w:val="center"/>
              <w:rPr>
                <w:rFonts w:ascii="Arial" w:hAnsi="Arial"/>
                <w:b/>
                <w:sz w:val="20"/>
                <w:lang w:val="en-CA"/>
              </w:rPr>
            </w:pPr>
            <w:r>
              <w:rPr>
                <w:rFonts w:ascii="Arial" w:hAnsi="Arial"/>
                <w:b/>
                <w:sz w:val="20"/>
                <w:lang w:val="en-CA"/>
              </w:rPr>
              <w:t>Conversion</w:t>
            </w:r>
          </w:p>
          <w:p w:rsidR="00F506D5" w:rsidRDefault="00F506D5" w:rsidP="00F506D5">
            <w:pPr>
              <w:pStyle w:val="BodyText"/>
              <w:spacing w:before="0" w:line="280" w:lineRule="exact"/>
              <w:jc w:val="center"/>
              <w:rPr>
                <w:rFonts w:ascii="Arial" w:hAnsi="Arial"/>
                <w:b/>
                <w:sz w:val="20"/>
                <w:lang w:val="en-CA"/>
              </w:rPr>
            </w:pPr>
            <w:r>
              <w:rPr>
                <w:rFonts w:ascii="Arial" w:hAnsi="Arial"/>
                <w:b/>
                <w:sz w:val="20"/>
                <w:lang w:val="en-CA"/>
              </w:rPr>
              <w:t>Price (if</w:t>
            </w:r>
          </w:p>
          <w:p w:rsidR="00F506D5" w:rsidRDefault="00F506D5" w:rsidP="00F506D5">
            <w:pPr>
              <w:pStyle w:val="BodyText"/>
              <w:spacing w:before="0" w:line="280" w:lineRule="exact"/>
              <w:jc w:val="center"/>
              <w:rPr>
                <w:rFonts w:ascii="Arial" w:hAnsi="Arial"/>
                <w:b/>
                <w:sz w:val="20"/>
                <w:lang w:val="en-CA"/>
              </w:rPr>
            </w:pPr>
            <w:r>
              <w:rPr>
                <w:rFonts w:ascii="Arial" w:hAnsi="Arial"/>
                <w:b/>
                <w:sz w:val="20"/>
                <w:lang w:val="en-CA"/>
              </w:rPr>
              <w:t>Applicable)</w:t>
            </w:r>
          </w:p>
          <w:p w:rsidR="00F506D5" w:rsidRDefault="00F506D5" w:rsidP="00F506D5">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rsidR="00F506D5" w:rsidRDefault="00F506D5" w:rsidP="00F506D5">
            <w:pPr>
              <w:pStyle w:val="BodyText"/>
              <w:spacing w:before="0" w:line="280" w:lineRule="exact"/>
              <w:jc w:val="center"/>
              <w:rPr>
                <w:rFonts w:ascii="Arial" w:hAnsi="Arial"/>
                <w:b/>
                <w:sz w:val="20"/>
                <w:lang w:val="en-CA"/>
              </w:rPr>
            </w:pPr>
          </w:p>
          <w:p w:rsidR="00F506D5" w:rsidRDefault="00F506D5" w:rsidP="00F506D5">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rsidR="00F506D5" w:rsidRDefault="00F506D5" w:rsidP="00F506D5">
            <w:pPr>
              <w:pStyle w:val="BodyText"/>
              <w:spacing w:before="0" w:line="280" w:lineRule="exact"/>
              <w:jc w:val="center"/>
              <w:rPr>
                <w:rFonts w:ascii="Arial" w:hAnsi="Arial"/>
                <w:b/>
                <w:sz w:val="20"/>
              </w:rPr>
            </w:pPr>
          </w:p>
          <w:p w:rsidR="00F506D5" w:rsidRDefault="00F506D5" w:rsidP="00F506D5">
            <w:pPr>
              <w:pStyle w:val="BodyText"/>
              <w:spacing w:before="0" w:line="280" w:lineRule="exact"/>
              <w:jc w:val="center"/>
              <w:rPr>
                <w:rFonts w:ascii="Arial" w:hAnsi="Arial"/>
                <w:b/>
                <w:sz w:val="20"/>
                <w:lang w:val="en-CA"/>
              </w:rPr>
            </w:pPr>
            <w:r>
              <w:rPr>
                <w:rFonts w:ascii="Arial" w:hAnsi="Arial"/>
                <w:b/>
                <w:sz w:val="20"/>
              </w:rPr>
              <w:t>TotalSecuritiesPreviously Owned, Controlled or Directed</w:t>
            </w:r>
          </w:p>
        </w:tc>
        <w:tc>
          <w:tcPr>
            <w:tcW w:w="1100" w:type="dxa"/>
          </w:tcPr>
          <w:p w:rsidR="00F506D5" w:rsidRDefault="00F506D5" w:rsidP="00F506D5">
            <w:pPr>
              <w:pStyle w:val="BodyText"/>
              <w:spacing w:before="0" w:line="280" w:lineRule="exact"/>
              <w:jc w:val="center"/>
              <w:rPr>
                <w:rFonts w:ascii="Arial" w:hAnsi="Arial"/>
                <w:b/>
                <w:sz w:val="20"/>
                <w:lang w:val="en-CA"/>
              </w:rPr>
            </w:pPr>
          </w:p>
          <w:p w:rsidR="00F506D5" w:rsidRDefault="00F506D5" w:rsidP="00F506D5">
            <w:pPr>
              <w:pStyle w:val="BodyText"/>
              <w:spacing w:before="0" w:line="280" w:lineRule="exact"/>
              <w:jc w:val="center"/>
              <w:rPr>
                <w:rFonts w:ascii="Arial" w:hAnsi="Arial"/>
                <w:b/>
                <w:sz w:val="20"/>
                <w:lang w:val="en-CA"/>
              </w:rPr>
            </w:pPr>
            <w:r>
              <w:rPr>
                <w:rFonts w:ascii="Arial" w:hAnsi="Arial"/>
                <w:b/>
                <w:sz w:val="20"/>
                <w:lang w:val="en-CA"/>
              </w:rPr>
              <w:t>Payment Date</w:t>
            </w:r>
          </w:p>
        </w:tc>
        <w:tc>
          <w:tcPr>
            <w:tcW w:w="1100" w:type="dxa"/>
          </w:tcPr>
          <w:p w:rsidR="00F506D5" w:rsidRDefault="00F506D5" w:rsidP="00F506D5">
            <w:pPr>
              <w:pStyle w:val="BodyText"/>
              <w:spacing w:before="0" w:line="280" w:lineRule="exact"/>
              <w:jc w:val="center"/>
              <w:rPr>
                <w:rFonts w:ascii="Arial" w:hAnsi="Arial"/>
                <w:b/>
                <w:color w:val="000000"/>
                <w:sz w:val="20"/>
                <w:lang w:val="en-CA"/>
              </w:rPr>
            </w:pPr>
          </w:p>
          <w:p w:rsidR="00F506D5" w:rsidRDefault="00F506D5" w:rsidP="00F506D5">
            <w:pPr>
              <w:pStyle w:val="BodyText"/>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to Issuer </w:t>
            </w:r>
          </w:p>
        </w:tc>
      </w:tr>
      <w:tr w:rsidR="00F506D5" w:rsidRPr="00B16533" w:rsidTr="00F506D5">
        <w:trPr>
          <w:trHeight w:val="864"/>
        </w:trPr>
        <w:tc>
          <w:tcPr>
            <w:tcW w:w="1394" w:type="dxa"/>
          </w:tcPr>
          <w:p w:rsidR="00F506D5" w:rsidRPr="002D3931" w:rsidRDefault="00F506D5" w:rsidP="00CE2BB3">
            <w:pPr>
              <w:pStyle w:val="BodyText"/>
              <w:spacing w:before="0" w:line="280" w:lineRule="exact"/>
              <w:jc w:val="center"/>
              <w:rPr>
                <w:rFonts w:ascii="Arial" w:hAnsi="Arial"/>
                <w:sz w:val="20"/>
                <w:lang w:val="en-CA"/>
              </w:rPr>
            </w:pPr>
            <w:r>
              <w:rPr>
                <w:rFonts w:ascii="Arial" w:hAnsi="Arial"/>
                <w:sz w:val="20"/>
                <w:lang w:val="en-CA"/>
              </w:rPr>
              <w:t>GEM Global Yield Fund LLC SCS</w:t>
            </w:r>
            <w:r w:rsidR="00CE2BB3">
              <w:rPr>
                <w:rFonts w:ascii="Arial" w:hAnsi="Arial"/>
                <w:sz w:val="20"/>
                <w:lang w:val="en-CA"/>
              </w:rPr>
              <w:t>,</w:t>
            </w:r>
            <w:r>
              <w:rPr>
                <w:rFonts w:ascii="Arial" w:hAnsi="Arial"/>
                <w:sz w:val="20"/>
                <w:lang w:val="en-CA"/>
              </w:rPr>
              <w:t xml:space="preserve"> Luxembourg </w:t>
            </w:r>
            <w:r w:rsidR="00CE2BB3">
              <w:rPr>
                <w:rFonts w:ascii="Arial" w:hAnsi="Arial"/>
                <w:sz w:val="20"/>
                <w:lang w:val="en-CA"/>
              </w:rPr>
              <w:t>City</w:t>
            </w:r>
          </w:p>
        </w:tc>
        <w:tc>
          <w:tcPr>
            <w:tcW w:w="1376" w:type="dxa"/>
          </w:tcPr>
          <w:p w:rsidR="00F506D5" w:rsidRPr="00B16533" w:rsidRDefault="00F506D5" w:rsidP="00F506D5">
            <w:pPr>
              <w:pStyle w:val="BodyText"/>
              <w:spacing w:before="0" w:line="280" w:lineRule="exact"/>
              <w:jc w:val="center"/>
              <w:rPr>
                <w:rFonts w:ascii="Arial" w:hAnsi="Arial"/>
                <w:sz w:val="20"/>
                <w:lang w:val="en-CA"/>
              </w:rPr>
            </w:pPr>
            <w:r>
              <w:rPr>
                <w:rFonts w:ascii="Arial" w:hAnsi="Arial"/>
                <w:sz w:val="20"/>
                <w:lang w:val="en-CA"/>
              </w:rPr>
              <w:t>2,680,000 Warrants</w:t>
            </w:r>
          </w:p>
        </w:tc>
        <w:tc>
          <w:tcPr>
            <w:tcW w:w="1192" w:type="dxa"/>
          </w:tcPr>
          <w:p w:rsidR="00F506D5" w:rsidRPr="00B16533" w:rsidRDefault="00F506D5" w:rsidP="00F506D5">
            <w:pPr>
              <w:pStyle w:val="BodyText"/>
              <w:spacing w:before="0" w:line="280" w:lineRule="exact"/>
              <w:jc w:val="center"/>
              <w:rPr>
                <w:rFonts w:ascii="Arial" w:hAnsi="Arial"/>
                <w:sz w:val="20"/>
                <w:lang w:val="en-CA"/>
              </w:rPr>
            </w:pPr>
            <w:r>
              <w:rPr>
                <w:rFonts w:ascii="Arial" w:hAnsi="Arial"/>
                <w:sz w:val="20"/>
                <w:lang w:val="en-CA"/>
              </w:rPr>
              <w:t>N/A</w:t>
            </w:r>
          </w:p>
        </w:tc>
        <w:tc>
          <w:tcPr>
            <w:tcW w:w="1376" w:type="dxa"/>
          </w:tcPr>
          <w:p w:rsidR="00F506D5" w:rsidRDefault="00F506D5" w:rsidP="00F506D5">
            <w:pPr>
              <w:pStyle w:val="BodyText"/>
              <w:spacing w:before="0" w:line="280" w:lineRule="exact"/>
              <w:jc w:val="center"/>
              <w:rPr>
                <w:rFonts w:ascii="Arial" w:hAnsi="Arial"/>
                <w:b/>
                <w:sz w:val="20"/>
                <w:lang w:val="en-CA"/>
              </w:rPr>
            </w:pPr>
            <w:r>
              <w:rPr>
                <w:rFonts w:ascii="Arial" w:hAnsi="Arial"/>
                <w:sz w:val="20"/>
                <w:lang w:val="en-CA"/>
              </w:rPr>
              <w:t>$2.735</w:t>
            </w:r>
          </w:p>
        </w:tc>
        <w:tc>
          <w:tcPr>
            <w:tcW w:w="1376" w:type="dxa"/>
          </w:tcPr>
          <w:p w:rsidR="00F506D5" w:rsidRPr="00B16533" w:rsidRDefault="00F506D5" w:rsidP="00F506D5">
            <w:pPr>
              <w:pStyle w:val="BodyText"/>
              <w:spacing w:before="0" w:line="280" w:lineRule="exact"/>
              <w:jc w:val="center"/>
              <w:rPr>
                <w:rFonts w:ascii="Arial" w:hAnsi="Arial"/>
                <w:sz w:val="20"/>
                <w:lang w:val="en-CA"/>
              </w:rPr>
            </w:pPr>
            <w:r>
              <w:rPr>
                <w:rFonts w:ascii="Arial" w:hAnsi="Arial"/>
                <w:sz w:val="20"/>
                <w:lang w:val="en-CA"/>
              </w:rPr>
              <w:t>Section 2.3 of NI 45-106</w:t>
            </w:r>
          </w:p>
        </w:tc>
        <w:tc>
          <w:tcPr>
            <w:tcW w:w="1742" w:type="dxa"/>
          </w:tcPr>
          <w:p w:rsidR="00F506D5" w:rsidRPr="009A02C2" w:rsidRDefault="003F77D3" w:rsidP="009A02C2">
            <w:pPr>
              <w:pStyle w:val="BodyText"/>
              <w:spacing w:before="0" w:line="280" w:lineRule="exact"/>
              <w:jc w:val="center"/>
              <w:rPr>
                <w:rFonts w:ascii="Arial" w:hAnsi="Arial"/>
                <w:b/>
                <w:sz w:val="20"/>
              </w:rPr>
            </w:pPr>
            <w:r>
              <w:rPr>
                <w:rFonts w:ascii="Arial" w:hAnsi="Arial"/>
                <w:sz w:val="20"/>
              </w:rPr>
              <w:t>None</w:t>
            </w:r>
          </w:p>
        </w:tc>
        <w:tc>
          <w:tcPr>
            <w:tcW w:w="1100" w:type="dxa"/>
          </w:tcPr>
          <w:p w:rsidR="00F506D5" w:rsidRPr="00B16533" w:rsidRDefault="00CE2BB3" w:rsidP="00F506D5">
            <w:pPr>
              <w:pStyle w:val="BodyText"/>
              <w:spacing w:before="0" w:line="280" w:lineRule="exact"/>
              <w:jc w:val="center"/>
              <w:rPr>
                <w:rFonts w:ascii="Arial" w:hAnsi="Arial"/>
                <w:sz w:val="20"/>
                <w:lang w:val="en-CA"/>
              </w:rPr>
            </w:pPr>
            <w:r>
              <w:rPr>
                <w:rFonts w:ascii="Arial" w:hAnsi="Arial"/>
                <w:sz w:val="20"/>
                <w:lang w:val="en-CA"/>
              </w:rPr>
              <w:t xml:space="preserve">On or about </w:t>
            </w:r>
            <w:r w:rsidR="00F506D5">
              <w:rPr>
                <w:rFonts w:ascii="Arial" w:hAnsi="Arial"/>
                <w:sz w:val="20"/>
                <w:lang w:val="en-CA"/>
              </w:rPr>
              <w:t xml:space="preserve">April </w:t>
            </w:r>
            <w:r>
              <w:rPr>
                <w:rFonts w:ascii="Arial" w:hAnsi="Arial"/>
                <w:sz w:val="20"/>
                <w:lang w:val="en-CA"/>
              </w:rPr>
              <w:t>5</w:t>
            </w:r>
            <w:r w:rsidR="00F506D5">
              <w:rPr>
                <w:rFonts w:ascii="Arial" w:hAnsi="Arial"/>
                <w:sz w:val="20"/>
                <w:lang w:val="en-CA"/>
              </w:rPr>
              <w:t>, 2018</w:t>
            </w:r>
          </w:p>
        </w:tc>
        <w:tc>
          <w:tcPr>
            <w:tcW w:w="1100" w:type="dxa"/>
          </w:tcPr>
          <w:p w:rsidR="00F506D5" w:rsidRPr="00B16533" w:rsidRDefault="00F506D5" w:rsidP="00F506D5">
            <w:pPr>
              <w:pStyle w:val="BodyText"/>
              <w:spacing w:before="0" w:line="280" w:lineRule="exact"/>
              <w:jc w:val="center"/>
              <w:rPr>
                <w:rFonts w:ascii="Arial" w:hAnsi="Arial"/>
                <w:color w:val="000000"/>
                <w:sz w:val="20"/>
                <w:lang w:val="en-CA"/>
              </w:rPr>
            </w:pPr>
            <w:r>
              <w:rPr>
                <w:rFonts w:ascii="Arial" w:hAnsi="Arial"/>
                <w:color w:val="000000"/>
                <w:sz w:val="20"/>
                <w:lang w:val="en-CA"/>
              </w:rPr>
              <w:t>Arm’s length</w:t>
            </w:r>
          </w:p>
        </w:tc>
      </w:tr>
    </w:tbl>
    <w:p w:rsidR="00F506D5" w:rsidRPr="00C500F0" w:rsidRDefault="00CE2BB3" w:rsidP="00F506D5">
      <w:pPr>
        <w:spacing w:before="120"/>
        <w:ind w:left="720"/>
        <w:jc w:val="center"/>
        <w:rPr>
          <w:rFonts w:ascii="Arial" w:eastAsia="Calibri" w:hAnsi="Arial" w:cs="Arial"/>
          <w:b/>
          <w:sz w:val="24"/>
          <w:szCs w:val="24"/>
        </w:rPr>
      </w:pPr>
      <w:r>
        <w:rPr>
          <w:rFonts w:ascii="Arial" w:eastAsia="Calibri" w:hAnsi="Arial" w:cs="Arial"/>
          <w:b/>
          <w:sz w:val="24"/>
          <w:szCs w:val="24"/>
        </w:rPr>
        <w:t>Appendix B</w:t>
      </w:r>
    </w:p>
    <w:p w:rsidR="004E4153" w:rsidRDefault="00CE2BB3" w:rsidP="00CE2BB3">
      <w:pPr>
        <w:spacing w:before="120"/>
        <w:ind w:left="720"/>
        <w:jc w:val="center"/>
        <w:rPr>
          <w:rFonts w:ascii="Arial" w:eastAsia="Calibri" w:hAnsi="Arial" w:cs="Arial"/>
          <w:b/>
          <w:sz w:val="24"/>
          <w:szCs w:val="24"/>
        </w:rPr>
      </w:pPr>
      <w:r>
        <w:rPr>
          <w:rFonts w:ascii="Arial" w:eastAsia="Calibri" w:hAnsi="Arial" w:cs="Arial"/>
          <w:b/>
          <w:sz w:val="24"/>
          <w:szCs w:val="24"/>
        </w:rPr>
        <w:t>TABLE 1B – ALL PLACEES</w:t>
      </w:r>
    </w:p>
    <w:p w:rsidR="004E4153" w:rsidRDefault="004E4153" w:rsidP="004E4153">
      <w:pPr>
        <w:rPr>
          <w:rFonts w:ascii="Arial" w:eastAsia="Calibri" w:hAnsi="Arial" w:cs="Arial"/>
          <w:sz w:val="24"/>
          <w:szCs w:val="24"/>
        </w:rPr>
      </w:pPr>
    </w:p>
    <w:p w:rsidR="00F506D5" w:rsidRPr="004E4153" w:rsidRDefault="004E4153" w:rsidP="004E4153">
      <w:pPr>
        <w:tabs>
          <w:tab w:val="left" w:pos="1455"/>
        </w:tabs>
        <w:rPr>
          <w:rFonts w:ascii="Arial" w:eastAsia="Calibri" w:hAnsi="Arial" w:cs="Arial"/>
          <w:sz w:val="24"/>
          <w:szCs w:val="24"/>
        </w:rPr>
      </w:pPr>
      <w:r>
        <w:rPr>
          <w:rFonts w:ascii="Arial" w:eastAsia="Calibri" w:hAnsi="Arial" w:cs="Arial"/>
          <w:sz w:val="24"/>
          <w:szCs w:val="24"/>
        </w:rPr>
        <w:tab/>
      </w:r>
      <w:bookmarkStart w:id="4" w:name="_GoBack"/>
      <w:bookmarkEnd w:id="4"/>
    </w:p>
    <w:sectPr w:rsidR="00F506D5" w:rsidRPr="004E4153" w:rsidSect="008003B9">
      <w:footerReference w:type="default" r:id="rId8"/>
      <w:footerReference w:type="first" r:id="rId9"/>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EB6" w:rsidRDefault="00305EB6">
      <w:r>
        <w:separator/>
      </w:r>
    </w:p>
  </w:endnote>
  <w:endnote w:type="continuationSeparator" w:id="0">
    <w:p w:rsidR="00305EB6" w:rsidRDefault="003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Playbil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6D0B93" w:rsidP="008003B9">
    <w:pPr>
      <w:tabs>
        <w:tab w:val="center" w:pos="4674"/>
        <w:tab w:val="left" w:pos="8460"/>
      </w:tabs>
      <w:jc w:val="center"/>
      <w:rPr>
        <w:rStyle w:val="PageNumber"/>
        <w:rFonts w:ascii="Arial" w:hAnsi="Arial" w:cs="Arial"/>
        <w:b/>
      </w:rPr>
    </w:pPr>
    <w:r>
      <w:rPr>
        <w:b/>
        <w:noProof/>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56B87"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0316BE">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133" w:rsidRDefault="000316BE">
    <w:pPr>
      <w:pStyle w:val="Footer"/>
    </w:pPr>
    <w:r>
      <w:fldChar w:fldCharType="begin"/>
    </w:r>
    <w:r>
      <w:instrText xml:space="preserve"> DOCPROPERTY FOOTERPATH \* MERGEFORMAT </w:instrText>
    </w:r>
    <w:r>
      <w:fldChar w:fldCharType="separate"/>
    </w:r>
    <w:r w:rsidR="00111B92">
      <w:t>6035-03\AGMT\0005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EB6" w:rsidRDefault="00305EB6">
      <w:r>
        <w:separator/>
      </w:r>
    </w:p>
  </w:footnote>
  <w:footnote w:type="continuationSeparator" w:id="0">
    <w:p w:rsidR="00305EB6" w:rsidRDefault="00305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2"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3"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4"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5"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196E4E"/>
    <w:multiLevelType w:val="hybridMultilevel"/>
    <w:tmpl w:val="C2105264"/>
    <w:lvl w:ilvl="0" w:tplc="441E8B2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2"/>
  </w:num>
  <w:num w:numId="3">
    <w:abstractNumId w:val="9"/>
  </w:num>
  <w:num w:numId="4">
    <w:abstractNumId w:val="13"/>
  </w:num>
  <w:num w:numId="5">
    <w:abstractNumId w:val="11"/>
  </w:num>
  <w:num w:numId="6">
    <w:abstractNumId w:val="0"/>
  </w:num>
  <w:num w:numId="7">
    <w:abstractNumId w:val="10"/>
  </w:num>
  <w:num w:numId="8">
    <w:abstractNumId w:val="5"/>
  </w:num>
  <w:num w:numId="9">
    <w:abstractNumId w:val="7"/>
  </w:num>
  <w:num w:numId="10">
    <w:abstractNumId w:val="4"/>
  </w:num>
  <w:num w:numId="11">
    <w:abstractNumId w:val="14"/>
  </w:num>
  <w:num w:numId="12">
    <w:abstractNumId w:val="17"/>
  </w:num>
  <w:num w:numId="13">
    <w:abstractNumId w:val="3"/>
  </w:num>
  <w:num w:numId="14">
    <w:abstractNumId w:val="8"/>
  </w:num>
  <w:num w:numId="15">
    <w:abstractNumId w:val="1"/>
  </w:num>
  <w:num w:numId="16">
    <w:abstractNumId w:val="15"/>
  </w:num>
  <w:num w:numId="17">
    <w:abstractNumId w:val="6"/>
  </w:num>
  <w:num w:numId="18">
    <w:abstractNumId w:val="16"/>
  </w:num>
  <w:num w:numId="19">
    <w:abstractNumId w:val="1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8B3"/>
    <w:rsid w:val="00003125"/>
    <w:rsid w:val="0001060A"/>
    <w:rsid w:val="000316BE"/>
    <w:rsid w:val="00062F09"/>
    <w:rsid w:val="0006633B"/>
    <w:rsid w:val="000B64EF"/>
    <w:rsid w:val="000C7CEC"/>
    <w:rsid w:val="00111B92"/>
    <w:rsid w:val="00116314"/>
    <w:rsid w:val="00122D6D"/>
    <w:rsid w:val="00173F0B"/>
    <w:rsid w:val="00186DA5"/>
    <w:rsid w:val="002557FD"/>
    <w:rsid w:val="00255BEB"/>
    <w:rsid w:val="002560F1"/>
    <w:rsid w:val="002D3931"/>
    <w:rsid w:val="002F0416"/>
    <w:rsid w:val="00305EB6"/>
    <w:rsid w:val="0032608E"/>
    <w:rsid w:val="00326D55"/>
    <w:rsid w:val="003431FD"/>
    <w:rsid w:val="0035331C"/>
    <w:rsid w:val="00392085"/>
    <w:rsid w:val="003C6D7E"/>
    <w:rsid w:val="003D195D"/>
    <w:rsid w:val="003F77D3"/>
    <w:rsid w:val="00456624"/>
    <w:rsid w:val="004A1403"/>
    <w:rsid w:val="004B214D"/>
    <w:rsid w:val="004E4153"/>
    <w:rsid w:val="00544BCF"/>
    <w:rsid w:val="00556CDE"/>
    <w:rsid w:val="005C0565"/>
    <w:rsid w:val="00617A0E"/>
    <w:rsid w:val="0062717F"/>
    <w:rsid w:val="00643C2A"/>
    <w:rsid w:val="006D0B93"/>
    <w:rsid w:val="007568B3"/>
    <w:rsid w:val="007B0425"/>
    <w:rsid w:val="007C4F86"/>
    <w:rsid w:val="008003B9"/>
    <w:rsid w:val="00840B45"/>
    <w:rsid w:val="008F27FF"/>
    <w:rsid w:val="009136E7"/>
    <w:rsid w:val="00922182"/>
    <w:rsid w:val="009466F0"/>
    <w:rsid w:val="0097763E"/>
    <w:rsid w:val="00995ACE"/>
    <w:rsid w:val="009A02C2"/>
    <w:rsid w:val="009C1EC2"/>
    <w:rsid w:val="009D458B"/>
    <w:rsid w:val="00A00C54"/>
    <w:rsid w:val="00A10285"/>
    <w:rsid w:val="00A35B6E"/>
    <w:rsid w:val="00A90670"/>
    <w:rsid w:val="00A93530"/>
    <w:rsid w:val="00A9392C"/>
    <w:rsid w:val="00AC05A5"/>
    <w:rsid w:val="00B16533"/>
    <w:rsid w:val="00B923F6"/>
    <w:rsid w:val="00BE2894"/>
    <w:rsid w:val="00C10A32"/>
    <w:rsid w:val="00C4010F"/>
    <w:rsid w:val="00C500F0"/>
    <w:rsid w:val="00C536D3"/>
    <w:rsid w:val="00CC2519"/>
    <w:rsid w:val="00CE2BB3"/>
    <w:rsid w:val="00CF076A"/>
    <w:rsid w:val="00CF2A90"/>
    <w:rsid w:val="00CF5580"/>
    <w:rsid w:val="00CF72A4"/>
    <w:rsid w:val="00DA6830"/>
    <w:rsid w:val="00DB640C"/>
    <w:rsid w:val="00E55E58"/>
    <w:rsid w:val="00E83A64"/>
    <w:rsid w:val="00E97C13"/>
    <w:rsid w:val="00EA4133"/>
    <w:rsid w:val="00F33BBE"/>
    <w:rsid w:val="00F506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yperlink" Target="mailto:listings@thecse.com" TargetMode="Externa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11" Type="http://schemas.openxmlformats.org/officeDocument/2006/relationships/theme" Target="theme/theme1.xml" />
  <Relationship Id="rId5" Type="http://schemas.openxmlformats.org/officeDocument/2006/relationships/footnotes" Target="footnotes.xml" />
  <Relationship Id="rId10" Type="http://schemas.openxmlformats.org/officeDocument/2006/relationships/fontTable" Target="fontTable.xml" />
  <Relationship Id="rId4" Type="http://schemas.openxmlformats.org/officeDocument/2006/relationships/webSettings" Target="webSettings.xml" />
  <Relationship Id="rId9" Type="http://schemas.openxmlformats.org/officeDocument/2006/relationships/footer" Target="footer2.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Pages>3</Pages>
  <Words>2291</Words>
  <Characters>12102</Characters>
  <Application>Microsoft Office Word</Application>
  <DocSecurity>0</DocSecurity>
  <Lines>448</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